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5D436" w14:textId="57EEE31A" w:rsidR="008B29DC" w:rsidRPr="000D0D06" w:rsidRDefault="00053915" w:rsidP="00053915">
      <w:pPr>
        <w:pStyle w:val="Pagedecouverture"/>
        <w:rPr>
          <w:noProof/>
        </w:rPr>
      </w:pPr>
      <w:r>
        <w:rPr>
          <w:noProof/>
        </w:rPr>
        <w:pict w14:anchorId="6F6911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C57B2C9C-C5B6-46D1-B8D8-E97877A75186" style="width:455.25pt;height:426.75pt">
            <v:imagedata r:id="rId11" o:title=""/>
          </v:shape>
        </w:pict>
      </w:r>
    </w:p>
    <w:p w14:paraId="4C2B19DF" w14:textId="77777777" w:rsidR="001D6AFB" w:rsidRPr="000D0D06" w:rsidRDefault="001D6AFB" w:rsidP="001D6AFB">
      <w:pPr>
        <w:rPr>
          <w:noProof/>
        </w:rPr>
        <w:sectPr w:rsidR="001D6AFB" w:rsidRPr="000D0D06" w:rsidSect="00053915">
          <w:footerReference w:type="even" r:id="rId12"/>
          <w:footerReference w:type="default" r:id="rId13"/>
          <w:pgSz w:w="11907" w:h="16839"/>
          <w:pgMar w:top="1134" w:right="1417" w:bottom="1134" w:left="1417" w:header="709" w:footer="709" w:gutter="0"/>
          <w:pgNumType w:start="0"/>
          <w:cols w:space="720"/>
          <w:docGrid w:linePitch="360"/>
        </w:sectPr>
      </w:pPr>
    </w:p>
    <w:p w14:paraId="2C8C5C66" w14:textId="77777777" w:rsidR="00FF2EDA" w:rsidRPr="000D0D06" w:rsidRDefault="00FF2EDA" w:rsidP="008C7057">
      <w:pPr>
        <w:pStyle w:val="Exposdesmotifstitre"/>
        <w:rPr>
          <w:noProof/>
        </w:rPr>
      </w:pPr>
      <w:bookmarkStart w:id="0" w:name="_GoBack"/>
      <w:bookmarkEnd w:id="0"/>
      <w:r w:rsidRPr="000D0D06">
        <w:rPr>
          <w:noProof/>
        </w:rPr>
        <w:lastRenderedPageBreak/>
        <w:t>EXPOSIÇÃO DE MOTIVOS</w:t>
      </w:r>
    </w:p>
    <w:p w14:paraId="1FC18D79" w14:textId="77777777" w:rsidR="00FF2EDA" w:rsidRPr="000D0D06" w:rsidRDefault="00FF2EDA" w:rsidP="008C7057">
      <w:pPr>
        <w:pStyle w:val="ManualHeading1"/>
        <w:rPr>
          <w:noProof/>
        </w:rPr>
      </w:pPr>
      <w:r w:rsidRPr="000D0D06">
        <w:rPr>
          <w:noProof/>
        </w:rPr>
        <w:t>1.</w:t>
      </w:r>
      <w:r w:rsidRPr="000D0D06">
        <w:rPr>
          <w:noProof/>
        </w:rPr>
        <w:tab/>
        <w:t>CONTEXTO DA PROPOSTA</w:t>
      </w:r>
    </w:p>
    <w:p w14:paraId="5F5D1B52" w14:textId="77777777" w:rsidR="00FF2EDA" w:rsidRPr="000D0D06" w:rsidRDefault="00FF2EDA" w:rsidP="60E008F6">
      <w:pPr>
        <w:pStyle w:val="ManualHeading2"/>
        <w:rPr>
          <w:rFonts w:eastAsia="Arial Unicode MS"/>
          <w:noProof/>
        </w:rPr>
      </w:pPr>
      <w:r w:rsidRPr="000D0D06">
        <w:rPr>
          <w:noProof/>
          <w:color w:val="000000"/>
          <w:bdr w:val="nil"/>
        </w:rPr>
        <w:t>•</w:t>
      </w:r>
      <w:r w:rsidRPr="000D0D06">
        <w:rPr>
          <w:noProof/>
        </w:rPr>
        <w:tab/>
        <w:t>Razões e objetivos da proposta</w:t>
      </w:r>
    </w:p>
    <w:p w14:paraId="11EDF3C1" w14:textId="77777777" w:rsidR="00C276DE" w:rsidRPr="000D0D06" w:rsidRDefault="00C276DE" w:rsidP="00C276DE">
      <w:pPr>
        <w:rPr>
          <w:noProof/>
        </w:rPr>
      </w:pPr>
      <w:r w:rsidRPr="000D0D06">
        <w:rPr>
          <w:noProof/>
        </w:rPr>
        <w:t>Na sua comunicação sobre simplificação e execução («Uma Europa mais simples e mais rápida»)</w:t>
      </w:r>
      <w:r w:rsidRPr="000D0D06">
        <w:rPr>
          <w:rStyle w:val="FootnoteReference"/>
          <w:rFonts w:eastAsia="Times New Roman"/>
          <w:noProof/>
          <w:szCs w:val="24"/>
        </w:rPr>
        <w:footnoteReference w:id="2"/>
      </w:r>
      <w:r w:rsidRPr="000D0D06">
        <w:rPr>
          <w:noProof/>
        </w:rPr>
        <w:t xml:space="preserve">, a Comissão apresentou a sua abordagem para adaptar o quadro regulamentar da União a um mundo mais volátil: um novo impulso para simplificar, clarificar e melhorar o acervo da UE, como medida fundamental para apoiar a competitividade da UE. </w:t>
      </w:r>
    </w:p>
    <w:p w14:paraId="70ACFA38" w14:textId="77777777" w:rsidR="00C276DE" w:rsidRPr="000D0D06" w:rsidRDefault="00C276DE" w:rsidP="00C276DE">
      <w:pPr>
        <w:rPr>
          <w:rFonts w:eastAsia="Times New Roman"/>
          <w:noProof/>
          <w:szCs w:val="24"/>
        </w:rPr>
      </w:pPr>
      <w:r w:rsidRPr="000D0D06">
        <w:rPr>
          <w:noProof/>
        </w:rPr>
        <w:t>Esta visão reflete o plano mais vasto definido nas orientações políticas da presidente da Comissão, Ursula von der Leyen, para a legislatura de 2024-2029</w:t>
      </w:r>
      <w:r w:rsidRPr="000D0D06">
        <w:rPr>
          <w:rStyle w:val="FootnoteReference"/>
          <w:rFonts w:eastAsia="Times New Roman"/>
          <w:noProof/>
          <w:szCs w:val="24"/>
        </w:rPr>
        <w:footnoteReference w:id="3"/>
      </w:r>
      <w:r w:rsidRPr="000D0D06">
        <w:rPr>
          <w:noProof/>
        </w:rPr>
        <w:t>. Como também salientado nos relatórios Draghi</w:t>
      </w:r>
      <w:r w:rsidRPr="000D0D06">
        <w:rPr>
          <w:rStyle w:val="FootnoteReference"/>
          <w:rFonts w:eastAsia="Times New Roman"/>
          <w:noProof/>
          <w:szCs w:val="24"/>
        </w:rPr>
        <w:footnoteReference w:id="4"/>
      </w:r>
      <w:r w:rsidRPr="000D0D06">
        <w:rPr>
          <w:noProof/>
        </w:rPr>
        <w:t xml:space="preserve"> e Letta</w:t>
      </w:r>
      <w:r w:rsidRPr="000D0D06">
        <w:rPr>
          <w:rStyle w:val="FootnoteReference"/>
          <w:rFonts w:eastAsia="Times New Roman"/>
          <w:noProof/>
          <w:szCs w:val="24"/>
        </w:rPr>
        <w:footnoteReference w:id="5"/>
      </w:r>
      <w:r w:rsidRPr="000D0D06">
        <w:rPr>
          <w:noProof/>
        </w:rPr>
        <w:t>, a acumulação de regras teve, por vezes, um efeito adverso na competitividade. São necessárias melhorias rápidas e visíveis para as pessoas e as empresas, através de uma aplicação mais eficaz em termos de custos e favorável à inovação das nossas regras, mantendo simultaneamente padrões elevados e os objetivos acordados.</w:t>
      </w:r>
    </w:p>
    <w:p w14:paraId="37081EA5" w14:textId="77777777" w:rsidR="00C276DE" w:rsidRPr="000D0D06" w:rsidRDefault="00C276DE" w:rsidP="00C276DE">
      <w:pPr>
        <w:rPr>
          <w:rFonts w:eastAsia="Times New Roman"/>
          <w:noProof/>
          <w:szCs w:val="24"/>
        </w:rPr>
      </w:pPr>
      <w:r w:rsidRPr="000D0D06">
        <w:rPr>
          <w:noProof/>
        </w:rPr>
        <w:t>Nas Conclusões do Conselho Europeu de 20 de março de 2025, exortou-se a Comissão a «continuar a reexaminar o acervo da UE e a submetê-lo a testes de esforço a fim de identificar formas de simplificar e consolidar ainda mais a legislação em vigor»</w:t>
      </w:r>
      <w:r w:rsidRPr="000D0D06">
        <w:rPr>
          <w:rStyle w:val="FootnoteReference"/>
          <w:rFonts w:eastAsia="Times New Roman"/>
          <w:noProof/>
          <w:szCs w:val="24"/>
        </w:rPr>
        <w:footnoteReference w:id="6"/>
      </w:r>
      <w:r w:rsidRPr="000D0D06">
        <w:rPr>
          <w:noProof/>
        </w:rPr>
        <w:t>. Salientou-se igualmente a necessidade de dar seguimento a novos conjuntos de iniciativas de simplificação. Nas suas conclusões de 26 de junho, o Conselho Europeu sublinhou a importância da «simplicidade desde a conceção» da legislação, «sem comprometer a previsibilidade, os objetivos estratégicos e os padrões elevados»</w:t>
      </w:r>
      <w:r w:rsidRPr="000D0D06">
        <w:rPr>
          <w:rStyle w:val="FootnoteReference"/>
          <w:rFonts w:eastAsia="Times New Roman"/>
          <w:noProof/>
          <w:szCs w:val="24"/>
        </w:rPr>
        <w:footnoteReference w:id="7"/>
      </w:r>
      <w:r w:rsidRPr="000D0D06">
        <w:rPr>
          <w:noProof/>
        </w:rPr>
        <w:t>. Nas Conclusões do Conselho Europeu de 23 de outubro de 2025, reafirmou-se «a necessidade urgente de fazer avançar um programa ambicioso e horizontal de simplificação e melhoria da regulamentação a todos os níveis — UE, nacional e regional — e em todos os domínios, a fim de garantir a competitividade da Europa». Exortou-se igualmente a Comissão a «apresentar rapidamente novos pacotes de simplificação ambiciosos, nomeadamente sobre […] o digital»</w:t>
      </w:r>
      <w:r w:rsidRPr="000D0D06">
        <w:rPr>
          <w:rStyle w:val="FootnoteReference"/>
          <w:rFonts w:eastAsia="Times New Roman"/>
          <w:noProof/>
          <w:szCs w:val="24"/>
        </w:rPr>
        <w:footnoteReference w:id="8"/>
      </w:r>
      <w:r w:rsidRPr="000D0D06">
        <w:rPr>
          <w:noProof/>
        </w:rPr>
        <w:t>.</w:t>
      </w:r>
    </w:p>
    <w:p w14:paraId="4D8C73C9" w14:textId="77777777" w:rsidR="00C276DE" w:rsidRPr="000D0D06" w:rsidRDefault="00C276DE" w:rsidP="00C276DE">
      <w:pPr>
        <w:rPr>
          <w:rFonts w:eastAsia="Times New Roman"/>
          <w:noProof/>
          <w:szCs w:val="24"/>
        </w:rPr>
      </w:pPr>
      <w:r w:rsidRPr="000D0D06">
        <w:rPr>
          <w:noProof/>
        </w:rPr>
        <w:t>Na sua resolução sobre «a aplicação e racionalização das regras do mercado interno da UE para reforçar o mercado único», votada em 11 de setembro em sessão plenária</w:t>
      </w:r>
      <w:r w:rsidRPr="000D0D06">
        <w:rPr>
          <w:rStyle w:val="FootnoteReference"/>
          <w:rFonts w:eastAsia="Times New Roman"/>
          <w:noProof/>
          <w:szCs w:val="24"/>
        </w:rPr>
        <w:footnoteReference w:id="9"/>
      </w:r>
      <w:r w:rsidRPr="000D0D06">
        <w:rPr>
          <w:noProof/>
        </w:rPr>
        <w:t xml:space="preserve">, o Parlamento Europeu salientou a necessidade de simplificação para facilitar a conformidade das empresas sem comprometer os principais objetivos políticos da UE. </w:t>
      </w:r>
    </w:p>
    <w:p w14:paraId="2042C9AD" w14:textId="77777777" w:rsidR="00C276DE" w:rsidRPr="000D0D06" w:rsidRDefault="00C276DE" w:rsidP="00C276DE">
      <w:pPr>
        <w:rPr>
          <w:noProof/>
        </w:rPr>
      </w:pPr>
      <w:r w:rsidRPr="000D0D06">
        <w:rPr>
          <w:noProof/>
        </w:rPr>
        <w:t xml:space="preserve">Nas atividades de consulta e participação da Comissão em torno do programa de simplificação, as partes interessadas representativas de diferentes interesses apelaram a alterações específicas de determinadas regras digitais, tanto para racionalizar os custos de conformidade como para clarificar as interações entre as regras no seu setor. </w:t>
      </w:r>
    </w:p>
    <w:p w14:paraId="3D3FBBA7" w14:textId="77777777" w:rsidR="00C276DE" w:rsidRPr="000D0D06" w:rsidRDefault="00C276DE" w:rsidP="00C276DE">
      <w:pPr>
        <w:rPr>
          <w:rFonts w:eastAsia="Times New Roman"/>
          <w:noProof/>
          <w:szCs w:val="24"/>
        </w:rPr>
      </w:pPr>
      <w:r w:rsidRPr="000D0D06">
        <w:rPr>
          <w:noProof/>
        </w:rPr>
        <w:t>Com um valor acrescentado de 791 mil milhões de EUR em toda a União Europeia em 2022</w:t>
      </w:r>
      <w:r w:rsidRPr="000D0D06">
        <w:rPr>
          <w:rStyle w:val="FootnoteReference"/>
          <w:rFonts w:eastAsia="Times New Roman"/>
          <w:noProof/>
          <w:szCs w:val="24"/>
        </w:rPr>
        <w:footnoteReference w:id="10"/>
      </w:r>
      <w:r w:rsidRPr="000D0D06">
        <w:rPr>
          <w:noProof/>
        </w:rPr>
        <w:t>, o setor das tecnologias da informação e comunicação (TIC) desempenha um papel crucial na promoção da competitividade da UE em todos os setores da economia, tanto através do crescimento das empresas digitais como da oferta generalizada de soluções digitais fundamentais. As regras digitais têm sido fundamentais para a criação de um ambiente empresarial justo na UE através do estabelecimento de um verdadeiro mercado único para os serviços digitais. A UE foi pioneira na regulamentação digital e estabeleceu o padrão de referência para o mais elevado nível de proteção dos direitos fundamentais, da segurança dos consumidores e dos valores europeus.</w:t>
      </w:r>
    </w:p>
    <w:p w14:paraId="510ECC49" w14:textId="77777777" w:rsidR="00C276DE" w:rsidRPr="000D0D06" w:rsidRDefault="00C276DE" w:rsidP="00C276DE">
      <w:pPr>
        <w:spacing w:line="257" w:lineRule="auto"/>
        <w:rPr>
          <w:rFonts w:eastAsia="Times New Roman"/>
          <w:noProof/>
          <w:szCs w:val="24"/>
        </w:rPr>
      </w:pPr>
      <w:r w:rsidRPr="000D0D06">
        <w:rPr>
          <w:noProof/>
        </w:rPr>
        <w:t xml:space="preserve">A Comissão está empenhada num «teste de esforço» abrangente do código normativo digital ao longo de todo o mandato legislativo. O objetivo é muito claro: assegurar que as regras continuam a ser adequadas para apoiar a inovação e o crescimento, cumprem os seus objetivos e são um motor da competitividade. Ao longo deste processo, a Comissão procurará fornecer soluções convincentes para simplificar, clarificar e consolidar a eficácia das regras e a sua aplicação através de todos os instrumentos disponíveis, quer se trate de ajustamentos regulamentares, de uma cooperação reforçada entre as autoridades, da promoção de soluções digitais que simplifiquem a conformidade regulamentar «desde a conceção» ou de outras medidas de acompanhamento. </w:t>
      </w:r>
    </w:p>
    <w:p w14:paraId="3FBFE576" w14:textId="1195E54F" w:rsidR="00C276DE" w:rsidRPr="000D0D06" w:rsidRDefault="00C276DE" w:rsidP="00C276DE">
      <w:pPr>
        <w:spacing w:line="257" w:lineRule="auto"/>
        <w:rPr>
          <w:noProof/>
        </w:rPr>
      </w:pPr>
      <w:r w:rsidRPr="000D0D06">
        <w:rPr>
          <w:b/>
          <w:noProof/>
        </w:rPr>
        <w:t xml:space="preserve">A proposta </w:t>
      </w:r>
      <w:r w:rsidRPr="000D0D06">
        <w:rPr>
          <w:b/>
          <w:i/>
          <w:noProof/>
        </w:rPr>
        <w:t>Omnibus</w:t>
      </w:r>
      <w:r w:rsidRPr="000D0D06">
        <w:rPr>
          <w:b/>
          <w:noProof/>
        </w:rPr>
        <w:t xml:space="preserve"> Digital é um primeiro passo</w:t>
      </w:r>
      <w:r w:rsidRPr="000D0D06">
        <w:rPr>
          <w:noProof/>
        </w:rPr>
        <w:t xml:space="preserve"> para otimizar a aplicação do código normativo digital. Inclui um conjunto de alterações técnicas a um vasto </w:t>
      </w:r>
      <w:r w:rsidRPr="000D0D06">
        <w:rPr>
          <w:i/>
          <w:noProof/>
        </w:rPr>
        <w:t>corpus</w:t>
      </w:r>
      <w:r w:rsidRPr="000D0D06">
        <w:rPr>
          <w:noProof/>
        </w:rPr>
        <w:t xml:space="preserve"> de legislação no domínio digital, selecionado para proporcionar um alívio imediato às empresas, às administrações públicas e aos cidadãos, a fim de estimular a competitividade. O objetivo imediato é assegurar que o cumprimento das regras tenha um custo inferior, cumpra os mesmos objetivos e proporcione, por si só, uma vantagem concorrencial às empresas responsáveis. A prioridade atribuída às alterações baseia-se nas consultas com as partes interessadas e nos primeiros diálogos sobre a execução conduzidos pela vice-presidente executiva Henna Virkkunen e pelo comissário Michael McGrath. </w:t>
      </w:r>
    </w:p>
    <w:p w14:paraId="3FD2AAA5" w14:textId="77777777" w:rsidR="00C276DE" w:rsidRPr="000D0D06" w:rsidRDefault="00C276DE" w:rsidP="00C276DE">
      <w:pPr>
        <w:spacing w:line="257" w:lineRule="auto"/>
        <w:rPr>
          <w:rFonts w:eastAsia="Times New Roman"/>
          <w:noProof/>
          <w:szCs w:val="24"/>
        </w:rPr>
      </w:pPr>
      <w:r w:rsidRPr="000D0D06">
        <w:rPr>
          <w:noProof/>
        </w:rPr>
        <w:t xml:space="preserve">Por estas razões, as alterações centram-se em criar oportunidades na utilização dos dados, enquanto recurso fundamental na economia da UE, nomeadamente com vista a apoiar o desenvolvimento e a utilização de soluções de inteligência artificial fiáveis no mercado da UE. Alterações específicas às regras em matéria de proteção de dados e privacidade apoiam este objetivo e preveem medidas de simplificação imediatas para as empresas e os cidadãos, reforçando a sua capacidade de exercer os seus direitos. </w:t>
      </w:r>
    </w:p>
    <w:p w14:paraId="0FE9606C" w14:textId="77777777" w:rsidR="00C276DE" w:rsidRPr="000D0D06" w:rsidRDefault="00C276DE" w:rsidP="00C276DE">
      <w:pPr>
        <w:spacing w:line="257" w:lineRule="auto"/>
        <w:rPr>
          <w:rFonts w:eastAsia="Times New Roman"/>
          <w:noProof/>
          <w:szCs w:val="24"/>
        </w:rPr>
      </w:pPr>
      <w:r w:rsidRPr="000D0D06">
        <w:rPr>
          <w:noProof/>
        </w:rPr>
        <w:t>Além disso, as alterações do Regulamento (UE) 2024/1689 (Regulamento da Inteligência Artificial</w:t>
      </w:r>
      <w:r w:rsidRPr="000D0D06">
        <w:rPr>
          <w:rStyle w:val="FootnoteReference"/>
          <w:rFonts w:eastAsia="Times New Roman"/>
          <w:noProof/>
        </w:rPr>
        <w:footnoteReference w:id="11"/>
      </w:r>
      <w:r w:rsidRPr="000D0D06">
        <w:rPr>
          <w:noProof/>
        </w:rPr>
        <w:t xml:space="preserve">), apresentadas numa proposta legislativa em separado que faz parte do pacote </w:t>
      </w:r>
      <w:r w:rsidRPr="000D0D06">
        <w:rPr>
          <w:i/>
          <w:noProof/>
        </w:rPr>
        <w:t>omnibus</w:t>
      </w:r>
      <w:r w:rsidRPr="000D0D06">
        <w:rPr>
          <w:noProof/>
        </w:rPr>
        <w:t xml:space="preserve"> digital, visam facilitar a aplicação harmoniosa e eficaz das regras para o desenvolvimento e a utilização seguros e fiáveis da IA. </w:t>
      </w:r>
    </w:p>
    <w:p w14:paraId="0724D8F8" w14:textId="5A85D375" w:rsidR="00C276DE" w:rsidRPr="000D0D06" w:rsidRDefault="00C276DE" w:rsidP="00C276DE">
      <w:pPr>
        <w:spacing w:line="257" w:lineRule="auto"/>
        <w:rPr>
          <w:rFonts w:eastAsia="Times New Roman"/>
          <w:noProof/>
        </w:rPr>
      </w:pPr>
      <w:r w:rsidRPr="000D0D06">
        <w:rPr>
          <w:noProof/>
        </w:rPr>
        <w:t xml:space="preserve">O pacote </w:t>
      </w:r>
      <w:r w:rsidRPr="000D0D06">
        <w:rPr>
          <w:i/>
          <w:noProof/>
        </w:rPr>
        <w:t>omnibus</w:t>
      </w:r>
      <w:r w:rsidRPr="000D0D06">
        <w:rPr>
          <w:noProof/>
        </w:rPr>
        <w:t xml:space="preserve"> digital propõe igualmente uma solução muito clara para racionalizar a notificação de incidentes de cibersegurança, reunindo num único mecanismo de notificação todas as obrigações de notificação conexas.</w:t>
      </w:r>
    </w:p>
    <w:p w14:paraId="2BA44B61" w14:textId="77777777" w:rsidR="00C276DE" w:rsidRPr="000D0D06" w:rsidRDefault="00C276DE" w:rsidP="00C276DE">
      <w:pPr>
        <w:spacing w:line="257" w:lineRule="auto"/>
        <w:rPr>
          <w:rFonts w:eastAsia="Times New Roman"/>
          <w:noProof/>
        </w:rPr>
      </w:pPr>
      <w:r w:rsidRPr="000D0D06">
        <w:rPr>
          <w:noProof/>
        </w:rPr>
        <w:t xml:space="preserve">Por último, a proposta revoga regras desatualizadas no domínio da regulamentação das plataformas, que são substituídas por regulamentos mais recentes. </w:t>
      </w:r>
    </w:p>
    <w:p w14:paraId="58ECA54C" w14:textId="77777777" w:rsidR="00C276DE" w:rsidRPr="000D0D06" w:rsidRDefault="00C276DE" w:rsidP="00C276DE">
      <w:pPr>
        <w:spacing w:line="257" w:lineRule="auto"/>
        <w:rPr>
          <w:rFonts w:eastAsia="Times New Roman"/>
          <w:noProof/>
        </w:rPr>
      </w:pPr>
      <w:r w:rsidRPr="000D0D06">
        <w:rPr>
          <w:noProof/>
        </w:rPr>
        <w:t>As alterações visam simplificar as regras, reduzir o número de leis e harmonizar as disposições. Reduzem os custos administrativos através da simplificação das disposições e dos procedimentos. Dispensam as pequenas empresas de média capitalização de determinadas obrigações previstas na legislação em matéria de dados</w:t>
      </w:r>
      <w:r w:rsidRPr="000D0D06">
        <w:rPr>
          <w:rFonts w:ascii="Calibri" w:hAnsi="Calibri"/>
          <w:noProof/>
          <w:sz w:val="20"/>
        </w:rPr>
        <w:t xml:space="preserve"> </w:t>
      </w:r>
      <w:r w:rsidRPr="000D0D06">
        <w:rPr>
          <w:noProof/>
        </w:rPr>
        <w:t>e no Regulamento (UE) 2024/1689 (Regulamento da Inteligência Artificial</w:t>
      </w:r>
      <w:r w:rsidRPr="000D0D06">
        <w:rPr>
          <w:rStyle w:val="FootnoteReference"/>
          <w:rFonts w:eastAsia="Times New Roman"/>
          <w:noProof/>
        </w:rPr>
        <w:footnoteReference w:id="12"/>
      </w:r>
      <w:r w:rsidRPr="000D0D06">
        <w:rPr>
          <w:noProof/>
        </w:rPr>
        <w:t xml:space="preserve">), para além das pequenas empresas e das microempresas já abrangidas por um regime especial. Além disso, promovem oportunidades para um ambiente empresarial dinâmico, criando maior segurança jurídica e mais oportunidades, em especial na partilha e reutilização de dados, no tratamento de dados pessoais ou no treino de sistemas e modelos de inteligência artificial. </w:t>
      </w:r>
    </w:p>
    <w:p w14:paraId="098E4561" w14:textId="77777777" w:rsidR="00C276DE" w:rsidRPr="000D0D06" w:rsidRDefault="00C276DE" w:rsidP="00C276DE">
      <w:pPr>
        <w:spacing w:line="257" w:lineRule="auto"/>
        <w:rPr>
          <w:rFonts w:eastAsia="Times New Roman"/>
          <w:noProof/>
          <w:szCs w:val="24"/>
        </w:rPr>
      </w:pPr>
      <w:r w:rsidRPr="000D0D06">
        <w:rPr>
          <w:noProof/>
        </w:rPr>
        <w:t>Ao mesmo tempo, as alterações propostas continuam a ser de natureza técnica, procurando ajustar o quadro regulamentar, mas não alterar os seus objetivos subjacentes. As medidas são calibradas para preservar o mesmo padrão de proteção dos direitos fundamentais.</w:t>
      </w:r>
    </w:p>
    <w:p w14:paraId="32085BE0" w14:textId="77777777" w:rsidR="00C276DE" w:rsidRPr="000D0D06" w:rsidRDefault="00C276DE" w:rsidP="00C276DE">
      <w:pPr>
        <w:spacing w:line="257" w:lineRule="auto"/>
        <w:rPr>
          <w:rFonts w:eastAsia="Times New Roman"/>
          <w:noProof/>
          <w:szCs w:val="24"/>
        </w:rPr>
      </w:pPr>
      <w:r w:rsidRPr="000D0D06">
        <w:rPr>
          <w:noProof/>
        </w:rPr>
        <w:t xml:space="preserve">Juntamente com o pacote </w:t>
      </w:r>
      <w:r w:rsidRPr="000D0D06">
        <w:rPr>
          <w:i/>
          <w:noProof/>
        </w:rPr>
        <w:t>omnibus</w:t>
      </w:r>
      <w:r w:rsidRPr="000D0D06">
        <w:rPr>
          <w:noProof/>
        </w:rPr>
        <w:t xml:space="preserve"> digital, a Comissão apresenta igualmente a sua proposta de </w:t>
      </w:r>
      <w:r w:rsidRPr="000D0D06">
        <w:rPr>
          <w:b/>
          <w:noProof/>
        </w:rPr>
        <w:t>regulamento relativo às carteiras empresariais europeias</w:t>
      </w:r>
      <w:r w:rsidRPr="000D0D06">
        <w:rPr>
          <w:noProof/>
        </w:rPr>
        <w:t>, enquanto iniciativa fundamental para simplificar o cumprimento da regulamentação e reduzir os encargos administrativos para as empresas. As carteiras empresariais serão concebidas como ferramentas digitais seguras para as empresas, funcionando como uma plataforma única para simplificar as suas interações em toda a UE. A introdução de um identificador único e persistente capacitará as empresas para verificar digitalmente identidades, assinar documentos, aplicar um selo temporal e trocar informações digitais verificadas sem descontinuidades além-fronteiras através da utilização de uma solução única. Ao adotarem carteiras empresariais europeias, as empresas, em especial as PME, poderão gerir o cumprimento com facilidade, libertando recursos vitais que podem ser reorientados para o crescimento e a inovação.</w:t>
      </w:r>
    </w:p>
    <w:p w14:paraId="05B97EB7" w14:textId="77777777" w:rsidR="00C276DE" w:rsidRPr="000D0D06" w:rsidRDefault="00C276DE" w:rsidP="00C276DE">
      <w:pPr>
        <w:spacing w:line="257" w:lineRule="auto"/>
        <w:rPr>
          <w:rFonts w:eastAsia="Times New Roman"/>
          <w:noProof/>
          <w:szCs w:val="24"/>
        </w:rPr>
      </w:pPr>
      <w:r w:rsidRPr="000D0D06">
        <w:rPr>
          <w:noProof/>
        </w:rPr>
        <w:t xml:space="preserve">Como segunda etapa do compromisso de «teste de esforço» do código normativo digital, </w:t>
      </w:r>
      <w:r w:rsidRPr="000D0D06">
        <w:rPr>
          <w:b/>
          <w:noProof/>
        </w:rPr>
        <w:t>a Comissão está também a realizar um balanço de qualidade digital</w:t>
      </w:r>
      <w:r w:rsidRPr="000D0D06">
        <w:rPr>
          <w:noProof/>
        </w:rPr>
        <w:t xml:space="preserve">. Embora as propostas do pacote </w:t>
      </w:r>
      <w:r w:rsidRPr="000D0D06">
        <w:rPr>
          <w:i/>
          <w:noProof/>
        </w:rPr>
        <w:t>omnibus</w:t>
      </w:r>
      <w:r w:rsidRPr="000D0D06">
        <w:rPr>
          <w:noProof/>
        </w:rPr>
        <w:t xml:space="preserve"> digital sejam imediatas e específicas, a análise que a Comissão realizará no âmbito do balanço de qualidade digital centrar-se-á no impacto cumulativo das regras digitais, procurando testar a forma como apoiam a competitividade da UE e onde será necessário propor novos ajustamentos na segunda metade do mandato legislativo. </w:t>
      </w:r>
    </w:p>
    <w:p w14:paraId="383ED9E5" w14:textId="77777777" w:rsidR="00C276DE" w:rsidRPr="000D0D06" w:rsidRDefault="00C276DE" w:rsidP="00C276DE">
      <w:pPr>
        <w:spacing w:line="257" w:lineRule="auto"/>
        <w:rPr>
          <w:rFonts w:eastAsia="Times New Roman"/>
          <w:noProof/>
          <w:szCs w:val="24"/>
        </w:rPr>
      </w:pPr>
      <w:r w:rsidRPr="000D0D06">
        <w:rPr>
          <w:noProof/>
        </w:rPr>
        <w:t xml:space="preserve">O balanço de qualidade digital é lançado ao mesmo tempo que a proposta </w:t>
      </w:r>
      <w:r w:rsidRPr="000D0D06">
        <w:rPr>
          <w:i/>
          <w:noProof/>
        </w:rPr>
        <w:t>omnibus</w:t>
      </w:r>
      <w:r w:rsidRPr="000D0D06">
        <w:rPr>
          <w:noProof/>
        </w:rPr>
        <w:t>, com uma ampla consulta pública. A Comissão procura dialogar com todas as partes interessadas e proceder a consultas alargadas. O objetivo é dar seguimento a uma panorâmica a um levantamento alargado de como o código normativo digital abrange setores estratégicos da indústria da UE e abordar a forma como o efeito cumulativo das regras afeta a sua competitividade. Nesta base, numa segunda fase, a análise aprofundará as sinergias e os domínios que poderiam ser alinhados em maior medida, desde as definições e os conceitos jurídicos até à eficácia e interação dos sistemas de governação e de outras medidas de apoio.</w:t>
      </w:r>
    </w:p>
    <w:p w14:paraId="5E39EE7F" w14:textId="77777777" w:rsidR="00C276DE" w:rsidRPr="000D0D06" w:rsidRDefault="00C276DE" w:rsidP="00C276DE">
      <w:pPr>
        <w:spacing w:line="257" w:lineRule="auto"/>
        <w:rPr>
          <w:rFonts w:eastAsia="Times New Roman"/>
          <w:noProof/>
          <w:szCs w:val="24"/>
        </w:rPr>
      </w:pPr>
      <w:r w:rsidRPr="000D0D06">
        <w:rPr>
          <w:noProof/>
        </w:rPr>
        <w:t xml:space="preserve">O «teste de esforço» do acervo digital prosseguirá igualmente através de diálogos sobre a execução, bem como de </w:t>
      </w:r>
      <w:r w:rsidRPr="000D0D06">
        <w:rPr>
          <w:b/>
          <w:noProof/>
        </w:rPr>
        <w:t>avaliações de todos os principais instrumentos jurídicos</w:t>
      </w:r>
      <w:r w:rsidRPr="000D0D06">
        <w:rPr>
          <w:noProof/>
        </w:rPr>
        <w:t>. No planeamento atual, entre outras iniciativas, a Comissão prevê publicar, em 2026, uma revisão do Regulamento dos Mercados Digitais, do Programa Década Digital, do Regulamento dos Circuitos Integrados, da Diretiva Serviços de Comunicação Social Audiovisual, e uma avaliação da Diretiva Direitos de Autor. Para 2027, os atos cuja avaliação está prevista incluem, nomeadamente, o Regulamento de Cibersolidariedade, o Regulamento da Internet Aberta, a Diretiva SRI 2 e o Regulamento dos Serviços Digitais. Em 2028, a Comissão deve avaliar o Regulamento Europeu relativo à Liberdade dos Meios de Comunicação Social e o Regulamento dos Dados, seguindo-se, por exemplo, uma avaliação do Regulamento da Inteligência Artificial em 2029 e uma avaliação da cláusula de caducidade do Regulamento que estabelece o Centro e Rede Europeus de Competências em Cibersegurança.</w:t>
      </w:r>
    </w:p>
    <w:p w14:paraId="6F7F62D6" w14:textId="77777777" w:rsidR="00C276DE" w:rsidRPr="000D0D06" w:rsidRDefault="00C276DE" w:rsidP="00C276DE">
      <w:pPr>
        <w:spacing w:line="257" w:lineRule="auto"/>
        <w:rPr>
          <w:rFonts w:eastAsia="Times New Roman"/>
          <w:noProof/>
          <w:szCs w:val="24"/>
        </w:rPr>
      </w:pPr>
      <w:r w:rsidRPr="000D0D06">
        <w:rPr>
          <w:noProof/>
        </w:rPr>
        <w:t xml:space="preserve">As partes interessadas sublinharam repetidamente que, em muitos casos, o esforço de simplificação consiste menos em alterar as regras e mais em clarificar a sua aplicação. </w:t>
      </w:r>
      <w:r w:rsidRPr="000D0D06">
        <w:rPr>
          <w:b/>
          <w:noProof/>
        </w:rPr>
        <w:t>A Comissão está a dar prioridade a uma série de orientações</w:t>
      </w:r>
      <w:r w:rsidRPr="000D0D06">
        <w:rPr>
          <w:noProof/>
        </w:rPr>
        <w:t xml:space="preserve"> destinadas a apoiar a aplicação uniforme das regras, sem prejuízo das interpretações do Tribunal de Justiça. </w:t>
      </w:r>
    </w:p>
    <w:p w14:paraId="04FFB0BE" w14:textId="77777777" w:rsidR="00C276DE" w:rsidRPr="000D0D06" w:rsidRDefault="00C276DE" w:rsidP="00C276DE">
      <w:pPr>
        <w:spacing w:line="257" w:lineRule="auto"/>
        <w:rPr>
          <w:rFonts w:eastAsia="Times New Roman"/>
          <w:noProof/>
          <w:szCs w:val="24"/>
        </w:rPr>
      </w:pPr>
      <w:r w:rsidRPr="000D0D06">
        <w:rPr>
          <w:noProof/>
        </w:rPr>
        <w:t xml:space="preserve">No que diz respeito ao quadro regulamentar em matéria de dados, a Comissão anunciou a sua definição de prioridades na Estratégia para uma União Europeia dos Dados, centrando-se, nomeadamente, em orientações sobre a compensação razoável para clarificar o que pode ser cobrado pela partilha de dados, proporcionando segurança jurídica tanto aos detentores como aos destinatários dos dados, e em orientações para clarificar definições. </w:t>
      </w:r>
    </w:p>
    <w:p w14:paraId="602C2C62" w14:textId="77777777" w:rsidR="00C276DE" w:rsidRPr="000D0D06" w:rsidRDefault="00C276DE" w:rsidP="00C276DE">
      <w:pPr>
        <w:spacing w:line="257" w:lineRule="auto"/>
        <w:rPr>
          <w:rFonts w:eastAsia="Times New Roman"/>
          <w:noProof/>
          <w:szCs w:val="24"/>
        </w:rPr>
      </w:pPr>
      <w:r w:rsidRPr="000D0D06">
        <w:rPr>
          <w:noProof/>
        </w:rPr>
        <w:t xml:space="preserve">A fim de apoiar a aplicação do Regulamento da Inteligência Artificial, a Comissão continua a dar prioridade à emissão de orientações sobre vários aspetos, conforme descrito mais pormenorizadamente na exposição de motivos da proposta </w:t>
      </w:r>
      <w:r w:rsidRPr="000D0D06">
        <w:rPr>
          <w:i/>
          <w:noProof/>
        </w:rPr>
        <w:t>Omnibus</w:t>
      </w:r>
      <w:r w:rsidRPr="000D0D06">
        <w:rPr>
          <w:noProof/>
        </w:rPr>
        <w:t xml:space="preserve"> Digital que altera o Regulamento da Inteligência Artificial.</w:t>
      </w:r>
    </w:p>
    <w:p w14:paraId="19AF90C2" w14:textId="5B0E1BC6" w:rsidR="00EF6E40" w:rsidRPr="000D0D06" w:rsidRDefault="004811D0" w:rsidP="00010A88">
      <w:pPr>
        <w:spacing w:line="257" w:lineRule="auto"/>
        <w:rPr>
          <w:rFonts w:eastAsia="Times New Roman"/>
          <w:b/>
          <w:bCs/>
          <w:i/>
          <w:iCs/>
          <w:noProof/>
          <w:szCs w:val="24"/>
        </w:rPr>
      </w:pPr>
      <w:r w:rsidRPr="000D0D06">
        <w:rPr>
          <w:b/>
          <w:i/>
          <w:noProof/>
        </w:rPr>
        <w:t xml:space="preserve">Propostas do pacote </w:t>
      </w:r>
      <w:r w:rsidRPr="000D0D06">
        <w:rPr>
          <w:b/>
          <w:noProof/>
        </w:rPr>
        <w:t>omnibus</w:t>
      </w:r>
      <w:r w:rsidRPr="000D0D06">
        <w:rPr>
          <w:b/>
          <w:i/>
          <w:noProof/>
        </w:rPr>
        <w:t xml:space="preserve"> digital</w:t>
      </w:r>
    </w:p>
    <w:p w14:paraId="7F511E31" w14:textId="77777777" w:rsidR="00B05235" w:rsidRPr="000D0D06" w:rsidRDefault="00F04CD0" w:rsidP="00F04CD0">
      <w:pPr>
        <w:pBdr>
          <w:top w:val="nil"/>
          <w:left w:val="nil"/>
          <w:bottom w:val="nil"/>
          <w:right w:val="nil"/>
          <w:between w:val="nil"/>
        </w:pBdr>
        <w:spacing w:before="0" w:after="240"/>
        <w:rPr>
          <w:rFonts w:eastAsia="Arial Unicode MS"/>
          <w:noProof/>
        </w:rPr>
      </w:pPr>
      <w:r w:rsidRPr="000D0D06">
        <w:rPr>
          <w:b/>
          <w:noProof/>
        </w:rPr>
        <w:t>O «acervo legislativo em matéria de dados»</w:t>
      </w:r>
      <w:r w:rsidRPr="000D0D06">
        <w:rPr>
          <w:noProof/>
        </w:rPr>
        <w:t xml:space="preserve"> foi alargado nos últimos anos a uma série de regulamentos, criando complexidade jurídica, incluindo algumas sobreposições, definições não perfeitamente alinhadas e questões sobre a interação dos instrumentos. Nomeadamente, o Regulamento (UE) 2018/1807 (Regulamento Livre Fluxo de Dados Não Pessoais) foi adotado e concebido para criar um mercado único de serviços de computação em nuvem. Foi parcialmente substituído pelo capítulo VI do Regulamento (UE) 2023/2854 (Regulamento dos Dados), que estabelece obrigações na mudança entre serviços de tratamento de dados. </w:t>
      </w:r>
    </w:p>
    <w:p w14:paraId="66003516" w14:textId="77777777" w:rsidR="009B2E6E" w:rsidRPr="000D0D06" w:rsidRDefault="00B05235" w:rsidP="00F04CD0">
      <w:pPr>
        <w:pBdr>
          <w:top w:val="nil"/>
          <w:left w:val="nil"/>
          <w:bottom w:val="nil"/>
          <w:right w:val="nil"/>
          <w:between w:val="nil"/>
        </w:pBdr>
        <w:spacing w:before="0" w:after="240"/>
        <w:rPr>
          <w:rFonts w:eastAsia="Arial Unicode MS"/>
          <w:noProof/>
        </w:rPr>
      </w:pPr>
      <w:r w:rsidRPr="000D0D06">
        <w:rPr>
          <w:noProof/>
        </w:rPr>
        <w:t xml:space="preserve">Outro exemplo é o capítulo II do Regulamento (UE) 2022/868 (Regulamento Governação de Dados), que complementa as regras de reutilização das informações do setor público previstas na Diretiva (UE) 2019/1024 (Diretiva Dados Abertos) para os dados que não podem ser reutilizados sem restrições. Além disso, outros capítulos do Regulamento (UE) 2022/868 (Regulamento Governação de Dados) criaram normas relativas aos serviços de intermediação de dados, ao altruísmo de dados e aos requisitos para os pedidos de acesso de governos estrangeiros a dados não pessoais, além de criarem o Comité Europeu da Inovação de Dados. Por outro lado, o Regulamento (UE) 2023/2854 (Regulamento dos Dados) criou a obrigação material de os fabricantes de dispositivos conectados e os prestadores de serviços conexos partilharem dados com os seus utilizadores, ou de as empresas partilharem dados com organismos públicos, bem como regras sobre contratos equitativos de partilha de dados. </w:t>
      </w:r>
    </w:p>
    <w:p w14:paraId="31016D6D" w14:textId="474C66D4" w:rsidR="00B05235" w:rsidRPr="000D0D06" w:rsidRDefault="79110C79" w:rsidP="009C5B3C">
      <w:pPr>
        <w:pBdr>
          <w:top w:val="nil"/>
          <w:left w:val="nil"/>
          <w:bottom w:val="nil"/>
          <w:right w:val="nil"/>
          <w:between w:val="nil"/>
        </w:pBdr>
        <w:spacing w:before="0" w:after="240"/>
        <w:rPr>
          <w:rFonts w:eastAsia="Arial Unicode MS"/>
          <w:noProof/>
        </w:rPr>
      </w:pPr>
      <w:r w:rsidRPr="000D0D06">
        <w:rPr>
          <w:noProof/>
        </w:rPr>
        <w:t xml:space="preserve">Para resolver este problema, o pacote </w:t>
      </w:r>
      <w:r w:rsidRPr="000D0D06">
        <w:rPr>
          <w:i/>
          <w:noProof/>
        </w:rPr>
        <w:t>omnibus</w:t>
      </w:r>
      <w:r w:rsidRPr="000D0D06">
        <w:rPr>
          <w:noProof/>
        </w:rPr>
        <w:t xml:space="preserve"> propõe a revogação de regras desatualizadas, em especial as atuais regras do Regulamento (UE) 2018/1807 (Regulamento Livre Fluxo de Dados Não Pessoais), com exceção da proibição de requisitos em matéria de localização de dados na União, e a consolidação e simplificação das regras do Regulamento (UE) 2022/868 (Regulamento Governação de Dados), como as regras relativas ao altruísmo de dados e aos serviços de intermediação de dados, a fim de aumentar a atratividade desses mecanismos de partilha de dados. Ao mesmo tempo, as regras do Regulamento Governação de Dados relativas à reutilização de dados protegidos são fundidas com as regras da Diretiva (UE) 2019/1024 (Diretiva Dados Abertos), a fim de criar um quadro único para a reutilização de dados na posse de organismos do setor público, refletido no Regulamento (UE) 2023/2854 (Regulamento dos Dados). Esta solução apresenta inúmeros benefícios para as administrações públicas que detêm dados do setor público, bem como para os reutilizadores, uma vez que pode simplificar os processos e reduzir os encargos administrativos associados à interpretação e aplicação de diferentes legislações nacionais. </w:t>
      </w:r>
    </w:p>
    <w:p w14:paraId="1ECFBFAC" w14:textId="77777777" w:rsidR="009B2E6E" w:rsidRPr="000D0D06" w:rsidRDefault="00941E2B" w:rsidP="009C5B3C">
      <w:pPr>
        <w:pBdr>
          <w:top w:val="nil"/>
          <w:left w:val="nil"/>
          <w:bottom w:val="nil"/>
          <w:right w:val="nil"/>
          <w:between w:val="nil"/>
        </w:pBdr>
        <w:spacing w:before="0" w:after="240"/>
        <w:rPr>
          <w:rFonts w:eastAsia="Arial Unicode MS"/>
          <w:noProof/>
        </w:rPr>
      </w:pPr>
      <w:r w:rsidRPr="000D0D06">
        <w:rPr>
          <w:noProof/>
        </w:rPr>
        <w:t xml:space="preserve">A proposta introduz ainda a possibilidade de os organismos do setor público estabelecerem condições diferentes e cobrarem taxas mais elevadas pela reutilização por parte de empresas de muito grande dimensão e, em especial, por parte de empresas designadas como controladores de acesso, na aceção do artigo 3.º do Regulamento (UE) 2022/1925 (Regulamento dos Mercados Digitais), que detenham um poder e uma influência significativos no mercado interno. A fim de evitar que essas entidades tirem partido do seu poder de mercado substancial em detrimento da concorrência leal e da inovação, os organismos do setor público devem poder estabelecer condições especiais para a reutilização de dados e documentos por parte dessas entidades. </w:t>
      </w:r>
    </w:p>
    <w:p w14:paraId="22F8F17E" w14:textId="77777777" w:rsidR="00B05235" w:rsidRPr="000D0D06" w:rsidRDefault="79110C79" w:rsidP="009C5B3C">
      <w:pPr>
        <w:pBdr>
          <w:top w:val="nil"/>
          <w:left w:val="nil"/>
          <w:bottom w:val="nil"/>
          <w:right w:val="nil"/>
          <w:between w:val="nil"/>
        </w:pBdr>
        <w:spacing w:before="0" w:after="240"/>
        <w:rPr>
          <w:rFonts w:eastAsia="Arial Unicode MS"/>
          <w:noProof/>
        </w:rPr>
      </w:pPr>
      <w:r w:rsidRPr="000D0D06">
        <w:rPr>
          <w:noProof/>
        </w:rPr>
        <w:t>A proposta inclui as regras consolidadas e simplificadas do Regulamento (UE) 2024/1689 (Regulamento Livre Fluxo de Dados), do Regulamento (UE) 2022/868 (Regulamento Governação de Dados) e da Diretiva (UE) 2019/1024 (Diretiva Dados Abertos) no Regulamento (UE) 2023/2854 (Regulamento dos Dados), criando um instrumento consolidado único para a economia dos dados da Europa. São revogados o Regulamento (UE) 2024/1689 (Regulamento Fluxo de Dados Livre), a Diretiva (UE) 2019/1024 (Diretiva Dados Abertos) e o Regulamento (UE) 2022/868 (Regulamento Governação de Dados). As regras dos quatro instrumentos estão mais bem alinhadas e simplificadas para reforçar a clareza e a coerência, aumentando assim a sua eficácia e apoiando as empresas na promoção da inovação. A presente iniciativa está em conformidade com a Estratégia para uma União Europeia dos Dados, que visa fundamentalmente impulsionar a simplificação do quadro legislativo.</w:t>
      </w:r>
    </w:p>
    <w:p w14:paraId="4355379B" w14:textId="59119C12" w:rsidR="00B53A00" w:rsidRPr="000D0D06" w:rsidRDefault="79110C79" w:rsidP="00B53A00">
      <w:pPr>
        <w:pBdr>
          <w:top w:val="nil"/>
          <w:left w:val="nil"/>
          <w:bottom w:val="nil"/>
          <w:right w:val="nil"/>
          <w:between w:val="nil"/>
        </w:pBdr>
        <w:spacing w:before="0" w:after="240"/>
        <w:rPr>
          <w:rFonts w:eastAsia="Arial Unicode MS"/>
          <w:noProof/>
        </w:rPr>
      </w:pPr>
      <w:r w:rsidRPr="000D0D06">
        <w:rPr>
          <w:noProof/>
        </w:rPr>
        <w:t>Além disso, a fim de continuar a prestar assistência às empresas de menor dimensão, as regras que facilitam o cumprimento da legislação da UE em matéria de dados para as pequenas e médias empresas (PME) são alargadas de modo a incluir as pequenas empresas de média capitalização. O Regulamento (UE) 2023/2854 (Regulamento dos Dados), que entrou em aplicação em 12 de setembro de 2025, constitui um passo significativo no sentido de uma economia dos dados equitativa e competitiva na UE. As alterações apresentadas na presente proposta não visam introduzir alterações nas realizações decorrentes do Regulamento (UE) 2023/2854 (Regulamento dos Dados).</w:t>
      </w:r>
    </w:p>
    <w:p w14:paraId="3742FE11" w14:textId="77777777" w:rsidR="00B53A00" w:rsidRPr="000D0D06" w:rsidRDefault="79110C79" w:rsidP="00B53A00">
      <w:pPr>
        <w:pBdr>
          <w:top w:val="nil"/>
          <w:left w:val="nil"/>
          <w:bottom w:val="nil"/>
          <w:right w:val="nil"/>
          <w:between w:val="nil"/>
        </w:pBdr>
        <w:spacing w:before="0" w:after="240"/>
        <w:rPr>
          <w:rFonts w:eastAsia="Arial Unicode MS"/>
          <w:noProof/>
        </w:rPr>
      </w:pPr>
      <w:r w:rsidRPr="000D0D06">
        <w:rPr>
          <w:noProof/>
        </w:rPr>
        <w:t xml:space="preserve">No entanto, para alcançar plenamente o seu objetivo de equilibrar a inovação e a disponibilidade de dados com a proteção dos direitos e interesses dos detentores dos dados, quatro elementos fundamentais exigem calibração. Mais especificamente, é fundamental assegurar que o Regulamento (UE) 2023/2854 (Regulamento dos Dados) não só reduz os encargos, como também reforça a clareza jurídica e impulsiona a competitividade. Em primeiro lugar, é urgente reforçar as salvaguardas contra o risco de fugas de segredos comerciais para países terceiros no contexto das disposições obrigatórias em matéria de partilha de dados da Internet das coisas (IdC). Em segundo lugar, o âmbito de aplicação vasto do quadro empresas-administração pública poderia resultar em ambiguidade jurídica. Em terceiro lugar, as disposições relativas aos requisitos essenciais em matéria de contratos inteligentes para a execução de acordos de partilha de dados poderiam gerar insegurança jurídica. Por último, as disposições do Regulamento (UE) 2023/2854 (Regulamento dos Dados) relativas à mudança entre serviços de tratamento de dados mantêm a sua pertinência enquanto contributo central para um mercado da computação em nuvem mais aberto e competitivo. No entanto, estas disposições não tiveram suficientemente em conta a situação específica dos serviços, que, para serem utilizáveis, são significativamente adaptados às necessidades de um cliente ou são prestados por PME e pequenas empresas de média capitalização. As alterações contidas na presente proposta manterão a ambição de eliminar a vinculação a um fornecedor, em especial os encargos decorrentes de mudança e de saída, reduzindo simultaneamente os encargos administrativos para os prestadores dos serviços acima referidos. Por conseguinte, a proposta apresenta alterações que reforçam a clareza jurídica e estão fortemente alinhadas com os objetivos gerais do Regulamento (UE) 2023/2854 (Regulamento dos Dados). </w:t>
      </w:r>
    </w:p>
    <w:p w14:paraId="201993F7" w14:textId="77777777" w:rsidR="00B53A00" w:rsidRPr="000D0D06" w:rsidRDefault="00B53A00" w:rsidP="00B53A00">
      <w:pPr>
        <w:pBdr>
          <w:top w:val="nil"/>
          <w:left w:val="nil"/>
          <w:bottom w:val="nil"/>
          <w:right w:val="nil"/>
          <w:between w:val="nil"/>
        </w:pBdr>
        <w:spacing w:before="0" w:after="240"/>
        <w:rPr>
          <w:rFonts w:eastAsia="Arial Unicode MS"/>
          <w:noProof/>
          <w:szCs w:val="24"/>
        </w:rPr>
      </w:pPr>
      <w:r w:rsidRPr="000D0D06">
        <w:rPr>
          <w:noProof/>
        </w:rPr>
        <w:t xml:space="preserve">Além disso, a fim de continuar a prestar assistência às pequenas empresas, as regras que facilitam a conformidade com o acervo da UE em matéria de dados para as pequenas e médias empresas (PME) são alargadas de modo a incluir as pequenas empresas de média capitalização. </w:t>
      </w:r>
    </w:p>
    <w:p w14:paraId="104E30A4" w14:textId="77777777" w:rsidR="00F54A95" w:rsidRPr="000D0D06" w:rsidRDefault="00F04CD0" w:rsidP="442F65EB">
      <w:pPr>
        <w:rPr>
          <w:rFonts w:eastAsia="Times New Roman"/>
          <w:noProof/>
          <w:u w:val="single"/>
        </w:rPr>
      </w:pPr>
      <w:r w:rsidRPr="000D0D06">
        <w:rPr>
          <w:b/>
          <w:noProof/>
        </w:rPr>
        <w:t>No que respeita aos dados pessoais</w:t>
      </w:r>
      <w:r w:rsidRPr="000D0D06">
        <w:rPr>
          <w:noProof/>
        </w:rPr>
        <w:t>, o Regulamento (UE) 2016/679 relativo à proteção das pessoas singulares no que diz respeito ao tratamento de dados pessoais e à livre circulação desses dados (Regulamento Geral sobre a Proteção de Dados, RGPD) tornou-se aplicável em 25 de maio de 2018, criando normas, regras e garantias a nível da União para o tratamento de dados pessoais das pessoas singulares, os direitos dos titulares dos dados, bem como um quadro jurídico geral para esse tratamento de dados pessoais. Embora as partes interessadas tenham, de um modo geral, considerado o Regulamento (UE) 2016/679 (Regulamento Geral sobre a Proteção de Dados) equilibrado e sólido e que continua a ser adequado à sua finalidade, algumas entidades, especialmente empresas de menor dimensão e associações com um número reduzido de operações de tratamento de dados não intensivas, muitas vezes de baixo risco, manifestaram preocupações quanto à aplicação de algumas obrigações previstas no Regulamento Geral sobre a Proteção de Dados. É possível dar resposta a algumas destas preocupações através de uma interpretação e aplicação mais coerentes e harmonizadas em todos os Estados-Membros, enquanto outras exigem alterações específicas da legislação. Neste contexto, as alterações contidas na presente proposta visam dar resposta a essas preocupações, nomeadamente clarificando determinadas definições fundamentais, por exemplo, os conceitos de dados pessoais, facilitando a conformidade, por exemplo, apoiando os responsáveis pelo tratamento no que diz respeito aos critérios e meios para determinar se os dados resultantes da pseudonimização não constituem dados pessoais, em relação aos requisitos de informação e às notificações de violações de dados às autoridades de controlo, bem como clarificando determinados aspetos relativos ao tratamento de dados para fins de formação e desenvolvimento no domínio da IA. As alterações propostas abordam igualmente a falta de clareza sobre as condições para a investigação científica, fornecendo uma definição de investigação científica, clarificando melhor que o tratamento posterior para fins científicos é compatível com a finalidade inicial do tratamento e clarificando que a investigação científica constitui um interesse legítimo. Propõe-se igualmente alargar as exceções à obrigação de fornecer informações para o tratamento. Quando pertinente, a presente proposta reflete as alterações do Regulamento Geral sobre a Proteção de Dados no Regulamento (UE) 2018/1725 relativo à proteção das pessoas singulares no que diz respeito ao tratamento de dados pessoais pelas instituições e pelos órgãos e organismos da UE.</w:t>
      </w:r>
    </w:p>
    <w:p w14:paraId="22ACC91D" w14:textId="77777777" w:rsidR="00B620B9" w:rsidRPr="000D0D06" w:rsidRDefault="00F04CD0" w:rsidP="008D6372">
      <w:pPr>
        <w:pBdr>
          <w:top w:val="nil"/>
          <w:left w:val="nil"/>
          <w:bottom w:val="nil"/>
          <w:right w:val="nil"/>
          <w:between w:val="nil"/>
          <w:bar w:val="nil"/>
        </w:pBdr>
        <w:spacing w:before="0"/>
        <w:rPr>
          <w:noProof/>
        </w:rPr>
      </w:pPr>
      <w:r w:rsidRPr="000D0D06">
        <w:rPr>
          <w:noProof/>
        </w:rPr>
        <w:t xml:space="preserve">Além disso, há muito que se aguarda uma solução regulamentar sobre o cansaço do consentimento e a proliferação de bandas de testemunhos. A Diretiva 2002/58/CE relativa à privacidade e às comunicações eletrónicas (Diretiva Privacidade Eletrónica), revista pela última vez em 2009, estabelece um quadro para a proteção da confidencialidade das comunicações e especifica o Regulamento (UE) 2016/679 (Regulamento Geral sobre a Proteção de Dados, RGPD) quando o tratamento de dados pessoais está envolvido no contexto das comunicações eletrónicas. Protege igualmente os equipamentos terminais dos utilizadores, que podem ser utilizados para invadir a sua privacidade e recolher informações relativas a esses utilizadores. Uma parte essencial da utilização de equipamentos terminais — como telefones e computadores pessoais — é o consumo de conteúdos e a utilização de serviços em linha. Muitos destes serviços em linha dependem das receitas de publicidade, incluindo publicidade personalizada. O mesmo se aplica aos serviços de comunicação social. Os prestadores de serviços em linha recorrem aos chamados testemunhos de conexão ou a tecnologias semelhantes que utilizam as capacidades de tratamento e armazenamento do equipamento terminal, acedendo assim, por exemplo, às informações armazenadas no equipamento terminal ou emitidas a partir do mesmo. Estas informações são utilizadas para vários fins, como otimizar a prestação do serviço para o equipamento terminal específico, garantir a segurança do equipamento terminal e do serviço em geral, mas também para acompanhar o comportamento e a interação da pessoa com diferentes serviços em linha para fornecer publicidade personalizada. </w:t>
      </w:r>
    </w:p>
    <w:p w14:paraId="59AC2697" w14:textId="77777777" w:rsidR="00EF7637" w:rsidRPr="000D0D06" w:rsidRDefault="00D831B3" w:rsidP="005C1F84">
      <w:pPr>
        <w:pBdr>
          <w:top w:val="nil"/>
          <w:left w:val="nil"/>
          <w:bottom w:val="nil"/>
          <w:right w:val="nil"/>
          <w:between w:val="nil"/>
          <w:bar w:val="nil"/>
        </w:pBdr>
        <w:spacing w:before="0" w:after="240"/>
        <w:rPr>
          <w:noProof/>
        </w:rPr>
      </w:pPr>
      <w:r w:rsidRPr="000D0D06">
        <w:rPr>
          <w:noProof/>
        </w:rPr>
        <w:t xml:space="preserve">Quando o uso de tais tecnologias não seja necessário para armazenamento técnico ou acesso com o único propósito de realizar ou facilitar a transmissão de uma comunicação através de uma rede de comunicações eletrónicas, ou quando estritamente necessário para fornecer um serviço da sociedade da informação explicitamente solicitado pelo assinante ou utilizador, a Diretiva (UE) 2002/58/CE (Diretiva Privacidade Eletrónica) exige o consentimento. Esse consentimento é geralmente solicitado através de bandas instantâneas exibidas no sítio Web ou na aplicação móvel. As referidas bandas contêm informações sobre as finalidades do tratamento, muitas vezes relacionadas com os tipos de testemunhos de conexão e os destinatários dos dados, e nem sempre são fáceis de compreender para as pessoas. Por estas razões, podem não atingir o seu objetivo — informar a pessoa em causa e dar-lhe controlo sobre a proteção da sua privacidade e o tratamento dos seus dados pessoais — sendo antes percebidas como um incómodo para os utilizadores da Internet. Ao mesmo tempo, os prestadores de serviços em linha incorrem em custos consideráveis para conceber bandas conformes. </w:t>
      </w:r>
    </w:p>
    <w:p w14:paraId="3C514C84" w14:textId="139D3C34" w:rsidR="00EF7637" w:rsidRPr="000D0D06" w:rsidRDefault="00EF7637" w:rsidP="005C1F84">
      <w:pPr>
        <w:pBdr>
          <w:top w:val="nil"/>
          <w:left w:val="nil"/>
          <w:bottom w:val="nil"/>
          <w:right w:val="nil"/>
          <w:between w:val="nil"/>
          <w:bar w:val="nil"/>
        </w:pBdr>
        <w:spacing w:before="0" w:after="240"/>
        <w:rPr>
          <w:noProof/>
        </w:rPr>
      </w:pPr>
      <w:r w:rsidRPr="000D0D06">
        <w:rPr>
          <w:noProof/>
        </w:rPr>
        <w:t xml:space="preserve">Aumentando a complexidade, o artigo 5.º, n.º 3, da Diretiva 2002/58/CE (Diretiva Privacidade Eletrónica) aplica-se à colocação de testemunhos de conexão ou tecnologias semelhantes para obter informações a partir do equipamento terminal de um utilizador, ao passo que o tratamento subsequente de dados pessoais está sujeito ao Regulamento (UE) 2016/679 (Regulamento Geral sobre a Proteção de Dados). Embora o consentimento seja necessário para assegurar o controlo dos titulares dos dados, nem sempre é a base jurídica mais adequada para o tratamento subsequente, por exemplo, quando o tratamento é necessário para a execução de outro serviço que não o serviço da sociedade da informação. Esta situação conduziu a insegurança jurídica e a custos de conformidade mais elevados para os responsáveis pelo tratamento de dados pessoais obtidos a partir de equipamento terminal. Além disso, o duplo regime do Regulamento Privacidade Eletrónica e do Regulamento Geral sobre a Proteção de Dados levou a que diferentes autoridades nacionais fossem competentes para supervisionar as regras dos dois quadros jurídicos. </w:t>
      </w:r>
    </w:p>
    <w:p w14:paraId="15F13FBE" w14:textId="77777777" w:rsidR="00783237" w:rsidRPr="000D0D06" w:rsidRDefault="00B33538" w:rsidP="005C1F84">
      <w:pPr>
        <w:pBdr>
          <w:top w:val="nil"/>
          <w:left w:val="nil"/>
          <w:bottom w:val="nil"/>
          <w:right w:val="nil"/>
          <w:between w:val="nil"/>
          <w:bar w:val="nil"/>
        </w:pBdr>
        <w:spacing w:before="0" w:after="240"/>
        <w:rPr>
          <w:noProof/>
        </w:rPr>
      </w:pPr>
      <w:r w:rsidRPr="000D0D06">
        <w:rPr>
          <w:noProof/>
        </w:rPr>
        <w:t xml:space="preserve">Por estas razões, propõe-se a simplificação imediata da interação das regras aplicáveis. O tratamento de dados pessoais em equipamento terminal e a partir do mesmo deve reger-se apenas pelo Regulamento (UE) 2016/679 (Regulamento Geral sobre a Proteção de Dados), integrando também o requisito claro de consentimento para aceder ao equipamento terminal de uma pessoa singular aquando da recolha de dados pessoais. As alterações propostas também preveem determinadas finalidades para as quais não deverá ser necessário obter o consentimento e para as quais o tratamento subsequente deverá ser considerado lícito, em especial se representar um baixo risco para os direitos e liberdades dos titulares dos dados ou se a colocação dessas tecnologias for necessária para a prestação de um serviço solicitado pelo titular dos dados. </w:t>
      </w:r>
    </w:p>
    <w:p w14:paraId="6327230E" w14:textId="3C4B8675" w:rsidR="005C1F84" w:rsidRPr="000D0D06" w:rsidRDefault="005C1F84" w:rsidP="005C1F84">
      <w:pPr>
        <w:pBdr>
          <w:top w:val="nil"/>
          <w:left w:val="nil"/>
          <w:bottom w:val="nil"/>
          <w:right w:val="nil"/>
          <w:between w:val="nil"/>
          <w:bar w:val="nil"/>
        </w:pBdr>
        <w:spacing w:before="0" w:after="240"/>
        <w:rPr>
          <w:noProof/>
        </w:rPr>
      </w:pPr>
      <w:r w:rsidRPr="000D0D06">
        <w:rPr>
          <w:noProof/>
        </w:rPr>
        <w:t xml:space="preserve">Por último, a proposta abre caminho para indicações automatizadas e legíveis por máquina sobre as escolhas individuais, bem como para o respeito dessas indicações por parte dos fornecedores de sítios Web e de aplicações móveis e dos fornecedores de aplicações para telemóveis, logo que as normas estejam disponíveis. Tal baseia-se na alteração de 2009 da Diretiva 2002/58/CE (Diretiva Privacidade Eletrónica) (ver considerando 66 da Diretiva 2009/136/CE), que já incentivava a possibilidade de expressar o consentimento do utilizador utilizando as predefinições adequadas de um programa de navegação ou de outra aplicação, sempre que tecnicamente possível e eficaz, e no artigo 21.º, n.º 5, do Regulamento (UE) 2016/679 (Regulamento Geral sobre a Proteção de Dados), bem como na proposta de 2017 da Comissão de um regulamento relativo à privacidade e às comunicações eletrónicas [COM(2017) 10], que propunha a gestão das escolhas do utilizador através das predefinições do navegador Web. Mandata a Comissão para solicitar aos organismos de normalização que elaborem um conjunto de normas para a codificação de indicações automatizadas e legíveis por máquina das escolhas dos titulares dos dados, bem como a comunicação dessas escolhas dos navegadores para os sítios Web e das aplicações para telemóveis para os serviços Web. Uma vez disponíveis, e após um período de carência de seis meses, os responsáveis pelo tratamento que utilizam sítios Web e aplicações móveis para prestar o seu serviço são obrigados a respeitar essas indicações codificadas automatizadas e legíveis por máquina. Sempre que os responsáveis pelo tratamento assegurem que os seus sítios Web ou aplicações para telemóveis cumprem essas normas, devem beneficiar de uma presunção de conformidade. Nesta base, espera-se que os navegadores também desenvolvam definições pertinentes. As disposições são formuladas de forma tecnologicamente neutra, de modo que também outras ferramentas, por exemplo, a IA agêntica, possam ajudar os utilizadores a fazer escolhas em matéria de consentimento, caso sejam adequadas para assegurar o cumprimento dos requisitos do RGPD. Tendo em conta a importância dos fluxos de receitas em linha para o jornalismo independente, enquanto pilar indispensável de uma sociedade democrática, os prestadores de serviços de comunicação social, na aceção do Regulamento (UE) 2024/1083 (Regulamento Europeu relativo à Liberdade dos Meios de Comunicação Social), não devem ser obrigados a respeitar tais indicações, permitindo-lhes interagir diretamente com os utilizadores para os informar e dar-lhes a oportunidade de fazer as suas escolhas em matéria de consentimento. </w:t>
      </w:r>
    </w:p>
    <w:p w14:paraId="6F78B16A" w14:textId="387217D6" w:rsidR="003F39AA" w:rsidRPr="000D0D06" w:rsidRDefault="00DC2A2A" w:rsidP="00DC2A2A">
      <w:pPr>
        <w:spacing w:after="0"/>
        <w:rPr>
          <w:rFonts w:eastAsia="Times New Roman"/>
          <w:noProof/>
          <w:color w:val="000000" w:themeColor="text1"/>
        </w:rPr>
      </w:pPr>
      <w:bookmarkStart w:id="1" w:name="_Hlk213696107"/>
      <w:r w:rsidRPr="000D0D06">
        <w:rPr>
          <w:noProof/>
          <w:color w:val="000000" w:themeColor="text1"/>
        </w:rPr>
        <w:t xml:space="preserve">As alterações apresentadas no presente regulamento introduzirão um </w:t>
      </w:r>
      <w:r w:rsidRPr="000D0D06">
        <w:rPr>
          <w:b/>
          <w:noProof/>
          <w:color w:val="000000" w:themeColor="text1"/>
        </w:rPr>
        <w:t>ponto de entrada único através do qual as entidades podem cumprir simultaneamente as suas obrigações de notificação de incidentes ao abrigo de vários atos jurídicos</w:t>
      </w:r>
      <w:r w:rsidRPr="000D0D06">
        <w:rPr>
          <w:noProof/>
          <w:color w:val="000000" w:themeColor="text1"/>
        </w:rPr>
        <w:t xml:space="preserve">. Ao promover o princípio de «comunicar uma única vez, partilhar muitas vezes», o ponto de entrada único reduzirá os encargos administrativos para as entidades, assegurando simultaneamente um fluxo eficaz e seguro de informações sobre incidentes de segurança para os destinatários definidos na respetiva legislação. </w:t>
      </w:r>
    </w:p>
    <w:p w14:paraId="043B2DD7" w14:textId="0C0944B6" w:rsidR="006652C0" w:rsidRPr="000D0D06" w:rsidRDefault="00DC2A2A" w:rsidP="006652C0">
      <w:pPr>
        <w:spacing w:after="0"/>
        <w:rPr>
          <w:rFonts w:eastAsia="Times New Roman"/>
          <w:noProof/>
          <w:color w:val="000000" w:themeColor="text1"/>
        </w:rPr>
      </w:pPr>
      <w:bookmarkStart w:id="2" w:name="_Hlk213696836"/>
      <w:r w:rsidRPr="000D0D06">
        <w:rPr>
          <w:noProof/>
          <w:color w:val="000000" w:themeColor="text1"/>
        </w:rPr>
        <w:t>A proposta estabelece a obrigação de a ENISA desenvolver o ponto de entrada único, tendo em conta a plataforma única de comunicação de informações para notificações de vulnerabilidades ativamente exploradas e de incidentes graves nos termos do Regulamento (UE) 2024/2847 (Regulamento de Ciber-Resiliência). Impõe requisitos específicos para a ferramenta, como uma transmissão segura das informações comunicadas pelas entidades e enviadas às autoridades competentes. Deixa inalterados os requisitos legais subjacentes à notificação de incidentes, mas otimiza significativamente o fluxo de trabalho e os recursos exigidos às entidades.</w:t>
      </w:r>
    </w:p>
    <w:p w14:paraId="6D5A4E2B" w14:textId="6F83A198" w:rsidR="00DC2A2A" w:rsidRPr="000D0D06" w:rsidRDefault="003F39AA" w:rsidP="007F44CF">
      <w:pPr>
        <w:rPr>
          <w:noProof/>
        </w:rPr>
      </w:pPr>
      <w:r w:rsidRPr="000D0D06">
        <w:rPr>
          <w:noProof/>
        </w:rPr>
        <w:t xml:space="preserve">A proposta impõe igualmente a utilização do ponto de entrada único para uma série de obrigações de notificação de incidentes estreitamente interligadas estabelecidas na Diretiva (UE) 2022/2555 (Diretiva SRI 2), no Regulamento (UE) 2016/679 (RGPD), no Regulamento (UE) 2022/2554 (DORA), no Regulamento (UE) n.º 910/2014 (Regulamento eIDAS) e na Diretiva (UE) 2022/2557 (Diretiva REC). Outras obrigações setoriais de comunicação de informações, como as estabelecidas no quadro do código de rede para os aspetos de cibersegurança dos fluxos transfronteiriços de eletricidade (NCCS) e dos instrumentos pertinentes para o setor da aviação, serão igualmente incluídas no ponto de entrada único através de alterações dos respetivos atos delegados e de execução que estabelecem as obrigações de notificação ao abrigo desses quadros. </w:t>
      </w:r>
    </w:p>
    <w:p w14:paraId="3C75C93F" w14:textId="27DB2F71" w:rsidR="0035337C" w:rsidRPr="000D0D06" w:rsidRDefault="00843BE3" w:rsidP="007F44CF">
      <w:pPr>
        <w:rPr>
          <w:noProof/>
        </w:rPr>
      </w:pPr>
      <w:r w:rsidRPr="000D0D06">
        <w:rPr>
          <w:noProof/>
        </w:rPr>
        <w:t>A proposta visa igualmente simplificar o conteúdo das informações comunicadas, introduzindo poderes para vários atos jurídicos, quando não existam. A proposta clarifica que, ao elaborar modelos comuns de notificação para a Diretiva (UE) 2022/2555, a Diretiva (UE) 2022/2557 ou o Regulamento (UE) 2016/679, a fim de assegurar a coerência, promover sinergias e reduzir os encargos administrativos para as entidades, minimizando o número de campos de dados que as entidades são obrigadas a preencher, a Comissão deve ter devidamente em conta a experiência adquirida e os modelos comuns desenvolvidos ao abrigo do Regulamento (UE) 2022/2554 (DORA).</w:t>
      </w:r>
    </w:p>
    <w:bookmarkEnd w:id="1"/>
    <w:bookmarkEnd w:id="2"/>
    <w:p w14:paraId="0DB65905" w14:textId="14FDE119" w:rsidR="34C6AF6D" w:rsidRPr="000D0D06" w:rsidRDefault="00F04CD0" w:rsidP="031F7347">
      <w:pPr>
        <w:spacing w:before="0" w:after="160"/>
        <w:rPr>
          <w:rFonts w:eastAsia="Times New Roman"/>
          <w:noProof/>
          <w:color w:val="000000" w:themeColor="text1"/>
        </w:rPr>
      </w:pPr>
      <w:r w:rsidRPr="000D0D06">
        <w:rPr>
          <w:noProof/>
          <w:color w:val="000000" w:themeColor="text1"/>
        </w:rPr>
        <w:t xml:space="preserve">Para além destas alterações fundamentais, a proposta aproveita a oportunidade para revogar o Regulamento (UE) 2019/1150 do Parlamento Europeu e do Conselho, de 20 de junho de 2019, relativo à promoção da equidade e da transparência para os utilizadores profissionais de serviços de intermediação em linha (Regulamento P2B). O regulamento é aplicável desde 12 de julho de 2020 e constituiu o primeiro passo no sentido de proporcionar um quadro jurídico abrangente para a economia das plataformas. Desde a sua entrada em aplicação, outros atos legislativos da UE passaram a regulamentar os serviços de intermediação em linha e as plataformas em linha. Entre eles, incluem-se o Regulamento (UE) 2022/1925 [Regulamento dos Mercados Digitais (RMD)] e o Regulamento (UE) 2022/2065 [Regulamento dos Serviços Digitais (RSD)], que ultrapassam em grande medida as disposições do Regulamento P2B. Continuarão em vigor determinadas disposições do Regulamento P2B, a fim de garantir a segurança jurídica dos atos que contenham referências cruzadas a essas disposições, por exemplo, a Diretiva (UE) 2024/2831 relativa à melhoria das condições de trabalho nas plataformas digitais. De um modo geral, a simplificação do quadro regulamentar para as plataformas em linha reduzirá os custos de conformidade decorrentes de regras estratificadas e sobrepostas, conforme solicitado pelas partes interessadas. Os prestadores de serviços intermediários em linha beneficiarão de uma maior clareza das disposições jurídicas e o controlo do cumprimento será mais direcionado. </w:t>
      </w:r>
    </w:p>
    <w:p w14:paraId="2781D435" w14:textId="77777777" w:rsidR="00FF2EDA" w:rsidRPr="000D0D06" w:rsidRDefault="00FF2EDA" w:rsidP="008C7057">
      <w:pPr>
        <w:pStyle w:val="ManualHeading2"/>
        <w:rPr>
          <w:rFonts w:eastAsia="Arial Unicode MS"/>
          <w:noProof/>
          <w:color w:val="000000"/>
          <w:u w:color="000000"/>
          <w:bdr w:val="nil"/>
        </w:rPr>
      </w:pPr>
      <w:r w:rsidRPr="000D0D06">
        <w:rPr>
          <w:noProof/>
          <w:color w:val="000000"/>
          <w:u w:color="000000"/>
          <w:bdr w:val="nil"/>
        </w:rPr>
        <w:t>•</w:t>
      </w:r>
      <w:r w:rsidRPr="000D0D06">
        <w:rPr>
          <w:noProof/>
        </w:rPr>
        <w:tab/>
        <w:t>Coerência com as disposições existentes da mesma política setorial</w:t>
      </w:r>
    </w:p>
    <w:p w14:paraId="3AB6C25B" w14:textId="77777777" w:rsidR="0004575F" w:rsidRPr="000D0D06" w:rsidRDefault="00617695" w:rsidP="008C7057">
      <w:pPr>
        <w:pBdr>
          <w:top w:val="nil"/>
          <w:left w:val="nil"/>
          <w:bottom w:val="nil"/>
          <w:right w:val="nil"/>
          <w:between w:val="nil"/>
          <w:bar w:val="nil"/>
        </w:pBdr>
        <w:spacing w:before="0" w:after="240"/>
        <w:rPr>
          <w:rFonts w:eastAsia="Times New Roman"/>
          <w:noProof/>
          <w:color w:val="000000" w:themeColor="text1"/>
        </w:rPr>
      </w:pPr>
      <w:r w:rsidRPr="000D0D06">
        <w:rPr>
          <w:noProof/>
          <w:color w:val="000000" w:themeColor="text1"/>
        </w:rPr>
        <w:t xml:space="preserve">A proposta é acompanhada de uma segunda proposta que altera o Regulamento (UE) 2024/1689 (Regulamento da Inteligência Artificial), constituindo em conjunto o «pacote </w:t>
      </w:r>
      <w:r w:rsidRPr="000D0D06">
        <w:rPr>
          <w:i/>
          <w:noProof/>
          <w:color w:val="000000" w:themeColor="text1"/>
        </w:rPr>
        <w:t>omnibus</w:t>
      </w:r>
      <w:r w:rsidRPr="000D0D06">
        <w:rPr>
          <w:noProof/>
          <w:color w:val="000000" w:themeColor="text1"/>
        </w:rPr>
        <w:t xml:space="preserve"> digital» e marcando o primeiro passo imediato para simplificar o código normativo digital. Para além do pacote </w:t>
      </w:r>
      <w:r w:rsidRPr="000D0D06">
        <w:rPr>
          <w:i/>
          <w:noProof/>
          <w:color w:val="000000" w:themeColor="text1"/>
        </w:rPr>
        <w:t>omnibus</w:t>
      </w:r>
      <w:r w:rsidRPr="000D0D06">
        <w:rPr>
          <w:noProof/>
          <w:color w:val="000000" w:themeColor="text1"/>
        </w:rPr>
        <w:t xml:space="preserve"> digital, a proposta de revisão do Regulamento (UE) 2019/881 (Regulamento Cibersegurança) incluirá, nomeadamente, o mandato atualizado da Agência da União Europeia para a Cibersegurança (ENISA), bem como medidas destinadas a simplificar o cumprimento dos requisitos de cibersegurança. </w:t>
      </w:r>
    </w:p>
    <w:p w14:paraId="104AF361" w14:textId="77777777" w:rsidR="00FF2EDA" w:rsidRPr="000D0D06" w:rsidRDefault="0004575F" w:rsidP="008C7057">
      <w:pPr>
        <w:pBdr>
          <w:top w:val="nil"/>
          <w:left w:val="nil"/>
          <w:bottom w:val="nil"/>
          <w:right w:val="nil"/>
          <w:between w:val="nil"/>
          <w:bar w:val="nil"/>
        </w:pBdr>
        <w:spacing w:before="0" w:after="240"/>
        <w:rPr>
          <w:rFonts w:eastAsia="Times New Roman"/>
          <w:noProof/>
          <w:color w:val="000000" w:themeColor="text1"/>
          <w:szCs w:val="24"/>
        </w:rPr>
      </w:pPr>
      <w:r w:rsidRPr="000D0D06">
        <w:rPr>
          <w:noProof/>
          <w:color w:val="000000" w:themeColor="text1"/>
        </w:rPr>
        <w:t xml:space="preserve">O pacote </w:t>
      </w:r>
      <w:r w:rsidRPr="000D0D06">
        <w:rPr>
          <w:i/>
          <w:noProof/>
          <w:color w:val="000000" w:themeColor="text1"/>
        </w:rPr>
        <w:t>omnibus</w:t>
      </w:r>
      <w:r w:rsidRPr="000D0D06">
        <w:rPr>
          <w:noProof/>
          <w:color w:val="000000" w:themeColor="text1"/>
        </w:rPr>
        <w:t xml:space="preserve"> digital faz parte de uma estratégia mais ampla de simplificação regulamentar anunciada através do pacote digital, apresentada mais pormenorizadamente na secção introdutória da presente exposição de motivos. </w:t>
      </w:r>
    </w:p>
    <w:p w14:paraId="26678D4F" w14:textId="77777777" w:rsidR="00FF2EDA" w:rsidRPr="000D0D06" w:rsidRDefault="00FF2EDA" w:rsidP="008C7057">
      <w:pPr>
        <w:pStyle w:val="ManualHeading2"/>
        <w:rPr>
          <w:rFonts w:eastAsia="Arial Unicode MS"/>
          <w:noProof/>
        </w:rPr>
      </w:pPr>
      <w:r w:rsidRPr="000D0D06">
        <w:rPr>
          <w:noProof/>
          <w:color w:val="000000"/>
          <w:u w:color="000000"/>
          <w:bdr w:val="nil"/>
        </w:rPr>
        <w:t>•</w:t>
      </w:r>
      <w:r w:rsidRPr="000D0D06">
        <w:rPr>
          <w:noProof/>
        </w:rPr>
        <w:tab/>
        <w:t>Coerência com outras políticas da União</w:t>
      </w:r>
    </w:p>
    <w:p w14:paraId="6DA4C499" w14:textId="6AB148E2" w:rsidR="00D02D1E" w:rsidRPr="000D0D06" w:rsidRDefault="00D02D1E" w:rsidP="008C7057">
      <w:pPr>
        <w:pBdr>
          <w:top w:val="nil"/>
          <w:left w:val="nil"/>
          <w:bottom w:val="nil"/>
          <w:right w:val="nil"/>
          <w:between w:val="nil"/>
          <w:bar w:val="nil"/>
        </w:pBdr>
        <w:spacing w:before="0" w:after="240"/>
        <w:rPr>
          <w:rFonts w:eastAsia="Times New Roman"/>
          <w:noProof/>
          <w:color w:val="000000" w:themeColor="text1"/>
          <w:szCs w:val="24"/>
        </w:rPr>
      </w:pPr>
      <w:r w:rsidRPr="000D0D06">
        <w:rPr>
          <w:noProof/>
          <w:color w:val="000000" w:themeColor="text1"/>
        </w:rPr>
        <w:t xml:space="preserve">A proposta faz parte da agenda da Comissão para a simplificação do quadro regulamentar da UE. O vasto âmbito de aplicação dos atos alterados demonstra o claro potencial de simplificação, abordando a interação entre as diferentes regras, nomeadamente quando dizem respeito a diferentes domínios de intervenção. É o caso, por exemplo, da solução de simplificação digital desenvolvida no âmbito do ponto de entrada único para a notificação de incidentes, que não afeta as obrigações regulamentares subjacentes, mas reúne na mesma interface as regras em matéria de cibersegurança aplicáveis às entidades essenciais, as aplicáveis ao setor financeiro, as regras em matéria de proteção de dados, entre outras. </w:t>
      </w:r>
    </w:p>
    <w:p w14:paraId="6517048F" w14:textId="77777777" w:rsidR="00FF2EDA" w:rsidRPr="000D0D06" w:rsidRDefault="00FF2EDA" w:rsidP="008C7057">
      <w:pPr>
        <w:pStyle w:val="ManualHeading1"/>
        <w:rPr>
          <w:noProof/>
        </w:rPr>
      </w:pPr>
      <w:r w:rsidRPr="000D0D06">
        <w:rPr>
          <w:noProof/>
        </w:rPr>
        <w:t>2.</w:t>
      </w:r>
      <w:r w:rsidRPr="000D0D06">
        <w:rPr>
          <w:noProof/>
        </w:rPr>
        <w:tab/>
        <w:t>BASE JURÍDICA, SUBSIDIARIEDADE E PROPORCIONALIDADE</w:t>
      </w:r>
    </w:p>
    <w:p w14:paraId="3F16E034" w14:textId="77777777" w:rsidR="00FF2EDA" w:rsidRPr="000D0D06" w:rsidRDefault="00FF2EDA" w:rsidP="008C7057">
      <w:pPr>
        <w:pStyle w:val="ManualHeading2"/>
        <w:rPr>
          <w:rFonts w:eastAsia="Arial Unicode MS"/>
          <w:noProof/>
          <w:u w:color="000000"/>
          <w:bdr w:val="nil"/>
        </w:rPr>
      </w:pPr>
      <w:r w:rsidRPr="000D0D06">
        <w:rPr>
          <w:noProof/>
          <w:u w:color="000000"/>
          <w:bdr w:val="nil"/>
        </w:rPr>
        <w:t>•</w:t>
      </w:r>
      <w:r w:rsidRPr="000D0D06">
        <w:rPr>
          <w:noProof/>
        </w:rPr>
        <w:tab/>
      </w:r>
      <w:r w:rsidRPr="000D0D06">
        <w:rPr>
          <w:noProof/>
          <w:u w:color="000000"/>
          <w:bdr w:val="nil"/>
        </w:rPr>
        <w:t>Base jurídica</w:t>
      </w:r>
    </w:p>
    <w:p w14:paraId="6BA40733" w14:textId="77777777" w:rsidR="00FF2EDA" w:rsidRPr="000D0D06" w:rsidRDefault="00140E56" w:rsidP="008C7057">
      <w:pPr>
        <w:pBdr>
          <w:top w:val="nil"/>
          <w:left w:val="nil"/>
          <w:bottom w:val="nil"/>
          <w:right w:val="nil"/>
          <w:between w:val="nil"/>
          <w:bar w:val="nil"/>
        </w:pBdr>
        <w:spacing w:before="0" w:after="240"/>
        <w:rPr>
          <w:noProof/>
        </w:rPr>
      </w:pPr>
      <w:r w:rsidRPr="000D0D06">
        <w:rPr>
          <w:noProof/>
        </w:rPr>
        <w:t>A proposta baseia-se nos artigos 114.º e 16.º do Tratado sobre o Funcionamento da União Europeia, refletindo a base jurídica dos atos alterados. A base jurídica adequada para as disposições que alteram o Regulamento (UE) 2016/679 (Regulamento Geral sobre a Proteção de Dados) e o Regulamento (UE) 2018/1725 é o artigo 16.º do Tratado. Uma vez que todos os outros atos alterados se baseiam no artigo 114.º do Tratado, a mesma base jurídica é igualmente adequada para as disposições de alteração correspondentes do presente regulamento.</w:t>
      </w:r>
    </w:p>
    <w:p w14:paraId="0EB52757" w14:textId="77777777" w:rsidR="00FF2EDA" w:rsidRPr="000D0D06" w:rsidRDefault="00FF2EDA" w:rsidP="008C7057">
      <w:pPr>
        <w:pStyle w:val="ManualHeading2"/>
        <w:rPr>
          <w:rFonts w:eastAsia="Arial Unicode MS"/>
          <w:noProof/>
          <w:u w:color="000000"/>
          <w:bdr w:val="nil"/>
        </w:rPr>
      </w:pPr>
      <w:r w:rsidRPr="000D0D06">
        <w:rPr>
          <w:noProof/>
          <w:u w:color="000000"/>
          <w:bdr w:val="nil"/>
        </w:rPr>
        <w:t>•</w:t>
      </w:r>
      <w:r w:rsidRPr="000D0D06">
        <w:rPr>
          <w:noProof/>
        </w:rPr>
        <w:tab/>
      </w:r>
      <w:r w:rsidRPr="000D0D06">
        <w:rPr>
          <w:noProof/>
          <w:u w:color="000000"/>
          <w:bdr w:val="nil"/>
        </w:rPr>
        <w:t xml:space="preserve">Subsidiariedade (no caso de competência não exclusiva) </w:t>
      </w:r>
    </w:p>
    <w:p w14:paraId="56B2F92A" w14:textId="77777777" w:rsidR="00281E57" w:rsidRPr="000D0D06" w:rsidRDefault="000D54F2" w:rsidP="008C7057">
      <w:pPr>
        <w:pBdr>
          <w:top w:val="nil"/>
          <w:left w:val="nil"/>
          <w:bottom w:val="nil"/>
          <w:right w:val="nil"/>
          <w:between w:val="nil"/>
          <w:bar w:val="nil"/>
        </w:pBdr>
        <w:spacing w:before="0" w:after="240"/>
        <w:rPr>
          <w:noProof/>
        </w:rPr>
      </w:pPr>
      <w:r w:rsidRPr="000D0D06">
        <w:rPr>
          <w:noProof/>
        </w:rPr>
        <w:t xml:space="preserve">Uma vez que as regras alteradas são regras da União, só podem ser alteradas a nível da União. Os ajustamentos técnicos apresentados no presente regulamento preservam a lógica da subsidiariedade subjacente aos atos alterados. </w:t>
      </w:r>
    </w:p>
    <w:p w14:paraId="2B0DA1D1" w14:textId="77777777" w:rsidR="008E7D3A" w:rsidRPr="000D0D06" w:rsidRDefault="009C5B3C" w:rsidP="008C7057">
      <w:pPr>
        <w:pBdr>
          <w:top w:val="nil"/>
          <w:left w:val="nil"/>
          <w:bottom w:val="nil"/>
          <w:right w:val="nil"/>
          <w:between w:val="nil"/>
          <w:bar w:val="nil"/>
        </w:pBdr>
        <w:spacing w:before="0" w:after="240"/>
        <w:rPr>
          <w:noProof/>
        </w:rPr>
      </w:pPr>
      <w:r w:rsidRPr="000D0D06">
        <w:rPr>
          <w:noProof/>
        </w:rPr>
        <w:t xml:space="preserve">No que diz respeito ao Regulamento (UE) 2023/2854 (Regulamento dos Dados), as alterações reforçam o objetivo do regulamento de eliminar os obstáculos no mercado único à economia dos dados. Para o efeito, inserem no regulamento as regras em vigor. As alterações específicas introduzidas nessas regras visam simplificar, proporcionar clareza e reduzir os encargos administrativos tanto para o setor privado como para as autoridades nacionais. Não interferem com a competência dos Estados-Membros ou das instituições da UE. </w:t>
      </w:r>
    </w:p>
    <w:p w14:paraId="4505956F" w14:textId="77777777" w:rsidR="0039317A" w:rsidRPr="000D0D06" w:rsidRDefault="008E7D3A" w:rsidP="008C7057">
      <w:pPr>
        <w:pBdr>
          <w:top w:val="nil"/>
          <w:left w:val="nil"/>
          <w:bottom w:val="nil"/>
          <w:right w:val="nil"/>
          <w:between w:val="nil"/>
          <w:bar w:val="nil"/>
        </w:pBdr>
        <w:spacing w:before="0" w:after="240"/>
        <w:rPr>
          <w:noProof/>
        </w:rPr>
      </w:pPr>
      <w:r w:rsidRPr="000D0D06">
        <w:rPr>
          <w:noProof/>
        </w:rPr>
        <w:t>O mesmo se aplica à revogação da Diretiva (UE) 2019/1024 (Diretiva Dados Abertos), tendo em conta que as suas regras substantivas são incorporadas no Regulamento (UE) 2023/2854 (Regulamento dos Dados) sem alterar substancialmente as competências atribuídas aos Estados-Membros. Uma parte significativa dos dados do setor público já está atualmente sujeita ao Regulamento de Execução (UE) 2023/138 sobre conjuntos de dados de elevado valor</w:t>
      </w:r>
      <w:r w:rsidRPr="000D0D06">
        <w:rPr>
          <w:rStyle w:val="FootnoteReference"/>
          <w:rFonts w:eastAsia="Arial Unicode MS"/>
          <w:noProof/>
        </w:rPr>
        <w:footnoteReference w:id="13"/>
      </w:r>
      <w:r w:rsidRPr="000D0D06">
        <w:rPr>
          <w:noProof/>
        </w:rPr>
        <w:t xml:space="preserve">, que é diretamente aplicável. A transformação num regulamento facilitará a aplicação uniforme das alterações propostas em todos os Estados-Membros. Apoiará, em especial, as administrações públicas que detêm dados do setor público, mas também os reutilizadores desses dados, simplificando os processos e reduzindo os encargos administrativos associados à interpretação e aplicação de diferentes legislações nacionais. A aplicação das regras diretamente aplicáveis tornar-se-á provavelmente mais coerente. A proposta não altera os regimes nacionais de acesso e visa proporcionar flexibilidade suficiente para as soluções nacionais — uma prerrogativa sublinhada pelos Estados-Membros. </w:t>
      </w:r>
    </w:p>
    <w:p w14:paraId="02429A3F" w14:textId="2E45E6E9" w:rsidR="0039317A" w:rsidRPr="000D0D06" w:rsidRDefault="0039317A" w:rsidP="008C7057">
      <w:pPr>
        <w:pBdr>
          <w:top w:val="nil"/>
          <w:left w:val="nil"/>
          <w:bottom w:val="nil"/>
          <w:right w:val="nil"/>
          <w:between w:val="nil"/>
          <w:bar w:val="nil"/>
        </w:pBdr>
        <w:spacing w:before="0" w:after="240"/>
        <w:rPr>
          <w:noProof/>
        </w:rPr>
      </w:pPr>
      <w:r w:rsidRPr="000D0D06">
        <w:rPr>
          <w:noProof/>
        </w:rPr>
        <w:t>No que diz respeito ao Regulamento (UE) 2016/679 (Regulamento Geral sobre a Proteção de Dados) e ao Regulamento (UE) 2018/1725, as alterações propostas visam proporcionar clareza e previsibilidade na aplicação das atuais regras e reduzir os encargos administrativos, sempre que possível, sem comprometer o elevado nível de proteção de dados previsto no Regulamento (UE) 2016/679 (Regulamento Geral sobre a Proteção de Dados) e no Regulamento (UE) 2018/1725. Do mesmo modo, mantêm-se inalteradas as competências dos Estados-Membros e dos órgãos e instituições da UE.</w:t>
      </w:r>
    </w:p>
    <w:p w14:paraId="50240AF9" w14:textId="1A69C5EE" w:rsidR="0039317A" w:rsidRPr="000D0D06" w:rsidRDefault="0039317A" w:rsidP="008C7057">
      <w:pPr>
        <w:pBdr>
          <w:top w:val="nil"/>
          <w:left w:val="nil"/>
          <w:bottom w:val="nil"/>
          <w:right w:val="nil"/>
          <w:between w:val="nil"/>
          <w:bar w:val="nil"/>
        </w:pBdr>
        <w:spacing w:before="0" w:after="240"/>
        <w:rPr>
          <w:noProof/>
        </w:rPr>
      </w:pPr>
      <w:r w:rsidRPr="000D0D06">
        <w:rPr>
          <w:noProof/>
        </w:rPr>
        <w:t>Com a introdução do ponto de entrada único para a notificação de incidentes, propõe-se uma solução à escala europeia que funcione como um canal único para múltiplas obrigações legais impostas às empresas para notificar, essencialmente, o mesmo incidente. A solução não altera de modo algum os direitos e as competências das autoridades nacionais para receber essas comunicações. Em vez disso, incentiva a comunicação de informações ao proporcionar um ponto de entrada único numa interface de fácil utilização, dando a impressão de apresentar uma única comunicação, respondendo simultaneamente a várias obrigações jurídicas. Dado que muitos dos serviços em causa são prestados além-fronteiras e que os prestadores estão presentes em vários Estados-Membros, é necessária uma solução europeia.</w:t>
      </w:r>
    </w:p>
    <w:p w14:paraId="11C5D31F" w14:textId="77777777" w:rsidR="00FF2EDA" w:rsidRPr="000D0D06" w:rsidRDefault="00FF2EDA" w:rsidP="008C7057">
      <w:pPr>
        <w:pStyle w:val="ManualHeading2"/>
        <w:rPr>
          <w:rFonts w:eastAsia="Arial Unicode MS"/>
          <w:noProof/>
          <w:u w:color="000000"/>
          <w:bdr w:val="nil"/>
        </w:rPr>
      </w:pPr>
      <w:r w:rsidRPr="000D0D06">
        <w:rPr>
          <w:noProof/>
          <w:u w:color="000000"/>
          <w:bdr w:val="nil"/>
        </w:rPr>
        <w:t>•</w:t>
      </w:r>
      <w:r w:rsidRPr="000D0D06">
        <w:rPr>
          <w:noProof/>
        </w:rPr>
        <w:tab/>
      </w:r>
      <w:r w:rsidRPr="000D0D06">
        <w:rPr>
          <w:noProof/>
          <w:u w:color="000000"/>
          <w:bdr w:val="nil"/>
        </w:rPr>
        <w:t>Proporcionalidade</w:t>
      </w:r>
    </w:p>
    <w:p w14:paraId="6D40FC83" w14:textId="77777777" w:rsidR="00624AB0" w:rsidRPr="000D0D06" w:rsidRDefault="001B2CB3" w:rsidP="008C7057">
      <w:pPr>
        <w:pBdr>
          <w:top w:val="nil"/>
          <w:left w:val="nil"/>
          <w:bottom w:val="nil"/>
          <w:right w:val="nil"/>
          <w:between w:val="nil"/>
          <w:bar w:val="nil"/>
        </w:pBdr>
        <w:spacing w:before="0" w:after="240"/>
        <w:rPr>
          <w:noProof/>
        </w:rPr>
      </w:pPr>
      <w:r w:rsidRPr="000D0D06">
        <w:rPr>
          <w:noProof/>
        </w:rPr>
        <w:t>A proposta inclui alterações técnicas necessárias para alcançar os objetivos de reduzir os encargos administrativos e proporcionar clareza regulamentar, preservando e otimizando simultaneamente os objetivos subjacentes à legislação alterada. As alterações são proporcionadas, impondo custos de transição e adaptação insignificantes, se é que existem, às empresas e às autoridades, mas facilitando um elevado retorno da poupança de custos nos próximos anos.</w:t>
      </w:r>
    </w:p>
    <w:p w14:paraId="71242CE4" w14:textId="77777777" w:rsidR="00FC05E5" w:rsidRPr="000D0D06" w:rsidRDefault="00FC05E5" w:rsidP="008C7057">
      <w:pPr>
        <w:pBdr>
          <w:top w:val="nil"/>
          <w:left w:val="nil"/>
          <w:bottom w:val="nil"/>
          <w:right w:val="nil"/>
          <w:between w:val="nil"/>
          <w:bar w:val="nil"/>
        </w:pBdr>
        <w:spacing w:before="0" w:after="240"/>
        <w:rPr>
          <w:noProof/>
        </w:rPr>
      </w:pPr>
      <w:r w:rsidRPr="000D0D06">
        <w:rPr>
          <w:noProof/>
        </w:rPr>
        <w:t>Várias das alterações apresentadas no presente regulamento visam o objetivo de simplificação, proporcionando principalmente segurança jurídica e clarificando a aplicação das regras — por exemplo, no que diz respeito a esclarecimentos para os detentores dos dados sobre a proteção de segredos comerciais no Regulamento (UE) 2023/2854 (Regulamento dos Dados), ou esclarecimentos sobre o treino de modelos e sistemas de IA que incluem dados pessoais regulados pelo Regulamento (UE) 2016/679 (Regulamento Geral sobre a Proteção de Dados), ou ao conceito de dados pessoais no Regulamento (UE) 2016/679 (Regulamento Geral sobre a Proteção de Dados) e no Regulamento (UE) 2018/1725. Algumas das disposições visam codificar interpretações do Tribunal de Justiça da União Europeia, nomeadamente no que diz respeito à pseudonimização de dados pessoais, clarificada no Regulamento (UE) 2016/679 (Regulamento Geral sobre a Proteção de Dados). Como tal, incluem alterações muito específicas às regras, esperando-se que tenham um impacto significativo na garantia de segurança jurídica para as empresas e os investidores.</w:t>
      </w:r>
    </w:p>
    <w:p w14:paraId="13DB180C" w14:textId="77777777" w:rsidR="00D13321" w:rsidRPr="000D0D06" w:rsidRDefault="00D13321" w:rsidP="00D13321">
      <w:pPr>
        <w:pBdr>
          <w:top w:val="nil"/>
          <w:left w:val="nil"/>
          <w:bottom w:val="nil"/>
          <w:right w:val="nil"/>
          <w:between w:val="nil"/>
          <w:bar w:val="nil"/>
        </w:pBdr>
        <w:spacing w:before="0" w:after="240"/>
        <w:rPr>
          <w:noProof/>
        </w:rPr>
      </w:pPr>
      <w:r w:rsidRPr="000D0D06">
        <w:rPr>
          <w:noProof/>
        </w:rPr>
        <w:t>As alterações propostas no presente regulamento visam igualmente reduzir os custos diretos para as empresas e as autoridades, tendo em conta que os mesmos objetivos regulamentares podem ser alcançados com menores encargos e assegurando a proporcionalidade das regras. Por exemplo, o regime obrigatório para os serviços de intermediação de dados previsto no Regulamento (UE) 2022/868 (Regulamento Governação de Dados) é transformado num regime voluntário que reforça a confiança no Regulamento (UE) 2023/2854 (Regulamento dos Dados).</w:t>
      </w:r>
    </w:p>
    <w:p w14:paraId="57364984" w14:textId="77777777" w:rsidR="00FC05E5" w:rsidRPr="000D0D06" w:rsidRDefault="00FC05E5" w:rsidP="008C7057">
      <w:pPr>
        <w:pBdr>
          <w:top w:val="nil"/>
          <w:left w:val="nil"/>
          <w:bottom w:val="nil"/>
          <w:right w:val="nil"/>
          <w:between w:val="nil"/>
          <w:bar w:val="nil"/>
        </w:pBdr>
        <w:spacing w:before="0" w:after="240"/>
        <w:rPr>
          <w:noProof/>
        </w:rPr>
      </w:pPr>
      <w:r w:rsidRPr="000D0D06">
        <w:rPr>
          <w:noProof/>
        </w:rPr>
        <w:t>Com o alargamento às pequenas empresas de média capitalização de determinadas disposições aplicáveis às pequenas e médias empresas, as medidas de simplificação são específicas e introduzem alterações mínimas no âmbito de aplicação dessas obrigações, proporcionando simultaneamente segurança jurídica a um leque mais vasto de empresas com um elevado potencial para apoiar a competitividade da UE. A proposta limita-se às alterações necessárias para garantir que as pequenas empresas de média capitalização beneficiem do mesmo quadro jurídico que as PME.</w:t>
      </w:r>
    </w:p>
    <w:p w14:paraId="58AF3FE4" w14:textId="7B8856C4" w:rsidR="005C270D" w:rsidRPr="000D0D06" w:rsidRDefault="005C270D" w:rsidP="008C7057">
      <w:pPr>
        <w:pBdr>
          <w:top w:val="nil"/>
          <w:left w:val="nil"/>
          <w:bottom w:val="nil"/>
          <w:right w:val="nil"/>
          <w:between w:val="nil"/>
          <w:bar w:val="nil"/>
        </w:pBdr>
        <w:spacing w:before="0" w:after="240"/>
        <w:rPr>
          <w:noProof/>
        </w:rPr>
      </w:pPr>
      <w:r w:rsidRPr="000D0D06">
        <w:rPr>
          <w:noProof/>
        </w:rPr>
        <w:t>O ponto de entrada único para a notificação de incidentes e de violações de dados proporciona grandes economias de custos para as empresas, resolvendo simultaneamente a questão generalizada da subnotificação. Além de ser proporcionada, esta solução traz uma simplificação fundamental através de uma ferramenta digital e apoia a eficácia das obrigações de notificação abrangidas pelo ponto de entrada.</w:t>
      </w:r>
    </w:p>
    <w:p w14:paraId="56330018" w14:textId="77777777" w:rsidR="00F635A3" w:rsidRPr="000D0D06" w:rsidRDefault="00F635A3" w:rsidP="008C7057">
      <w:pPr>
        <w:pBdr>
          <w:top w:val="nil"/>
          <w:left w:val="nil"/>
          <w:bottom w:val="nil"/>
          <w:right w:val="nil"/>
          <w:between w:val="nil"/>
          <w:bar w:val="nil"/>
        </w:pBdr>
        <w:spacing w:before="0" w:after="240"/>
        <w:rPr>
          <w:noProof/>
        </w:rPr>
      </w:pPr>
      <w:r w:rsidRPr="000D0D06">
        <w:rPr>
          <w:noProof/>
        </w:rPr>
        <w:t xml:space="preserve">A revogação do Regulamento (UE) 2019/1150 (Regulamento P2B) é necessária para eliminar a duplicação de regras. O regulamento tem apenas valor residual e, tendo em conta uma abordagem regulamentar proporcionada na regulamentação das plataformas em linha, é necessário eliminar a duplicação de obrigações. </w:t>
      </w:r>
    </w:p>
    <w:p w14:paraId="7D9772A1" w14:textId="77777777" w:rsidR="00FF2EDA" w:rsidRPr="000D0D06" w:rsidRDefault="00847061" w:rsidP="008D6372">
      <w:pPr>
        <w:pBdr>
          <w:top w:val="nil"/>
          <w:left w:val="nil"/>
          <w:bottom w:val="nil"/>
          <w:right w:val="nil"/>
          <w:between w:val="nil"/>
          <w:bar w:val="nil"/>
        </w:pBdr>
        <w:spacing w:before="0" w:after="240"/>
        <w:rPr>
          <w:rFonts w:eastAsia="Arial Unicode MS"/>
          <w:noProof/>
          <w:u w:color="000000"/>
          <w:bdr w:val="nil"/>
        </w:rPr>
      </w:pPr>
      <w:r w:rsidRPr="000D0D06">
        <w:rPr>
          <w:noProof/>
        </w:rPr>
        <w:t xml:space="preserve"> </w:t>
      </w:r>
      <w:r w:rsidRPr="000D0D06">
        <w:rPr>
          <w:noProof/>
          <w:u w:color="000000"/>
          <w:bdr w:val="nil"/>
        </w:rPr>
        <w:t>•</w:t>
      </w:r>
      <w:r w:rsidRPr="000D0D06">
        <w:rPr>
          <w:noProof/>
        </w:rPr>
        <w:tab/>
      </w:r>
      <w:r w:rsidRPr="000D0D06">
        <w:rPr>
          <w:b/>
          <w:noProof/>
          <w:u w:color="000000"/>
          <w:bdr w:val="nil"/>
        </w:rPr>
        <w:t>Escolha do instrumento</w:t>
      </w:r>
    </w:p>
    <w:p w14:paraId="3615897E" w14:textId="77777777" w:rsidR="00FF2EDA" w:rsidRPr="000D0D06" w:rsidRDefault="00047114" w:rsidP="60E008F6">
      <w:pPr>
        <w:pBdr>
          <w:top w:val="nil"/>
          <w:left w:val="nil"/>
          <w:bottom w:val="nil"/>
          <w:right w:val="nil"/>
          <w:between w:val="nil"/>
          <w:bar w:val="nil"/>
        </w:pBdr>
        <w:spacing w:before="0" w:after="240"/>
        <w:rPr>
          <w:rFonts w:eastAsia="Arial Unicode MS"/>
          <w:noProof/>
        </w:rPr>
      </w:pPr>
      <w:r w:rsidRPr="000D0D06">
        <w:rPr>
          <w:noProof/>
        </w:rPr>
        <w:t xml:space="preserve">As alterações são propostas através de um regulamento, dada a natureza das regras alteradas. Quando as diretivas são alteradas, as disposições têm por destinatários os organismos europeus ou introduzem alterações específicas, em especial para excluir disposições mais desenvolvidas nos regulamentos. </w:t>
      </w:r>
    </w:p>
    <w:p w14:paraId="73487C1D" w14:textId="77777777" w:rsidR="00FF2EDA" w:rsidRPr="000D0D06" w:rsidRDefault="00FF2EDA" w:rsidP="60E008F6">
      <w:pPr>
        <w:pStyle w:val="ManualHeading1"/>
        <w:rPr>
          <w:noProof/>
        </w:rPr>
      </w:pPr>
      <w:r w:rsidRPr="000D0D06">
        <w:rPr>
          <w:noProof/>
        </w:rPr>
        <w:t>3.</w:t>
      </w:r>
      <w:r w:rsidRPr="000D0D06">
        <w:rPr>
          <w:noProof/>
        </w:rPr>
        <w:tab/>
        <w:t xml:space="preserve">RESULTADOS DAS AVALIAÇÕES </w:t>
      </w:r>
      <w:r w:rsidRPr="000D0D06">
        <w:rPr>
          <w:i/>
          <w:iCs/>
          <w:noProof/>
        </w:rPr>
        <w:t>EX POST</w:t>
      </w:r>
      <w:r w:rsidRPr="000D0D06">
        <w:rPr>
          <w:noProof/>
        </w:rPr>
        <w:t>, DAS CONSULTAS DAS PARTES INTERESSADAS E DAS AVALIAÇÕES DE IMPACTO</w:t>
      </w:r>
    </w:p>
    <w:p w14:paraId="3ECE6078" w14:textId="77777777" w:rsidR="00FF2EDA" w:rsidRPr="000D0D06" w:rsidRDefault="00FF2EDA" w:rsidP="008C7057">
      <w:pPr>
        <w:pStyle w:val="ManualHeading2"/>
        <w:rPr>
          <w:rFonts w:eastAsia="Arial Unicode MS"/>
          <w:noProof/>
          <w:u w:color="000000"/>
          <w:bdr w:val="nil"/>
        </w:rPr>
      </w:pPr>
      <w:r w:rsidRPr="000D0D06">
        <w:rPr>
          <w:noProof/>
          <w:u w:color="000000"/>
          <w:bdr w:val="nil"/>
        </w:rPr>
        <w:t>•</w:t>
      </w:r>
      <w:r w:rsidRPr="000D0D06">
        <w:rPr>
          <w:noProof/>
        </w:rPr>
        <w:tab/>
      </w:r>
      <w:r w:rsidRPr="000D0D06">
        <w:rPr>
          <w:noProof/>
          <w:u w:color="000000"/>
          <w:bdr w:val="nil"/>
        </w:rPr>
        <w:t xml:space="preserve">Avaliações </w:t>
      </w:r>
      <w:r w:rsidRPr="000D0D06">
        <w:rPr>
          <w:i/>
          <w:iCs/>
          <w:noProof/>
          <w:u w:color="000000"/>
          <w:bdr w:val="nil"/>
        </w:rPr>
        <w:t>ex post</w:t>
      </w:r>
      <w:r w:rsidRPr="000D0D06">
        <w:rPr>
          <w:noProof/>
          <w:u w:color="000000"/>
          <w:bdr w:val="nil"/>
        </w:rPr>
        <w:t xml:space="preserve"> / balanços de qualidade da legislação existente</w:t>
      </w:r>
    </w:p>
    <w:p w14:paraId="0E579FDB" w14:textId="77777777" w:rsidR="00D353B9" w:rsidRPr="000D0D06" w:rsidRDefault="004D3D34" w:rsidP="60E008F6">
      <w:pPr>
        <w:pBdr>
          <w:top w:val="nil"/>
          <w:left w:val="nil"/>
          <w:bottom w:val="nil"/>
          <w:right w:val="nil"/>
          <w:between w:val="nil"/>
          <w:bar w:val="nil"/>
        </w:pBdr>
        <w:spacing w:before="0" w:after="240"/>
        <w:rPr>
          <w:noProof/>
        </w:rPr>
      </w:pPr>
      <w:r w:rsidRPr="000D0D06">
        <w:rPr>
          <w:noProof/>
        </w:rPr>
        <w:t xml:space="preserve">A maior parte da legislação em análise na presente proposta é relativamente recente, estando sujeita a uma avaliação contínua dos resultados. As principais observações são resumidas no documento de trabalho dos serviços da Comissão que acompanha a presente proposta. </w:t>
      </w:r>
    </w:p>
    <w:p w14:paraId="529C5A3E" w14:textId="77777777" w:rsidR="00D66BD1" w:rsidRPr="000D0D06" w:rsidRDefault="00D353B9" w:rsidP="031F7347">
      <w:pPr>
        <w:pBdr>
          <w:top w:val="nil"/>
          <w:left w:val="nil"/>
          <w:bottom w:val="nil"/>
          <w:right w:val="nil"/>
          <w:between w:val="nil"/>
          <w:bar w:val="nil"/>
        </w:pBdr>
        <w:spacing w:before="0" w:after="240"/>
        <w:rPr>
          <w:rFonts w:eastAsia="Times New Roman"/>
          <w:noProof/>
        </w:rPr>
      </w:pPr>
      <w:r w:rsidRPr="000D0D06">
        <w:rPr>
          <w:noProof/>
        </w:rPr>
        <w:t>Uma exceção a esta regra é a revisão preliminar de 2023 do Regulamento (UE) 2019/1150 [Regulamento relativo aos utilizadores profissionais de serviços de intermediação em linha (P2B)]</w:t>
      </w:r>
      <w:r w:rsidRPr="000D0D06">
        <w:rPr>
          <w:rStyle w:val="FootnoteReference"/>
          <w:rFonts w:eastAsia="Arial Unicode MS"/>
          <w:noProof/>
        </w:rPr>
        <w:footnoteReference w:id="14"/>
      </w:r>
      <w:r w:rsidRPr="000D0D06">
        <w:rPr>
          <w:rStyle w:val="FootnoteReference"/>
          <w:rFonts w:eastAsia="Arial Unicode MS"/>
          <w:noProof/>
        </w:rPr>
        <w:t>)</w:t>
      </w:r>
      <w:r w:rsidRPr="000D0D06">
        <w:rPr>
          <w:noProof/>
        </w:rPr>
        <w:t>. O relatório observou efeitos positivos iniciais no que diz respeito à transparência contratual para os utilizadores empresariais e às garantias processuais no tratamento de reclamações, por exemplo. No entanto, o relatório também revelou uma falta de sensibilização dos utilizadores empresariais, bem como dos prestadores de serviços de intermediação em linha e dos fornecedores de motores de pesquisa em linha, para os respetivos direitos e obrigações ao abrigo do Regulamento (UE) 2019/1150 (Regulamento P2B). Esta situação foi também associada a um cumprimento insuficiente do Regulamento (UE) 2019/1150 (Regulamento P2B) e conduziu à não aplicação. Até 2023, foram recebidas muito poucas reclamações ao abrigo do Regulamento (UE) 2019/1150 (Regulamento P2B). O relatório concluiu que «o potencial do Regulamento (UE) 2019/1150 (Regulamento P2B) não está a ser realizado de forma plena». Entretanto, o Regulamento (UE) 2022/2065 (RSD) e o Regulamento (UE) 2022/1925 (RMD) começaram a aplicar-se plenamente e ultrapassaram largamente as disposições do Regulamento (UE) 2019/1150 (Regulamento P2B).</w:t>
      </w:r>
    </w:p>
    <w:p w14:paraId="533ED384" w14:textId="77777777" w:rsidR="00FF2EDA" w:rsidRPr="000D0D06" w:rsidRDefault="00FF2EDA" w:rsidP="008C7057">
      <w:pPr>
        <w:pStyle w:val="ManualHeading2"/>
        <w:rPr>
          <w:rFonts w:eastAsia="Arial Unicode MS"/>
          <w:noProof/>
          <w:bdr w:val="nil"/>
        </w:rPr>
      </w:pPr>
      <w:r w:rsidRPr="000D0D06">
        <w:rPr>
          <w:noProof/>
          <w:bdr w:val="nil"/>
        </w:rPr>
        <w:t>•</w:t>
      </w:r>
      <w:r w:rsidRPr="000D0D06">
        <w:rPr>
          <w:noProof/>
        </w:rPr>
        <w:tab/>
      </w:r>
      <w:r w:rsidRPr="000D0D06">
        <w:rPr>
          <w:noProof/>
          <w:bdr w:val="nil"/>
        </w:rPr>
        <w:t>Consultas das partes interessadas</w:t>
      </w:r>
    </w:p>
    <w:p w14:paraId="2C45445F" w14:textId="77777777" w:rsidR="00CB052A" w:rsidRPr="000D0D06" w:rsidRDefault="00A8660B" w:rsidP="008D6372">
      <w:pPr>
        <w:pBdr>
          <w:top w:val="nil"/>
          <w:left w:val="nil"/>
          <w:bottom w:val="nil"/>
          <w:right w:val="nil"/>
          <w:between w:val="nil"/>
          <w:bar w:val="nil"/>
        </w:pBdr>
        <w:spacing w:before="0" w:after="240"/>
        <w:rPr>
          <w:rFonts w:eastAsia="Times New Roman"/>
          <w:noProof/>
        </w:rPr>
      </w:pPr>
      <w:r w:rsidRPr="000D0D06">
        <w:rPr>
          <w:noProof/>
        </w:rPr>
        <w:t>Foram realizadas várias consultas na preparação da proposta. Cada uma delas foi concebida como complementar às restantes, abordando quer diferentes aspetos temáticos, quer diferentes grupos de partes interessadas.</w:t>
      </w:r>
    </w:p>
    <w:p w14:paraId="785CCD0C" w14:textId="77777777" w:rsidR="00CB052A" w:rsidRPr="000D0D06" w:rsidRDefault="00A8660B" w:rsidP="00CB052A">
      <w:pPr>
        <w:rPr>
          <w:rFonts w:eastAsia="Times New Roman"/>
          <w:noProof/>
        </w:rPr>
      </w:pPr>
      <w:r w:rsidRPr="000D0D06">
        <w:rPr>
          <w:noProof/>
        </w:rPr>
        <w:t>Na primavera de 2025, foram publicadas três consultas públicas e convites à apresentação de contributos sobre os principais pilares da proposta. De 9 de abril a 4 de junho, decorreu uma consulta sobre a Estratégia de Aplicação da IA</w:t>
      </w:r>
      <w:r w:rsidRPr="000D0D06">
        <w:rPr>
          <w:rStyle w:val="FootnoteReference"/>
          <w:rFonts w:eastAsia="Times New Roman"/>
          <w:noProof/>
        </w:rPr>
        <w:footnoteReference w:id="15"/>
      </w:r>
      <w:r w:rsidRPr="000D0D06">
        <w:rPr>
          <w:noProof/>
        </w:rPr>
        <w:t>, de 11 de abril a 20 de junho, outra sobre a revisão do Regulamento (UE) 2019/881 (Regulamento Cibersegurança)</w:t>
      </w:r>
      <w:r w:rsidRPr="000D0D06">
        <w:rPr>
          <w:rStyle w:val="FootnoteReference"/>
          <w:rFonts w:eastAsia="Times New Roman"/>
          <w:noProof/>
        </w:rPr>
        <w:footnoteReference w:id="16"/>
      </w:r>
      <w:r w:rsidRPr="000D0D06">
        <w:rPr>
          <w:noProof/>
        </w:rPr>
        <w:t>, e, por último, de 23 de maio a 20 de julho, uma terceira sobre a Estratégia para uma União Europeia dos Dados</w:t>
      </w:r>
      <w:r w:rsidRPr="000D0D06">
        <w:rPr>
          <w:rStyle w:val="FootnoteReference"/>
          <w:rFonts w:eastAsia="Times New Roman"/>
          <w:noProof/>
        </w:rPr>
        <w:footnoteReference w:id="17"/>
      </w:r>
      <w:r w:rsidRPr="000D0D06">
        <w:rPr>
          <w:noProof/>
        </w:rPr>
        <w:t xml:space="preserve">. Cada questionário tinha uma secção específica (ou, por vezes, várias secções específicas) sobre questões de aplicação e simplificação, diretamente relacionadas com as reflexões sobre o pacote </w:t>
      </w:r>
      <w:r w:rsidRPr="000D0D06">
        <w:rPr>
          <w:i/>
          <w:noProof/>
        </w:rPr>
        <w:t>omnibus</w:t>
      </w:r>
      <w:r w:rsidRPr="000D0D06">
        <w:rPr>
          <w:noProof/>
        </w:rPr>
        <w:t xml:space="preserve"> digital. No conjunto, foram obtidas 718 respostas únicas no âmbito desta primeira vertente da consulta. </w:t>
      </w:r>
    </w:p>
    <w:p w14:paraId="1B332BB7" w14:textId="77777777" w:rsidR="00CB052A" w:rsidRPr="000D0D06" w:rsidRDefault="00CB052A" w:rsidP="00CB052A">
      <w:pPr>
        <w:rPr>
          <w:rFonts w:eastAsia="Times New Roman"/>
          <w:noProof/>
        </w:rPr>
      </w:pPr>
      <w:r w:rsidRPr="000D0D06">
        <w:rPr>
          <w:noProof/>
        </w:rPr>
        <w:t xml:space="preserve">De 16 de setembro a 14 de outubro de 2025, foi publicado um convite à apresentação de contributos para o pacote </w:t>
      </w:r>
      <w:r w:rsidRPr="000D0D06">
        <w:rPr>
          <w:i/>
          <w:noProof/>
        </w:rPr>
        <w:t>omnibus</w:t>
      </w:r>
      <w:r w:rsidRPr="000D0D06">
        <w:rPr>
          <w:noProof/>
        </w:rPr>
        <w:t xml:space="preserve"> sobre o setor digital</w:t>
      </w:r>
      <w:r w:rsidRPr="000D0D06">
        <w:rPr>
          <w:rStyle w:val="FootnoteReference"/>
          <w:rFonts w:eastAsia="Times New Roman"/>
          <w:noProof/>
        </w:rPr>
        <w:footnoteReference w:id="18"/>
      </w:r>
      <w:r w:rsidRPr="000D0D06">
        <w:rPr>
          <w:noProof/>
        </w:rPr>
        <w:t xml:space="preserve">. O seu objetivo era dar às partes interessadas a oportunidade de apresentarem observações sobre uma proposta consolidada relativa ao âmbito de aplicação do pacote </w:t>
      </w:r>
      <w:r w:rsidRPr="000D0D06">
        <w:rPr>
          <w:i/>
          <w:noProof/>
        </w:rPr>
        <w:t>omnibus</w:t>
      </w:r>
      <w:r w:rsidRPr="000D0D06">
        <w:rPr>
          <w:noProof/>
        </w:rPr>
        <w:t xml:space="preserve"> digital. Foram recebidas 513 respostas, apresentadas por diversos grupos de partes interessadas, nomeadamente empresas e associações empresariais, a sociedade civil, o meio académicos e autoridades, bem como contributos individuais dos cidadãos. </w:t>
      </w:r>
    </w:p>
    <w:p w14:paraId="1520C3C1" w14:textId="77777777" w:rsidR="004725FD" w:rsidRPr="000D0D06" w:rsidRDefault="00067C7F" w:rsidP="00CB052A">
      <w:pPr>
        <w:rPr>
          <w:rFonts w:eastAsia="Times New Roman"/>
          <w:noProof/>
        </w:rPr>
      </w:pPr>
      <w:r w:rsidRPr="000D0D06">
        <w:rPr>
          <w:noProof/>
        </w:rPr>
        <w:t xml:space="preserve">A vice-presidente executiva, Henna Virkkunen, organizou dois diálogos sobre a execução dos principais tópicos abordados no pacote </w:t>
      </w:r>
      <w:r w:rsidRPr="000D0D06">
        <w:rPr>
          <w:i/>
          <w:noProof/>
        </w:rPr>
        <w:t>omnibus</w:t>
      </w:r>
      <w:r w:rsidRPr="000D0D06">
        <w:rPr>
          <w:noProof/>
        </w:rPr>
        <w:t xml:space="preserve"> digital: o primeiro sobre a política de dados</w:t>
      </w:r>
      <w:r w:rsidRPr="000D0D06">
        <w:rPr>
          <w:rStyle w:val="FootnoteReference"/>
          <w:rFonts w:eastAsia="Times New Roman"/>
          <w:noProof/>
        </w:rPr>
        <w:footnoteReference w:id="19"/>
      </w:r>
      <w:r w:rsidRPr="000D0D06">
        <w:rPr>
          <w:noProof/>
        </w:rPr>
        <w:t xml:space="preserve"> (1 de julho de 2025) e o segundo sobre a política de cibersegurança</w:t>
      </w:r>
      <w:r w:rsidRPr="000D0D06">
        <w:rPr>
          <w:rStyle w:val="FootnoteReference"/>
          <w:rFonts w:eastAsia="Times New Roman"/>
          <w:noProof/>
        </w:rPr>
        <w:footnoteReference w:id="20"/>
      </w:r>
      <w:r w:rsidRPr="000D0D06">
        <w:rPr>
          <w:noProof/>
        </w:rPr>
        <w:t xml:space="preserve"> (15 de setembro). </w:t>
      </w:r>
    </w:p>
    <w:p w14:paraId="25028667" w14:textId="77777777" w:rsidR="00067C7F" w:rsidRPr="000D0D06" w:rsidRDefault="00FE50D4" w:rsidP="00CB052A">
      <w:pPr>
        <w:rPr>
          <w:rFonts w:eastAsia="Times New Roman"/>
          <w:noProof/>
        </w:rPr>
      </w:pPr>
      <w:r w:rsidRPr="000D0D06">
        <w:rPr>
          <w:noProof/>
        </w:rPr>
        <w:t>O comissária McGrath organizou um diálogo sobre a execução do RGPD (16 de julho de 2025).</w:t>
      </w:r>
    </w:p>
    <w:p w14:paraId="6CEAD53D" w14:textId="77777777" w:rsidR="00067C7F" w:rsidRPr="000D0D06" w:rsidRDefault="00067C7F" w:rsidP="00CB052A">
      <w:pPr>
        <w:rPr>
          <w:rFonts w:eastAsia="Times New Roman"/>
          <w:noProof/>
        </w:rPr>
      </w:pPr>
      <w:r w:rsidRPr="000D0D06">
        <w:rPr>
          <w:noProof/>
        </w:rPr>
        <w:t xml:space="preserve">Os serviços da Comissão realizaram igualmente vários «pontos da situação» — grupos-alvo aprofundados com empresas e representantes da sociedade civil, organizados entre 15 de setembro e 6 de outubro de 2025, para debater os desafios práticos de execução enfrentados no dia a dia e estimar os custos de conformidade. </w:t>
      </w:r>
    </w:p>
    <w:p w14:paraId="08036B5E" w14:textId="77777777" w:rsidR="00CB052A" w:rsidRPr="000D0D06" w:rsidRDefault="00CB052A" w:rsidP="00CB052A">
      <w:pPr>
        <w:rPr>
          <w:rFonts w:eastAsia="Times New Roman"/>
          <w:noProof/>
        </w:rPr>
      </w:pPr>
      <w:r w:rsidRPr="000D0D06">
        <w:rPr>
          <w:noProof/>
        </w:rPr>
        <w:t>Entre 4 de setembro e 16 de outubro de 2025, com vista a consultar especificamente as pequenas e médias empresas (PME) e recolher as suas reações, foi criado um painel PME específico através da Rede Europeia de Empresas (REE)</w:t>
      </w:r>
      <w:r w:rsidRPr="000D0D06">
        <w:rPr>
          <w:rStyle w:val="FootnoteReference"/>
          <w:rFonts w:eastAsia="Times New Roman"/>
          <w:noProof/>
        </w:rPr>
        <w:footnoteReference w:id="21"/>
      </w:r>
      <w:r w:rsidRPr="000D0D06">
        <w:rPr>
          <w:noProof/>
        </w:rPr>
        <w:t xml:space="preserve">. </w:t>
      </w:r>
    </w:p>
    <w:p w14:paraId="063A9F56" w14:textId="77777777" w:rsidR="00CB052A" w:rsidRPr="000D0D06" w:rsidRDefault="00CB052A" w:rsidP="00CB052A">
      <w:pPr>
        <w:rPr>
          <w:rFonts w:eastAsia="Times New Roman"/>
          <w:noProof/>
        </w:rPr>
      </w:pPr>
      <w:r w:rsidRPr="000D0D06">
        <w:rPr>
          <w:noProof/>
        </w:rPr>
        <w:t xml:space="preserve">Por último, os serviços da Comissão receberam inúmeros documentos de posição e organizaram reuniões bilaterais com várias partes interessadas. Os serviços da Comissão também interagiram com os Estados-Membros em mesas-redondas ou no contexto de vários grupos de trabalho do Conselho. </w:t>
      </w:r>
    </w:p>
    <w:p w14:paraId="11FF63D6" w14:textId="77777777" w:rsidR="00067C7F" w:rsidRPr="000D0D06" w:rsidRDefault="003C478E" w:rsidP="00CB052A">
      <w:pPr>
        <w:rPr>
          <w:rFonts w:eastAsia="Times New Roman"/>
          <w:noProof/>
        </w:rPr>
      </w:pPr>
      <w:r w:rsidRPr="000D0D06">
        <w:rPr>
          <w:noProof/>
        </w:rPr>
        <w:t>De um modo geral, as reações das partes interessadas convergiram quanto à necessidade de simplificar a aplicação de algumas das regras digitais. As partes interessadas congratularam-se com a ênfase dada à coerência e à consolidação das regras, bem como à otimização dos custos de conformidade.</w:t>
      </w:r>
    </w:p>
    <w:p w14:paraId="0DA5C80F" w14:textId="77777777" w:rsidR="002C3C62" w:rsidRPr="000D0D06" w:rsidRDefault="00067C7F" w:rsidP="00CB052A">
      <w:pPr>
        <w:rPr>
          <w:rFonts w:eastAsia="Times New Roman"/>
          <w:noProof/>
        </w:rPr>
      </w:pPr>
      <w:r w:rsidRPr="000D0D06">
        <w:rPr>
          <w:noProof/>
        </w:rPr>
        <w:t xml:space="preserve">Houve um claro apelo à simplificação do acervo em matéria de dados e à consolidação das regras. Estes aspetos são abordados na proposta, juntamente com alterações específicas apoiadas pelas partes interessadas, nomeadamente no que diz respeito ao Regulamento Geral sobre a Proteção de Dados e ao cansaço gerado pelas bandas de testemunhos de conexão. Além disso, as empresas chamaram a atenção para outras avaliações da interação entre as regras em matéria de dados que justificam uma análise mais aprofundada através dos instrumentos para legislar melhor, nomeadamente o próximo balanço de qualidade digital. </w:t>
      </w:r>
    </w:p>
    <w:p w14:paraId="2BF8AD95" w14:textId="3875916B" w:rsidR="002C3C62" w:rsidRPr="000D0D06" w:rsidRDefault="002C3C62" w:rsidP="00CB052A">
      <w:pPr>
        <w:rPr>
          <w:rFonts w:eastAsia="Times New Roman"/>
          <w:noProof/>
        </w:rPr>
      </w:pPr>
      <w:r w:rsidRPr="000D0D06">
        <w:rPr>
          <w:noProof/>
        </w:rPr>
        <w:t>As empresas de diferentes setores também chamaram a atenção para os encargos injustificados decorrentes da dupla comunicação de incidentes em vários quadros jurídicos. O referido apelo à ação é tratado através da proposta de um ponto de entrada único para a notificação de incidentes.</w:t>
      </w:r>
    </w:p>
    <w:p w14:paraId="7E280790" w14:textId="77777777" w:rsidR="002C3C62" w:rsidRPr="000D0D06" w:rsidRDefault="002C3C62" w:rsidP="00CB052A">
      <w:pPr>
        <w:rPr>
          <w:rFonts w:eastAsia="Times New Roman"/>
          <w:noProof/>
        </w:rPr>
      </w:pPr>
      <w:r w:rsidRPr="000D0D06">
        <w:rPr>
          <w:noProof/>
        </w:rPr>
        <w:t xml:space="preserve">No que diz respeito ao Regulamento da Inteligência Artificial, as partes interessadas referiram a necessidade de segurança jurídica na aplicação das regras e, em especial, salientaram a necessidade de dispor de normas e orientações antes da aplicação das regras. A proposta regulamentar em separado no âmbito do pacote </w:t>
      </w:r>
      <w:r w:rsidRPr="000D0D06">
        <w:rPr>
          <w:i/>
          <w:noProof/>
        </w:rPr>
        <w:t>omnibus</w:t>
      </w:r>
      <w:r w:rsidRPr="000D0D06">
        <w:rPr>
          <w:noProof/>
        </w:rPr>
        <w:t xml:space="preserve"> digital dá resposta às suas preocupações. </w:t>
      </w:r>
    </w:p>
    <w:p w14:paraId="60B728BB" w14:textId="77777777" w:rsidR="002C3C62" w:rsidRPr="000D0D06" w:rsidRDefault="002C3C62" w:rsidP="00CB052A">
      <w:pPr>
        <w:rPr>
          <w:rFonts w:eastAsia="Times New Roman"/>
          <w:noProof/>
        </w:rPr>
      </w:pPr>
      <w:r w:rsidRPr="000D0D06">
        <w:rPr>
          <w:noProof/>
        </w:rPr>
        <w:t xml:space="preserve">Por último, as partes interessadas não se manifestaram sobre o impacto do Regulamento Plataformas-Empresas, confirmando os resultados do relatório de avaliação intercalar de que as regras não são bem conhecidas nem eficazes na consecução do seu objetivo. O presente regulamento propõe a revogação das regras constantes do Regulamento Plataformas-Empresas, nomeadamente à luz da sua sobreposição com regras mais recentes. </w:t>
      </w:r>
    </w:p>
    <w:p w14:paraId="6DA26CDE" w14:textId="77777777" w:rsidR="00FF2EDA" w:rsidRPr="000D0D06" w:rsidRDefault="008E20E2" w:rsidP="008D6372">
      <w:pPr>
        <w:rPr>
          <w:rFonts w:eastAsia="Arial Unicode MS"/>
          <w:noProof/>
        </w:rPr>
      </w:pPr>
      <w:r w:rsidRPr="000D0D06">
        <w:rPr>
          <w:noProof/>
        </w:rPr>
        <w:t xml:space="preserve">O documento de trabalho dos serviços da Comissão que apoia o pacote </w:t>
      </w:r>
      <w:r w:rsidRPr="000D0D06">
        <w:rPr>
          <w:i/>
          <w:noProof/>
        </w:rPr>
        <w:t>omnibus</w:t>
      </w:r>
      <w:r w:rsidRPr="000D0D06">
        <w:rPr>
          <w:noProof/>
        </w:rPr>
        <w:t xml:space="preserve"> digital apresenta uma panorâmica pormenorizada destas consultas das partes interessadas e da forma como foram tidas em conta na proposta. </w:t>
      </w:r>
    </w:p>
    <w:p w14:paraId="0B375FD0" w14:textId="77777777" w:rsidR="00FF2EDA" w:rsidRPr="000D0D06" w:rsidRDefault="00FF2EDA" w:rsidP="60E008F6">
      <w:pPr>
        <w:pStyle w:val="ManualHeading2"/>
        <w:rPr>
          <w:rFonts w:eastAsia="Arial Unicode MS"/>
          <w:noProof/>
          <w:bdr w:val="nil"/>
        </w:rPr>
      </w:pPr>
      <w:r w:rsidRPr="000D0D06">
        <w:rPr>
          <w:noProof/>
          <w:bdr w:val="nil"/>
        </w:rPr>
        <w:t>•</w:t>
      </w:r>
      <w:r w:rsidRPr="000D0D06">
        <w:rPr>
          <w:noProof/>
        </w:rPr>
        <w:tab/>
      </w:r>
      <w:r w:rsidRPr="000D0D06">
        <w:rPr>
          <w:noProof/>
          <w:bdr w:val="nil"/>
        </w:rPr>
        <w:t>Recolha e utilização de conhecimentos especializados</w:t>
      </w:r>
    </w:p>
    <w:p w14:paraId="6663560C" w14:textId="77777777" w:rsidR="00A11598" w:rsidRPr="000D0D06" w:rsidRDefault="00820E1E" w:rsidP="60E008F6">
      <w:pPr>
        <w:pBdr>
          <w:top w:val="nil"/>
          <w:left w:val="nil"/>
          <w:bottom w:val="nil"/>
          <w:right w:val="nil"/>
          <w:between w:val="nil"/>
          <w:bar w:val="nil"/>
        </w:pBdr>
        <w:spacing w:before="0" w:after="240"/>
        <w:rPr>
          <w:noProof/>
        </w:rPr>
      </w:pPr>
      <w:r w:rsidRPr="000D0D06">
        <w:rPr>
          <w:noProof/>
        </w:rPr>
        <w:t xml:space="preserve">Para além das vertentes de consulta acima descritas, a Comissão baseou-se principalmente numa análise interna para efeitos da presente proposta. Foram também encomendados dois estudos para apoiar a análise dos capítulos da proposta relativos aos dados. O primeiro centrou-se na aplicação do Regulamento (UE) 2018/1807 (Regulamento Livre Fluxo de Dados Não Pessoais), da Diretiva (UE) 2019/1024 (Diretiva Dados Abertos) e do Regulamento (UE) 2022/868 (Regulamento Governação de Dados). O segundo estudo, mais estreitamente ligado à Comunicação sobre a Estratégia para uma União Europeia dos Dados (adotada no âmbito do mesmo pacote de simplificação juntamente com o pacote </w:t>
      </w:r>
      <w:r w:rsidRPr="000D0D06">
        <w:rPr>
          <w:i/>
          <w:noProof/>
        </w:rPr>
        <w:t>omnibus</w:t>
      </w:r>
      <w:r w:rsidRPr="000D0D06">
        <w:rPr>
          <w:noProof/>
        </w:rPr>
        <w:t xml:space="preserve"> digital), centrou-se na evolução da política em matéria de dados relacionada com a IA generativa, a conformidade regulamentar e as dimensões internacionais. Ambos os estudos estão a ser finalizados e serão publicados numa fase posterior. </w:t>
      </w:r>
    </w:p>
    <w:p w14:paraId="0BE90000" w14:textId="77777777" w:rsidR="00723715" w:rsidRPr="000D0D06" w:rsidRDefault="00723715" w:rsidP="60E008F6">
      <w:pPr>
        <w:pBdr>
          <w:top w:val="nil"/>
          <w:left w:val="nil"/>
          <w:bottom w:val="nil"/>
          <w:right w:val="nil"/>
          <w:between w:val="nil"/>
          <w:bar w:val="nil"/>
        </w:pBdr>
        <w:spacing w:before="0" w:after="240"/>
        <w:rPr>
          <w:rFonts w:eastAsia="Arial Unicode MS"/>
          <w:noProof/>
          <w:color w:val="008000"/>
        </w:rPr>
      </w:pPr>
      <w:r w:rsidRPr="000D0D06">
        <w:rPr>
          <w:noProof/>
        </w:rPr>
        <w:t xml:space="preserve">Os serviços da Comissão realizaram igualmente um estudo sobre a interação entre o Regulamento (UE) 2022/2065 (Regulamento dos Serviços Digitais) e outros atos legislativos, incluindo o Regulamento (UE) 2019/1150 (Regulamento P2B). No âmbito do pacote digital, a Comissão está a publicar o relatório que descreve a interação entre o Regulamento (UE) 2022/2065 (Regulamento dos Serviços Digitais) e outras normas conexas, em conformidade com o requisito previsto no artigo 91.º do Regulamento (UE) 2022/2065 (Regulamento dos Serviços Digitais). </w:t>
      </w:r>
    </w:p>
    <w:p w14:paraId="04B1BA39" w14:textId="77777777" w:rsidR="00FF2EDA" w:rsidRPr="000D0D06" w:rsidRDefault="00FF2EDA" w:rsidP="008C7057">
      <w:pPr>
        <w:pStyle w:val="ManualHeading2"/>
        <w:rPr>
          <w:rFonts w:eastAsia="Arial Unicode MS"/>
          <w:noProof/>
          <w:bdr w:val="nil"/>
        </w:rPr>
      </w:pPr>
      <w:r w:rsidRPr="000D0D06">
        <w:rPr>
          <w:noProof/>
          <w:bdr w:val="nil"/>
        </w:rPr>
        <w:t>•</w:t>
      </w:r>
      <w:r w:rsidRPr="000D0D06">
        <w:rPr>
          <w:noProof/>
        </w:rPr>
        <w:tab/>
      </w:r>
      <w:r w:rsidRPr="000D0D06">
        <w:rPr>
          <w:noProof/>
          <w:bdr w:val="nil"/>
        </w:rPr>
        <w:t>Avaliação de impacto</w:t>
      </w:r>
    </w:p>
    <w:p w14:paraId="3141D55B" w14:textId="77777777" w:rsidR="007B3ECB" w:rsidRPr="000D0D06" w:rsidRDefault="00EF33B7" w:rsidP="008C7057">
      <w:pPr>
        <w:pBdr>
          <w:top w:val="nil"/>
          <w:left w:val="nil"/>
          <w:bottom w:val="nil"/>
          <w:right w:val="nil"/>
          <w:between w:val="nil"/>
          <w:bar w:val="nil"/>
        </w:pBdr>
        <w:spacing w:before="0" w:after="240"/>
        <w:rPr>
          <w:noProof/>
        </w:rPr>
      </w:pPr>
      <w:r w:rsidRPr="000D0D06">
        <w:rPr>
          <w:noProof/>
        </w:rPr>
        <w:t xml:space="preserve">As alterações propostas no presente regulamento são específicas e de natureza técnica, destinando-se a assegurar uma aplicação mais eficiente das regras. Não são propensas a múltiplas opções estratégicas que possam ser testadas e comparadas de forma significativa e, em consonância com as orientações sobre Legislar Melhor, não são sustentadas por um relatório de avaliação de impacto completo. </w:t>
      </w:r>
    </w:p>
    <w:p w14:paraId="45A2C3D3" w14:textId="77777777" w:rsidR="00CE4405" w:rsidRPr="000D0D06" w:rsidRDefault="00243713" w:rsidP="008C7057">
      <w:pPr>
        <w:pBdr>
          <w:top w:val="nil"/>
          <w:left w:val="nil"/>
          <w:bottom w:val="nil"/>
          <w:right w:val="nil"/>
          <w:between w:val="nil"/>
          <w:bar w:val="nil"/>
        </w:pBdr>
        <w:spacing w:before="0" w:after="240"/>
        <w:rPr>
          <w:noProof/>
        </w:rPr>
      </w:pPr>
      <w:r w:rsidRPr="000D0D06">
        <w:rPr>
          <w:noProof/>
        </w:rPr>
        <w:t xml:space="preserve">O documento de trabalho dos serviços da Comissão em anexo aborda em profundidade a lógica de intervenção para as alterações e os pontos de vista das partes interessadas sobre as diferentes medidas, apresentando a análise custo-benefício das propostas, incluindo as economias de custos geradas e outros tipos de impactos. Em muitos casos, baseia-se nas respetivas avaliações de impacto inicialmente realizadas para os diferentes atos. </w:t>
      </w:r>
    </w:p>
    <w:p w14:paraId="103F3F3C" w14:textId="77777777" w:rsidR="00FF2EDA" w:rsidRPr="000D0D06" w:rsidRDefault="00FF2EDA" w:rsidP="008C7057">
      <w:pPr>
        <w:pStyle w:val="ManualHeading2"/>
        <w:rPr>
          <w:rFonts w:eastAsia="Arial Unicode MS"/>
          <w:noProof/>
          <w:bdr w:val="nil"/>
        </w:rPr>
      </w:pPr>
      <w:r w:rsidRPr="000D0D06">
        <w:rPr>
          <w:noProof/>
          <w:bdr w:val="nil"/>
        </w:rPr>
        <w:t>•</w:t>
      </w:r>
      <w:r w:rsidRPr="000D0D06">
        <w:rPr>
          <w:noProof/>
        </w:rPr>
        <w:tab/>
      </w:r>
      <w:r w:rsidRPr="000D0D06">
        <w:rPr>
          <w:noProof/>
          <w:bdr w:val="nil"/>
        </w:rPr>
        <w:t>Adequação da regulamentação e simplificação</w:t>
      </w:r>
    </w:p>
    <w:p w14:paraId="6569A282" w14:textId="77777777" w:rsidR="002E2EE4" w:rsidRPr="000D0D06" w:rsidRDefault="009C01DC" w:rsidP="008C7057">
      <w:pPr>
        <w:pBdr>
          <w:top w:val="nil"/>
          <w:left w:val="nil"/>
          <w:bottom w:val="nil"/>
          <w:right w:val="nil"/>
          <w:between w:val="nil"/>
          <w:bar w:val="nil"/>
        </w:pBdr>
        <w:spacing w:before="0" w:after="240"/>
        <w:rPr>
          <w:noProof/>
        </w:rPr>
      </w:pPr>
      <w:r w:rsidRPr="000D0D06">
        <w:rPr>
          <w:noProof/>
        </w:rPr>
        <w:t>A proposta de regulamento implica uma redução muito forte dos encargos para as empresas, bem como para as administrações públicas e os cidadãos. As estimativas iniciais preveem possíveis poupanças de, pelo menos, mil milhões de EUR por ano, a partir da sua data de entrada em vigor, com poupanças adicionais de mil milhões de EUR em custos pontuais, ascendendo a um total de, pelo menos, 5 mil milhões de EUR ao longo de três anos até 2029. Esperam-se também amplos benefícios não quantificáveis, nomeadamente devido a um conjunto simplificado de regras que facilitará o envolvimento das partes e o cumprimento das mesmas. Os cálculos excluem igualmente as oportunidades de negócio criadas pela abordagem regulamentar proposta.</w:t>
      </w:r>
    </w:p>
    <w:p w14:paraId="208C3A88" w14:textId="77777777" w:rsidR="00222AC1" w:rsidRPr="000D0D06" w:rsidRDefault="00F64724" w:rsidP="008C7057">
      <w:pPr>
        <w:pBdr>
          <w:top w:val="nil"/>
          <w:left w:val="nil"/>
          <w:bottom w:val="nil"/>
          <w:right w:val="nil"/>
          <w:between w:val="nil"/>
          <w:bar w:val="nil"/>
        </w:pBdr>
        <w:spacing w:before="0" w:after="240"/>
        <w:rPr>
          <w:noProof/>
        </w:rPr>
      </w:pPr>
      <w:r w:rsidRPr="000D0D06">
        <w:rPr>
          <w:noProof/>
        </w:rPr>
        <w:t>Embora as PME já estejam isentas ao abrigo de um certo número de disposições dos atos jurídicos alterados no pacote</w:t>
      </w:r>
      <w:r w:rsidRPr="000D0D06">
        <w:rPr>
          <w:i/>
          <w:noProof/>
        </w:rPr>
        <w:t xml:space="preserve"> omnibus</w:t>
      </w:r>
      <w:r w:rsidRPr="000D0D06">
        <w:rPr>
          <w:noProof/>
        </w:rPr>
        <w:t xml:space="preserve"> digital, são apresentadas novas medidas de apoio no domínio da mudança de prestador de serviços de computação em nuvem. No capítulo sobre regras harmonizadas de partilha de dados, algumas isenções já previstas para as PME são alargadas às pequenas empresas de média capitalização.</w:t>
      </w:r>
    </w:p>
    <w:p w14:paraId="3EAE3D10" w14:textId="77777777" w:rsidR="00A02407" w:rsidRPr="000D0D06" w:rsidRDefault="00A02407" w:rsidP="008C7057">
      <w:pPr>
        <w:pBdr>
          <w:top w:val="nil"/>
          <w:left w:val="nil"/>
          <w:bottom w:val="nil"/>
          <w:right w:val="nil"/>
          <w:between w:val="nil"/>
          <w:bar w:val="nil"/>
        </w:pBdr>
        <w:spacing w:before="0" w:after="240"/>
        <w:rPr>
          <w:noProof/>
        </w:rPr>
      </w:pPr>
      <w:r w:rsidRPr="000D0D06">
        <w:rPr>
          <w:noProof/>
        </w:rPr>
        <w:t xml:space="preserve">A proposta é também plenamente coerente com o «balanço digital» da Comissão, que visa assegurar o alinhamento adequado das propostas políticas com os ambientes digitais. Para mais informações sobre esta matéria, consultar o capítulo 4 da ficha financeira e digital da proposta legislativa em anexo. </w:t>
      </w:r>
    </w:p>
    <w:p w14:paraId="3D69577E" w14:textId="77777777" w:rsidR="00FF2EDA" w:rsidRPr="000D0D06" w:rsidRDefault="00FF2EDA" w:rsidP="008C7057">
      <w:pPr>
        <w:pStyle w:val="ManualHeading2"/>
        <w:rPr>
          <w:rFonts w:eastAsia="Arial Unicode MS"/>
          <w:noProof/>
          <w:bdr w:val="nil"/>
        </w:rPr>
      </w:pPr>
      <w:r w:rsidRPr="000D0D06">
        <w:rPr>
          <w:noProof/>
          <w:bdr w:val="nil"/>
        </w:rPr>
        <w:t>•</w:t>
      </w:r>
      <w:r w:rsidRPr="000D0D06">
        <w:rPr>
          <w:noProof/>
        </w:rPr>
        <w:tab/>
      </w:r>
      <w:r w:rsidRPr="000D0D06">
        <w:rPr>
          <w:noProof/>
          <w:bdr w:val="nil"/>
        </w:rPr>
        <w:t>Direitos fundamentais</w:t>
      </w:r>
    </w:p>
    <w:p w14:paraId="0D4E5DF5" w14:textId="77777777" w:rsidR="007B2617" w:rsidRPr="000D0D06" w:rsidRDefault="007B2617" w:rsidP="791084DF">
      <w:pPr>
        <w:pBdr>
          <w:top w:val="nil"/>
          <w:left w:val="nil"/>
          <w:bottom w:val="nil"/>
          <w:right w:val="nil"/>
          <w:between w:val="nil"/>
          <w:bar w:val="nil"/>
        </w:pBdr>
        <w:spacing w:before="0" w:after="240"/>
        <w:rPr>
          <w:noProof/>
        </w:rPr>
      </w:pPr>
      <w:r w:rsidRPr="000D0D06">
        <w:rPr>
          <w:noProof/>
        </w:rPr>
        <w:t xml:space="preserve">As alterações propostas apoiam as oportunidades de inovação para as empresas no mercado único, promovendo assim a liberdade de empresa na União. </w:t>
      </w:r>
    </w:p>
    <w:p w14:paraId="12774A09" w14:textId="77777777" w:rsidR="795F11EC" w:rsidRPr="000D0D06" w:rsidRDefault="007B2617" w:rsidP="791084DF">
      <w:pPr>
        <w:pBdr>
          <w:top w:val="nil"/>
          <w:left w:val="nil"/>
          <w:bottom w:val="nil"/>
          <w:right w:val="nil"/>
          <w:between w:val="nil"/>
          <w:bar w:val="nil"/>
        </w:pBdr>
        <w:spacing w:before="0" w:after="240"/>
        <w:rPr>
          <w:noProof/>
        </w:rPr>
      </w:pPr>
      <w:r w:rsidRPr="000D0D06">
        <w:rPr>
          <w:noProof/>
        </w:rPr>
        <w:t>Certas disposições estão também relacionadas com a proteção e a promoção de outros direitos fundamentais, nomeadamente o direito à privacidade e à proteção dos dados pessoais, e foram calibradas para preservar o mais elevado nível de proteção e apoiar as pessoas no exercício efetivo dos seus direitos, otimizando simultaneamente os custos e criando novas oportunidades de inovação. Ao fazê-lo, a proposta respeita estritamente o princípio da proporcionalidade consagrado no artigo 52.º da Carta.</w:t>
      </w:r>
    </w:p>
    <w:p w14:paraId="0560006F" w14:textId="77777777" w:rsidR="795F11EC" w:rsidRPr="000D0D06" w:rsidRDefault="7A520E5E" w:rsidP="795F11EC">
      <w:pPr>
        <w:pBdr>
          <w:top w:val="nil"/>
          <w:left w:val="nil"/>
          <w:bottom w:val="nil"/>
          <w:right w:val="nil"/>
          <w:between w:val="nil"/>
          <w:bar w:val="nil"/>
        </w:pBdr>
        <w:spacing w:before="0" w:after="240"/>
        <w:rPr>
          <w:noProof/>
        </w:rPr>
      </w:pPr>
      <w:r w:rsidRPr="000D0D06">
        <w:rPr>
          <w:noProof/>
        </w:rPr>
        <w:t xml:space="preserve">No caso particular das alterações específicas do Regulamento (UE) 2016/679 (Regulamento Geral sobre a Proteção de Dados) e do Regulamento (UE) 2018/1725, as alterações propostas simplificariam os requisitos para o tratamento de baixo risco, harmonizariam determinadas normas e clarificariam determinados conceitos fundamentais do Regulamento (UE) 2016/679 (Regulamento Geral sobre a Proteção de Dados) e do Regulamento (UE) 2018/1725, permitindo aos responsáveis pelo tratamento aplicar políticas de proteção de dados mais eficazes. Tal permitir-lhes-ia concentrar os seus recursos em atividades com utilização mais intensiva de dados e de alto risco, para as quais as medidas de proteção dos dados pessoais são mais críticas. </w:t>
      </w:r>
    </w:p>
    <w:p w14:paraId="4EFD4889" w14:textId="11588539" w:rsidR="002F4620" w:rsidRPr="000D0D06" w:rsidRDefault="002F4620" w:rsidP="795F11EC">
      <w:pPr>
        <w:pBdr>
          <w:top w:val="nil"/>
          <w:left w:val="nil"/>
          <w:bottom w:val="nil"/>
          <w:right w:val="nil"/>
          <w:between w:val="nil"/>
          <w:bar w:val="nil"/>
        </w:pBdr>
        <w:spacing w:before="0" w:after="240"/>
        <w:rPr>
          <w:noProof/>
        </w:rPr>
      </w:pPr>
      <w:r w:rsidRPr="000D0D06">
        <w:rPr>
          <w:noProof/>
        </w:rPr>
        <w:t xml:space="preserve">No que diz respeito à privacidade das comunicações, a proposta preserva o mais elevado nível de proteção, incluindo o acesso aos equipamentos terminais com base no consentimento. A alteração da Diretiva 2002/58/CE (Diretiva Privacidade Eletrónica) não altera as proteções de fundo. Alinha as regras de tratamento de dados pessoais em e a partir de equipamentos terminais com as do Regulamento (UE) 2016/679 (Regulamento Geral sobre a Proteção de Dados). As regras sobre a integridade dos equipamentos terminais ao abrigo da diretiva são mantidas quando são tratados dados não pessoais. </w:t>
      </w:r>
    </w:p>
    <w:p w14:paraId="65D4A208" w14:textId="77777777" w:rsidR="00FF2EDA" w:rsidRPr="000D0D06" w:rsidRDefault="00FF2EDA" w:rsidP="008C7057">
      <w:pPr>
        <w:pStyle w:val="ManualHeading1"/>
        <w:rPr>
          <w:noProof/>
        </w:rPr>
      </w:pPr>
      <w:r w:rsidRPr="000D0D06">
        <w:rPr>
          <w:noProof/>
        </w:rPr>
        <w:t>4.</w:t>
      </w:r>
      <w:r w:rsidRPr="000D0D06">
        <w:rPr>
          <w:noProof/>
        </w:rPr>
        <w:tab/>
        <w:t>INCIDÊNCIA ORÇAMENTAL</w:t>
      </w:r>
    </w:p>
    <w:p w14:paraId="29590D2F" w14:textId="0BFB9CE6" w:rsidR="00FF2EDA" w:rsidRPr="000D0D06" w:rsidRDefault="00CB5A51" w:rsidP="60E008F6">
      <w:pPr>
        <w:pBdr>
          <w:top w:val="nil"/>
          <w:left w:val="nil"/>
          <w:bottom w:val="nil"/>
          <w:right w:val="nil"/>
          <w:between w:val="nil"/>
          <w:bar w:val="nil"/>
        </w:pBdr>
        <w:spacing w:before="0" w:after="240"/>
        <w:rPr>
          <w:rFonts w:eastAsia="Arial Unicode MS"/>
          <w:noProof/>
        </w:rPr>
      </w:pPr>
      <w:r w:rsidRPr="000D0D06">
        <w:rPr>
          <w:noProof/>
        </w:rPr>
        <w:t>A incidência orçamental da criação e manutenção do ponto de entrada único para a notificação de incidentes pela Agência da União Europeia para a Cibersegurança (ENISA) é descrita em pormenor na revisão do Regulamento (UE) 2019/881 (Regulamento Cibersegurança), como parte dos recursos para a ENISA.</w:t>
      </w:r>
    </w:p>
    <w:p w14:paraId="585B9CB7" w14:textId="77777777" w:rsidR="00FF2EDA" w:rsidRPr="000D0D06" w:rsidRDefault="00FF2EDA" w:rsidP="008C7057">
      <w:pPr>
        <w:pStyle w:val="ManualHeading1"/>
        <w:rPr>
          <w:noProof/>
        </w:rPr>
      </w:pPr>
      <w:r w:rsidRPr="000D0D06">
        <w:rPr>
          <w:noProof/>
        </w:rPr>
        <w:t>5.</w:t>
      </w:r>
      <w:r w:rsidRPr="000D0D06">
        <w:rPr>
          <w:noProof/>
        </w:rPr>
        <w:tab/>
        <w:t>OUTROS ELEMENTOS</w:t>
      </w:r>
    </w:p>
    <w:p w14:paraId="4D97EDC0" w14:textId="77777777" w:rsidR="00FF2EDA" w:rsidRPr="000D0D06" w:rsidRDefault="00FF2EDA" w:rsidP="60E008F6">
      <w:pPr>
        <w:pStyle w:val="ManualHeading2"/>
        <w:rPr>
          <w:rFonts w:eastAsia="Arial Unicode MS"/>
          <w:noProof/>
          <w:bdr w:val="nil"/>
        </w:rPr>
      </w:pPr>
      <w:r w:rsidRPr="000D0D06">
        <w:rPr>
          <w:noProof/>
          <w:bdr w:val="nil"/>
        </w:rPr>
        <w:t>•</w:t>
      </w:r>
      <w:r w:rsidRPr="000D0D06">
        <w:rPr>
          <w:noProof/>
        </w:rPr>
        <w:tab/>
      </w:r>
      <w:r w:rsidRPr="000D0D06">
        <w:rPr>
          <w:noProof/>
          <w:bdr w:val="nil"/>
        </w:rPr>
        <w:t>Planos de execução e acompanhamento, avaliação e prestação de informações</w:t>
      </w:r>
    </w:p>
    <w:p w14:paraId="5888AD59" w14:textId="77777777" w:rsidR="00FF2EDA" w:rsidRPr="000D0D06" w:rsidRDefault="005D5A3C" w:rsidP="60E008F6">
      <w:pPr>
        <w:pBdr>
          <w:top w:val="nil"/>
          <w:left w:val="nil"/>
          <w:bottom w:val="nil"/>
          <w:right w:val="nil"/>
          <w:between w:val="nil"/>
          <w:bar w:val="nil"/>
        </w:pBdr>
        <w:spacing w:before="0" w:after="240"/>
        <w:rPr>
          <w:rFonts w:eastAsia="Arial Unicode MS"/>
          <w:noProof/>
        </w:rPr>
      </w:pPr>
      <w:r w:rsidRPr="000D0D06">
        <w:rPr>
          <w:noProof/>
        </w:rPr>
        <w:t>Não aplicável.</w:t>
      </w:r>
    </w:p>
    <w:p w14:paraId="0E6F1DEE" w14:textId="77777777" w:rsidR="00FF2EDA" w:rsidRPr="000D0D06" w:rsidRDefault="00FF2EDA" w:rsidP="008D6372">
      <w:pPr>
        <w:pStyle w:val="ManualHeading2"/>
        <w:ind w:left="0" w:firstLine="0"/>
        <w:rPr>
          <w:rFonts w:eastAsia="Arial Unicode MS"/>
          <w:noProof/>
          <w:bdr w:val="nil"/>
        </w:rPr>
      </w:pPr>
      <w:r w:rsidRPr="000D0D06">
        <w:rPr>
          <w:noProof/>
          <w:bdr w:val="nil"/>
        </w:rPr>
        <w:t>•</w:t>
      </w:r>
      <w:r w:rsidRPr="000D0D06">
        <w:rPr>
          <w:noProof/>
        </w:rPr>
        <w:tab/>
      </w:r>
      <w:r w:rsidRPr="000D0D06">
        <w:rPr>
          <w:noProof/>
          <w:bdr w:val="nil"/>
        </w:rPr>
        <w:t>Explicação pormenorizada das disposições específicas da proposta</w:t>
      </w:r>
    </w:p>
    <w:p w14:paraId="57DBEAD5" w14:textId="77777777" w:rsidR="00371EC8" w:rsidRPr="000D0D06" w:rsidRDefault="00371EC8" w:rsidP="008C7057">
      <w:pPr>
        <w:pBdr>
          <w:top w:val="nil"/>
          <w:left w:val="nil"/>
          <w:bottom w:val="nil"/>
          <w:right w:val="nil"/>
          <w:between w:val="nil"/>
          <w:bar w:val="nil"/>
        </w:pBdr>
        <w:spacing w:before="0" w:after="240"/>
        <w:rPr>
          <w:rFonts w:eastAsia="Arial Unicode MS"/>
          <w:b/>
          <w:bCs/>
          <w:noProof/>
        </w:rPr>
      </w:pPr>
      <w:r w:rsidRPr="000D0D06">
        <w:rPr>
          <w:b/>
          <w:i/>
          <w:noProof/>
        </w:rPr>
        <w:t>Alterações do Regulamento (UE) 2023/2854 — Regulamento dos Dados</w:t>
      </w:r>
    </w:p>
    <w:p w14:paraId="2ACCD023" w14:textId="77777777" w:rsidR="006A2CDB" w:rsidRPr="000D0D06" w:rsidRDefault="005B35BF" w:rsidP="008C7057">
      <w:pPr>
        <w:pBdr>
          <w:top w:val="nil"/>
          <w:left w:val="nil"/>
          <w:bottom w:val="nil"/>
          <w:right w:val="nil"/>
          <w:between w:val="nil"/>
          <w:bar w:val="nil"/>
        </w:pBdr>
        <w:spacing w:before="0" w:after="240"/>
        <w:rPr>
          <w:rFonts w:eastAsia="Arial Unicode MS"/>
          <w:noProof/>
        </w:rPr>
      </w:pPr>
      <w:r w:rsidRPr="000D0D06">
        <w:rPr>
          <w:noProof/>
        </w:rPr>
        <w:t xml:space="preserve">As alterações do quadro jurídico em matéria de dados consolidam de forma robustamente simplificada as disposições do Regulamento (UE) 2023/2854 (Regulamento Livre Fluxo de Dados), do Regulamento (UE) 2018/1807 (Regulamento Governação de Dados) e da Diretiva (UE) 2019/1024 (Diretiva Dados Abertos) no Regulamento (UE) 2022/868 (Regulamento dos Dados). O capítulo I inclui igualmente alterações específicas para ajustar as atuais regras do Regulamento (UE) 2023/2854 (Regulamento dos Dados). </w:t>
      </w:r>
    </w:p>
    <w:p w14:paraId="0E5991A1" w14:textId="77777777" w:rsidR="00E239D0" w:rsidRPr="000D0D06" w:rsidRDefault="00404C21" w:rsidP="3686E430">
      <w:pPr>
        <w:pBdr>
          <w:top w:val="nil"/>
          <w:left w:val="nil"/>
          <w:bottom w:val="nil"/>
          <w:right w:val="nil"/>
          <w:between w:val="nil"/>
          <w:bar w:val="nil"/>
        </w:pBdr>
        <w:spacing w:before="0" w:after="240"/>
        <w:rPr>
          <w:rFonts w:eastAsia="Times New Roman"/>
          <w:noProof/>
        </w:rPr>
      </w:pPr>
      <w:r w:rsidRPr="000D0D06">
        <w:rPr>
          <w:noProof/>
        </w:rPr>
        <w:t xml:space="preserve">O artigo 1.º abrange alterações do Regulamento (UE) 2023/2854 relativas a regras harmonizadas sobre o acesso equitativo aos dados e a sua utilização, bem como a alteração do Regulamento (UE) 2017/2394 e da Diretiva (UE) 2020/1828 (Regulamento dos Dados). </w:t>
      </w:r>
    </w:p>
    <w:p w14:paraId="1D3488D5" w14:textId="77777777" w:rsidR="006A2CDB" w:rsidRPr="000D0D06" w:rsidRDefault="006A2CDB" w:rsidP="006A2CDB">
      <w:pPr>
        <w:pBdr>
          <w:top w:val="nil"/>
          <w:left w:val="nil"/>
          <w:bottom w:val="nil"/>
          <w:right w:val="nil"/>
          <w:between w:val="nil"/>
          <w:bar w:val="nil"/>
        </w:pBdr>
        <w:spacing w:before="0" w:after="240"/>
        <w:rPr>
          <w:b/>
          <w:bCs/>
          <w:noProof/>
        </w:rPr>
      </w:pPr>
      <w:r w:rsidRPr="000D0D06">
        <w:rPr>
          <w:b/>
          <w:noProof/>
        </w:rPr>
        <w:t>No artigo 1.º:</w:t>
      </w:r>
    </w:p>
    <w:p w14:paraId="037227D4" w14:textId="77777777" w:rsidR="00E61E72" w:rsidRPr="000D0D06" w:rsidRDefault="006A2CDB" w:rsidP="3686E430">
      <w:pPr>
        <w:pBdr>
          <w:top w:val="nil"/>
          <w:left w:val="nil"/>
          <w:bottom w:val="nil"/>
          <w:right w:val="nil"/>
          <w:between w:val="nil"/>
          <w:bar w:val="nil"/>
        </w:pBdr>
        <w:spacing w:before="0" w:after="240"/>
        <w:rPr>
          <w:rFonts w:eastAsia="Times New Roman"/>
          <w:noProof/>
        </w:rPr>
      </w:pPr>
      <w:r w:rsidRPr="000D0D06">
        <w:rPr>
          <w:noProof/>
        </w:rPr>
        <w:t xml:space="preserve">O n.º 1 atualiza o âmbito de aplicação do Regulamento (UE) 2023/2854 (Regulamento dos Dados), no qual serão inseridos novos capítulos, conforme explicado mais adiante. </w:t>
      </w:r>
    </w:p>
    <w:p w14:paraId="4D6E9854" w14:textId="77777777" w:rsidR="00A36D01" w:rsidRPr="000D0D06" w:rsidRDefault="006A2CDB" w:rsidP="3686E430">
      <w:pPr>
        <w:pBdr>
          <w:top w:val="nil"/>
          <w:left w:val="nil"/>
          <w:bottom w:val="nil"/>
          <w:right w:val="nil"/>
          <w:between w:val="nil"/>
          <w:bar w:val="nil"/>
        </w:pBdr>
        <w:spacing w:before="0" w:after="240"/>
        <w:rPr>
          <w:rFonts w:eastAsia="Times New Roman"/>
          <w:noProof/>
        </w:rPr>
      </w:pPr>
      <w:r w:rsidRPr="000D0D06">
        <w:rPr>
          <w:noProof/>
        </w:rPr>
        <w:t>O n.º 2 altera as definições e insere novas definições.</w:t>
      </w:r>
    </w:p>
    <w:p w14:paraId="26D69DB7" w14:textId="77777777" w:rsidR="009E550E" w:rsidRPr="000D0D06" w:rsidRDefault="006A2CDB" w:rsidP="003F2C09">
      <w:pPr>
        <w:pBdr>
          <w:top w:val="nil"/>
          <w:left w:val="nil"/>
          <w:bottom w:val="nil"/>
          <w:right w:val="nil"/>
          <w:between w:val="nil"/>
          <w:bar w:val="nil"/>
        </w:pBdr>
        <w:spacing w:before="0" w:after="240"/>
        <w:rPr>
          <w:rFonts w:eastAsia="Times New Roman"/>
          <w:noProof/>
        </w:rPr>
      </w:pPr>
      <w:r w:rsidRPr="000D0D06">
        <w:rPr>
          <w:noProof/>
        </w:rPr>
        <w:t xml:space="preserve">O n.º 3 cria uma nova regra ao abrigo do artigo 4.º, n.º 8, do Regulamento (UE) 2023/2854 (Regulamento dos Dados) que permite aos detentores dos dados recusar a divulgação de segredos comerciais a um utilizador quando exista um elevado risco de aquisição, utilização ou divulgação ilegais a países terceiros, ou a entidades sob o seu controlo, que estejam sujeitos a jurisdições com proteções mais fracas do que as disponíveis na União. </w:t>
      </w:r>
    </w:p>
    <w:p w14:paraId="126D4F19" w14:textId="77777777" w:rsidR="003F2C09" w:rsidRPr="000D0D06" w:rsidRDefault="009E550E" w:rsidP="003F2C09">
      <w:pPr>
        <w:pBdr>
          <w:top w:val="nil"/>
          <w:left w:val="nil"/>
          <w:bottom w:val="nil"/>
          <w:right w:val="nil"/>
          <w:between w:val="nil"/>
          <w:bar w:val="nil"/>
        </w:pBdr>
        <w:spacing w:before="0" w:after="240"/>
        <w:rPr>
          <w:rFonts w:eastAsia="Times New Roman"/>
          <w:noProof/>
        </w:rPr>
      </w:pPr>
      <w:r w:rsidRPr="000D0D06">
        <w:rPr>
          <w:noProof/>
        </w:rPr>
        <w:t>O n.º 5 introduz a mesma regra para o artigo 5.º, n.º 11, do Regulamento (UE) 2023/2854 (Regulamento dos Dados), relativo aos detentores dos dados que divulgam segredos comerciais a terceiros.</w:t>
      </w:r>
    </w:p>
    <w:p w14:paraId="06802EDA" w14:textId="77777777" w:rsidR="003F2C09" w:rsidRPr="000D0D06" w:rsidRDefault="006A2CDB" w:rsidP="003F2C09">
      <w:pPr>
        <w:pBdr>
          <w:top w:val="nil"/>
          <w:left w:val="nil"/>
          <w:bottom w:val="nil"/>
          <w:right w:val="nil"/>
          <w:between w:val="nil"/>
          <w:bar w:val="nil"/>
        </w:pBdr>
        <w:spacing w:before="0" w:after="240"/>
        <w:rPr>
          <w:rFonts w:eastAsia="Times New Roman"/>
          <w:noProof/>
        </w:rPr>
      </w:pPr>
      <w:r w:rsidRPr="000D0D06">
        <w:rPr>
          <w:noProof/>
        </w:rPr>
        <w:t>Os n.</w:t>
      </w:r>
      <w:r w:rsidRPr="000D0D06">
        <w:rPr>
          <w:noProof/>
          <w:vertAlign w:val="superscript"/>
        </w:rPr>
        <w:t>os</w:t>
      </w:r>
      <w:r w:rsidRPr="000D0D06">
        <w:rPr>
          <w:noProof/>
        </w:rPr>
        <w:t> 5 a 19 restringem o âmbito de aplicação do capítulo V, passando de «necessidades excecionais» a apenas «emergências públicas». São suprimidos o artigo 14.º e o artigo 15.º e é criado um novo artigo 15.º-A, que passa a ser o único artigo para os pedidos em situações de emergência pública ao abrigo do regime B2G do Regulamento (UE) 2023/2854 (Regulamento dos Dados). Os pedidos podem ser apresentados quando necessário para responder a uma emergência pública (artigo 15.º-A, n.º 2) ou para atenuar ou apoiar a recuperação de uma emergência pública (artigo 15.º-A, n.º 3). As referências cruzadas são ajustadas em conformidade, e a linguagem é simplificada e clarificada. O artigo 1.º, n.º 21, cria um novo artigo 22.º-A que enquadra o regime de reclamações ao abrigo do capítulo V, fundindo disposições anteriormente repetidas.</w:t>
      </w:r>
    </w:p>
    <w:p w14:paraId="7E922095" w14:textId="4EBED814" w:rsidR="00153DBC" w:rsidRPr="000D0D06" w:rsidRDefault="006A2CDB" w:rsidP="008D6372">
      <w:pPr>
        <w:pBdr>
          <w:top w:val="nil"/>
          <w:left w:val="nil"/>
          <w:bottom w:val="nil"/>
          <w:right w:val="nil"/>
          <w:between w:val="nil"/>
          <w:bar w:val="nil"/>
        </w:pBdr>
        <w:spacing w:before="0" w:after="240"/>
        <w:rPr>
          <w:noProof/>
          <w:color w:val="7F215D"/>
          <w:u w:val="single"/>
        </w:rPr>
      </w:pPr>
      <w:r w:rsidRPr="000D0D06">
        <w:rPr>
          <w:noProof/>
        </w:rPr>
        <w:t>Os n.</w:t>
      </w:r>
      <w:r w:rsidRPr="000D0D06">
        <w:rPr>
          <w:noProof/>
          <w:vertAlign w:val="superscript"/>
        </w:rPr>
        <w:t>os</w:t>
      </w:r>
      <w:r w:rsidRPr="000D0D06">
        <w:rPr>
          <w:noProof/>
        </w:rPr>
        <w:t xml:space="preserve"> 20 a 22 incluem determinadas isenções ao capítulo VI do Regulamento (UE) 2023/2854 (Regulamento dos Dados) (mudança entre serviços de tratamento de dados): no artigo 31.º, é inserido um regime específico mais leve para os serviços de tratamento de dados customizados, ou seja, serviços de tratamento de dados que não estejam prontos a utilizar e que não funcionem sem uma adaptação prévia às necessidades e ao ecossistema do utilizador, sempre que sejam prestados com base em contratos celebrados antes de 12 de setembro de 2025. Do mesmo modo, no artigo 31.º, é inserido um novo regime específico mais leve para os serviços de tratamento de dados prestados por PME e pequenas empresas de média capitalização com base em contratos celebrados antes de 12 de setembro de 2025, acompanhado da clarificação de que estes prestadores podem incluir sanções de rescisão antecipada nos contratos a termo. </w:t>
      </w:r>
    </w:p>
    <w:p w14:paraId="46F8E798" w14:textId="0A745DC5" w:rsidR="00F3683A" w:rsidRPr="000D0D06" w:rsidRDefault="006A2CDB" w:rsidP="3686E430">
      <w:pPr>
        <w:pBdr>
          <w:top w:val="nil"/>
          <w:left w:val="nil"/>
          <w:bottom w:val="nil"/>
          <w:right w:val="nil"/>
          <w:between w:val="nil"/>
          <w:bar w:val="nil"/>
        </w:pBdr>
        <w:spacing w:before="0" w:after="240"/>
        <w:rPr>
          <w:noProof/>
        </w:rPr>
      </w:pPr>
      <w:r w:rsidRPr="000D0D06">
        <w:rPr>
          <w:noProof/>
        </w:rPr>
        <w:t>Os n.</w:t>
      </w:r>
      <w:r w:rsidRPr="000D0D06">
        <w:rPr>
          <w:noProof/>
          <w:vertAlign w:val="superscript"/>
        </w:rPr>
        <w:t>os</w:t>
      </w:r>
      <w:r w:rsidRPr="000D0D06">
        <w:rPr>
          <w:noProof/>
        </w:rPr>
        <w:t xml:space="preserve"> 23 a 25 incluem alterações do artigo 32.º do Regulamento (UE) 2023/2854 (Regulamento dos Dados) resultantes da integração dos organismos atualmente regidos pelo Regulamento (UE) 2022/868 (Regulamento Governação de Dados) no Regulamento (UE) 2023/2854 (Regulamento dos Dados). </w:t>
      </w:r>
    </w:p>
    <w:p w14:paraId="55D9889C" w14:textId="77777777" w:rsidR="008F5F81" w:rsidRPr="000D0D06" w:rsidRDefault="006A2CDB" w:rsidP="3686E430">
      <w:pPr>
        <w:pBdr>
          <w:top w:val="nil"/>
          <w:left w:val="nil"/>
          <w:bottom w:val="nil"/>
          <w:right w:val="nil"/>
          <w:between w:val="nil"/>
          <w:bar w:val="nil"/>
        </w:pBdr>
        <w:spacing w:before="0" w:after="240"/>
        <w:rPr>
          <w:noProof/>
        </w:rPr>
      </w:pPr>
      <w:r w:rsidRPr="000D0D06">
        <w:rPr>
          <w:noProof/>
        </w:rPr>
        <w:t>O n.º 26 suprime a obrigação de os fornecedores de contratos inteligentes cumprirem os requisitos essenciais, conferindo à Comissão poderes para adotar normas harmonizadas.</w:t>
      </w:r>
    </w:p>
    <w:p w14:paraId="155AB313" w14:textId="3471DB65" w:rsidR="00E42D9B" w:rsidRPr="000D0D06" w:rsidRDefault="006A2CDB" w:rsidP="3686E430">
      <w:pPr>
        <w:pBdr>
          <w:top w:val="nil"/>
          <w:left w:val="nil"/>
          <w:bottom w:val="nil"/>
          <w:right w:val="nil"/>
          <w:between w:val="nil"/>
          <w:bar w:val="nil"/>
        </w:pBdr>
        <w:spacing w:before="0" w:after="240"/>
        <w:rPr>
          <w:noProof/>
        </w:rPr>
      </w:pPr>
      <w:r w:rsidRPr="000D0D06">
        <w:rPr>
          <w:noProof/>
        </w:rPr>
        <w:t xml:space="preserve">O n.º 27 integra dois regimes jurídicos atualmente previstos no Regulamento (UE) 2022/868 (Regulamento Governação de Dados), um regulamento que será revogado quando o regulamento </w:t>
      </w:r>
      <w:r w:rsidRPr="000D0D06">
        <w:rPr>
          <w:i/>
          <w:noProof/>
        </w:rPr>
        <w:t>Omnibus</w:t>
      </w:r>
      <w:r w:rsidRPr="000D0D06">
        <w:rPr>
          <w:noProof/>
        </w:rPr>
        <w:t xml:space="preserve"> entrar em vigor. Este ponto reforma as atuais regras dos capítulos III e IV do Regulamento Governação de Dados, que preveem um regime de notificação obrigatório para os prestadores de serviços de intermediação de dados e um regime de registo voluntário para as organizações de altruísmo de dados. Os dois regimes são inseridos num novo capítulo VII-A no Regulamento (UE) 2023/2854 (Regulamento dos Dados). Tendo em conta a natureza emergente do mercado dos serviços de intermediação de dados, as obrigações do Regulamento (UE) 2022/868 (Regulamento Governação de Dados) devem ser tornadas mais flexíveis para que este mercado possa crescer. Por um lado, o regime aplicável aos prestadores de serviços de intermediação de dados deve ser transformado num regime voluntário. Em segundo lugar, a obrigação mais crítica, a de manter os serviços de intermediação de dados juridicamente separados de qualquer outro serviço que uma empresa possa querer oferecer, será substituída por uma obrigação de manter os serviços funcionalmente separados, a par de um conjunto adicional de condições. Por último, a lista de obrigações é drasticamente reduzida. No que diz respeito ao altruísmo de dados, são revogadas as obrigações de notificação e de transparência para as organizações de altruísmo de dados, bem como a ideia de complementar as regras do Regulamento (UE) 2022/868 (Regulamento Governação de Dados) num código normativo de altruísmo de dados com regras ainda mais pormenorizadas.</w:t>
      </w:r>
    </w:p>
    <w:p w14:paraId="539490AE" w14:textId="0EFA901B" w:rsidR="001C53B7" w:rsidRPr="000D0D06" w:rsidRDefault="00E700D0" w:rsidP="0241D38E">
      <w:pPr>
        <w:pBdr>
          <w:top w:val="nil"/>
          <w:left w:val="nil"/>
          <w:bottom w:val="nil"/>
          <w:right w:val="nil"/>
          <w:between w:val="nil"/>
          <w:bar w:val="nil"/>
        </w:pBdr>
        <w:spacing w:before="0" w:after="240"/>
        <w:rPr>
          <w:noProof/>
        </w:rPr>
      </w:pPr>
      <w:r w:rsidRPr="000D0D06">
        <w:rPr>
          <w:noProof/>
        </w:rPr>
        <w:t xml:space="preserve">É introduzido um novo capítulo VII-B, ao abrigo do qual a proibição de requisitos de localização de dados não pessoais na União, anteriormente prevista no Regulamento (UE) 2018/1807 (Regulamento Livre Fluxo de Dados Não Pessoais), que será revogado, é inserida no Regulamento (UE) 2023/2854 (Regulamento dos Dados). A obrigação de notificar a Comissão mantém-se, mas suprime-se o ponto de informação único nacional em linha onde os Estados-Membros devem publicar os requisitos aplicáveis em matéria de localização de dados. </w:t>
      </w:r>
    </w:p>
    <w:p w14:paraId="057F4692" w14:textId="77777777" w:rsidR="00E42D9B" w:rsidRPr="000D0D06" w:rsidRDefault="002B1AE2" w:rsidP="3686E430">
      <w:pPr>
        <w:pBdr>
          <w:top w:val="nil"/>
          <w:left w:val="nil"/>
          <w:bottom w:val="nil"/>
          <w:right w:val="nil"/>
          <w:between w:val="nil"/>
          <w:bar w:val="nil"/>
        </w:pBdr>
        <w:spacing w:before="0" w:after="240"/>
        <w:rPr>
          <w:noProof/>
        </w:rPr>
      </w:pPr>
      <w:r w:rsidRPr="000D0D06">
        <w:rPr>
          <w:noProof/>
        </w:rPr>
        <w:t>Os n.</w:t>
      </w:r>
      <w:r w:rsidRPr="000D0D06">
        <w:rPr>
          <w:noProof/>
          <w:vertAlign w:val="superscript"/>
        </w:rPr>
        <w:t>os</w:t>
      </w:r>
      <w:r w:rsidRPr="000D0D06">
        <w:rPr>
          <w:noProof/>
        </w:rPr>
        <w:t xml:space="preserve"> 4 e 33 a 58 introduzem as disposições fundidas sobre a reutilização de dados e documentos na posse de organismos do setor público ao abrigo do capítulo II do Regulamento (UE) 2022/868 (Regulamento Governação de Dados) e da Diretiva (UE) 2019/1024 (Diretiva Dados Abertos): </w:t>
      </w:r>
    </w:p>
    <w:p w14:paraId="7EC2FCF7" w14:textId="77777777" w:rsidR="0008142A" w:rsidRPr="000D0D06" w:rsidRDefault="0008142A" w:rsidP="0014764C">
      <w:pPr>
        <w:pStyle w:val="Bullet0"/>
        <w:numPr>
          <w:ilvl w:val="0"/>
          <w:numId w:val="40"/>
        </w:numPr>
        <w:rPr>
          <w:noProof/>
        </w:rPr>
      </w:pPr>
      <w:r w:rsidRPr="000D0D06">
        <w:rPr>
          <w:noProof/>
        </w:rPr>
        <w:t>O ponto 4 introduz definições das disposições inseridas no Regulamento (UE) 2023/2854 (Regulamento dos Dados), harmonizando a definição de dados e documentos ao estabelecer uma delimitação rigorosa entre conteúdos digitais (dados) e não digitais (documentos).</w:t>
      </w:r>
    </w:p>
    <w:p w14:paraId="196F9D33" w14:textId="77777777" w:rsidR="001C4573" w:rsidRPr="000D0D06" w:rsidRDefault="00E700D0" w:rsidP="007F44CF">
      <w:pPr>
        <w:pStyle w:val="Bullet0"/>
        <w:rPr>
          <w:noProof/>
        </w:rPr>
      </w:pPr>
      <w:r w:rsidRPr="000D0D06">
        <w:rPr>
          <w:noProof/>
        </w:rPr>
        <w:t>Introduz o novo capítulo VII-C relativo à reutilização de dados e documentos na posse de organismos do setor público.</w:t>
      </w:r>
    </w:p>
    <w:p w14:paraId="69EE5E9A" w14:textId="77777777" w:rsidR="001C53B7" w:rsidRPr="000D0D06" w:rsidRDefault="00E700D0" w:rsidP="007F44CF">
      <w:pPr>
        <w:pStyle w:val="Bullet0"/>
        <w:rPr>
          <w:noProof/>
        </w:rPr>
      </w:pPr>
      <w:r w:rsidRPr="000D0D06">
        <w:rPr>
          <w:noProof/>
        </w:rPr>
        <w:t xml:space="preserve">Introduz uma nova secção 1, que introduz os princípios gerais aplicáveis ao novo capítulo inserido. </w:t>
      </w:r>
    </w:p>
    <w:p w14:paraId="78B0392C" w14:textId="77777777" w:rsidR="00D96DF9" w:rsidRPr="000D0D06" w:rsidRDefault="00E700D0" w:rsidP="007F44CF">
      <w:pPr>
        <w:pStyle w:val="Bullet0"/>
        <w:rPr>
          <w:noProof/>
        </w:rPr>
      </w:pPr>
      <w:r w:rsidRPr="000D0D06">
        <w:rPr>
          <w:noProof/>
        </w:rPr>
        <w:t xml:space="preserve">Introduz o objeto e o âmbito de aplicação do capítulo fundido, combinando as regras comuns do capítulo II do Regulamento (UE) 2022/868 (Regulamento Governação de Dados) e da Diretiva (UE) 2019/1024 (Diretiva Dados Abertos). </w:t>
      </w:r>
    </w:p>
    <w:p w14:paraId="1B8E3729" w14:textId="3D770A31" w:rsidR="001C4573" w:rsidRPr="000D0D06" w:rsidRDefault="00E700D0" w:rsidP="007F44CF">
      <w:pPr>
        <w:pStyle w:val="Bullet0"/>
        <w:rPr>
          <w:noProof/>
        </w:rPr>
      </w:pPr>
      <w:r w:rsidRPr="000D0D06">
        <w:rPr>
          <w:noProof/>
        </w:rPr>
        <w:t xml:space="preserve">Estabelece o princípio comum da não discriminação aplicável à partilha de dados abertos das administrações públicas e a determinadas categorias de dados protegidos. </w:t>
      </w:r>
    </w:p>
    <w:p w14:paraId="39E6E235" w14:textId="1ACEBDFD" w:rsidR="00ED2E21" w:rsidRPr="000D0D06" w:rsidRDefault="00E700D0" w:rsidP="007F44CF">
      <w:pPr>
        <w:pStyle w:val="Bullet0"/>
        <w:rPr>
          <w:noProof/>
        </w:rPr>
      </w:pPr>
      <w:r w:rsidRPr="000D0D06">
        <w:rPr>
          <w:noProof/>
        </w:rPr>
        <w:t xml:space="preserve">Estabelece a proibição de acordos de exclusividade, comum ao regime de dados abertos das administrações públicas e a determinadas categorias de dados protegidos. </w:t>
      </w:r>
    </w:p>
    <w:p w14:paraId="6980DB93" w14:textId="3257423D" w:rsidR="00ED2E21" w:rsidRPr="000D0D06" w:rsidRDefault="00E237DE" w:rsidP="007F44CF">
      <w:pPr>
        <w:pStyle w:val="Bullet0"/>
        <w:rPr>
          <w:noProof/>
        </w:rPr>
      </w:pPr>
      <w:r w:rsidRPr="000D0D06">
        <w:rPr>
          <w:noProof/>
        </w:rPr>
        <w:t xml:space="preserve">Estabelece princípios gerais relativos à cobrança de emolumentos pela reutilização de dados abertos das administrações públicas ou de determinadas categorias de dados protegidos. Como nova regra, os organismos do setor público terão de assegurar que quaisquer emolumentos possam também ser pagos em linha através de serviços de pagamento transfronteiras amplamente disponíveis, sem discriminação pela reutilização de dados abertos das administrações públicas. Tal representa uma extensão desta regra anteriormente conhecida apenas para a reutilização de determinadas categorias de dados protegidos ao abrigo do capítulo II do Regulamento (UE) 2022/868 (Regulamento Governação de Dados). </w:t>
      </w:r>
    </w:p>
    <w:p w14:paraId="0F748BD1" w14:textId="77777777" w:rsidR="00ED2E21" w:rsidRPr="000D0D06" w:rsidRDefault="00E237DE" w:rsidP="007F44CF">
      <w:pPr>
        <w:pStyle w:val="Bullet0"/>
        <w:rPr>
          <w:noProof/>
        </w:rPr>
      </w:pPr>
      <w:r w:rsidRPr="000D0D06">
        <w:rPr>
          <w:noProof/>
        </w:rPr>
        <w:t>Prevê o direito de os reutilizadores de dados abertos das administrações públicas e de determinadas categorias de dados protegidos serem informados das vias de recurso disponíveis relacionadas com decisões ou práticas que os afetem.</w:t>
      </w:r>
    </w:p>
    <w:p w14:paraId="05249C9B" w14:textId="77777777" w:rsidR="00ED2E21" w:rsidRPr="000D0D06" w:rsidRDefault="00E237DE" w:rsidP="007F44CF">
      <w:pPr>
        <w:pStyle w:val="Bullet0"/>
        <w:rPr>
          <w:noProof/>
        </w:rPr>
      </w:pPr>
      <w:r w:rsidRPr="000D0D06">
        <w:rPr>
          <w:noProof/>
        </w:rPr>
        <w:t xml:space="preserve">Insere a secção relativa às regras para a reutilização de dados abertos das administrações públicas, anteriormente previstas na Diretiva (UE) 2019/1024 (Diretiva Dados Abertos). </w:t>
      </w:r>
    </w:p>
    <w:p w14:paraId="6898AB51" w14:textId="77777777" w:rsidR="000E23B3" w:rsidRPr="000D0D06" w:rsidRDefault="00E237DE" w:rsidP="007F44CF">
      <w:pPr>
        <w:pStyle w:val="Bullet0"/>
        <w:rPr>
          <w:noProof/>
        </w:rPr>
      </w:pPr>
      <w:r w:rsidRPr="000D0D06">
        <w:rPr>
          <w:noProof/>
        </w:rPr>
        <w:t xml:space="preserve">Determina o âmbito de aplicação da secção, incluindo a não aplicação a determinadas categorias de dados protegidos no âmbito do capítulo geral sobre a reutilização de dados e documentos na posse de organismos do setor público. </w:t>
      </w:r>
    </w:p>
    <w:p w14:paraId="43F1276E" w14:textId="77777777" w:rsidR="00ED2E21" w:rsidRPr="000D0D06" w:rsidRDefault="00E237DE" w:rsidP="007F44CF">
      <w:pPr>
        <w:pStyle w:val="Bullet0"/>
        <w:rPr>
          <w:noProof/>
        </w:rPr>
      </w:pPr>
      <w:r w:rsidRPr="000D0D06">
        <w:rPr>
          <w:noProof/>
        </w:rPr>
        <w:t xml:space="preserve">Estabelece o princípio geral da reutilização de dados abertos das administrações públicas. </w:t>
      </w:r>
    </w:p>
    <w:p w14:paraId="15827B1C" w14:textId="77777777" w:rsidR="000E23B3" w:rsidRPr="000D0D06" w:rsidRDefault="00E237DE" w:rsidP="007F44CF">
      <w:pPr>
        <w:pStyle w:val="Bullet0"/>
        <w:rPr>
          <w:noProof/>
        </w:rPr>
      </w:pPr>
      <w:r w:rsidRPr="000D0D06">
        <w:rPr>
          <w:noProof/>
        </w:rPr>
        <w:t xml:space="preserve">Estabelece as regras para o tratamento dos pedidos de reutilização de dados abertos das administrações públicas, inserindo a anterior disposição da Diretiva (UE) 2019/1024 (Diretiva Dados Abertos). </w:t>
      </w:r>
    </w:p>
    <w:p w14:paraId="49B993F9" w14:textId="77777777" w:rsidR="000E23B3" w:rsidRPr="000D0D06" w:rsidRDefault="00E237DE" w:rsidP="007F44CF">
      <w:pPr>
        <w:pStyle w:val="Bullet0"/>
        <w:rPr>
          <w:noProof/>
        </w:rPr>
      </w:pPr>
      <w:r w:rsidRPr="000D0D06">
        <w:rPr>
          <w:noProof/>
        </w:rPr>
        <w:t xml:space="preserve">Introduz as regras relativas aos formatos disponíveis para a reutilização de dados abertos das administrações públicas, anteriormente incluídas na Diretiva (UE) 2019/1024 (Diretiva Dados Abertos). </w:t>
      </w:r>
    </w:p>
    <w:p w14:paraId="6F6E9723" w14:textId="3BD4D2FE" w:rsidR="000E23B3" w:rsidRPr="000D0D06" w:rsidRDefault="00E237DE" w:rsidP="007F44CF">
      <w:pPr>
        <w:pStyle w:val="Bullet0"/>
        <w:rPr>
          <w:noProof/>
        </w:rPr>
      </w:pPr>
      <w:r w:rsidRPr="000D0D06">
        <w:rPr>
          <w:noProof/>
        </w:rPr>
        <w:t>Introduz as regras que regem a cobrança de emolumentos por dados abertos das administrações públicas, anteriormente regidas pela Diretiva (UE) 2019/1024 (Diretiva Dados Abertos). Como nova regra, os organismos do setor público podem cobrar emolumentos mais elevados pela reutilização por parte de empresas de muito grande dimensão. Esses emolumentos devem ser proporcionados e o seu montante deve basear-se em critérios objetivos.</w:t>
      </w:r>
    </w:p>
    <w:p w14:paraId="00A91833" w14:textId="77777777" w:rsidR="000E23B3" w:rsidRPr="000D0D06" w:rsidRDefault="00E237DE" w:rsidP="007F44CF">
      <w:pPr>
        <w:pStyle w:val="Bullet0"/>
        <w:rPr>
          <w:noProof/>
        </w:rPr>
      </w:pPr>
      <w:r w:rsidRPr="000D0D06">
        <w:rPr>
          <w:noProof/>
        </w:rPr>
        <w:t xml:space="preserve">Introduz as regras relativas às licenças-tipo para a reutilização de dados abertos das administrações públicas, anteriormente incluídas na Diretiva (UE) 2019/1024 (Diretiva Dados Abertos). Como nova regra, os organismos do setor público podem prever condições especiais para empresas de muito grande dimensão. Essas condições devem ser proporcionadas e basear-se em critérios objetivos. </w:t>
      </w:r>
    </w:p>
    <w:p w14:paraId="72120104" w14:textId="77777777" w:rsidR="000E23B3" w:rsidRPr="000D0D06" w:rsidRDefault="00E237DE" w:rsidP="007F44CF">
      <w:pPr>
        <w:pStyle w:val="Bullet0"/>
        <w:rPr>
          <w:noProof/>
        </w:rPr>
      </w:pPr>
      <w:r w:rsidRPr="000D0D06">
        <w:rPr>
          <w:noProof/>
        </w:rPr>
        <w:t xml:space="preserve">Introduz as regras relativas às modalidades práticas anteriormente incluídas na Diretiva (UE) 2019/1024 (Diretiva Dados Abertos), a fim de facilitar a pesquisa de dados ou documentos disponíveis para reutilização, no Regulamento (UE) 2023/2854 (Regulamento dos Dados). </w:t>
      </w:r>
    </w:p>
    <w:p w14:paraId="37BDE1E7" w14:textId="77777777" w:rsidR="000E23B3" w:rsidRPr="000D0D06" w:rsidRDefault="00E237DE" w:rsidP="007F44CF">
      <w:pPr>
        <w:pStyle w:val="Bullet0"/>
        <w:rPr>
          <w:noProof/>
        </w:rPr>
      </w:pPr>
      <w:r w:rsidRPr="000D0D06">
        <w:rPr>
          <w:noProof/>
        </w:rPr>
        <w:t xml:space="preserve">Introduz as regras relativas aos dados de investigação, anteriormente incluídas na Diretiva (UE) 2019/1024 (Diretiva Dados Abertos), no Regulamento (UE) 2023/2854 (Regulamento dos Dados). </w:t>
      </w:r>
    </w:p>
    <w:p w14:paraId="0A902C12" w14:textId="77777777" w:rsidR="000E23B3" w:rsidRPr="000D0D06" w:rsidRDefault="00E237DE" w:rsidP="007F44CF">
      <w:pPr>
        <w:pStyle w:val="Bullet0"/>
        <w:rPr>
          <w:noProof/>
        </w:rPr>
      </w:pPr>
      <w:r w:rsidRPr="000D0D06">
        <w:rPr>
          <w:noProof/>
        </w:rPr>
        <w:t xml:space="preserve">Introduz as regras relativas aos conjuntos de dados de elevado valor, anteriormente incluídas na Diretiva (UE) 2019/1024 (Diretiva Dados Abertos), no Regulamento (UE) 2023/2854 (Regulamento dos Dados). </w:t>
      </w:r>
    </w:p>
    <w:p w14:paraId="57F75726" w14:textId="77777777" w:rsidR="000E23B3" w:rsidRPr="000D0D06" w:rsidRDefault="00E237DE" w:rsidP="007F44CF">
      <w:pPr>
        <w:pStyle w:val="Bullet0"/>
        <w:rPr>
          <w:noProof/>
        </w:rPr>
      </w:pPr>
      <w:r w:rsidRPr="000D0D06">
        <w:rPr>
          <w:noProof/>
        </w:rPr>
        <w:t xml:space="preserve">Cria uma nova secção para a reutilização de determinadas categorias de dados protegidos, a fim de incluir no capítulo as regras anteriormente previstas no capítulo II do Regulamento (UE) 2022/868 (Regulamento Governação de Dados). O ponto descreve o âmbito de aplicação desta terceira secção, que exclui os dados e documentos abrangidos pelo âmbito de aplicação da secção 2, que rege o regime de reutilização de dados abertos das administrações públicas. Como nova regra, os documentos são incluídos no âmbito de aplicação desta secção. </w:t>
      </w:r>
    </w:p>
    <w:p w14:paraId="46D737E1" w14:textId="77777777" w:rsidR="000E23B3" w:rsidRPr="000D0D06" w:rsidRDefault="00E237DE" w:rsidP="007F44CF">
      <w:pPr>
        <w:pStyle w:val="Bullet0"/>
        <w:rPr>
          <w:noProof/>
        </w:rPr>
      </w:pPr>
      <w:r w:rsidRPr="000D0D06">
        <w:rPr>
          <w:noProof/>
        </w:rPr>
        <w:t>Estabelece o princípio geral relativo à reutilização de determinadas categorias de dados protegidos. Este é o princípio estabelecido no capítulo II do Regulamento (UE) 2022/868 (Regulamento Governação de Dados), segundo o qual a secção não cria a obrigação de os organismos do setor público permitirem a reutilização de dados protegidos, mas estabelece condições mínimas nos casos em que os organismos do setor público decidam disponibilizar esses dados para reutilização.</w:t>
      </w:r>
    </w:p>
    <w:p w14:paraId="49877BDE" w14:textId="77777777" w:rsidR="00DF034D" w:rsidRPr="000D0D06" w:rsidRDefault="00E237DE" w:rsidP="007F44CF">
      <w:pPr>
        <w:pStyle w:val="Bullet0"/>
        <w:rPr>
          <w:noProof/>
        </w:rPr>
      </w:pPr>
      <w:r w:rsidRPr="000D0D06">
        <w:rPr>
          <w:noProof/>
        </w:rPr>
        <w:t xml:space="preserve">Introduz as regras relativas às condições de reutilização de determinadas categorias de dados protegidos, anteriormente incluídas no capítulo II do Regulamento (UE) 2022/868 (Regulamento Governação de Dados), de forma simplificada e racionalizada. Inclui uma clarificação das regras aplicáveis nos casos em que os dados pessoais tenham sido anonimizados. Os requisitos relativos às transferências de dados não pessoais para países terceiros são mantidos, mas subdivididos num novo artigo no n.º 54. </w:t>
      </w:r>
    </w:p>
    <w:p w14:paraId="6DA7D846" w14:textId="77777777" w:rsidR="001C53B7" w:rsidRPr="000D0D06" w:rsidRDefault="00E237DE" w:rsidP="007F44CF">
      <w:pPr>
        <w:pStyle w:val="Bullet0"/>
        <w:rPr>
          <w:noProof/>
        </w:rPr>
      </w:pPr>
      <w:r w:rsidRPr="000D0D06">
        <w:rPr>
          <w:noProof/>
        </w:rPr>
        <w:t>Introduz as regras relativas à cobrança de taxas, que anteriormente faziam parte do capítulo II do Regulamento (UE) 2022/868 (Regulamento Governação de Dados), no Regulamento (UE) 2023/2854 (Regulamento dos Dados). Como nova regra, os organismos do setor público podem prever taxas mais elevadas para a reutilização por parte de empresas de muito grande dimensão. Essas taxas devem ser proporcionadas e basear-se em critérios objetivos. A atenção especial dada ao incentivo à reutilização por parte das PME é alargada às pequenas empresas de média capitalização.</w:t>
      </w:r>
    </w:p>
    <w:p w14:paraId="5B20F375" w14:textId="77777777" w:rsidR="001C53B7" w:rsidRPr="000D0D06" w:rsidRDefault="00E237DE" w:rsidP="007F44CF">
      <w:pPr>
        <w:pStyle w:val="Bullet0"/>
        <w:rPr>
          <w:noProof/>
        </w:rPr>
      </w:pPr>
      <w:r w:rsidRPr="000D0D06">
        <w:rPr>
          <w:noProof/>
        </w:rPr>
        <w:t xml:space="preserve">Introduz as regras relativas aos organismos competentes, que anteriormente faziam parte do capítulo II do Regulamento (UE) 2022/868 (Regulamento Governação de Dados), no Regulamento (UE) 2023/2854 (Regulamento dos Dados). Os organismos competentes são concebidos para ajudar os organismos do setor público a responder aos pedidos de reutilização de dados e documentos abrangidos pela secção 3. </w:t>
      </w:r>
    </w:p>
    <w:p w14:paraId="1A28BD6D" w14:textId="77777777" w:rsidR="001C53B7" w:rsidRPr="000D0D06" w:rsidRDefault="00E237DE" w:rsidP="007F44CF">
      <w:pPr>
        <w:pStyle w:val="Bullet0"/>
        <w:rPr>
          <w:noProof/>
        </w:rPr>
      </w:pPr>
      <w:r w:rsidRPr="000D0D06">
        <w:rPr>
          <w:noProof/>
        </w:rPr>
        <w:t xml:space="preserve">Introduz as regras relativas ao ponto de informação único, anteriormente parte do capítulo II do Regulamento (UE) 2022/868 (Regulamento Governação de Dados), no Regulamento (UE) 2023/2854 (Regulamento dos Dados). Os pontos de informação únicos são concebidos para ajudar os reutilizadores a encontrar facilmente informações sobre a reutilização de determinadas categorias de dados protegidos. </w:t>
      </w:r>
    </w:p>
    <w:p w14:paraId="27F7C3FC" w14:textId="77777777" w:rsidR="001C53B7" w:rsidRPr="000D0D06" w:rsidRDefault="000475DF" w:rsidP="007F44CF">
      <w:pPr>
        <w:pStyle w:val="Bullet0"/>
        <w:rPr>
          <w:noProof/>
        </w:rPr>
      </w:pPr>
      <w:r w:rsidRPr="000D0D06">
        <w:rPr>
          <w:noProof/>
        </w:rPr>
        <w:t xml:space="preserve">Introduz as regras relativas ao procedimento aplicável aos pedidos de reutilização de determinadas categorias de dados protegidos, anteriormente reguladas pelo capítulo II do Regulamento (UE) 2022/868 (Regulamento Governação de Dados), no Regulamento (UE) 2023/2854 (Regulamento dos Dados). </w:t>
      </w:r>
    </w:p>
    <w:p w14:paraId="672655AA" w14:textId="77777777" w:rsidR="3686E430" w:rsidRPr="000D0D06" w:rsidRDefault="002B1AE2" w:rsidP="3686E430">
      <w:pPr>
        <w:pBdr>
          <w:top w:val="nil"/>
          <w:left w:val="nil"/>
          <w:bottom w:val="nil"/>
          <w:right w:val="nil"/>
          <w:between w:val="nil"/>
          <w:bar w:val="nil"/>
        </w:pBdr>
        <w:spacing w:before="0" w:after="240"/>
        <w:rPr>
          <w:noProof/>
        </w:rPr>
      </w:pPr>
      <w:r w:rsidRPr="000D0D06">
        <w:rPr>
          <w:noProof/>
        </w:rPr>
        <w:t xml:space="preserve">O n.º 57 integra as regras de base do Comité Europeu da Inovação de Dados, um grupo que aconselha a Comissão sobre a aplicação coerente do Regulamento dos Dados e que serve de fórum de coordenação para a elaboração de políticas no domínio da economia dos dados, no Regulamento dos Dados. As alterações permitirão à Comissão alterar os documentos fundamentais pertinentes do Comité Europeu da Inovação de Dados (Decisão da Comissão de 20 de fevereiro de 2023 — C(2023) 1074 final) e alargar a adesão aos representantes da elaboração de políticas nacionais, para além das autoridades competentes. </w:t>
      </w:r>
    </w:p>
    <w:p w14:paraId="44B140A9" w14:textId="77777777" w:rsidR="00A833A1" w:rsidRPr="000D0D06" w:rsidRDefault="002B1AE2" w:rsidP="3686E430">
      <w:pPr>
        <w:pBdr>
          <w:top w:val="nil"/>
          <w:left w:val="nil"/>
          <w:bottom w:val="nil"/>
          <w:right w:val="nil"/>
          <w:between w:val="nil"/>
          <w:bar w:val="nil"/>
        </w:pBdr>
        <w:spacing w:before="0" w:after="240"/>
        <w:rPr>
          <w:noProof/>
        </w:rPr>
      </w:pPr>
      <w:r w:rsidRPr="000D0D06">
        <w:rPr>
          <w:noProof/>
        </w:rPr>
        <w:t>Os n.</w:t>
      </w:r>
      <w:r w:rsidRPr="000D0D06">
        <w:rPr>
          <w:noProof/>
          <w:vertAlign w:val="superscript"/>
        </w:rPr>
        <w:t>os</w:t>
      </w:r>
      <w:r w:rsidRPr="000D0D06">
        <w:rPr>
          <w:noProof/>
        </w:rPr>
        <w:t xml:space="preserve"> 61 a 65 contêm alterações às disposições do Regulamento (UE) 2023/2854 (Regulamento dos Dados) relativas ao procedimento de comité e ao poder de delegação, e o n.º 66 disposições relativas ao Regulamento (UE) 2022/868 (Regulamento Governação de Dados) necessárias para introduzir as regras do Regulamento (UE) 2022/868 (Regulamento Governação de Dados) e da Diretiva (UE) 2019/1024 (Diretiva Dados Abertos) no Regulamento (UE) 2023/2854 (Regulamento dos Dados). </w:t>
      </w:r>
    </w:p>
    <w:p w14:paraId="5F0A6E6E" w14:textId="77777777" w:rsidR="00C57A2F" w:rsidRPr="000D0D06" w:rsidRDefault="002062D1" w:rsidP="3686E430">
      <w:pPr>
        <w:pBdr>
          <w:top w:val="nil"/>
          <w:left w:val="nil"/>
          <w:bottom w:val="nil"/>
          <w:right w:val="nil"/>
          <w:between w:val="nil"/>
          <w:bar w:val="nil"/>
        </w:pBdr>
        <w:spacing w:before="0" w:after="240"/>
        <w:rPr>
          <w:noProof/>
        </w:rPr>
      </w:pPr>
      <w:r w:rsidRPr="000D0D06">
        <w:rPr>
          <w:noProof/>
        </w:rPr>
        <w:t>O n.º 68 alarga às pequenas empresas de média capitalização a atenção especial dada às PME no contexto da avaliação e o n.º 69 introduz a avaliação das regras recentemente inseridas no Regulamento (UE) 2023/2854 (Regulamento dos Dados).</w:t>
      </w:r>
    </w:p>
    <w:p w14:paraId="2E3B6667" w14:textId="77777777" w:rsidR="005B35BF" w:rsidRPr="000D0D06" w:rsidRDefault="005B35BF" w:rsidP="3686E430">
      <w:pPr>
        <w:pBdr>
          <w:top w:val="nil"/>
          <w:left w:val="nil"/>
          <w:bottom w:val="nil"/>
          <w:right w:val="nil"/>
          <w:between w:val="nil"/>
          <w:bar w:val="nil"/>
        </w:pBdr>
        <w:spacing w:before="0" w:after="240"/>
        <w:rPr>
          <w:noProof/>
        </w:rPr>
      </w:pPr>
      <w:r w:rsidRPr="000D0D06">
        <w:rPr>
          <w:b/>
          <w:noProof/>
        </w:rPr>
        <w:t>O artigo 2.º</w:t>
      </w:r>
      <w:r w:rsidRPr="000D0D06">
        <w:rPr>
          <w:noProof/>
        </w:rPr>
        <w:t xml:space="preserve"> introduz no Regulamento (UE) 2018/174 as referências pertinentes aos serviços de intermediação de dados e ao altruísmo de dados no anexo relativo à «criação, renovação e liquidação de uma empresa». </w:t>
      </w:r>
    </w:p>
    <w:p w14:paraId="37D43B3C" w14:textId="77777777" w:rsidR="0028386D" w:rsidRPr="000D0D06" w:rsidRDefault="0044791C" w:rsidP="008D6B2A">
      <w:pPr>
        <w:rPr>
          <w:rFonts w:eastAsia="Times New Roman"/>
          <w:b/>
          <w:bCs/>
          <w:i/>
          <w:noProof/>
          <w:szCs w:val="24"/>
        </w:rPr>
      </w:pPr>
      <w:r w:rsidRPr="000D0D06">
        <w:rPr>
          <w:b/>
          <w:i/>
          <w:noProof/>
        </w:rPr>
        <w:t>Alterações do Regulamento (UE) 2016/679, do Regulamento (UE) 2018/1725 e da Diretiva 2002/58/CE</w:t>
      </w:r>
    </w:p>
    <w:p w14:paraId="63F14104" w14:textId="6EAF365C" w:rsidR="0028386D" w:rsidRPr="000D0D06" w:rsidRDefault="008D6B2A" w:rsidP="0028386D">
      <w:pPr>
        <w:rPr>
          <w:rFonts w:eastAsia="Times New Roman"/>
          <w:noProof/>
        </w:rPr>
      </w:pPr>
      <w:r w:rsidRPr="000D0D06">
        <w:rPr>
          <w:noProof/>
        </w:rPr>
        <w:t xml:space="preserve">O artigo 3.º da proposta introduziria alterações específicas do Regulamento (UE) 2016/679 (Regulamento Geral sobre a Proteção de Dados). </w:t>
      </w:r>
    </w:p>
    <w:p w14:paraId="39581696" w14:textId="77777777" w:rsidR="008D6B2A" w:rsidRPr="000D0D06" w:rsidRDefault="0028386D" w:rsidP="008D6B2A">
      <w:pPr>
        <w:rPr>
          <w:rFonts w:eastAsia="Times New Roman"/>
          <w:b/>
          <w:bCs/>
          <w:iCs/>
          <w:noProof/>
          <w:szCs w:val="24"/>
        </w:rPr>
      </w:pPr>
      <w:r w:rsidRPr="000D0D06">
        <w:rPr>
          <w:b/>
          <w:noProof/>
        </w:rPr>
        <w:t>No artigo 3.º:</w:t>
      </w:r>
    </w:p>
    <w:p w14:paraId="0367540F" w14:textId="77777777" w:rsidR="008D6B2A" w:rsidRPr="000D0D06" w:rsidRDefault="008D6B2A" w:rsidP="008D6B2A">
      <w:pPr>
        <w:rPr>
          <w:rFonts w:eastAsia="Times New Roman"/>
          <w:noProof/>
        </w:rPr>
      </w:pPr>
      <w:r w:rsidRPr="000D0D06">
        <w:rPr>
          <w:noProof/>
        </w:rPr>
        <w:t xml:space="preserve">O n.º 1 clarificaria a definição de dados pessoais nos termos do artigo 4.º do Regulamento (UE) 2016/679 (Regulamento Geral sobre a Proteção de Dados), estabelecendo que as informações não devem ser consideradas dados pessoais para uma determinada entidade quando esta não dispõe de meios razoavelmente suscetíveis de serem utilizados para identificar a pessoa singular a quem as informações dizem respeito. Consequentemente, essa entidade não seria, em princípio, abrangida pelo âmbito de aplicação do referido regulamento. </w:t>
      </w:r>
    </w:p>
    <w:p w14:paraId="2E107594" w14:textId="75C1495C" w:rsidR="008D6B2A" w:rsidRPr="000D0D06" w:rsidRDefault="00DE36CE" w:rsidP="008D6B2A">
      <w:pPr>
        <w:rPr>
          <w:rFonts w:eastAsia="Times New Roman"/>
          <w:noProof/>
        </w:rPr>
      </w:pPr>
      <w:r w:rsidRPr="000D0D06">
        <w:rPr>
          <w:noProof/>
        </w:rPr>
        <w:t xml:space="preserve">O n.º 2 preveria duas isenções adicionais ao tratamento de categorias especiais de dados. Uma delas seria a isenção da proibição geral de tratamento de dados biométricos quando tal seja necessário para confirmar a identidade do titular dos dados e quando os dados e os meios para essa verificação estejam sob o controlo exclusivo desse titular dos dados. A segunda seria uma isenção para o tratamento residual de categorias especiais de dados pessoais para o desenvolvimento e o funcionamento de um sistema de IA ou de um modelo de IA, sujeita a determinadas condições, incluindo medidas organizativas e técnicas adequadas para evitar a recolha de categorias especiais de dados pessoais e a supressão desses dados. </w:t>
      </w:r>
    </w:p>
    <w:p w14:paraId="487B7619" w14:textId="77777777" w:rsidR="008D6B2A" w:rsidRPr="000D0D06" w:rsidRDefault="008D6B2A" w:rsidP="008D6B2A">
      <w:pPr>
        <w:rPr>
          <w:rFonts w:eastAsia="Times New Roman"/>
          <w:noProof/>
          <w:color w:val="333333"/>
        </w:rPr>
      </w:pPr>
      <w:r w:rsidRPr="000D0D06">
        <w:rPr>
          <w:noProof/>
        </w:rPr>
        <w:t xml:space="preserve">O n.º 3 clarificaria a situação prevista no artigo 12.º do Regulamento (UE) 2016/679 (Regulamento Geral sobre a Proteção de Dados), em que </w:t>
      </w:r>
      <w:r w:rsidRPr="000D0D06">
        <w:rPr>
          <w:noProof/>
          <w:color w:val="333333"/>
        </w:rPr>
        <w:t>o direito de acesso é utilizado de forma abusiva pelos titulares dos dados para outros fins que não a proteção dos seus dados pessoais</w:t>
      </w:r>
      <w:r w:rsidRPr="000D0D06">
        <w:rPr>
          <w:noProof/>
        </w:rPr>
        <w:t>.</w:t>
      </w:r>
      <w:r w:rsidRPr="000D0D06">
        <w:rPr>
          <w:noProof/>
          <w:color w:val="333333"/>
        </w:rPr>
        <w:t xml:space="preserve"> Consequentemente, o responsável pelo tratamento poderia recusar-se a satisfazer o pedido ou cobrar uma taxa razoável. Além disso, clarificaria as condições para demonstrar que um pedido de acesso é excessivo. </w:t>
      </w:r>
    </w:p>
    <w:p w14:paraId="436E73ED" w14:textId="77777777" w:rsidR="008D6B2A" w:rsidRPr="000D0D06" w:rsidRDefault="008D6B2A" w:rsidP="008D6B2A">
      <w:pPr>
        <w:rPr>
          <w:rFonts w:eastAsia="Times New Roman"/>
          <w:noProof/>
        </w:rPr>
      </w:pPr>
      <w:r w:rsidRPr="000D0D06">
        <w:rPr>
          <w:noProof/>
          <w:color w:val="333333"/>
        </w:rPr>
        <w:t>O n.º 4 centrar-se-ia na obrigação do responsável pelo tratamento de informar os titulares dos dados sobre o tratamento dos seus dados pessoais</w:t>
      </w:r>
      <w:r w:rsidRPr="000D0D06">
        <w:rPr>
          <w:noProof/>
        </w:rPr>
        <w:t>, nos termos do artigo 13.º do Regulamento (UE) 2016/679 (Regulamento Geral sobre a Proteção de Dados), suprimindo esta obrigação em situações em que existam motivos razoáveis para presumir que o titular dos dados já dispõe das informações, a menos que o responsável pelo tratamento transmita os dados a outros destinatários ou categorias de destinatários, transfira os dados para um país terceiro, efetue decisões automatizadas ou o tratamento seja suscetível de causar um elevado risco para os direitos do titular dos dados.</w:t>
      </w:r>
    </w:p>
    <w:p w14:paraId="7F621293" w14:textId="77777777" w:rsidR="008D6B2A" w:rsidRPr="000D0D06" w:rsidRDefault="008D6B2A" w:rsidP="008D6B2A">
      <w:pPr>
        <w:rPr>
          <w:rFonts w:eastAsia="Times New Roman"/>
          <w:noProof/>
        </w:rPr>
      </w:pPr>
      <w:r w:rsidRPr="000D0D06">
        <w:rPr>
          <w:noProof/>
        </w:rPr>
        <w:t xml:space="preserve">O n.º 5 clarificaria os requisitos aplicáveis às decisões individuais automatizadas nos termos do artigo 22.º do Regulamento (UE) 2016/679 (Regulamento Geral sobre a Proteção de Dados), no contexto da celebração ou execução de um contrato entre o titular dos dados e um responsável pelo tratamento, em especial que o requisito de «necessidade» se aplica independentemente de a decisão poder ser tomada por meios que não sejam exclusivamente automatizados. </w:t>
      </w:r>
    </w:p>
    <w:p w14:paraId="706F9C8B" w14:textId="05534AE3" w:rsidR="008D6B2A" w:rsidRPr="000D0D06" w:rsidRDefault="008D6B2A" w:rsidP="008D6B2A">
      <w:pPr>
        <w:rPr>
          <w:rFonts w:eastAsia="Times New Roman"/>
          <w:noProof/>
        </w:rPr>
      </w:pPr>
      <w:r w:rsidRPr="000D0D06">
        <w:rPr>
          <w:noProof/>
        </w:rPr>
        <w:t>O n.º 6 alinharia a obrigação do responsável pelo tratamento de notificar a autoridade de controlo competente das violações de dados nos termos do artigo 33.º do Regulamento (UE) 2016/679 (Regulamento Geral sobre a Proteção de Dados) com a sua obrigação de notificar os titulares dos dados dessas violações, estipulando que a notificação só é exigida se uma violação de dados for suscetível de implicar um elevado risco para os direitos do titular dos dados. Alargaria igualmente o prazo de notificação para 96 horas. Propõe-se também que os responsáveis pelo tratamento utilizem o ponto de entrada único ao notificarem a autoridade de controlo das violações de dados. Além disso, o Comité Europeu para a Proteção de Dados seria obrigado a elaborar e a apresentar à Comissão uma proposta de modelo comum para as notificações de violações de dados, que a Comissão estaria habilitada a adotar por meio de um ato de execução, após revisão, se necessária.</w:t>
      </w:r>
    </w:p>
    <w:p w14:paraId="04D5662D" w14:textId="4D297AE9" w:rsidR="008D6B2A" w:rsidRPr="000D0D06" w:rsidRDefault="008D6B2A" w:rsidP="008D6B2A">
      <w:pPr>
        <w:rPr>
          <w:rFonts w:eastAsia="Times New Roman"/>
          <w:noProof/>
        </w:rPr>
      </w:pPr>
      <w:r w:rsidRPr="000D0D06">
        <w:rPr>
          <w:noProof/>
        </w:rPr>
        <w:t xml:space="preserve">O n.º 7 harmonizaria as listas de atividades de tratamento que exigem e não exigem uma avaliação de impacto sobre a proteção de dados, prevendo a disponibilização, a nível da UE, de listas únicas das operações de tratamento que exigem e não exigem essa avaliação, contribuindo assim para a harmonização do conceito de risco elevado. O Comité Europeu para a Proteção de Dados seria obrigado a elaborar propostas para essas listas. Seria igualmente obrigado a elaborar uma proposta de modelo comum e de metodologia comum para a realização de avaliações de impacto sobre a proteção de dados, que a Comissão estaria habilitada a adotar por meio de um ato de execução, após revisão, se necessária. </w:t>
      </w:r>
    </w:p>
    <w:p w14:paraId="09BD928F" w14:textId="77777777" w:rsidR="001B6D38" w:rsidRPr="000D0D06" w:rsidRDefault="001B6D38" w:rsidP="008D6B2A">
      <w:pPr>
        <w:rPr>
          <w:rFonts w:eastAsia="Times New Roman"/>
          <w:noProof/>
        </w:rPr>
      </w:pPr>
      <w:r w:rsidRPr="000D0D06">
        <w:rPr>
          <w:noProof/>
        </w:rPr>
        <w:t xml:space="preserve">O n.º 8 estabelece que a Comissão pode apoiar, juntamente com o Comité Europeu para a Proteção de Dados, os responsáveis pelo tratamento na avaliação de se os dados resultantes da pseudonimização constituem ou não dados pessoais, especificando os meios e critérios pertinentes para essa avaliação, incluindo o estado da arte das técnicas e critérios disponíveis para avaliar o risco de reidentificação. </w:t>
      </w:r>
    </w:p>
    <w:p w14:paraId="48AC32FE" w14:textId="77777777" w:rsidR="00B80381" w:rsidRPr="000D0D06" w:rsidRDefault="00AA50ED" w:rsidP="3686E430">
      <w:pPr>
        <w:pBdr>
          <w:top w:val="nil"/>
          <w:left w:val="nil"/>
          <w:bottom w:val="nil"/>
          <w:right w:val="nil"/>
          <w:between w:val="nil"/>
          <w:bar w:val="nil"/>
        </w:pBdr>
        <w:spacing w:before="0" w:after="240"/>
        <w:rPr>
          <w:noProof/>
        </w:rPr>
      </w:pPr>
      <w:r w:rsidRPr="000D0D06">
        <w:rPr>
          <w:noProof/>
        </w:rPr>
        <w:t>O n.º 12 reforma o regime jurídico relativo ao tratamento de dados pessoais em ou a partir de equipamentos terminais («dispositivos conectados»), que atualmente faz parte da Diretiva 2002/58/CE (Diretiva Privacidade Eletrónica). É inserido um novo artigo 88.º-A no Regulamento (UE) 2016/679 (Regulamento Geral sobre a Proteção de Dados), que estabelece o requisito de consentimento para o armazenamento ou o acesso a dados pessoais nos equipamentos terminais de pessoas singulares e que enquadra o tratamento de dados pessoais nesses equipamentos, e a partir deles, nas regras do Regulamento (UE) 2016/679 (Regulamento Geral sobre a Proteção de Dados). É introduzido um novo artigo 88.º-B do Regulamento (UE) 2016/679 (Regulamento Geral sobre a Proteção de Dados) relativo a indicações automatizadas e legíveis por máquina sobre as escolhas individuais e o respeito dessas indicações pelos fornecedores de sítios Web logo que as normas estejam disponíveis.</w:t>
      </w:r>
    </w:p>
    <w:p w14:paraId="112D1936" w14:textId="77777777" w:rsidR="3E003F42" w:rsidRPr="000D0D06" w:rsidRDefault="0028386D" w:rsidP="1EA103DF">
      <w:pPr>
        <w:pBdr>
          <w:top w:val="nil"/>
          <w:left w:val="nil"/>
          <w:bottom w:val="nil"/>
          <w:right w:val="nil"/>
          <w:between w:val="nil"/>
          <w:bar w:val="nil"/>
        </w:pBdr>
        <w:spacing w:before="0" w:after="240"/>
        <w:rPr>
          <w:b/>
          <w:bCs/>
          <w:noProof/>
        </w:rPr>
      </w:pPr>
      <w:r w:rsidRPr="000D0D06">
        <w:rPr>
          <w:b/>
          <w:noProof/>
        </w:rPr>
        <w:t>No artigo 4.º:</w:t>
      </w:r>
    </w:p>
    <w:p w14:paraId="0A2CE56B" w14:textId="4EAA13E8" w:rsidR="3E003F42" w:rsidRPr="000D0D06" w:rsidRDefault="3E003F42" w:rsidP="1EA103DF">
      <w:pPr>
        <w:pBdr>
          <w:top w:val="nil"/>
          <w:left w:val="nil"/>
          <w:bottom w:val="nil"/>
          <w:right w:val="nil"/>
          <w:between w:val="nil"/>
        </w:pBdr>
        <w:spacing w:before="0" w:after="240"/>
        <w:rPr>
          <w:rFonts w:eastAsia="Calibri"/>
          <w:noProof/>
          <w:szCs w:val="24"/>
        </w:rPr>
      </w:pPr>
      <w:r w:rsidRPr="000D0D06">
        <w:rPr>
          <w:noProof/>
        </w:rPr>
        <w:t>O artigo 4.º da proposta introduziria alterações específicas do Regulamento (UE) 2018/1725, a fim de alinhar o seu texto com as alterações do Regulamento (UE) 2016/679 introduzidas no artigo 3.º.</w:t>
      </w:r>
    </w:p>
    <w:p w14:paraId="7769E135" w14:textId="77777777" w:rsidR="0028386D" w:rsidRPr="000D0D06" w:rsidRDefault="505EF555" w:rsidP="00D817E7">
      <w:pPr>
        <w:pBdr>
          <w:top w:val="nil"/>
          <w:left w:val="nil"/>
          <w:bottom w:val="nil"/>
          <w:right w:val="nil"/>
          <w:between w:val="nil"/>
          <w:bar w:val="nil"/>
        </w:pBdr>
        <w:spacing w:before="0" w:after="240"/>
        <w:rPr>
          <w:b/>
          <w:bCs/>
          <w:noProof/>
        </w:rPr>
      </w:pPr>
      <w:r w:rsidRPr="000D0D06">
        <w:rPr>
          <w:b/>
          <w:noProof/>
        </w:rPr>
        <w:t>No artigo 5.º:</w:t>
      </w:r>
    </w:p>
    <w:p w14:paraId="33F195F5" w14:textId="6DCA8604" w:rsidR="00BE3A4E" w:rsidRPr="000D0D06" w:rsidRDefault="00BE3A4E" w:rsidP="00D817E7">
      <w:pPr>
        <w:pBdr>
          <w:top w:val="nil"/>
          <w:left w:val="nil"/>
          <w:bottom w:val="nil"/>
          <w:right w:val="nil"/>
          <w:between w:val="nil"/>
          <w:bar w:val="nil"/>
        </w:pBdr>
        <w:spacing w:before="0" w:after="240"/>
        <w:rPr>
          <w:noProof/>
        </w:rPr>
      </w:pPr>
      <w:r w:rsidRPr="000D0D06">
        <w:rPr>
          <w:noProof/>
        </w:rPr>
        <w:t xml:space="preserve">O artigo 5.º prevê alterações da Diretiva 2002/58/CE, a Diretiva relativa à privacidade e às comunicações eletrónicas («Diretiva Privacidade Eletrónica»). É revogado o artigo 4.º da referida diretiva. O aditamento ao artigo 5.º, n.º 3, dessa diretiva permite transferir para o Regulamento (UE) 2016/679 (Regulamento Geral sobre a Proteção de Dados) as regras relativas ao armazenamento e ao acesso a dados pessoais a partir do equipamento terminal de uma pessoa singular, através da inserção de um novo artigo 88.º-A do Regulamento (UE) 2016/679 (Regulamento Geral sobre a Proteção de Dados), conforme acima descrito. </w:t>
      </w:r>
    </w:p>
    <w:p w14:paraId="56129A77" w14:textId="0D844663" w:rsidR="00BE3A4E" w:rsidRPr="000D0D06" w:rsidRDefault="0028386D" w:rsidP="00D817E7">
      <w:pPr>
        <w:pBdr>
          <w:top w:val="nil"/>
          <w:left w:val="nil"/>
          <w:bottom w:val="nil"/>
          <w:right w:val="nil"/>
          <w:between w:val="nil"/>
          <w:bar w:val="nil"/>
        </w:pBdr>
        <w:spacing w:before="0" w:after="240"/>
        <w:rPr>
          <w:b/>
          <w:bCs/>
          <w:i/>
          <w:noProof/>
          <w:szCs w:val="24"/>
        </w:rPr>
      </w:pPr>
      <w:r w:rsidRPr="000D0D06">
        <w:rPr>
          <w:b/>
          <w:i/>
          <w:noProof/>
        </w:rPr>
        <w:t>Ponto de entrada único para a notificação de incidentes</w:t>
      </w:r>
    </w:p>
    <w:p w14:paraId="22BCA57E" w14:textId="77777777" w:rsidR="0028386D" w:rsidRPr="000D0D06" w:rsidRDefault="0028386D" w:rsidP="00D817E7">
      <w:pPr>
        <w:pBdr>
          <w:top w:val="nil"/>
          <w:left w:val="nil"/>
          <w:bottom w:val="nil"/>
          <w:right w:val="nil"/>
          <w:between w:val="nil"/>
          <w:bar w:val="nil"/>
        </w:pBdr>
        <w:spacing w:before="0" w:after="240"/>
        <w:rPr>
          <w:noProof/>
        </w:rPr>
      </w:pPr>
      <w:r w:rsidRPr="000D0D06">
        <w:rPr>
          <w:b/>
          <w:noProof/>
        </w:rPr>
        <w:t>No artigo 6.º:</w:t>
      </w:r>
      <w:r w:rsidRPr="000D0D06">
        <w:rPr>
          <w:noProof/>
        </w:rPr>
        <w:t xml:space="preserve"> </w:t>
      </w:r>
    </w:p>
    <w:p w14:paraId="3A259995" w14:textId="07488F62" w:rsidR="0028386D" w:rsidRPr="000D0D06" w:rsidRDefault="0028386D" w:rsidP="00D817E7">
      <w:pPr>
        <w:pBdr>
          <w:top w:val="nil"/>
          <w:left w:val="nil"/>
          <w:bottom w:val="nil"/>
          <w:right w:val="nil"/>
          <w:between w:val="nil"/>
          <w:bar w:val="nil"/>
        </w:pBdr>
        <w:spacing w:before="0" w:after="240"/>
        <w:rPr>
          <w:noProof/>
        </w:rPr>
      </w:pPr>
      <w:r w:rsidRPr="000D0D06">
        <w:rPr>
          <w:noProof/>
        </w:rPr>
        <w:t>Nos n.</w:t>
      </w:r>
      <w:r w:rsidRPr="000D0D06">
        <w:rPr>
          <w:noProof/>
          <w:vertAlign w:val="superscript"/>
        </w:rPr>
        <w:t>os</w:t>
      </w:r>
      <w:r w:rsidRPr="000D0D06">
        <w:rPr>
          <w:noProof/>
        </w:rPr>
        <w:t> 1 e 2, é estabelecido o ponto de entrada único para a notificação de incidentes, incluindo requisitos específicos para a ENISA. Além disso, estabelece-se que a notificação de incidentes prevista na Diretiva SRI 2 deve ser efetuada através do novo ponto de entrada único.</w:t>
      </w:r>
    </w:p>
    <w:p w14:paraId="4F81B58E" w14:textId="05B16238" w:rsidR="0028386D" w:rsidRPr="000D0D06" w:rsidRDefault="0028386D" w:rsidP="00D817E7">
      <w:pPr>
        <w:pBdr>
          <w:top w:val="nil"/>
          <w:left w:val="nil"/>
          <w:bottom w:val="nil"/>
          <w:right w:val="nil"/>
          <w:between w:val="nil"/>
          <w:bar w:val="nil"/>
        </w:pBdr>
        <w:spacing w:before="0" w:after="240"/>
        <w:rPr>
          <w:noProof/>
        </w:rPr>
      </w:pPr>
      <w:r w:rsidRPr="000D0D06">
        <w:rPr>
          <w:b/>
          <w:noProof/>
        </w:rPr>
        <w:t>No artigo 7.º:</w:t>
      </w:r>
      <w:r w:rsidRPr="000D0D06">
        <w:rPr>
          <w:noProof/>
        </w:rPr>
        <w:t xml:space="preserve"> o ponto de entrada único também é obrigatório para a notificação de incidentes ao abrigo do Regulamento (UE) n.º 910/2014 (Regulamento eIDAS). </w:t>
      </w:r>
    </w:p>
    <w:p w14:paraId="3E1EECEA" w14:textId="77777777" w:rsidR="0028386D" w:rsidRPr="000D0D06" w:rsidRDefault="0028386D" w:rsidP="00D817E7">
      <w:pPr>
        <w:pBdr>
          <w:top w:val="nil"/>
          <w:left w:val="nil"/>
          <w:bottom w:val="nil"/>
          <w:right w:val="nil"/>
          <w:between w:val="nil"/>
          <w:bar w:val="nil"/>
        </w:pBdr>
        <w:spacing w:before="0" w:after="240"/>
        <w:rPr>
          <w:noProof/>
        </w:rPr>
      </w:pPr>
      <w:r w:rsidRPr="000D0D06">
        <w:rPr>
          <w:b/>
          <w:noProof/>
        </w:rPr>
        <w:t>No artigo 8.º:</w:t>
      </w:r>
      <w:r w:rsidRPr="000D0D06">
        <w:rPr>
          <w:noProof/>
        </w:rPr>
        <w:t xml:space="preserve"> o ponto de entrada único também é obrigatório para o Regulamento (UE) 2022/2554 (Regulamento DORA).</w:t>
      </w:r>
    </w:p>
    <w:p w14:paraId="4373AF2A" w14:textId="77777777" w:rsidR="0028386D" w:rsidRPr="000D0D06" w:rsidRDefault="0028386D" w:rsidP="00D817E7">
      <w:pPr>
        <w:pBdr>
          <w:top w:val="nil"/>
          <w:left w:val="nil"/>
          <w:bottom w:val="nil"/>
          <w:right w:val="nil"/>
          <w:between w:val="nil"/>
          <w:bar w:val="nil"/>
        </w:pBdr>
        <w:spacing w:before="0" w:after="240"/>
        <w:rPr>
          <w:noProof/>
        </w:rPr>
      </w:pPr>
      <w:r w:rsidRPr="000D0D06">
        <w:rPr>
          <w:b/>
          <w:noProof/>
        </w:rPr>
        <w:t>No artigo 9.º:</w:t>
      </w:r>
      <w:r w:rsidRPr="000D0D06">
        <w:rPr>
          <w:noProof/>
        </w:rPr>
        <w:t xml:space="preserve"> o ponto de entrada único também é obrigatório para a Diretiva (UE) 2022/2557 (Diretiva REC). </w:t>
      </w:r>
    </w:p>
    <w:p w14:paraId="4813B626" w14:textId="0111B9FE" w:rsidR="0028386D" w:rsidRPr="000D0D06" w:rsidRDefault="0028386D" w:rsidP="00D817E7">
      <w:pPr>
        <w:pBdr>
          <w:top w:val="nil"/>
          <w:left w:val="nil"/>
          <w:bottom w:val="nil"/>
          <w:right w:val="nil"/>
          <w:between w:val="nil"/>
          <w:bar w:val="nil"/>
        </w:pBdr>
        <w:spacing w:before="0" w:after="240"/>
        <w:rPr>
          <w:noProof/>
        </w:rPr>
      </w:pPr>
      <w:r w:rsidRPr="000D0D06">
        <w:rPr>
          <w:noProof/>
        </w:rPr>
        <w:t>Além disso, o artigo 3.º, n.º 6, prevê que a notificação de incidentes de violação de dados ao abrigo do Regulamento (UE) 2016/679 (Regulamento Geral sobre a Proteção de Dados) seja obrigatoriamente realizada através do ponto de entrada único. No artigo 5.º, n.º 1, os requisitos em matéria de comunicação de informações ao abrigo da Diretiva 2002/58/CE (Diretiva Privacidade Eletrónica) são revogados, uma vez que são obsoletos face às disposições do Regulamento (UE) 2016/679 (Regulamento Geral sobre a Proteção de Dados).</w:t>
      </w:r>
    </w:p>
    <w:p w14:paraId="373FAC1E" w14:textId="77777777" w:rsidR="0028386D" w:rsidRPr="000D0D06" w:rsidRDefault="0028386D" w:rsidP="0028386D">
      <w:pPr>
        <w:rPr>
          <w:b/>
          <w:bCs/>
          <w:i/>
          <w:noProof/>
          <w:szCs w:val="24"/>
        </w:rPr>
      </w:pPr>
      <w:r w:rsidRPr="000D0D06">
        <w:rPr>
          <w:b/>
          <w:i/>
          <w:noProof/>
        </w:rPr>
        <w:t>Revogação de atos e disposições finais</w:t>
      </w:r>
    </w:p>
    <w:p w14:paraId="20BACC59" w14:textId="77777777" w:rsidR="0028386D" w:rsidRPr="000D0D06" w:rsidRDefault="0028386D" w:rsidP="3686E430">
      <w:pPr>
        <w:pBdr>
          <w:top w:val="nil"/>
          <w:left w:val="nil"/>
          <w:bottom w:val="nil"/>
          <w:right w:val="nil"/>
          <w:between w:val="nil"/>
        </w:pBdr>
        <w:spacing w:before="0" w:after="240"/>
        <w:rPr>
          <w:noProof/>
        </w:rPr>
      </w:pPr>
      <w:r w:rsidRPr="000D0D06">
        <w:rPr>
          <w:b/>
          <w:noProof/>
        </w:rPr>
        <w:t>No artigo 10.º:</w:t>
      </w:r>
      <w:r w:rsidRPr="000D0D06">
        <w:rPr>
          <w:noProof/>
        </w:rPr>
        <w:t xml:space="preserve"> </w:t>
      </w:r>
    </w:p>
    <w:p w14:paraId="393E36D1" w14:textId="2018E8DE" w:rsidR="3FD4E127" w:rsidRPr="000D0D06" w:rsidRDefault="0028386D" w:rsidP="088A58B0">
      <w:pPr>
        <w:pBdr>
          <w:top w:val="nil"/>
          <w:left w:val="nil"/>
          <w:bottom w:val="nil"/>
          <w:right w:val="nil"/>
          <w:between w:val="nil"/>
        </w:pBdr>
        <w:spacing w:before="0" w:after="240"/>
        <w:rPr>
          <w:noProof/>
        </w:rPr>
      </w:pPr>
      <w:r w:rsidRPr="000D0D06">
        <w:rPr>
          <w:noProof/>
        </w:rPr>
        <w:t>O n.º 1 revoga o Regulamento (UE) 2019/1150 (Regulamento P2B), considerado de pertinência residual face às regras recentes que abrangem, em grande medida, as mesmas questões. A título de derrogação, o n.º 2 aborda quaisquer referências cruzadas ao Regulamento (UE) 2019/1150 (Regulamento P2B) noutros instrumentos jurídicos: estas manter-se-ão aplicáveis até serem alteradas nos seus atos iniciais, o mais tardar até 31 de dezembro de 2032, a fim de evitar qualquer incerteza jurídica.</w:t>
      </w:r>
    </w:p>
    <w:p w14:paraId="22C9CA84" w14:textId="77777777" w:rsidR="0028386D" w:rsidRPr="000D0D06" w:rsidRDefault="0028386D" w:rsidP="3686E430">
      <w:pPr>
        <w:pBdr>
          <w:top w:val="nil"/>
          <w:left w:val="nil"/>
          <w:bottom w:val="nil"/>
          <w:right w:val="nil"/>
          <w:between w:val="nil"/>
        </w:pBdr>
        <w:spacing w:before="0" w:after="240"/>
        <w:rPr>
          <w:noProof/>
        </w:rPr>
      </w:pPr>
      <w:r w:rsidRPr="000D0D06">
        <w:rPr>
          <w:noProof/>
        </w:rPr>
        <w:t>O n.º 3 revoga os textos jurídicos incorporados no Regulamento (UE) 2023/2854 (Regulamento dos Dados).</w:t>
      </w:r>
    </w:p>
    <w:p w14:paraId="326AF495" w14:textId="77777777" w:rsidR="0028386D" w:rsidRPr="000D0D06" w:rsidRDefault="0028386D" w:rsidP="3686E430">
      <w:pPr>
        <w:pBdr>
          <w:top w:val="nil"/>
          <w:left w:val="nil"/>
          <w:bottom w:val="nil"/>
          <w:right w:val="nil"/>
          <w:between w:val="nil"/>
        </w:pBdr>
        <w:spacing w:before="0" w:after="240"/>
        <w:rPr>
          <w:noProof/>
        </w:rPr>
      </w:pPr>
      <w:r w:rsidRPr="000D0D06">
        <w:rPr>
          <w:b/>
          <w:noProof/>
        </w:rPr>
        <w:t>O artigo 11.º</w:t>
      </w:r>
      <w:r w:rsidRPr="000D0D06">
        <w:rPr>
          <w:noProof/>
        </w:rPr>
        <w:t xml:space="preserve"> estabelece as disposições finais do regulamento de alteração.</w:t>
      </w:r>
    </w:p>
    <w:p w14:paraId="4C35CEAC" w14:textId="77777777" w:rsidR="006F11E5" w:rsidRPr="000D0D06" w:rsidRDefault="006F11E5" w:rsidP="006F11E5">
      <w:pPr>
        <w:rPr>
          <w:noProof/>
        </w:rPr>
      </w:pPr>
    </w:p>
    <w:p w14:paraId="47466E75" w14:textId="77777777" w:rsidR="006F11E5" w:rsidRPr="000D0D06" w:rsidRDefault="006F11E5" w:rsidP="006F11E5">
      <w:pPr>
        <w:rPr>
          <w:noProof/>
        </w:rPr>
        <w:sectPr w:rsidR="006F11E5" w:rsidRPr="000D0D06" w:rsidSect="00053915">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14:paraId="74084D67" w14:textId="220AA03B" w:rsidR="00FC7E68" w:rsidRPr="000D0D06" w:rsidRDefault="000D0D06" w:rsidP="000D0D06">
      <w:pPr>
        <w:pStyle w:val="Rfrenceinterinstitutionnelle"/>
        <w:rPr>
          <w:noProof/>
        </w:rPr>
      </w:pPr>
      <w:r>
        <w:rPr>
          <w:noProof/>
        </w:rPr>
        <w:t>2025/0360 (COD)</w:t>
      </w:r>
    </w:p>
    <w:p w14:paraId="7D8E4C85" w14:textId="1BC4C6F8" w:rsidR="00FF2EDA" w:rsidRPr="000D0D06" w:rsidRDefault="000D0D06" w:rsidP="000D0D06">
      <w:pPr>
        <w:pStyle w:val="Statut"/>
        <w:rPr>
          <w:noProof/>
        </w:rPr>
      </w:pPr>
      <w:r w:rsidRPr="000D0D06">
        <w:rPr>
          <w:noProof/>
        </w:rPr>
        <w:t>Proposta de</w:t>
      </w:r>
    </w:p>
    <w:p w14:paraId="571A7DEE" w14:textId="30CCB0F0" w:rsidR="00FF2EDA" w:rsidRPr="000D0D06" w:rsidRDefault="000D0D06" w:rsidP="000D0D06">
      <w:pPr>
        <w:pStyle w:val="Typedudocument"/>
        <w:rPr>
          <w:noProof/>
        </w:rPr>
      </w:pPr>
      <w:r w:rsidRPr="000D0D06">
        <w:rPr>
          <w:noProof/>
        </w:rPr>
        <w:t>REGULAMENTO DO PARLAMENTO EUROPEU E DO CONSELHO</w:t>
      </w:r>
    </w:p>
    <w:p w14:paraId="2E5DF7CB" w14:textId="0BF27384" w:rsidR="00FF2EDA" w:rsidRPr="000D0D06" w:rsidRDefault="000D0D06" w:rsidP="000D0D06">
      <w:pPr>
        <w:pStyle w:val="Titreobjet"/>
        <w:rPr>
          <w:noProof/>
        </w:rPr>
      </w:pPr>
      <w:r w:rsidRPr="000D0D06">
        <w:rPr>
          <w:noProof/>
        </w:rPr>
        <w:t>que altera os Regulamentos (UE) 2016/679, (UE) 2018/1724, (UE) 2018/1725 e (UE) 2023/2854 e as Diretivas 2002/58/CE, (UE) 2022/2555 e (UE) 2022/2557 no respeitante à simplificação do quadro legislativo digital e que revoga os Regulamentos (UE) 2018/1807, (UE) 2019/1150, (UE) 2022/868 e a Diretiva (UE) 2019/1024 (</w:t>
      </w:r>
      <w:r w:rsidRPr="000D0D06">
        <w:rPr>
          <w:i/>
          <w:noProof/>
        </w:rPr>
        <w:t>Omnibus</w:t>
      </w:r>
      <w:r w:rsidRPr="000D0D06">
        <w:rPr>
          <w:noProof/>
        </w:rPr>
        <w:t xml:space="preserve"> Digital) </w:t>
      </w:r>
      <w:r w:rsidRPr="000D0D06">
        <w:rPr>
          <w:noProof/>
        </w:rPr>
        <w:br/>
        <w:t xml:space="preserve"> </w:t>
      </w:r>
      <w:r w:rsidRPr="000D0D06">
        <w:rPr>
          <w:noProof/>
        </w:rPr>
        <w:br/>
      </w:r>
    </w:p>
    <w:p w14:paraId="65F7E289" w14:textId="77777777" w:rsidR="00FF2EDA" w:rsidRPr="000D0D06" w:rsidRDefault="00FF2EDA" w:rsidP="008C7057">
      <w:pPr>
        <w:pStyle w:val="Institutionquiagit"/>
        <w:rPr>
          <w:noProof/>
        </w:rPr>
      </w:pPr>
      <w:r w:rsidRPr="000D0D06">
        <w:rPr>
          <w:noProof/>
        </w:rPr>
        <w:t>O PARLAMENTO EUROPEU E O CONSELHO DA UNIÃO EUROPEIA,</w:t>
      </w:r>
    </w:p>
    <w:p w14:paraId="71BAA005" w14:textId="77777777" w:rsidR="00FF2EDA" w:rsidRPr="000D0D06" w:rsidRDefault="00FF2EDA" w:rsidP="008C7057">
      <w:pPr>
        <w:rPr>
          <w:noProof/>
        </w:rPr>
      </w:pPr>
      <w:r w:rsidRPr="000D0D06">
        <w:rPr>
          <w:noProof/>
        </w:rPr>
        <w:t>Tendo em conta o Tratado sobre o Funcionamento da União Europeia, nomeadamente os artigos 16.º e 114.º,</w:t>
      </w:r>
    </w:p>
    <w:p w14:paraId="1F99E27E" w14:textId="77777777" w:rsidR="00FF2EDA" w:rsidRPr="000D0D06" w:rsidRDefault="00FF2EDA" w:rsidP="008C7057">
      <w:pPr>
        <w:rPr>
          <w:noProof/>
        </w:rPr>
      </w:pPr>
      <w:r w:rsidRPr="000D0D06">
        <w:rPr>
          <w:noProof/>
        </w:rPr>
        <w:t>Tendo em conta a proposta da Comissão Europeia,</w:t>
      </w:r>
    </w:p>
    <w:p w14:paraId="6D92CD38" w14:textId="77777777" w:rsidR="00FF2EDA" w:rsidRPr="000D0D06" w:rsidRDefault="00FF2EDA" w:rsidP="008C7057">
      <w:pPr>
        <w:rPr>
          <w:noProof/>
        </w:rPr>
      </w:pPr>
      <w:r w:rsidRPr="000D0D06">
        <w:rPr>
          <w:noProof/>
        </w:rPr>
        <w:t>Após transmissão do projeto de ato legislativo aos parlamentos nacionais,</w:t>
      </w:r>
    </w:p>
    <w:p w14:paraId="33D7C831" w14:textId="77777777" w:rsidR="00FF2EDA" w:rsidRPr="000D0D06" w:rsidRDefault="00FF2EDA" w:rsidP="008C7057">
      <w:pPr>
        <w:rPr>
          <w:noProof/>
        </w:rPr>
      </w:pPr>
      <w:r w:rsidRPr="000D0D06">
        <w:rPr>
          <w:noProof/>
        </w:rPr>
        <w:t>Tendo em conta o parecer do Comité Económico e Social Europeu</w:t>
      </w:r>
      <w:r w:rsidRPr="000D0D06">
        <w:rPr>
          <w:rStyle w:val="FootnoteReference"/>
          <w:noProof/>
        </w:rPr>
        <w:footnoteReference w:id="22"/>
      </w:r>
      <w:r w:rsidRPr="000D0D06">
        <w:rPr>
          <w:noProof/>
        </w:rPr>
        <w:t xml:space="preserve">, </w:t>
      </w:r>
    </w:p>
    <w:p w14:paraId="7827DA89" w14:textId="77777777" w:rsidR="00E62BD7" w:rsidRPr="000D0D06" w:rsidRDefault="00E62BD7" w:rsidP="008C7057">
      <w:pPr>
        <w:rPr>
          <w:noProof/>
        </w:rPr>
      </w:pPr>
      <w:r w:rsidRPr="000D0D06">
        <w:rPr>
          <w:noProof/>
        </w:rPr>
        <w:t>Tendo em conta o parecer do Banco Central Europeu</w:t>
      </w:r>
      <w:r w:rsidRPr="000D0D06">
        <w:rPr>
          <w:rStyle w:val="FootnoteReference"/>
          <w:noProof/>
        </w:rPr>
        <w:footnoteReference w:id="23"/>
      </w:r>
      <w:r w:rsidRPr="000D0D06">
        <w:rPr>
          <w:noProof/>
        </w:rPr>
        <w:t>,</w:t>
      </w:r>
    </w:p>
    <w:p w14:paraId="2BF7B8B3" w14:textId="77777777" w:rsidR="00FF2EDA" w:rsidRPr="000D0D06" w:rsidRDefault="00FF2EDA" w:rsidP="008C7057">
      <w:pPr>
        <w:rPr>
          <w:noProof/>
        </w:rPr>
      </w:pPr>
      <w:r w:rsidRPr="000D0D06">
        <w:rPr>
          <w:noProof/>
        </w:rPr>
        <w:t>Tendo em conta o parecer do Comité das Regiões</w:t>
      </w:r>
      <w:r w:rsidRPr="000D0D06">
        <w:rPr>
          <w:rStyle w:val="FootnoteReference"/>
          <w:noProof/>
        </w:rPr>
        <w:footnoteReference w:id="24"/>
      </w:r>
      <w:r w:rsidRPr="000D0D06">
        <w:rPr>
          <w:noProof/>
        </w:rPr>
        <w:t xml:space="preserve">, </w:t>
      </w:r>
    </w:p>
    <w:p w14:paraId="5975797A" w14:textId="77777777" w:rsidR="00FF2EDA" w:rsidRPr="000D0D06" w:rsidRDefault="00FF2EDA" w:rsidP="60E008F6">
      <w:pPr>
        <w:rPr>
          <w:noProof/>
        </w:rPr>
      </w:pPr>
      <w:r w:rsidRPr="000D0D06">
        <w:rPr>
          <w:noProof/>
        </w:rPr>
        <w:t>Deliberando de acordo com o processo legislativo ordinário,</w:t>
      </w:r>
    </w:p>
    <w:p w14:paraId="0AC21DFB" w14:textId="77777777" w:rsidR="00FF2EDA" w:rsidRPr="000D0D06" w:rsidRDefault="00FF2EDA" w:rsidP="008C7057">
      <w:pPr>
        <w:rPr>
          <w:noProof/>
        </w:rPr>
      </w:pPr>
      <w:r w:rsidRPr="000D0D06">
        <w:rPr>
          <w:noProof/>
        </w:rPr>
        <w:t>Considerando o seguinte:</w:t>
      </w:r>
    </w:p>
    <w:p w14:paraId="5404E5CC" w14:textId="2BEAD070" w:rsidR="00FF2EDA" w:rsidRPr="000D0D06" w:rsidRDefault="001936FC" w:rsidP="001936FC">
      <w:pPr>
        <w:pStyle w:val="ManualConsidrant"/>
        <w:rPr>
          <w:noProof/>
        </w:rPr>
      </w:pPr>
      <w:bookmarkStart w:id="3" w:name="_Hlk212390503"/>
      <w:r w:rsidRPr="000D0D06">
        <w:rPr>
          <w:noProof/>
        </w:rPr>
        <w:t>(1)</w:t>
      </w:r>
      <w:r w:rsidRPr="000D0D06">
        <w:rPr>
          <w:noProof/>
        </w:rPr>
        <w:tab/>
        <w:t>Na sua Comunicação intitulada «Uma Europa mais simples e mais rápida»</w:t>
      </w:r>
      <w:r w:rsidRPr="000D0D06">
        <w:rPr>
          <w:rStyle w:val="FootnoteReference"/>
          <w:noProof/>
        </w:rPr>
        <w:footnoteReference w:id="25"/>
      </w:r>
      <w:r w:rsidRPr="000D0D06">
        <w:rPr>
          <w:noProof/>
        </w:rPr>
        <w:t>, a Comissão anunciou o seu empenho em prosseguir um programa ambicioso destinado a promover políticas inovadoras e orientadas para o futuro que reforcem a competitividade da União e aliviem radicalmente a carga regulamentar que recai sobre as pessoas, as empresas e as administrações, mantendo simultaneamente os mais elevados padrões na promoção dos valores da União. Por conseguinte, a Comissão deu prioridade à proposta de ajustamento imediato da legislação, incluindo a legislação no domínio digital, para fazer face ao desafio de assegurar a competitividade da União.</w:t>
      </w:r>
    </w:p>
    <w:p w14:paraId="5AF0A51D" w14:textId="782E7D8B" w:rsidR="002A1960" w:rsidRPr="000D0D06" w:rsidRDefault="001936FC" w:rsidP="001936FC">
      <w:pPr>
        <w:pStyle w:val="ManualConsidrant"/>
        <w:rPr>
          <w:noProof/>
        </w:rPr>
      </w:pPr>
      <w:r w:rsidRPr="000D0D06">
        <w:rPr>
          <w:noProof/>
        </w:rPr>
        <w:t>(2)</w:t>
      </w:r>
      <w:r w:rsidRPr="000D0D06">
        <w:rPr>
          <w:noProof/>
        </w:rPr>
        <w:tab/>
        <w:t xml:space="preserve">A legislação da União no domínio digital estabelece padrões elevados na União e pode ser uma poderosa fonte de vantagem concorrencial para as empresas que cumprem as regras, evidenciando um selo de qualidade, segurança e fiabilidade de referência mundial. A regulamentação digital definiu regras do jogo claras na União para empresas responsáveis, assegurando a equidade e a transparência nas relações entre empresas, promovendo modelos empresariais inovadores, estabelecendo elevados padrões de proteção e segurança dos consumidores e de proteção dos direitos fundamentais, nomeadamente a privacidade e a proteção de dados. </w:t>
      </w:r>
    </w:p>
    <w:p w14:paraId="5CFB39DA" w14:textId="407C3EDF" w:rsidR="006979A5" w:rsidRPr="000D0D06" w:rsidRDefault="001936FC" w:rsidP="001936FC">
      <w:pPr>
        <w:pStyle w:val="ManualConsidrant"/>
        <w:rPr>
          <w:noProof/>
        </w:rPr>
      </w:pPr>
      <w:r w:rsidRPr="000D0D06">
        <w:rPr>
          <w:noProof/>
        </w:rPr>
        <w:t>(3)</w:t>
      </w:r>
      <w:r w:rsidRPr="000D0D06">
        <w:rPr>
          <w:noProof/>
        </w:rPr>
        <w:tab/>
        <w:t xml:space="preserve">A legislação da União no domínio digital tem evoluído progressivamente nos últimos anos, em resposta ao rápido aumento do impacto das tecnologias digitais na economia e na dinâmica societal da União, e com vista a afrontar os desafios emergentes e a promover oportunidades de negócio na UE. Não obstante o empenho da Comissão em submeter as regras digitais, a par de outras regras da União, a «testes de esforço» sistemáticos, que poderão conduzir a novos ajustamentos regulamentares, nomeadamente na sequência do próximo balanço de qualidade digital, bem como de outras avaliações específicas das regras digitais, são necessárias alterações regulamentares imediatas. Por conseguinte, o presente regulamento propõe um primeiro conjunto de alterações do quadro legislativo digital, destinadas a proporcionar clarificações regulamentares imediatas que estimulem a inovação no mercado da União e reduzam os custos administrativos de conformidade, em especial para as empresas, racionalizando simultaneamente os custos administrativos e de supervisão para as autoridades de controlo e os órgãos consultivos. As alterações visam igualmente proporcionar clareza aos particulares. </w:t>
      </w:r>
    </w:p>
    <w:p w14:paraId="2CE744C0" w14:textId="3DC0B059" w:rsidR="00E7332E" w:rsidRPr="000D0D06" w:rsidRDefault="001936FC" w:rsidP="001936FC">
      <w:pPr>
        <w:pStyle w:val="ManualConsidrant"/>
        <w:rPr>
          <w:noProof/>
        </w:rPr>
      </w:pPr>
      <w:r w:rsidRPr="000D0D06">
        <w:rPr>
          <w:noProof/>
        </w:rPr>
        <w:t>(4)</w:t>
      </w:r>
      <w:r w:rsidRPr="000D0D06">
        <w:rPr>
          <w:noProof/>
        </w:rPr>
        <w:tab/>
        <w:t>Tendo em conta o papel fundamental dos dados na promoção da criação de valor na economia digital, e em conformidade com os objetivos da Comunicação relativa a uma Estratégia para uma União Europeia dos Dados, as alterações do quadro legislativo para os dados apresentadas no presente regulamento procuram criar um quadro regulamentar coerente e coeso para a disponibilidade e utilização de dados, racionalizando e consolidando o quadro regulamentar em matéria de dados em apenas dois atos jurídicos, a saber, o Regulamento (UE) 2016/679</w:t>
      </w:r>
      <w:r w:rsidRPr="000D0D06">
        <w:rPr>
          <w:rStyle w:val="FootnoteReference"/>
          <w:noProof/>
        </w:rPr>
        <w:footnoteReference w:id="26"/>
      </w:r>
      <w:r w:rsidRPr="000D0D06">
        <w:rPr>
          <w:noProof/>
        </w:rPr>
        <w:t xml:space="preserve"> e o Regulamento (UE) 2023/2854</w:t>
      </w:r>
      <w:r w:rsidRPr="000D0D06">
        <w:rPr>
          <w:rStyle w:val="FootnoteReference"/>
          <w:noProof/>
        </w:rPr>
        <w:footnoteReference w:id="27"/>
      </w:r>
      <w:r w:rsidRPr="000D0D06">
        <w:rPr>
          <w:noProof/>
        </w:rPr>
        <w:t xml:space="preserve"> do Parlamento Europeu e do Conselho, a partir dos cinco atos diferentes atualmente aplicáveis. As alterações visam cortar os custos administrativos desnecessários e estimular a disponibilidade de dados como condição prévia para apoiar empresas digitais competitivas na União, mantendo simultaneamente os mais elevados padrões de proteção da privacidade, proteção dos dados pessoais e práticas comerciais justas, e assegurando objetivos regulamentares fundamentais, incluindo o cumprimento da legislação nacional e da UE em matéria de concorrência. </w:t>
      </w:r>
    </w:p>
    <w:p w14:paraId="3F454A73" w14:textId="243A1A8E" w:rsidR="001A6D73" w:rsidRPr="000D0D06" w:rsidRDefault="001936FC" w:rsidP="001936FC">
      <w:pPr>
        <w:pStyle w:val="ManualConsidrant"/>
        <w:rPr>
          <w:noProof/>
        </w:rPr>
      </w:pPr>
      <w:r w:rsidRPr="000D0D06">
        <w:rPr>
          <w:noProof/>
        </w:rPr>
        <w:t>(5)</w:t>
      </w:r>
      <w:r w:rsidRPr="000D0D06">
        <w:rPr>
          <w:noProof/>
        </w:rPr>
        <w:tab/>
        <w:t xml:space="preserve">Reconhecendo a evolução iterativa das regras horizontais e setoriais, é indispensável abordar também as sobreposições em disposições específicas que resultam em duplicações desnecessárias dos encargos administrativos. É o caso dos requisitos previstos em várias regras para a notificação na sequência de incidentes de cibersegurança e incidentes conexos, em que as soluções digitais, conforme propostas no presente regulamento, podem proporcionar um alívio imediato às empresas de todos os setores em causa. </w:t>
      </w:r>
    </w:p>
    <w:p w14:paraId="6045E94E" w14:textId="77777777" w:rsidR="006E4F32" w:rsidRPr="000D0D06" w:rsidRDefault="001936FC" w:rsidP="001936FC">
      <w:pPr>
        <w:pStyle w:val="ManualConsidrant"/>
        <w:rPr>
          <w:noProof/>
        </w:rPr>
      </w:pPr>
      <w:r w:rsidRPr="000D0D06">
        <w:rPr>
          <w:noProof/>
        </w:rPr>
        <w:t>(6)</w:t>
      </w:r>
      <w:r w:rsidRPr="000D0D06">
        <w:rPr>
          <w:noProof/>
        </w:rPr>
        <w:tab/>
        <w:t xml:space="preserve">Do mesmo modo, com a regulamentação iterativa das plataformas em linha nos últimos anos, as regras mais recentes estabeleceram um quadro mais claro e ambicioso do que algumas das regras anteriores, tornando-as obsoletas. Por conseguinte, é necessário que o quadro jurídico evolua, eliminando duplicações desnecessárias que acrescentem complexidade jurídica. </w:t>
      </w:r>
    </w:p>
    <w:p w14:paraId="751432C5" w14:textId="3F6B459F" w:rsidR="4723EB4A" w:rsidRPr="000D0D06" w:rsidRDefault="001936FC" w:rsidP="001936FC">
      <w:pPr>
        <w:pStyle w:val="ManualConsidrant"/>
        <w:rPr>
          <w:noProof/>
        </w:rPr>
      </w:pPr>
      <w:r w:rsidRPr="000D0D06">
        <w:rPr>
          <w:noProof/>
        </w:rPr>
        <w:t>(7)</w:t>
      </w:r>
      <w:r w:rsidRPr="000D0D06">
        <w:rPr>
          <w:noProof/>
        </w:rPr>
        <w:tab/>
        <w:t>O Regulamento (UE) 2022/868 do Parlamento Europeu e do Conselho</w:t>
      </w:r>
      <w:r w:rsidRPr="000D0D06">
        <w:rPr>
          <w:rStyle w:val="FootnoteReference"/>
          <w:noProof/>
        </w:rPr>
        <w:footnoteReference w:id="28"/>
      </w:r>
      <w:r w:rsidRPr="000D0D06">
        <w:rPr>
          <w:noProof/>
        </w:rPr>
        <w:t xml:space="preserve"> estabeleceu regras para as funções de intermediário em três contextos diferentes: a) funções que apoiam a reutilização de dados protegidos na posse de organismos do setor público em condições controladas; b) serviços de intermediação de dados que facilitam a partilha de dados entre os titulares dos dados, os detentores dos dados e os utilizadores dos dados; e c) organizações de altruísmo de dados que apoiam a utilização de dados disponibilizados pelos titulares e detentores de dados numa base altruísta ou filantrópica. As funções que apoiam a reutilização de dados protegidos na posse do setor público estão estreitamente relacionadas com as regras da Diretiva (UE) 2019/1024 do Parlamento Europeu e do Conselho</w:t>
      </w:r>
      <w:r w:rsidRPr="000D0D06">
        <w:rPr>
          <w:rStyle w:val="FootnoteReference"/>
          <w:noProof/>
        </w:rPr>
        <w:footnoteReference w:id="29"/>
      </w:r>
      <w:r w:rsidRPr="000D0D06">
        <w:rPr>
          <w:noProof/>
        </w:rPr>
        <w:t>. A sua interação causou confusão, nomeadamente entre os organismos do setor público. Por conseguinte, é necessário fundir os dois conjuntos de regras. A avaliação das regras relativas aos serviços de intermediação de dados demonstrou que a definição de prestadores de serviços de intermediação de dados apresenta lacunas e que as regras são demasiado rigorosas para que os prestadores de serviços encontrem um modelo financeiro sustentável. Por conseguinte, é igualmente necessário simplificar o regime. No que diz respeito ao altruísmo de dados, determinadas regras do Regulamento (UE) 2022/868, nomeadamente a obrigação de os Estados-Membros disporem de políticas nacionais em matéria de altruísmo de dados, a criação de um código normativo e a elaboração de um formulário europeu de consentimento para o altruísmo de dados, afiguram-se desnecessárias, também à luz dos trabalhos em curso do Comité Europeu para a Proteção de Dados a que se refere o artigo 68.º do Regulamento (UE) 2016/679 do Parlamento Europeu e do Conselho</w:t>
      </w:r>
      <w:r w:rsidRPr="000D0D06">
        <w:rPr>
          <w:rStyle w:val="FootnoteReference"/>
          <w:noProof/>
        </w:rPr>
        <w:footnoteReference w:id="30"/>
      </w:r>
      <w:r w:rsidRPr="000D0D06">
        <w:rPr>
          <w:noProof/>
        </w:rPr>
        <w:t xml:space="preserve"> sobre orientações relativas ao tratamento de dados pessoais no contexto da investigação científica. </w:t>
      </w:r>
    </w:p>
    <w:p w14:paraId="22EC9CD0" w14:textId="249A62ED" w:rsidR="005F0A78" w:rsidRPr="000D0D06" w:rsidRDefault="001936FC" w:rsidP="001936FC">
      <w:pPr>
        <w:pStyle w:val="ManualConsidrant"/>
        <w:rPr>
          <w:noProof/>
        </w:rPr>
      </w:pPr>
      <w:r w:rsidRPr="000D0D06">
        <w:rPr>
          <w:noProof/>
        </w:rPr>
        <w:t>(8)</w:t>
      </w:r>
      <w:r w:rsidRPr="000D0D06">
        <w:rPr>
          <w:noProof/>
        </w:rPr>
        <w:tab/>
        <w:t xml:space="preserve">Embora a importância dos serviços de intermediação de dados seja reconhecida no contexto de muitas iniciativas de apoio à partilha de dados e à colaboração, as regras do Regulamento (UE) 2022/868 relativas aos prestadores de serviços de intermediação de dados devem ser clarificadas. Em especial, a definição desses prestadores deve ser mais precisa. Deve eliminar elementos que serviram apenas de exemplos ilustrativos, e não de exceções. Além disso, deve colmatar as lacunas resultantes de formulações ambíguas, nomeadamente no que diz respeito ao conceito de «grupo fechado». Os serviços não devem ser elegíveis para registo como serviços de intermediação de dados se forem exclusivamente utilizados por um grupo fechado de empresas e se qualquer alargamento desse grupo de empresas só puder ser decidido por esse grupo e não pelo prestador de serviços. Mais importante ainda, a sujeição deste mercado emergente a um regime obrigatório criou custos de conformidade desnecessários. Nesta fase de desenvolvimento do mercado, afigura-se suficiente um regime voluntário que permita aos operadores neutros distinguirem-se dos outros operadores. Além disso, a fim de permitir modelos empresariais sustentáveis, o regime deve ser menos rigoroso, suprimindo o requisito de separação jurídica entre os serviços de intermediação de dados e outros serviços de valor acrescentado que um prestador possa oferecer e substituindo-o por uma separação funcional, embora mantendo determinadas salvaguardas. O regime de controlo administrativo deve ser simplificado. Em vez de um registo público nacional e da União para os prestadores de serviços de intermediação de dados e as organizações de altruísmo de dados, apenas devem existir registos públicos da União, a saber, um para os prestadores de serviços de intermediação de dados e outro para as organizações de altruísmo de dados. As autoridades competentes que supervisionam a atribuição do título e a conformidade das entidades com os requisitos para a sua obtenção devem ser independentes nesta tarefa. Tal deve entender-se no sentido de que são jurídica e funcionalmente independentes de um serviço de intermediação de dados ou de uma organização de altruísmo de dados, incluindo ao nível dos seus quadros superiores. As organizações governamentais devem poder apoiar financeiramente os serviços de intermediação de dados ou as organizações de altruísmo de dados, em especial tendo em conta a natureza emergente destas entidades, desde que sejam entidades juridicamente distintas. A fim de assegurar que as entidades reconhecidas são facilmente identificáveis em toda a União, a Comissão adotou o Regulamento de Execução (UE) 2023/1622 relativo à conceção de logótipos comuns para identificar os prestadores de serviços de intermediação de dados e as organizações de altruísmo de dados reconhecidos na União. </w:t>
      </w:r>
    </w:p>
    <w:p w14:paraId="6A48AB1B" w14:textId="51D1E13C" w:rsidR="00C604DB" w:rsidRPr="000D0D06" w:rsidRDefault="001936FC" w:rsidP="001936FC">
      <w:pPr>
        <w:pStyle w:val="ManualConsidrant"/>
        <w:rPr>
          <w:noProof/>
        </w:rPr>
      </w:pPr>
      <w:r w:rsidRPr="000D0D06">
        <w:rPr>
          <w:noProof/>
        </w:rPr>
        <w:t>(9)</w:t>
      </w:r>
      <w:r w:rsidRPr="000D0D06">
        <w:rPr>
          <w:noProof/>
        </w:rPr>
        <w:tab/>
        <w:t xml:space="preserve">O Regulamento (UE) 2023/2854 elimina os obstáculos ao acesso e à utilização de dados, desbloqueia a inovação baseada em dados e a competitividade e salvaguarda os incentivos daqueles que investem em tecnologias de dados. </w:t>
      </w:r>
    </w:p>
    <w:p w14:paraId="00D918F5" w14:textId="3E751371" w:rsidR="00695182" w:rsidRPr="000D0D06" w:rsidRDefault="001936FC" w:rsidP="001936FC">
      <w:pPr>
        <w:pStyle w:val="ManualConsidrant"/>
        <w:rPr>
          <w:noProof/>
        </w:rPr>
      </w:pPr>
      <w:r w:rsidRPr="000D0D06">
        <w:rPr>
          <w:noProof/>
        </w:rPr>
        <w:t>(10)</w:t>
      </w:r>
      <w:r w:rsidRPr="000D0D06">
        <w:rPr>
          <w:noProof/>
        </w:rPr>
        <w:tab/>
        <w:t>O capítulo II do Regulamento (UE) 2023/2854 exige que os detentores de dados disponibilizem os dados, incluindo os dados protegidos como segredos comerciais, aos utilizadores e a entidades terceiras selecionadas, desde que sejam mantidas as medidas de confidencialidade estabelecidas pelo detentor dos dados. Este requisito de manutenção da confidencialidade complementa a Diretiva (UE) 2016/943 do Parlamento Europeu e do Conselho</w:t>
      </w:r>
      <w:r w:rsidRPr="000D0D06">
        <w:rPr>
          <w:rStyle w:val="FootnoteReference"/>
          <w:noProof/>
        </w:rPr>
        <w:footnoteReference w:id="31"/>
      </w:r>
      <w:r w:rsidRPr="000D0D06">
        <w:rPr>
          <w:noProof/>
        </w:rPr>
        <w:t xml:space="preserve">, que estabelece a norma para a proteção dos segredos comerciais na União. No entanto, a divulgação de segredos comerciais a entidades de países terceiros pode aumentar os riscos para a sua integridade e confidencialidade se houver exposição a jurisdições com proteções inadequadas ou dificuldades na sua aplicação efetiva, o que pode resultar numa utilização não autorizada, em prejuízos económicos e em insegurança jurídica. </w:t>
      </w:r>
    </w:p>
    <w:p w14:paraId="239F22EE" w14:textId="05282093" w:rsidR="00E420AC" w:rsidRPr="000D0D06" w:rsidRDefault="001936FC" w:rsidP="001936FC">
      <w:pPr>
        <w:pStyle w:val="ManualConsidrant"/>
        <w:rPr>
          <w:noProof/>
        </w:rPr>
      </w:pPr>
      <w:r w:rsidRPr="000D0D06">
        <w:rPr>
          <w:noProof/>
        </w:rPr>
        <w:t>(11)</w:t>
      </w:r>
      <w:r w:rsidRPr="000D0D06">
        <w:rPr>
          <w:noProof/>
        </w:rPr>
        <w:tab/>
        <w:t xml:space="preserve">É necessário reforçar o Regulamento (UE) 2023/2854, introduzindo um motivo adicional para os detentores dos dados recusarem a divulgação de segredos comerciais, que complemente as disposições em vigor que permitem a recusa com base na demonstração, por parte do detentor dos dados, de uma elevada probabilidade de prejuízos económicos graves. Nos termos da nova disposição, os detentores de dados podem recusar-se a divulgar segredos comerciais se demonstrarem que existe um elevado risco de aquisição, utilização ou divulgação ilegais a entidades sujeitas a regimes com proteção inadequada, não equivalentes ou com quadros jurídicos mais fracos do que as regras aplicáveis da União. A nova disposição abrange igualmente os casos em que o quadro jurídico do país terceiro, em teoria, é sólido ou excede essas regras da União, mas carece de aplicação adequada na prática. Esses riscos evidenciam a possibilidade de os segredos comerciais poderem ser adquiridos, utilizados ou divulgados em violação do direito da União, ameaçando a integridade e a confidencialidade dos segredos comerciais. </w:t>
      </w:r>
    </w:p>
    <w:p w14:paraId="2B0BD995" w14:textId="6F766152" w:rsidR="00414588" w:rsidRPr="000D0D06" w:rsidRDefault="001936FC" w:rsidP="001936FC">
      <w:pPr>
        <w:pStyle w:val="ManualConsidrant"/>
        <w:rPr>
          <w:noProof/>
        </w:rPr>
      </w:pPr>
      <w:r w:rsidRPr="000D0D06">
        <w:rPr>
          <w:noProof/>
        </w:rPr>
        <w:t>(12)</w:t>
      </w:r>
      <w:r w:rsidRPr="000D0D06">
        <w:rPr>
          <w:noProof/>
        </w:rPr>
        <w:tab/>
        <w:t>A ativação do mecanismo de recusa deve continuar a ser voluntária e a demonstração deve ser feita apenas após a sua ativação. Os detentores de dados não devem ser obrigados a realizar uma análise ou demonstração exaustiva do nível de proteção do segredo comercial em países terceiros ou por uma entidade de um país terceiro como condição prévia para poderem fundamentar a sua recusa em partilhar dados ou divulgar segredos comerciais. Na sua demonstração, os detentores de dados podem ter em conta vários fatores, como normas jurídicas insuficientes ou inadequadas, uma aplicação deficiente ou arbitrária, infrações históricas, obrigações de divulgação estrangeiras incompatíveis com o direito da União, vias de recurso limitadas para as entidades da União, a utilização abusiva estratégica de táticas processuais para prejudicar os concorrentes ou influência política indevida. Tendo em conta o leque diversificado de entidades, países terceiros e cenários de partilha de dados envolvidos, os detentores de dados devem centrar a sua avaliação e demonstração nos riscos pertinentes e agir em conformidade, nomeadamente estabelecendo garantias adequadas ou ativando o mecanismo de recusa. As recusas devem ser claras, proporcionadas e adaptadas às circunstâncias específicas de cada caso, em vez de serem aplicadas de forma sistemática ou generalizada a todo um país terceiro.</w:t>
      </w:r>
    </w:p>
    <w:p w14:paraId="00A6F54C" w14:textId="30F98D00" w:rsidR="00E1613F" w:rsidRPr="000D0D06" w:rsidRDefault="001936FC" w:rsidP="001936FC">
      <w:pPr>
        <w:pStyle w:val="ManualConsidrant"/>
        <w:rPr>
          <w:noProof/>
        </w:rPr>
      </w:pPr>
      <w:r w:rsidRPr="000D0D06">
        <w:rPr>
          <w:noProof/>
        </w:rPr>
        <w:t>(13)</w:t>
      </w:r>
      <w:r w:rsidRPr="000D0D06">
        <w:rPr>
          <w:noProof/>
        </w:rPr>
        <w:tab/>
        <w:t xml:space="preserve">Uma proteção insuficiente dos segredos comerciais e os desafios na sua aplicação em países terceiros podem causar danos irreparáveis às empresas europeias. Por conseguinte, o objetivo é reforçar as salvaguardas dos segredos comerciais, evitando a sua fuga para pessoas singulares ou coletivas estabelecidas em jurisdições que apresentem tais riscos ou sujeitas a estas. Tal inclui entidades sediadas na União controladas por entidades de países terceiros, que podem agir de má-fé ou como fachada para entidades de países terceiros. Além disso, o objetivo é evitar a exposição direta a entidades de países terceiros que operam na União e que estão sujeitas a essas jurisdições. Se uma pessoa singular ou coletiva está sujeita à jurisdição de um país terceiro, é legalmente regida, é controlada ou está de outra forma vinculada pela legislação ou pela autoridade reguladora de um país terceiro. As sucursais ou filiais de empresas-mãe de países terceiros podem explorar essas jurisdições para contornar ou eludir a legislação da União. O controlo direto ou indireto refere-se à capacidade de exercer uma influência decisiva ou dominante na gestão ou nas decisões estratégicas de outra entidade, seja através da propriedade do capital ou dos direitos de voto, da participação financeira, de acordos contratuais ou de entidades intermediárias. O controlo pode ser exercido diretamente ou por outros meios, mesmo sem participação maioritária. Os detentores de dados devem envidar todos os esforços para obter as informações pertinentes, o que pode incluir pesquisas em registos públicos ou pedidos diretos ao utilizador ou a terceiros, garantindo, ao mesmo tempo, que o processo não seja indevidamente intrusivo. </w:t>
      </w:r>
    </w:p>
    <w:p w14:paraId="201D1D5F" w14:textId="70A31948" w:rsidR="000D5E14" w:rsidRPr="000D0D06" w:rsidRDefault="001936FC" w:rsidP="001936FC">
      <w:pPr>
        <w:pStyle w:val="ManualConsidrant"/>
        <w:rPr>
          <w:noProof/>
        </w:rPr>
      </w:pPr>
      <w:r w:rsidRPr="000D0D06">
        <w:rPr>
          <w:noProof/>
        </w:rPr>
        <w:t>(14)</w:t>
      </w:r>
      <w:r w:rsidRPr="000D0D06">
        <w:rPr>
          <w:noProof/>
        </w:rPr>
        <w:tab/>
        <w:t xml:space="preserve">A proteção dos segredos comerciais contra essas vulnerabilidades é essencial para que as indústrias europeias mantenham a sua posição no mercado e a sua vantagem concorrencial. Embora os detentores de dados possam exercer poderes discricionários na proteção dos seus segredos comerciais, as recusas de partilha de dados deverão limitar-se a circunstâncias excecionais justificadas, a fim de preservar os objetivos do Regulamento (UE) 2023/2854 de promover a inovação baseada em dados e uma economia digital próspera na União. Deverão permanecer em vigor salvaguardas contra a utilização abusiva do mecanismo de recusa, incluindo a obrigação do detentor de dados de demonstrar, de forma devidamente fundamentada, que a divulgação representa um risco elevado e de notificar as autoridades competentes. Esta demonstração deve ser apresentada por escrito, sem demora injustificada, ao utilizador ou a terceiros, e ser proporcional ao caso em apreço. Todas as partes envolvidas devem tratar a decisão e a demonstração de apoio como confidenciais, a fim de manter a natureza confidencial dos segredos comerciais em causa. Os utilizadores e terceiros, consoante o caso, podem contestar a decisão do detentor dos dados junto da autoridade competente, em tribunal ou através de órgãos de resolução de litígios. </w:t>
      </w:r>
    </w:p>
    <w:p w14:paraId="17FC7C8D" w14:textId="1DAC83BF" w:rsidR="00AF33ED" w:rsidRPr="000D0D06" w:rsidRDefault="001936FC" w:rsidP="001936FC">
      <w:pPr>
        <w:pStyle w:val="ManualConsidrant"/>
        <w:rPr>
          <w:rFonts w:ascii="Aptos" w:eastAsia="Aptos" w:hAnsi="Aptos" w:cs="Aptos"/>
          <w:noProof/>
          <w:sz w:val="22"/>
        </w:rPr>
      </w:pPr>
      <w:r w:rsidRPr="000D0D06">
        <w:rPr>
          <w:noProof/>
        </w:rPr>
        <w:t>(15)</w:t>
      </w:r>
      <w:r w:rsidRPr="000D0D06">
        <w:rPr>
          <w:noProof/>
        </w:rPr>
        <w:tab/>
        <w:t xml:space="preserve">A fim de simplificar o quadro de partilha de dados entre empresas e a administração pública ao abrigo do Regulamento (UE) 2023/2854 e clarificar as ambiguidades que anteriormente impunham obrigações mais amplas às empresas, é necessário restringir o âmbito de aplicação do capítulo V desse regulamento de «necessidades excecionais» para «emergências públicas». O conceito de «emergência pública», definido no artigo 2.º, ponto 29, do </w:t>
      </w:r>
      <w:bookmarkStart w:id="4" w:name="_Hlk212550767"/>
      <w:r w:rsidRPr="000D0D06">
        <w:rPr>
          <w:noProof/>
        </w:rPr>
        <w:t>Regulamento (UE) 2023/2854</w:t>
      </w:r>
      <w:bookmarkEnd w:id="4"/>
      <w:r w:rsidRPr="000D0D06">
        <w:rPr>
          <w:noProof/>
        </w:rPr>
        <w:t>, garante, assim, que as obrigações estabelecidas nesse capítulo só sejam invocadas em situações urgentes bem definidas, reduzindo os desafios técnicos, administrativos e jurídicos que as empresas enfrentavam ao abrigo do regime anterior. Tal garantirá que os pedidos de dados sejam pertinentes e proporcionados para responder, atenuar ou apoiar a recuperação de emergências públicas. Uma vez que o quadro atualizado da União aplicável às estatísticas europeias ao abrigo do Regulamento (CE) n.º 223/2009 do Parlamento Europeu e do Conselho</w:t>
      </w:r>
      <w:r w:rsidRPr="000D0D06">
        <w:rPr>
          <w:rStyle w:val="FootnoteReference"/>
          <w:noProof/>
        </w:rPr>
        <w:footnoteReference w:id="32"/>
      </w:r>
      <w:r w:rsidRPr="000D0D06">
        <w:rPr>
          <w:noProof/>
        </w:rPr>
        <w:t xml:space="preserve"> não aborda as emergências públicas, é essencial preservar o papel das estatísticas oficiais previsto no capítulo V do Regulamento (UE) 2023/2854, a fim de assegurar clareza e eficácia nessas situações. É igualmente necessário clarificar o regime de compensação para as situações em que as microempresas e as pequenas empresas são obrigadas a fornecer dados para fazer face a uma emergência pública, caso em que essas empresas estão autorizadas a solicitar uma compensação. </w:t>
      </w:r>
    </w:p>
    <w:p w14:paraId="4C42E8F1" w14:textId="1734D52C" w:rsidR="00C21544" w:rsidRPr="000D0D06" w:rsidRDefault="001936FC" w:rsidP="001936FC">
      <w:pPr>
        <w:pStyle w:val="ManualConsidrant"/>
        <w:rPr>
          <w:noProof/>
        </w:rPr>
      </w:pPr>
      <w:r w:rsidRPr="000D0D06">
        <w:rPr>
          <w:noProof/>
        </w:rPr>
        <w:t>(16)</w:t>
      </w:r>
      <w:r w:rsidRPr="000D0D06">
        <w:rPr>
          <w:noProof/>
        </w:rPr>
        <w:tab/>
        <w:t xml:space="preserve">A fim de atenuar as incertezas jurídicas suscetíveis de desencorajar modelos empresariais inovadores, é necessário abordar as ambiguidades e os encargos substanciais em matéria de conformidade associados às disposições relativas aos contratos inteligentes que executam acordos de partilha de dados nos termos do artigo 36.º do Regulamento (UE) 2023/2854. A ausência de normas harmonizadas e de definições claras de conceitos fundamentais como «solidez», «controlo do acesso» e «coerência» com as condições contratuais, combinada com o requisito de um mecanismo de «cessação ou interrupção seguras» potencialmente incompatível com arquiteturas descentralizadas ou públicas de cadeias de blocos baseadas em livros-razão imutáveis, colocou desafios aos inovadores do ponto de vista dos custos e das oportunidades. Além disso, a ambiguidade em torno da realização da avaliação da conformidade nos termos do artigo 36.º, n.º 2, do referido regulamento corre o risco de impor encargos desproporcionados. A eliminação do artigo 36.º do Regulamento (UE) 2023/2854 promoverá, por conseguinte, o desenvolvimento e a introdução no mercado de novos modelos empresariais, fomentará a inovação e reduzirá os obstáculos às tecnologias emergentes. </w:t>
      </w:r>
    </w:p>
    <w:p w14:paraId="3DEF3679" w14:textId="1B606939" w:rsidR="009206A0" w:rsidRPr="000D0D06" w:rsidRDefault="001936FC" w:rsidP="001936FC">
      <w:pPr>
        <w:pStyle w:val="ManualConsidrant"/>
        <w:rPr>
          <w:noProof/>
        </w:rPr>
      </w:pPr>
      <w:r w:rsidRPr="000D0D06">
        <w:rPr>
          <w:noProof/>
        </w:rPr>
        <w:t>(17)</w:t>
      </w:r>
      <w:r w:rsidRPr="000D0D06">
        <w:rPr>
          <w:noProof/>
        </w:rPr>
        <w:tab/>
        <w:t xml:space="preserve">Determinados serviços de tratamento de dados, que não são abrangidos pelo modelo de prestação de serviços «infraestrutura como serviço» (IaaS), são customizados em função das necessidades ou do ecossistema de um cliente. A prestação desses serviços de tratamento de dados baseia-se em negociações pré-contratuais e contratuais morosas para determinar os requisitos específicos do cliente e os esforços técnicos subsequentes para customizar o serviço de tratamento de dados e disponibilizar uma solução à medida. Trata-se de serviços que não estão prontamente disponíveis e que são personalizados em função das necessidades de um cliente, a fim de proporcionar uma solução à medida em que a maioria das características e funcionalidades do serviço de tratamento de dados foi adaptada pelo prestador às necessidades específicas do cliente e em que a maioria das características e funcionalidades não poderia ser utilizada por um cliente sem adaptação prévia por parte do prestador. Esses serviços diferem dos serviços de tratamento de dados personalizados a que se refere o artigo 31.º, n.º 1, do Regulamento (UE) 2023/2854. Os serviços de tratamento de dados personalizados são serviços cujas características principais foram, na sua maioria, personalizadas para satisfazer as necessidades específicas de um cliente individual ou quando esses serviços de tratamento de dados não são oferecidos em larga escala comercial através do catálogo de serviços do prestador. A fim de evitar custos e encargos administrativos adicionais relacionados com a necessidade de reabrir e renegociar contratos celebrados em 12 de setembro de 2025 ou antes dessa data, é necessário clarificar que, com exceção da obrigação de reduzir e, em última análise, eliminar os encargos decorrentes da mudança e da saída, os serviços customizados prestados em conformidade com contratos celebrados em 12 de setembro de 2025 ou antes dessa data não devem ser abrangidos pelo âmbito de aplicação do capítulo VI do Regulamento (UE) 2023/2854. </w:t>
      </w:r>
    </w:p>
    <w:p w14:paraId="1D09A064" w14:textId="06871128" w:rsidR="00E30F97" w:rsidRPr="000D0D06" w:rsidRDefault="001936FC" w:rsidP="001936FC">
      <w:pPr>
        <w:pStyle w:val="ManualConsidrant"/>
        <w:rPr>
          <w:noProof/>
        </w:rPr>
      </w:pPr>
      <w:r w:rsidRPr="000D0D06">
        <w:rPr>
          <w:noProof/>
        </w:rPr>
        <w:t>(18)</w:t>
      </w:r>
      <w:r w:rsidRPr="000D0D06">
        <w:rPr>
          <w:noProof/>
        </w:rPr>
        <w:tab/>
        <w:t xml:space="preserve">Por razões relacionadas com o planeamento financeiro e a atração de investimento, os prestadores de serviços de tratamento de dados, em especial as PME e as pequenas empresas de média capitalização, podem preferir e oferecer contratos de duração fixa. É necessário clarificar que os prestadores de serviços de tratamento de dados podem incluir nesses contratos disposições relativas a sanções proporcionadas em caso de rescisão antecipada, desde que não constituam um obstáculo à mudança. Além disso, a necessidade de harmonizar os contratos existentes de prestação de serviços de tratamento de dados com o Regulamento (UE) 2023/2854 representa uma sobrecarga particular para os prestadores de serviços de tratamento de dados que sejam PME ou pequenas empresas de média capitalização. Por conseguinte, é necessário estabelecer um regime específico para esses prestadores se prestarem serviços de tratamento de dados diferentes do modelo IaaS, com base em contratos celebrados em 12 de setembro de 2025 ou antes dessa data. Tendo em conta o objetivo do Regulamento (UE) 2023/2854 de permitir a mudança entre serviços de tratamento de dados e uma vez que os encargos decorrentes da mudança, incluindo os encargos decorrentes da saída, constituem um sério obstáculo à mudança, os novos regimes mais leves para os serviços de tratamento de dados customizados ou prestados por PME ou pequenas empresas de média capitalização não devem comprometer a supressão gradual desses encargos. Deve considerar-se que as disposições contratuais contrárias a este objetivo incluídas em acordos contratuais de prestação de serviços abrangidos pelo âmbito de aplicação destes dois novos regimes específicos nunca existiram. </w:t>
      </w:r>
    </w:p>
    <w:p w14:paraId="155AED67" w14:textId="54D04FB8" w:rsidR="007F2983" w:rsidRPr="000D0D06" w:rsidRDefault="001936FC" w:rsidP="001936FC">
      <w:pPr>
        <w:pStyle w:val="ManualConsidrant"/>
        <w:rPr>
          <w:noProof/>
        </w:rPr>
      </w:pPr>
      <w:r w:rsidRPr="000D0D06">
        <w:rPr>
          <w:noProof/>
        </w:rPr>
        <w:t>(19)</w:t>
      </w:r>
      <w:r w:rsidRPr="000D0D06">
        <w:rPr>
          <w:noProof/>
        </w:rPr>
        <w:tab/>
        <w:t>O Regulamento (UE) 2018/1807 do Parlamento Europeu e do Conselho</w:t>
      </w:r>
      <w:r w:rsidRPr="000D0D06">
        <w:rPr>
          <w:rStyle w:val="FootnoteReference"/>
          <w:rFonts w:eastAsia="Aptos"/>
          <w:noProof/>
        </w:rPr>
        <w:footnoteReference w:id="33"/>
      </w:r>
      <w:r w:rsidRPr="000D0D06">
        <w:rPr>
          <w:noProof/>
        </w:rPr>
        <w:t xml:space="preserve"> introduziu um princípio-chave para apoiar a economia dos dados na União, que sustenta em termos concretos a liberdade de estabelecimento e a liberdade de prestação de serviços. O «livre fluxo de dados» na União, clarificado através da proibição de impor a localização de dados, continua a ser um princípio fundamental, proporcionando segurança jurídica às empresas, e deve ser mantido no Regulamento (UE) 2023/2854. A disposição não afeta o tratamento de dados na medida em que este seja efetuado no âmbito de uma atividade não abrangida pelo âmbito de aplicação do direito da União, em especial no que diz respeito à segurança nacional, nos termos do artigo 4.º do Tratado da União Europeia. Ao mesmo tempo, outras disposições do Regulamento (UE) 2018/1807 são substituídas por regras mais recentes. Em especial, o capítulo VI do Regulamento (UE) 2023/2854 introduziu um quadro jurídico horizontal moderno que aborda a mudança entre serviços de tratamento de dados e tornou o artigo 6.º do Regulamento (UE) 2018/1807 praticamente obsoleto. A coexistência dessas disposições aumentou a complexidade jurídica para as empresas. Por conseguinte, o Regulamento (UE) 2018/1807 deve ser revogado.</w:t>
      </w:r>
    </w:p>
    <w:p w14:paraId="5C52506C" w14:textId="77777777" w:rsidR="6137BC9D" w:rsidRPr="000D0D06" w:rsidRDefault="001936FC" w:rsidP="001936FC">
      <w:pPr>
        <w:pStyle w:val="ManualConsidrant"/>
        <w:rPr>
          <w:noProof/>
        </w:rPr>
      </w:pPr>
      <w:r w:rsidRPr="000D0D06">
        <w:rPr>
          <w:noProof/>
        </w:rPr>
        <w:t>(20)</w:t>
      </w:r>
      <w:r w:rsidRPr="000D0D06">
        <w:rPr>
          <w:noProof/>
        </w:rPr>
        <w:tab/>
        <w:t>Na aceção do artigo 52.º do TFUE, e tal como interpretado pelo Tribunal de Justiça, o conceito de «segurança pública» abrange tanto a segurança interna como a segurança externa de um Estado-Membro, bem como questões atinentes à proteção pública, nomeadamente a fim de facilitar a investigação, a deteção e a repressão de infrações penais. O conceito de «segurança pública» pressupõe a existência de uma ameaça real e suficientemente grave que afete um interesse essencial da sociedade, como, por exemplo, uma ameaça ao funcionamento das instituições e serviços públicos essenciais e à sobrevivência da população, assim como o risco de uma perturbação grave das relações externas ou da coexistência pacífica das nações, ou um risco para os interesses militares. Em conformidade com o princípio da proporcionalidade, os requisitos de localização de dados que se justifiquem por razões de segurança pública devem ser adequados à realização do objetivo pretendido e não devem exceder o necessário para alcançar esse objetivo.</w:t>
      </w:r>
    </w:p>
    <w:p w14:paraId="5CE42E6D" w14:textId="77777777" w:rsidR="6ACBA61B" w:rsidRPr="000D0D06" w:rsidRDefault="001936FC" w:rsidP="001936FC">
      <w:pPr>
        <w:pStyle w:val="ManualConsidrant"/>
        <w:rPr>
          <w:noProof/>
        </w:rPr>
      </w:pPr>
      <w:r w:rsidRPr="000D0D06">
        <w:rPr>
          <w:noProof/>
        </w:rPr>
        <w:t>(21)</w:t>
      </w:r>
      <w:r w:rsidRPr="000D0D06">
        <w:rPr>
          <w:noProof/>
        </w:rPr>
        <w:tab/>
        <w:t xml:space="preserve">Tanto a Diretiva (UE) 2019/1024 como o capítulo II do Regulamento (UE) 2022/868 regulam a reutilização de informações do setor público para fins de inovação. A interação entre os dois conjuntos de regras criou incerteza jurídica, principalmente para os organismos do setor público. Por conseguinte, é necessário harmonizar as regras num único instrumento jurídico, a fim de reforçar a coerência e a segurança jurídicas. </w:t>
      </w:r>
    </w:p>
    <w:p w14:paraId="38D5FAB8" w14:textId="26192060" w:rsidR="002D6996" w:rsidRPr="000D0D06" w:rsidRDefault="001936FC" w:rsidP="001936FC">
      <w:pPr>
        <w:pStyle w:val="ManualConsidrant"/>
        <w:rPr>
          <w:b/>
          <w:bCs/>
          <w:noProof/>
        </w:rPr>
      </w:pPr>
      <w:r w:rsidRPr="000D0D06">
        <w:rPr>
          <w:noProof/>
        </w:rPr>
        <w:t>(22)</w:t>
      </w:r>
      <w:r w:rsidRPr="000D0D06">
        <w:rPr>
          <w:noProof/>
        </w:rPr>
        <w:tab/>
      </w:r>
      <w:r w:rsidRPr="000D0D06">
        <w:rPr>
          <w:rStyle w:val="normaltextrun"/>
          <w:noProof/>
        </w:rPr>
        <w:t xml:space="preserve"> Uma vez que tanto a Diretiva (UE) 2019/1024 como o Regulamento (UE) 2022/868 partilham o objetivo de reforçar a reutilização das informações do setor público, e a fim de simplificar as regras tanto do ponto de vista dos organismos do setor público como dos reutilizadores das informações do setor público, faz todo o sentido revogar a Diretiva (UE) 2019/1024 e o Regulamento (UE) 2022/868, harmonizar os dois regimes e consolidar as regras num único capítulo ao abrigo do presente regulamento. Esta solução aumentará a harmonização dessas regras em toda a União, </w:t>
      </w:r>
      <w:r w:rsidRPr="000D0D06">
        <w:rPr>
          <w:noProof/>
        </w:rPr>
        <w:t>reduzirá os encargos administrativos associados à interpretação e aplicação da legislação nacional e facilitará o desenvolvimento de serviços e produtos transfronteiriços por parte das empresas.</w:t>
      </w:r>
      <w:r w:rsidRPr="000D0D06">
        <w:rPr>
          <w:noProof/>
          <w:color w:val="000000" w:themeColor="text1"/>
        </w:rPr>
        <w:t xml:space="preserve"> </w:t>
      </w:r>
      <w:r w:rsidRPr="000D0D06">
        <w:rPr>
          <w:noProof/>
        </w:rPr>
        <w:t>Ao designar os organismos competentes, os Estados-Membros devem assegurar que, mesmo nos casos em que sejam designados organismos competentes setoriais, todos os setores pertinentes sejam, em última análise, abrangidos.</w:t>
      </w:r>
      <w:r w:rsidRPr="000D0D06">
        <w:rPr>
          <w:b/>
          <w:noProof/>
        </w:rPr>
        <w:t xml:space="preserve"> </w:t>
      </w:r>
      <w:r w:rsidRPr="000D0D06">
        <w:rPr>
          <w:noProof/>
        </w:rPr>
        <w:t xml:space="preserve">Deve entender-se que as alterações do presente regulamento não alteram a interpretação das diferentes definições e termos, a menos que tal seja claramente especificado. </w:t>
      </w:r>
    </w:p>
    <w:p w14:paraId="040026A3" w14:textId="7ADB75EC" w:rsidR="00D743ED" w:rsidRPr="000D0D06" w:rsidRDefault="001936FC" w:rsidP="001936FC">
      <w:pPr>
        <w:pStyle w:val="ManualConsidrant"/>
        <w:rPr>
          <w:rStyle w:val="normaltextrun"/>
          <w:rFonts w:eastAsiaTheme="majorEastAsia"/>
          <w:noProof/>
        </w:rPr>
      </w:pPr>
      <w:r w:rsidRPr="000D0D06">
        <w:rPr>
          <w:rStyle w:val="normaltextrun"/>
          <w:noProof/>
        </w:rPr>
        <w:t>(23)</w:t>
      </w:r>
      <w:r w:rsidRPr="000D0D06">
        <w:rPr>
          <w:noProof/>
        </w:rPr>
        <w:tab/>
      </w:r>
      <w:r w:rsidRPr="000D0D06">
        <w:rPr>
          <w:rStyle w:val="normaltextrun"/>
          <w:noProof/>
        </w:rPr>
        <w:t>Os dados e documentos que podem ser disponibilizados ao público para reutilização e os dados e documentos protegidos por razões de confidencialidade comercial, incluindo segredos comerciais, profissionais e empresariais, confidencialidade estatística, proteção dos direitos de propriedade intelectual de terceiros ou proteção de dados pessoais, estão frequentemente na posse dos mesmos organismos do setor público. Por conseguinte, é necessário alinhar as definições e os princípios comuns aplicáveis a todas as informações do setor público e abordar questões relativas à interação dos dois conjuntos de regras.</w:t>
      </w:r>
    </w:p>
    <w:p w14:paraId="14D6DAC3" w14:textId="70E3C623" w:rsidR="00D743ED" w:rsidRPr="000D0D06" w:rsidRDefault="001936FC" w:rsidP="001936FC">
      <w:pPr>
        <w:pStyle w:val="ManualConsidrant"/>
        <w:rPr>
          <w:rStyle w:val="normaltextrun"/>
          <w:rFonts w:eastAsiaTheme="majorEastAsia"/>
          <w:noProof/>
        </w:rPr>
      </w:pPr>
      <w:r w:rsidRPr="000D0D06">
        <w:rPr>
          <w:rStyle w:val="normaltextrun"/>
          <w:noProof/>
        </w:rPr>
        <w:t>(24)</w:t>
      </w:r>
      <w:r w:rsidRPr="000D0D06">
        <w:rPr>
          <w:noProof/>
        </w:rPr>
        <w:tab/>
      </w:r>
      <w:r w:rsidRPr="000D0D06">
        <w:rPr>
          <w:rStyle w:val="normaltextrun"/>
          <w:noProof/>
        </w:rPr>
        <w:t>A fim de aumentar a clareza e a coerência, as regras em vigor devem ser simplificadas. No entanto, os dois regimes de reutilização devem continuar a ser distintos e o respetivo âmbito de aplicação deve continuar a depender das características dos dados ou documentos e do contexto da sua reutilização. Os organismos do setor público devem aplicar o regime de dados abertos sempre que possível. Só quando determinarem que os dados ou um documento contêm informações correspondentes a determinadas categorias de dados protegidos é que devem limitar a sua disponibilidade pública e ponderar a sua disponibilização para reutilização como dados protegidos.</w:t>
      </w:r>
    </w:p>
    <w:p w14:paraId="11933060" w14:textId="053C86D9" w:rsidR="006652C0" w:rsidRPr="000D0D06" w:rsidRDefault="001936FC" w:rsidP="001936FC">
      <w:pPr>
        <w:pStyle w:val="ManualConsidrant"/>
        <w:rPr>
          <w:rFonts w:eastAsiaTheme="majorEastAsia"/>
          <w:noProof/>
        </w:rPr>
      </w:pPr>
      <w:r w:rsidRPr="000D0D06">
        <w:rPr>
          <w:noProof/>
        </w:rPr>
        <w:t>(25)</w:t>
      </w:r>
      <w:r w:rsidRPr="000D0D06">
        <w:rPr>
          <w:noProof/>
        </w:rPr>
        <w:tab/>
        <w:t>As empresas em fase de arranque, as pequenas empresas, as empresas consideradas médias empresas nos termos do artigo 2.º do anexo da Recomendação 2003/361/CE da Comissão</w:t>
      </w:r>
      <w:r w:rsidRPr="000D0D06">
        <w:rPr>
          <w:rStyle w:val="FootnoteReference"/>
          <w:noProof/>
        </w:rPr>
        <w:footnoteReference w:id="34"/>
      </w:r>
      <w:r w:rsidRPr="000D0D06">
        <w:rPr>
          <w:noProof/>
        </w:rPr>
        <w:t xml:space="preserve"> e as empresas dos setores com capacidades digitais menos desenvolvidas têm dificuldade em reutilizar dados e documentos. Ao mesmo tempo, surgiu um pequeno número de entidades de muito grande dimensão com um poder económico considerável na economia digital através da acumulação e da agregação de grandes volumes de dados e da infraestrutura tecnológica para os monetizar. Essas empresas de muito grande dimensão incluem empresas que prestam serviços essenciais de plataforma, são designadas como controladores de acesso nos termos do Regulamento (UE) 2022/1925 do Parlamento Europeu e do Conselho</w:t>
      </w:r>
      <w:r w:rsidRPr="000D0D06">
        <w:rPr>
          <w:rStyle w:val="FootnoteReference"/>
          <w:noProof/>
        </w:rPr>
        <w:footnoteReference w:id="35"/>
      </w:r>
      <w:r w:rsidRPr="000D0D06">
        <w:rPr>
          <w:noProof/>
        </w:rPr>
        <w:t xml:space="preserve"> e estão sujeitas a obrigações especiais para corrigir os desequilíbrios. Para corrigir esses desequilíbrios e reforçar a concorrência e a inovação, os organismos do setor público devem poder introduzir condições especiais nas licenças relativas à reutilização de dados e documentos por empresas de muito grande dimensão. Essas condições devem ser proporcionadas e basear-se em critérios objetivos, tendo em conta o poder económico, a capacidade da entidade para adquirir dados ou a designação como controlador de acesso nos termos do Regulamento (UE) 2022/1925, bem como outros critérios, se for caso disso. Podem dizer respeito, nomeadamente, aos emolumentos e às taxas ou às finalidades da reutilização. </w:t>
      </w:r>
    </w:p>
    <w:p w14:paraId="56B39BEE" w14:textId="48BDC9EA" w:rsidR="006652C0" w:rsidRPr="000D0D06" w:rsidRDefault="001936FC" w:rsidP="001936FC">
      <w:pPr>
        <w:pStyle w:val="ManualConsidrant"/>
        <w:rPr>
          <w:rFonts w:eastAsiaTheme="majorEastAsia"/>
          <w:noProof/>
        </w:rPr>
      </w:pPr>
      <w:r w:rsidRPr="000D0D06">
        <w:rPr>
          <w:noProof/>
        </w:rPr>
        <w:t>(26)</w:t>
      </w:r>
      <w:r w:rsidRPr="000D0D06">
        <w:rPr>
          <w:noProof/>
        </w:rPr>
        <w:tab/>
        <w:t>Num espírito de promoção da inovação e de manutenção de uma concorrência leal no mercado digital da União, é imperativo assegurar que o acesso e a reutilização dos dados do setor público beneficiem um vasto leque de participantes no mercado e não reforcem inadvertidamente as posições dominantes existentes. As empresas de muito grande dimensão e, em especial, as empresas designadas como controladores de acesso nos termos do Regulamento (UE) 2022/1925, detêm um poder e uma influência consideráveis no mercado interno. A fim de evitar que essas entidades tirem partido dos seus meios substanciais em detrimento da concorrência leal e da inovação, os organismos do setor público devem poder fixar emolumentos e taxas mais elevados para a reutilização de dados abertos das administrações públicas e de dados protegidos. Esses emolumentos e taxas mais elevados devem ser proporcionados e basear-se em critérios objetivos, tendo em conta o poder económico e a capacidade da entidade para adquirir dados.</w:t>
      </w:r>
      <w:r w:rsidRPr="000D0D06">
        <w:rPr>
          <w:b/>
          <w:noProof/>
        </w:rPr>
        <w:t xml:space="preserve"> </w:t>
      </w:r>
      <w:r w:rsidRPr="000D0D06">
        <w:rPr>
          <w:noProof/>
        </w:rPr>
        <w:t>Esta medida serve para salvaguardar oportunidades para as empresas de menor dimensão e os novos operadores no mercado inovarem e competirem na economia digital.</w:t>
      </w:r>
    </w:p>
    <w:p w14:paraId="4371D71F" w14:textId="2A44CBFC" w:rsidR="00E94FF9" w:rsidRPr="000D0D06" w:rsidRDefault="001936FC" w:rsidP="001936FC">
      <w:pPr>
        <w:pStyle w:val="ManualConsidrant"/>
        <w:rPr>
          <w:noProof/>
        </w:rPr>
      </w:pPr>
      <w:r w:rsidRPr="000D0D06">
        <w:rPr>
          <w:noProof/>
        </w:rPr>
        <w:t>(27)</w:t>
      </w:r>
      <w:r w:rsidRPr="000D0D06">
        <w:rPr>
          <w:noProof/>
        </w:rPr>
        <w:tab/>
        <w:t>O presente regulamento propõe uma série de alterações específicas do Regulamento (UE) 2016/679 para efeitos de clarificação e simplificação, preservando simultaneamente o mesmo nível de proteção de dados. O artigo 4.º do Regulamento (UE) 2016/679 estipula que se entende por dados pessoais a informação relativa a uma pessoa singular identificada ou identificável. Para determinar se uma pessoa singular é identificável, devem ser tidos em conta todos os meios que apresentem uma probabilidade razoável de ser utilizados para identificar direta ou indiretamente a pessoa singular. Tendo em conta a jurisprudência do Tribunal de Justiça da União Europeia relativa à definição de dados pessoais, é necessário clarificar melhor em que circunstâncias se deve considerar que uma pessoa singular é identificável. A existência de informações adicionais que permitam identificar o titular dos dados não significa, por si só, que os dados pseudonimizados devam ser considerados, em todos os casos e para todas as pessoas ou entidades, dados pessoais para efeitos da aplicação do Regulamento (UE) 2016/679. Em especial, importa clarificar que as informações não devem ser consideradas dados pessoais para uma determinada entidade se essa entidade não dispuser de meios razoavelmente suscetíveis de serem utilizados para identificar a pessoa singular a quem as informações dizem respeito. Uma eventual transmissão subsequente dessas informações a terceiros que disponham de meios que lhes permitam razoavelmente identificar a pessoa singular a quem as informações dizem respeito, como a verificação cruzada com outros dados à sua disposição, torna essas informações dados pessoais apenas para esses terceiros que dispõem dos referidos meios. Uma entidade para a qual as informações não sejam dados pessoais não é, em princípio, abrangida pelo âmbito de aplicação do Regulamento (UE) 2016/679. A este respeito, o Tribunal de Justiça da União Europeia declarou que um meio de identificação do titular dos dados não é razoavelmente suscetível de ser utilizado caso o risco de identificação se afigure, na realidade, insignificante, na medida em que a identificação desse titular dos dados é proibida por lei ou impossível na prática, por exemplo, porque implicaria um esforço desproporcionado em termos de tempo, custos e mão de obra. Um exemplo de proibição da reidentificação pode ser encontrado nas obrigações dos utilizadores de dados de saúde previstas no artigo 61.º, n.º 3, do Regulamento (UE) 2025/327 do Parlamento Europeu e do Conselho</w:t>
      </w:r>
      <w:r w:rsidRPr="000D0D06">
        <w:rPr>
          <w:rStyle w:val="FootnoteReference"/>
          <w:rFonts w:eastAsia="Aptos"/>
          <w:noProof/>
        </w:rPr>
        <w:footnoteReference w:id="36"/>
      </w:r>
      <w:r w:rsidRPr="000D0D06">
        <w:rPr>
          <w:noProof/>
        </w:rPr>
        <w:t xml:space="preserve">. A Comissão, juntamente com o Comité Europeu para a Proteção de Dados, deve apoiar os responsáveis pelo tratamento na aplicação desta definição atualizada, estipulando critérios técnicos num ato de execução. </w:t>
      </w:r>
    </w:p>
    <w:p w14:paraId="01569C0E" w14:textId="2C52569E" w:rsidR="008B29DC" w:rsidRPr="000D0D06" w:rsidRDefault="001936FC" w:rsidP="001936FC">
      <w:pPr>
        <w:pStyle w:val="ManualConsidrant"/>
        <w:rPr>
          <w:noProof/>
        </w:rPr>
      </w:pPr>
      <w:r w:rsidRPr="000D0D06">
        <w:rPr>
          <w:noProof/>
        </w:rPr>
        <w:t>(28)</w:t>
      </w:r>
      <w:r w:rsidRPr="000D0D06">
        <w:rPr>
          <w:noProof/>
        </w:rPr>
        <w:tab/>
        <w:t>A fim de avaliar se a investigação satisfaz as condições da investigação científica para efeitos do presente regulamento, podem ser tidos em conta elementos como a abordagem metodológica e sistemática aplicada na realização da investigação no domínio específico. A investigação e o desenvolvimento tecnológico devem ser realizados em contextos académicos, industriais e outros, incluindo pequenas e médias empresas (artigo 179.º, n.º 2, do TFUE), e devem ser sempre de elevada qualidade e respeitar os princípios da fiabilidade, honestidade, respeito e responsabilidade (verificabilidade).</w:t>
      </w:r>
    </w:p>
    <w:p w14:paraId="72AD65C0" w14:textId="6DD1BD98" w:rsidR="003A5BBC" w:rsidRPr="000D0D06" w:rsidRDefault="001936FC" w:rsidP="001936FC">
      <w:pPr>
        <w:pStyle w:val="ManualConsidrant"/>
        <w:rPr>
          <w:noProof/>
        </w:rPr>
      </w:pPr>
      <w:r w:rsidRPr="000D0D06">
        <w:rPr>
          <w:noProof/>
        </w:rPr>
        <w:t>(29)</w:t>
      </w:r>
      <w:r w:rsidRPr="000D0D06">
        <w:rPr>
          <w:noProof/>
        </w:rPr>
        <w:tab/>
        <w:t>Importa reiterar que as operações de tratamento posterior para fins de arquivo de interesse público, para fins de investigação científica ou histórica ou para fins estatísticos devem ser consideradas operações de tratamento lícito compatível. Nesses casos, não é necessário determinar, com base no artigo 6.º, n.º 4, deste regulamento, se a finalidade do tratamento posterior é compatível com a finalidade para a qual os dados pessoais foram inicialmente recolhidos.</w:t>
      </w:r>
    </w:p>
    <w:p w14:paraId="01257E73" w14:textId="77777777" w:rsidR="00365CA2" w:rsidRPr="000D0D06" w:rsidRDefault="001936FC" w:rsidP="001936FC">
      <w:pPr>
        <w:pStyle w:val="ManualConsidrant"/>
        <w:rPr>
          <w:noProof/>
        </w:rPr>
      </w:pPr>
      <w:r w:rsidRPr="000D0D06">
        <w:rPr>
          <w:noProof/>
        </w:rPr>
        <w:t>(30)</w:t>
      </w:r>
      <w:r w:rsidRPr="000D0D06">
        <w:rPr>
          <w:noProof/>
        </w:rPr>
        <w:tab/>
        <w:t xml:space="preserve">Uma IA de confiança é fundamental para assegurar o crescimento económico e apoiar a inovação com resultados socialmente benéficos. O desenvolvimento e a utilização de sistemas de IA e dos modelos subjacentes, como os modelos linguísticos de grande dimensão e os modelos de vídeo generativos, baseiam-se em dados, incluindo dados pessoais, em diversas fases do ciclo de vida da IA, como a fase de treino, teste e validação, e podem, em alguns casos, ser conservados no sistema de IA ou no modelo de IA. Sempre que adequado, o tratamento de dados pessoais neste contexto pode, por conseguinte, ser efetuado para efeitos de um interesse legítimo na aceção do artigo 6.º do Regulamento (UE) 2016/679. Tal não afeta a obrigação do responsável pelo tratamento de assegurar que o desenvolvimento ou a utilização (implantação) da IA num contexto específico ou para fins específicos cumpra outra legislação da União ou nacional, ou de assegurar a conformidade nos casos em que a sua utilização seja explicitamente proibida por lei. Também não afeta a sua obrigação de assegurar o cumprimento de todas as outras condições do artigo 6.º, n.º 1, alínea f), do Regulamento (UE) 2016/679, bem como de todos os outros requisitos e princípios desse regulamento. </w:t>
      </w:r>
    </w:p>
    <w:p w14:paraId="1670BEFF" w14:textId="7A3CC91B" w:rsidR="00365CA2" w:rsidRPr="000D0D06" w:rsidRDefault="001936FC" w:rsidP="001936FC">
      <w:pPr>
        <w:pStyle w:val="ManualConsidrant"/>
        <w:rPr>
          <w:rFonts w:eastAsia="Calibri"/>
          <w:noProof/>
        </w:rPr>
      </w:pPr>
      <w:r w:rsidRPr="000D0D06">
        <w:rPr>
          <w:noProof/>
        </w:rPr>
        <w:t>(31)</w:t>
      </w:r>
      <w:r w:rsidRPr="000D0D06">
        <w:rPr>
          <w:noProof/>
        </w:rPr>
        <w:tab/>
        <w:t>Quando o responsável pelo tratamento, à luz da abordagem baseada no risco que determina a escalabilidade das obrigações nos termos do presente regulamento, ponderar o interesse legítimo prosseguido pelo responsável pelo tratamento ou por um terceiro e os interesses, direitos e liberdades do titular dos dados, deve considerar se o interesse prosseguido pelo responsável pelo tratamento é benéfico para o titular dos dados e para a sociedade em geral, o que pode ser o caso, por exemplo, quando o tratamento de dados pessoais é necessário para detetar e eliminar enviesamentos, protegendo assim os titulares dos dados contra a discriminação, ou quando o tratamento de dados pessoais visa garantir resultados exatos e seguros para uma utilização benéfica, nomeadamente a melhoria da acessibilidade a determinados serviços. Devem também ser tidas em conta, entre outros aspetos, as expectativas razoáveis do titular dos dados com base na sua relação com o responsável pelo tratamento, as garantias adequadas para minimizar o impacto nos direitos dos titulares dos dados, como o reforço da transparência para estes últimos, a concessão de um direito incondicional de oposição ao tratamento dos seus dados pessoais, o respeito das indicações técnicas incorporadas num serviço que limitam a utilização de dados para o desenvolvimento da IA por terceiros, a utilização de outras técnicas avançadas de preservação da privacidade para o treino da IA e medidas técnicas adequadas para minimizar eficazmente os riscos resultantes, por exemplo, da regurgitação, da fuga de dados e de outras ações previstas ou previsíveis.</w:t>
      </w:r>
    </w:p>
    <w:p w14:paraId="7E5BFF78" w14:textId="491FB218" w:rsidR="00A447F6" w:rsidRPr="000D0D06" w:rsidRDefault="001936FC" w:rsidP="001936FC">
      <w:pPr>
        <w:pStyle w:val="ManualConsidrant"/>
        <w:rPr>
          <w:noProof/>
        </w:rPr>
      </w:pPr>
      <w:r w:rsidRPr="000D0D06">
        <w:rPr>
          <w:noProof/>
        </w:rPr>
        <w:t>(32)</w:t>
      </w:r>
      <w:r w:rsidRPr="000D0D06">
        <w:rPr>
          <w:noProof/>
        </w:rPr>
        <w:tab/>
        <w:t>O tratamento de dados pessoais para fins de investigação científica e a aplicação das disposições do RGPD em matéria de investigação científica estão subordinados à adoção de garantias adequadas para os direitos e liberdades dos titulares dos dados, nos termos do artigo 89.º, n.º 1, do RGPD. Para esse efeito, o RGPD equilibra o direito à proteção dos dados pessoais, nos termos do artigo 8.º da Carta dos Direitos Fundamentais da União Europeia, com a liberdade da ciência, nos termos do artigo 13.º da carta. Por conseguinte, o tratamento de dados pessoais para efeitos de investigação científica prossegue um interesse legítimo na aceção do artigo 6.º, n.º 1, alínea f), do Regulamento (UE) 2016/679, desde que essa investigação não seja contrária ao direito da União ou dos Estados-Membros. Tal não prejudica a obrigação do responsável pelo tratamento de assegurar o cumprimento de todas as outras condições previstas no artigo 6.º, n.º 1, alínea f), do Regulamento (UE) 2016/679, bem como de todos os outros requisitos e princípios desse regulamento.</w:t>
      </w:r>
    </w:p>
    <w:p w14:paraId="2A64AB33" w14:textId="78C884D7" w:rsidR="00E94FF9" w:rsidRPr="000D0D06" w:rsidRDefault="001936FC" w:rsidP="001936FC">
      <w:pPr>
        <w:pStyle w:val="ManualConsidrant"/>
        <w:rPr>
          <w:noProof/>
        </w:rPr>
      </w:pPr>
      <w:r w:rsidRPr="000D0D06">
        <w:rPr>
          <w:noProof/>
        </w:rPr>
        <w:t>(33)</w:t>
      </w:r>
      <w:r w:rsidRPr="000D0D06">
        <w:rPr>
          <w:noProof/>
        </w:rPr>
        <w:tab/>
        <w:t>O desenvolvimento de determinados sistemas e modelos de IA pode envolver a recolha de grandes quantidades de dados, incluindo dados pessoais e categorias especiais dos mesmos. Podem existir, de forma residual, categorias especiais de dados pessoais nos conjuntos de dados de treino, teste ou validação ou estas podem ser conservadas no sistema de IA ou no modelo de IA, embora não sejam necessárias para a finalidade do tratamento. A fim de não prejudicar desproporcionadamente o desenvolvimento e o funcionamento da IA e tendo em conta as capacidades do responsável pelo tratamento para identificar e suprimir categorias especiais de dados pessoais, deve ser permitida uma derrogação da proibição de tratamento de categorias especiais de dados pessoais nos termos do artigo 9.º, n.º 2, do Regulamento (UE) 2016/679. A derrogação só deve ser aplicável se o responsável pelo tratamento tiver aplicado medidas técnicas e organizativas adequadas de forma eficaz para evitar o tratamento desses dados, tomar as medidas adequadas durante todo o ciclo de vida de um sistema de IA ou modelo de IA e, uma vez identificados esses dados, os suprimir eficazmente. Se a supressão exigir um esforço desproporcionado, nomeadamente se a supressão de categorias especiais de dados memorizados no sistema de IA ou no modelo de IA exigir a reengenharia do sistema de IA ou do modelo de IA, o responsável pelo tratamento deve proteger eficazmente esses dados contra uma utilização destinada a inferir resultados, contra divulgação ou contra outra forma de disponibilização a terceiros. Esta derrogação não deve aplicar-se se o tratamento de categorias especiais de dados pessoais for necessário para a finalidade do tratamento. Neste caso, o responsável pelo tratamento deve invocar as derrogações previstas no artigo 9.º, n.º 2, alíneas a) a j), do Regulamento (UE) 2016/679.</w:t>
      </w:r>
    </w:p>
    <w:p w14:paraId="7308847D" w14:textId="5CADB7CD" w:rsidR="00E94FF9" w:rsidRPr="000D0D06" w:rsidRDefault="001936FC" w:rsidP="001936FC">
      <w:pPr>
        <w:pStyle w:val="ManualConsidrant"/>
        <w:rPr>
          <w:noProof/>
        </w:rPr>
      </w:pPr>
      <w:r w:rsidRPr="000D0D06">
        <w:rPr>
          <w:noProof/>
        </w:rPr>
        <w:t>(34)</w:t>
      </w:r>
      <w:r w:rsidRPr="000D0D06">
        <w:rPr>
          <w:noProof/>
        </w:rPr>
        <w:tab/>
        <w:t>Por dados biométricos, na aceção do artigo 4.º, ponto 14, do Regulamento (UE) 2016/679, entende-se o tratamento de determinadas características de uma pessoa singular através de um meio técnico específico e que permite ou confirma a identificação única dessa pessoa. O conceito de dados biométricos inclui duas funções distintas, a saber, a identificação de uma pessoa singular ou a verificação (também designada por autenticação) da sua alegada identidade, cada uma delas baseada em processos técnicos diferentes. O processo de identificação baseia-se numa pesquisa «um para muitos» dos dados biométricos do titular dos dados numa base de dados, ao passo que o processo de verificação se baseia numa comparação «um para um» dos dados biométricos fornecidos pelo titular dos dados, que reivindica, deste modo, a sua identidade. A derrogação da proibição de tratamento de dados biométricos nos termos do artigo 9.º, n.º 1, do regulamento deve também ser permitida se a verificação da alegada identidade do titular dos dados for necessária para uma finalidade prosseguida pelo responsável pelo tratamento e se forem aplicadas garantias adequadas que permitam ao titular dos dados ter o controlo exclusivo do processo de verificação. Por exemplo, se os dados biométricos forem armazenados de forma segura apenas do lado do titular dos dados ou se forem armazenados de forma segura do lado do responsável pelo tratamento sob uma forma encriptada de ponta e a chave criptográfica ou meio equivalente estiver na posse exclusiva do titular dos dados, esse tratamento não é suscetível de criar riscos significativos para os seus direitos e liberdades fundamentais. O responsável pelo tratamento não toma conhecimento dos dados biométricos ou apenas toma conhecimento durante um período muito limitado durante o processo de verificação.</w:t>
      </w:r>
    </w:p>
    <w:p w14:paraId="28CF9BC2" w14:textId="7925E93E" w:rsidR="00E94FF9" w:rsidRPr="000D0D06" w:rsidRDefault="001936FC" w:rsidP="001936FC">
      <w:pPr>
        <w:pStyle w:val="ManualConsidrant"/>
        <w:rPr>
          <w:noProof/>
        </w:rPr>
      </w:pPr>
      <w:r w:rsidRPr="000D0D06">
        <w:rPr>
          <w:noProof/>
        </w:rPr>
        <w:t>(35)</w:t>
      </w:r>
      <w:r w:rsidRPr="000D0D06">
        <w:rPr>
          <w:noProof/>
        </w:rPr>
        <w:tab/>
        <w:t>O artigo 15.º do Regulamento (UE) 2016/679 estabelece o direito de os titulares dos dados obterem do responsável pelo tratamento a confirmação do facto de estarem ou não a ser tratados dados pessoais que lhes dizem respeito, e, em caso afirmativo, o direito de acederem aos seus dados pessoais e a informações adicionais específicas. O direito de acesso deve permitir ao titular dos dados tomar conhecimento do tratamento e verificar a sua licitude, bem como exercer os seus outros direitos ao abrigo do Regulamento (UE) 2016/679. Em contrapartida, importa clarificar no artigo 12.º do regulamento que o direito de acesso, que é desde o início favorável aos titulares dos dados, não deve ser utilizado de forma abusiva pelos mesmos para outros fins que não a proteção dos seus dados. Por exemplo, tal abuso do direito de acesso ocorreria caso o titular dos dados tencionasse levar o responsável pelo tratamento a recusar um pedido de acesso, a fim de exigir posteriormente o pagamento de uma indemnização, potencialmente sob a ameaça de intentar uma ação de indemnização. Outros exemplos de abuso incluem situações em que os titulares dos dados fazem um uso excessivo do direito de acesso com a única intenção de causar danos ou prejuízos ao responsável pelo tratamento ou quando uma pessoa apresenta um pedido, mas, ao mesmo tempo, se propõe retirá-lo em troca de alguma forma de benefício por parte do responsável pelo tratamento. Além disso, a fim de manter o seu ónus num nível razoável, os responsáveis pelo tratamento devem suportar um menor ónus da prova no que diz respeito ao caráter excessivo de um pedido do que no que diz respeito ao caráter manifestamente infundado de um pedido. A razão é que o caráter manifestamente infundado de um pedido depende de factos que se enquadram principalmente na esfera de responsabilidade do responsável pelo tratamento, ao passo que o caráter excessivo de um pedido diz respeito ao comportamento possivelmente abusivo de um titular de dados, o que essencialmente extravasa a esfera de influência do responsável pelo tratamento, pelo que este só pode provar esse abuso dentro dos limites do razoável. Em todo o caso, ao solicitar o acesso nos termos do artigo 15.º do Regulamento (UE) 2016/679, o titular dos dados deve ser o mais específico possível. Os pedidos demasiado gerais e indiferenciados também devem ser considerados excessivos.</w:t>
      </w:r>
    </w:p>
    <w:p w14:paraId="3F972E21" w14:textId="7C5CAC1E" w:rsidR="00E94FF9" w:rsidRPr="000D0D06" w:rsidRDefault="001936FC" w:rsidP="001936FC">
      <w:pPr>
        <w:pStyle w:val="ManualConsidrant"/>
        <w:rPr>
          <w:noProof/>
        </w:rPr>
      </w:pPr>
      <w:r w:rsidRPr="000D0D06">
        <w:rPr>
          <w:noProof/>
        </w:rPr>
        <w:t>(36)</w:t>
      </w:r>
      <w:r w:rsidRPr="000D0D06">
        <w:rPr>
          <w:noProof/>
        </w:rPr>
        <w:tab/>
        <w:t>O artigo 13.º do Regulamento (UE) 2016/679 exige que o responsável pelo tratamento forneça ao titular dos dados determinadas informações sobre o tratamento dos seus dados pessoais, bem como determinadas informações adicionais necessárias para assegurar um tratamento equitativo e transparente, tal como definido nos n.</w:t>
      </w:r>
      <w:r w:rsidRPr="000D0D06">
        <w:rPr>
          <w:noProof/>
          <w:vertAlign w:val="superscript"/>
        </w:rPr>
        <w:t>os </w:t>
      </w:r>
      <w:r w:rsidRPr="000D0D06">
        <w:rPr>
          <w:noProof/>
        </w:rPr>
        <w:t xml:space="preserve">1, 2 e 3 dessa disposição. Nos termos do artigo 13.º, n.º 4, do Regulamento (UE) 2016/679, essa obrigação não se aplica quando e na medida em que o titular dos dados já tiver conhecimento das informações. A fim de reduzir ainda mais os encargos dos responsáveis pelo tratamento, sem comprometer as possibilidades de o titular dos dados exercer os seus direitos ao abrigo do capítulo III do regulamento, esta derrogação deve ser alargada a situações em que o tratamento não seja suscetível de implicar um elevado risco, na aceção do artigo 35.º do regulamento, e em que existam motivos razoáveis para presumir que o titular dos dados já dispõe das informações referidas no n.º 1, alíneas a) e c), à luz do contexto em que os dados pessoais foram recolhidos, em especial no que diz respeito à relação entre os titulares dos dados e o responsável pelo tratamento. Estas devem ser as situações em que o contexto da relação entre o responsável pelo tratamento e o titular dos dados é muito claro e circunscrito e em que a atividade do responsável pelo tratamento não implica uma utilização intensiva de dados, como a relação entre um artesão e os seus clientes, em que o âmbito do tratamento se limita aos dados mínimos necessários para a prestação do serviço. A atividade do responsável pelo tratamento não implica uma utilização intensiva de dados quando recolhe uma pequena quantidade de dados pessoais e as suas operações de tratamento não são complexas, o que não é o caso, por exemplo, no domínio do emprego. Nessas circunstâncias, ou seja, quando o tratamento não implica uma utilização intensiva de dados, não é complexo e quando o responsável pelo tratamento recolhe uma pequena quantidade de dados pessoais, deve ser razoável esperar, por exemplo, que o titular dos dados disponha das informações sobre a identidade e os dados de contacto do responsável pelo tratamento, bem como sobre a finalidade do tratamento, quando esse tratamento for efetuado para a execução de um contrato no qual o titular dos dados seja parte, ou quando o titular dos dados tiver dado o seu consentimento para esse tratamento, em conformidade com os requisitos estabelecidos no Regulamento (UE) 2016/679. O mesmo se aplica às associações e clubes desportivos em que o tratamento de dados pessoais se limite à gestão dos membros, à comunicação com os membros e à organização das atividades. No entanto, esta derrogação das obrigações previstas no artigo 13.º não prejudica as obrigações independentes do responsável pelo tratamento por força do artigo 15.º do referido regulamento, que se aplicam no caso de o titular dos dados solicitar o acesso com base nesta última disposição. Sempre que a derrogação das obrigações previstas no artigo 13.º não seja aplicável, a fim de equilibrar a necessidade de exaustividade e a facilidade de compreensão por parte do titular dos dados, os responsáveis pelo tratamento podem adotar uma abordagem por níveis ao fornecerem as informações exigidas, nomeadamente permitindo que os utilizadores naveguem para aceder a mais informações. </w:t>
      </w:r>
    </w:p>
    <w:p w14:paraId="25D17ADC" w14:textId="5AC50570" w:rsidR="008D751C" w:rsidRPr="000D0D06" w:rsidRDefault="001936FC" w:rsidP="001936FC">
      <w:pPr>
        <w:pStyle w:val="ManualConsidrant"/>
        <w:rPr>
          <w:noProof/>
        </w:rPr>
      </w:pPr>
      <w:r w:rsidRPr="000D0D06">
        <w:rPr>
          <w:noProof/>
        </w:rPr>
        <w:t>(37)</w:t>
      </w:r>
      <w:r w:rsidRPr="000D0D06">
        <w:rPr>
          <w:noProof/>
        </w:rPr>
        <w:tab/>
        <w:t>Se o tratamento for efetuado para fins de investigação científica e a prestação de informações ao titular dos dados se revelar impossível ou implicar um esforço desproporcionado, não deve ser necessário fornecer as informações previstas no artigo 13.º do presente regulamento. O responsável pelo tratamento deve envidar esforços razoáveis para obter dados de contacto, se estes estiverem prontamente disponíveis e a aquisição não exigir um esforço desproporcionado. A prestação de informações implicaria um esforço desproporcionado, em particular se o responsável pelo tratamento, no momento da recolha dos dados pessoais, não soubesse ou previsse que trataria dados pessoais para fins de investigação científica numa fase posterior, caso em que poderia não dispor facilmente dos dados de contacto dos titulares dos dados. Nessas situações, o responsável pelo tratamento deve informar os titulares dos dados indiretamente, por exemplo, divulgando a informação ao público. Estas informações devem ser prestadas de modo a chegar ao maior número possível de titulares de dados interessados. Os meios pertinentes para disponibilizar as informações ao público devem ser determinados em função do contexto do projeto de investigação e dos titulares dos dados envolvidos.</w:t>
      </w:r>
    </w:p>
    <w:p w14:paraId="70631FB6" w14:textId="3CC924A2" w:rsidR="00E94FF9" w:rsidRPr="000D0D06" w:rsidRDefault="001936FC" w:rsidP="001936FC">
      <w:pPr>
        <w:pStyle w:val="ManualConsidrant"/>
        <w:rPr>
          <w:noProof/>
        </w:rPr>
      </w:pPr>
      <w:r w:rsidRPr="000D0D06">
        <w:rPr>
          <w:noProof/>
        </w:rPr>
        <w:t>(38)</w:t>
      </w:r>
      <w:r w:rsidRPr="000D0D06">
        <w:rPr>
          <w:noProof/>
        </w:rPr>
        <w:tab/>
        <w:t>O artigo 22.º do Regulamento (UE) 2016/679 prevê regras que regem o tratamento de dados pessoais quando o responsável pelo tratamento toma decisões que produzem efeitos jurídicos ou efeitos igualmente importantes para o titular dos dados, exclusivamente com base no tratamento automatizado. A fim de proporcionar maior segurança jurídica, importa clarificar que as decisões baseadas exclusivamente no tratamento automatizado são permitidas quando estão preenchidas condições específicas, tal como estabelecido no Regulamento (UE) 2016/679. Importa igualmente clarificar que, ao avaliar se uma decisão é necessária para celebrar ou executar um contrato entre o titular dos dados e um responsável pelo tratamento, tal como estabelecido no artigo 22.º, n.º 2, alínea a), do Regulamento (UE) 2016/679, não se deve exigir que a decisão só possa ser tomada através de tratamento exclusivamente automatizado. Tal significa que o facto de a decisão poder também ser tomada por um ser humano não impede o responsável pelo tratamento de tomar a decisão através de um tratamento exclusivamente automatizado. Quando existirem várias soluções de tratamento automatizado igualmente eficazes, o responsável pelo tratamento deve utilizar a menos intrusiva.</w:t>
      </w:r>
    </w:p>
    <w:p w14:paraId="25C4887F" w14:textId="0ED5F814" w:rsidR="00E94FF9" w:rsidRPr="000D0D06" w:rsidRDefault="001936FC" w:rsidP="001936FC">
      <w:pPr>
        <w:pStyle w:val="ManualConsidrant"/>
        <w:rPr>
          <w:noProof/>
        </w:rPr>
      </w:pPr>
      <w:r w:rsidRPr="000D0D06">
        <w:rPr>
          <w:noProof/>
        </w:rPr>
        <w:t>(39)</w:t>
      </w:r>
      <w:r w:rsidRPr="000D0D06">
        <w:rPr>
          <w:noProof/>
        </w:rPr>
        <w:tab/>
        <w:t>A fim de reduzir os encargos para os responsáveis pelo tratamento, assegurando simultaneamente que as autoridades de controlo tenham acesso às informações pertinentes e possam agir em caso de violação do regulamento, o limiar para a notificação de uma violação de dados pessoais à autoridade de controlo nos termos do artigo 33.º do Regulamento (UE) 2016/679 deve ser harmonizado com o limiar para a comunicação de uma violação de dados pessoais ao titular dos dados nos termos do artigo 34.º do mesmo regulamento. No caso de uma violação de dados que não seja suscetível de implicar um elevado risco para os direitos e liberdades das pessoas singulares, o responsável pelo tratamento não deve ser obrigado a notificar a autoridade de controlo competente. O limiar mais elevado para notificar a autoridade de controlo de uma violação de dados não afeta a obrigação de o responsável pelo tratamento documentar a violação em conformidade com o artigo 33.º, n.º 5, do Regulamento (UE) 2016/679, nem a sua obrigação de ser capaz de comprovar o cumprimento desse regulamento, de acordo com o artigo 5.º, n.º 2, do mesmo regulamento. A fim de facilitar o cumprimento pelos responsáveis pelo tratamento e uma abordagem harmonizada na União, o Comité deve elaborar um modelo comum para a notificação de violações de dados à autoridade de controlo competente e uma lista comum de circunstâncias em que uma violação de dados pessoais é suscetível de implicar um elevado risco para os direitos e liberdades de uma pessoa singular. A Comissão deve ter devidamente em conta a proposta elaborada pelo Comité e revê-la, se necessário, antes da sua adoção. A fim de ter em conta as novas ameaças à segurança da informação, o modelo comum e a lista devem ser revistos pelo menos de três em três anos e atualizados se necessário. A falta de uma lista comum de circunstâncias em que uma violação de dados pessoais é suscetível de implicar um elevado risco para os direitos e liberdades de uma pessoa singular não deve afetar as obrigações dos responsáveis pelo tratamento de notificarem essas violações.</w:t>
      </w:r>
    </w:p>
    <w:p w14:paraId="7FB541E1" w14:textId="2EAB5DD2" w:rsidR="00E94FF9" w:rsidRPr="000D0D06" w:rsidRDefault="001936FC" w:rsidP="001936FC">
      <w:pPr>
        <w:pStyle w:val="ManualConsidrant"/>
        <w:rPr>
          <w:noProof/>
        </w:rPr>
      </w:pPr>
      <w:r w:rsidRPr="000D0D06">
        <w:rPr>
          <w:noProof/>
        </w:rPr>
        <w:t>(40)</w:t>
      </w:r>
      <w:r w:rsidRPr="000D0D06">
        <w:rPr>
          <w:noProof/>
        </w:rPr>
        <w:tab/>
        <w:t>O artigo 35.º do Regulamento (UE) 2016/679 exige que os responsáveis pelo tratamento realizem uma avaliação de impacto sobre a proteção de dados sempre que o tratamento de dados pessoais seja suscetível de implicar um elevado risco para os direitos e liberdades das pessoas singulares. As autoridades de controlo criadas nos termos desse regulamento são obrigadas a elaborar e a tornar pública uma lista dos tipos de operações de tratamento sujeitos ao requisito de avaliação de impacto sobre a proteção de dados. Além disso, o regulamento estipula que as autoridades de controlo podem estabelecer e tornar pública uma lista dos tipos de operações de tratamento em relação aos quais não é obrigatória uma avaliação de impacto sobre a proteção de dados. De modo a contribuir eficazmente para o objetivo de convergência das economias e garantir eficazmente a livre circulação de dados pessoais entre os Estados-Membros, aumentar a segurança jurídica, facilitar o cumprimento por parte dos responsáveis pelo tratamento e assegurar uma interpretação harmonizada do conceito de elevado risco para os direitos e liberdades dos titulares dos dados, deve ser fornecida uma lista única de operações de tratamento a nível da UE, para substituir as listas nacionais existentes. Além disso, a publicação de uma lista dos tipos de operações de tratamento em relação aos quais não é exigida uma avaliação de impacto sobre a proteção de dados, que é atualmente facultativa, deve ser tornada obrigatória. As listas das operações de tratamento devem ser elaboradas pelo Comité e adotadas pela Comissão sob a forma de ato de execução. A fim de facilitar o cumprimento por parte dos responsáveis pelo tratamento, o Comité deve também elaborar um modelo comum e uma metodologia comum para a realização de avaliações de impacto sobre a proteção de dados, a adotar pela Comissão sob a forma de ato de execução. A Comissão deve ter devidamente em conta as propostas elaboradas pelo Comité e revê-las, se necessário, antes da sua adoção. A fim de ter em conta a evolução tecnológica, as listas e o modelo e metodologia comuns devem ser revistos pelo menos de três em três anos e atualizados se necessário.</w:t>
      </w:r>
    </w:p>
    <w:p w14:paraId="67AD5B75" w14:textId="77777777" w:rsidR="009828CE" w:rsidRPr="000D0D06" w:rsidRDefault="001936FC" w:rsidP="001936FC">
      <w:pPr>
        <w:pStyle w:val="ManualConsidrant"/>
        <w:rPr>
          <w:noProof/>
        </w:rPr>
      </w:pPr>
      <w:r w:rsidRPr="000D0D06">
        <w:rPr>
          <w:noProof/>
        </w:rPr>
        <w:t>(41)</w:t>
      </w:r>
      <w:r w:rsidRPr="000D0D06">
        <w:rPr>
          <w:noProof/>
        </w:rPr>
        <w:tab/>
        <w:t>O Regulamento (UE) 2018/1725 do Parlamento Europeu e do Conselho</w:t>
      </w:r>
      <w:r w:rsidRPr="000D0D06">
        <w:rPr>
          <w:rStyle w:val="FootnoteReference"/>
          <w:rFonts w:eastAsiaTheme="minorEastAsia"/>
          <w:noProof/>
        </w:rPr>
        <w:footnoteReference w:id="37"/>
      </w:r>
      <w:r w:rsidRPr="000D0D06">
        <w:rPr>
          <w:noProof/>
        </w:rPr>
        <w:t xml:space="preserve"> aplica-se ao tratamento de dados pessoais pelas instituições, órgãos e organismos da União. A Diretiva (UE) 2016/680 do Parlamento Europeu e do Conselho</w:t>
      </w:r>
      <w:r w:rsidRPr="000D0D06">
        <w:rPr>
          <w:rStyle w:val="FootnoteReference"/>
          <w:rFonts w:eastAsiaTheme="minorEastAsia"/>
          <w:noProof/>
        </w:rPr>
        <w:footnoteReference w:id="38"/>
      </w:r>
      <w:r w:rsidRPr="000D0D06">
        <w:rPr>
          <w:noProof/>
        </w:rPr>
        <w:t xml:space="preserve"> aplica-se ao tratamento de dados pessoais pelas autoridades competentes para efeitos de prevenção, investigação, deteção ou repressão de infrações penais ou execução de sanções penais. O Regulamento (UE) 2018/1725 e a Diretiva (UE) 2016/680 devem ser alinhados com as alterações do Regulamento (UE) 2016/679 introduzidas pelo presente regulamento. </w:t>
      </w:r>
    </w:p>
    <w:p w14:paraId="009A8820" w14:textId="7F3B1A9A" w:rsidR="009828CE" w:rsidRPr="000D0D06" w:rsidRDefault="001936FC" w:rsidP="001936FC">
      <w:pPr>
        <w:pStyle w:val="ManualConsidrant"/>
        <w:rPr>
          <w:noProof/>
        </w:rPr>
      </w:pPr>
      <w:r w:rsidRPr="000D0D06">
        <w:rPr>
          <w:noProof/>
        </w:rPr>
        <w:t>(42)</w:t>
      </w:r>
      <w:r w:rsidRPr="000D0D06">
        <w:rPr>
          <w:noProof/>
        </w:rPr>
        <w:tab/>
        <w:t>Tal como clarificado no considerando 5 do Regulamento (UE) 2018/1725, sempre que as disposições do Regulamento (UE) 2018/1725 sigam os mesmos princípios que as disposições do Regulamento (UE) 2016/679, esses dois conjuntos de disposições devem, de acordo com a jurisprudência do Tribunal de Justiça da União Europeia, ser interpretados de forma homogénea. O regime do Regulamento (UE) 2018/1725 deve ser entendido como equivalente ao regime do Regulamento (UE) 2016/679. Por conseguinte, o presente regulamento altera igualmente as disposições do Regulamento (UE) 2018/1725 abrangidas pelas alterações do Regulamento (UE) 2016/679, na medida em que estas últimas também sejam pertinentes no contexto do tratamento de dados pessoais pelas instituições, órgãos e organismos da União.</w:t>
      </w:r>
    </w:p>
    <w:p w14:paraId="4364E753" w14:textId="68EECA69" w:rsidR="1FA6E057" w:rsidRPr="000D0D06" w:rsidRDefault="001936FC" w:rsidP="001936FC">
      <w:pPr>
        <w:pStyle w:val="ManualConsidrant"/>
        <w:rPr>
          <w:noProof/>
        </w:rPr>
      </w:pPr>
      <w:r w:rsidRPr="000D0D06">
        <w:rPr>
          <w:noProof/>
        </w:rPr>
        <w:t>(43)</w:t>
      </w:r>
      <w:r w:rsidRPr="000D0D06">
        <w:rPr>
          <w:noProof/>
        </w:rPr>
        <w:tab/>
        <w:t>A fim de proporcionar um quadro de proteção de dados sólido e coerente na União, após a adoção do presente regulamento, devem ser realizadas as necessárias adaptações da Diretiva (UE) 2016/680 e de qualquer outro ato jurídico da União aplicável a esse tratamento de dados pessoais, de modo a permitir a sua aplicação o mais próximo possível da entrada em aplicação das alterações do Regulamento (UE) 2016/679 e do Regulamento (UE) 2018/1725.</w:t>
      </w:r>
    </w:p>
    <w:p w14:paraId="110B41BC" w14:textId="124E4163" w:rsidR="00963136" w:rsidRPr="000D0D06" w:rsidRDefault="001936FC" w:rsidP="001936FC">
      <w:pPr>
        <w:pStyle w:val="ManualConsidrant"/>
        <w:rPr>
          <w:rFonts w:eastAsia="Times New Roman"/>
          <w:noProof/>
          <w:color w:val="000000" w:themeColor="text1"/>
        </w:rPr>
      </w:pPr>
      <w:r w:rsidRPr="000D0D06">
        <w:rPr>
          <w:noProof/>
        </w:rPr>
        <w:t>(44)</w:t>
      </w:r>
      <w:r w:rsidRPr="000D0D06">
        <w:rPr>
          <w:noProof/>
        </w:rPr>
        <w:tab/>
        <w:t>O armazenamento de dados pessoais, ou a possibilidade de acesso a dados pessoais já armazenados, num equipamento terminal e o tratamento subsequente desses dados devem ser regulados por um quadro jurídico único, a saber, o Regulamento (UE) 2016/679, caso o assinante do serviço de comunicações eletrónicas ou o utilizador do equipamento terminal seja uma pessoa singular. As alterações apresentadas no presente regulamento continuam a oferecer os mais elevados níveis de proteção dos dados pessoais, simplificando simultaneamente as experiências dos titulares dos dados no exercício dos seus direitos e na expressão das suas escolhas em linha.</w:t>
      </w:r>
      <w:r w:rsidRPr="000D0D06">
        <w:rPr>
          <w:i/>
          <w:noProof/>
        </w:rPr>
        <w:t xml:space="preserve"> </w:t>
      </w:r>
      <w:r w:rsidRPr="000D0D06">
        <w:rPr>
          <w:noProof/>
        </w:rPr>
        <w:t>As alterações dizem respeito, em especial, ao armazenamento de informações nesse equipamento, ao acesso ou à recolha de informações a partir desse equipamento que implique o tratamento de dados pessoais através de testemunhos de conexão (</w:t>
      </w:r>
      <w:r w:rsidRPr="000D0D06">
        <w:rPr>
          <w:i/>
          <w:noProof/>
        </w:rPr>
        <w:t>cookies</w:t>
      </w:r>
      <w:r w:rsidRPr="000D0D06">
        <w:rPr>
          <w:noProof/>
        </w:rPr>
        <w:t xml:space="preserve">) ou tecnologias semelhantes para obter informações do equipamento terminal. As regras pertinentes devem também aplicar-se independentemente de o equipamento terminal ser propriedade da pessoa singular ou de outra pessoa singular ou coletiva. </w:t>
      </w:r>
    </w:p>
    <w:p w14:paraId="77E57B6C" w14:textId="32733B2B" w:rsidR="00963136" w:rsidRPr="000D0D06" w:rsidRDefault="00963136" w:rsidP="008B2A0B">
      <w:pPr>
        <w:pStyle w:val="Text1"/>
        <w:ind w:left="720"/>
        <w:rPr>
          <w:noProof/>
        </w:rPr>
      </w:pPr>
      <w:r w:rsidRPr="000D0D06">
        <w:rPr>
          <w:noProof/>
        </w:rPr>
        <w:t>O armazenamento de dados pessoais, ou a possibilidade de acesso a dados pessoais já armazenados, num equipamento terminal deve continuar a ser permitido apenas com base no consentimento. À semelhança da abordagem da Diretiva 2002/58/CE, este requisito não deve impedir o armazenamento de dados pessoais, ou a possibilidade de acesso a dados pessoais já armazenados, no equipamento terminal de uma pessoa singular, quando tal se basear no direito da União ou dos Estados-Membros, na aceção do artigo 6.º do Regulamento (UE) 2016/679, e se preencher todas as condições de licitude estabelecidas nessa disposição e ocorrer tendo em vista os objetivos estabelecidos no artigo 23.º, n.º 1, do Regulamento (UE) 2016/679.</w:t>
      </w:r>
    </w:p>
    <w:p w14:paraId="39BCCBEE" w14:textId="5C56C147" w:rsidR="007F62A7" w:rsidRPr="000D0D06" w:rsidRDefault="007F62A7" w:rsidP="008B2A0B">
      <w:pPr>
        <w:pStyle w:val="Text1"/>
        <w:ind w:left="720"/>
        <w:rPr>
          <w:noProof/>
        </w:rPr>
      </w:pPr>
      <w:r w:rsidRPr="000D0D06">
        <w:rPr>
          <w:noProof/>
        </w:rPr>
        <w:t xml:space="preserve">A fim de reduzir os encargos de conformidade e proporcionar clareza jurídica aos responsáveis pelo tratamento, e dado que determinadas finalidades do tratamento representam um baixo risco para os direitos e liberdades dos titulares dos dados ou que esse tratamento pode ser necessário para prestar um serviço solicitado pelo titular dos dados, é necessário definir uma lista limitativa das finalidades para as quais o tratamento deve ser permitido sem consentimento. No que diz respeito ao armazenamento de dados pessoais, ou à possibilidade de acesso a dados pessoais já armazenados, num equipamento terminal, e ao tratamento subsequente necessário para esses fins, o presente regulamento deve, por conseguinte, prever que o tratamento seja lícito. O responsável pelo tratamento, como um prestador de serviços de comunicação social, pode mandatar um subcontratante, como uma empresa de estudos de mercado, para efetuar o tratamento em seu nome. </w:t>
      </w:r>
    </w:p>
    <w:p w14:paraId="1AE8404E" w14:textId="77777777" w:rsidR="007F62A7" w:rsidRPr="000D0D06" w:rsidRDefault="007F62A7" w:rsidP="00471DEE">
      <w:pPr>
        <w:pStyle w:val="Text1"/>
        <w:ind w:left="720"/>
        <w:rPr>
          <w:noProof/>
        </w:rPr>
      </w:pPr>
      <w:r w:rsidRPr="000D0D06">
        <w:rPr>
          <w:noProof/>
        </w:rPr>
        <w:t xml:space="preserve">Para o tratamento subsequente de dados pessoais para outros fins que não os definidos na lista limitativa, deve aplicar-se o artigo 6.º e, se for caso disso, o artigo 9.º do Regulamento (UE) 2016/679. Cabe ao responsável pelo tratamento, à luz do princípio da responsabilidade, escolher a base jurídica adequada para o tratamento previsto. A fim de poder invocar um interesse legítimo nos termos do artigo 6.º, n.º 1, alínea f), do Regulamento (UE) 2016/679 como fundamento para o tratamento subsequente de dados pessoais, o responsável pelo tratamento deve demonstrar que prossegue interesses legítimos do responsável pelo tratamento ou de terceiros, que o tratamento é necessário para alcançar a finalidade desse interesse legítimo e que os interesses ou direitos fundamentais do titular dos dados não prevalecem sobre os interesses por si prosseguidos. Neste contexto, os responsáveis pelo tratamento devem ter em máxima conta os seguintes elementos: se o titular dos dados é uma criança, as expectativas razoáveis do titular dos dados, o impacto na pessoa singular devido à escala ou à sensibilidade dos dados tratados, a escala do tratamento em causa, no sentido de que o tratamento não pode ser particularmente extenso devido ao seu volume ou à gama de categorias de dados, o tratamento deve basear-se em dados limitados ao necessário e não pode basear-se no controlo de partes substanciais da atividade em linha dos titulares dos dados, bem como outros fatores pertinentes, se for caso disso. O tratamento não deve dar origem ao controlo contínuo da vida privada do titular dos dados. </w:t>
      </w:r>
    </w:p>
    <w:p w14:paraId="5AF7B7D1" w14:textId="77777777" w:rsidR="007F62A7" w:rsidRPr="000D0D06" w:rsidRDefault="007F62A7" w:rsidP="00471DEE">
      <w:pPr>
        <w:pStyle w:val="Text1"/>
        <w:ind w:left="720"/>
        <w:rPr>
          <w:noProof/>
        </w:rPr>
      </w:pPr>
      <w:r w:rsidRPr="000D0D06">
        <w:rPr>
          <w:noProof/>
        </w:rPr>
        <w:t xml:space="preserve">Se o responsável pelo tratamento não puder invocar um interesse legítimo como fundamento jurídico para o tratamento subsequente, o tratamento deve basear-se noutro fundamento previsto no artigo 6.º, n.º 1, em especial no consentimento em conformidade com os artigos 6.º e 7.º do Regulamento (UE) 2016/679, desde que sejam respeitados todos os princípios do Regulamento (UE) 2016/679. </w:t>
      </w:r>
    </w:p>
    <w:p w14:paraId="6C53B1B4" w14:textId="7F2BA63D" w:rsidR="00437BFC" w:rsidRPr="000D0D06" w:rsidRDefault="001936FC" w:rsidP="001936FC">
      <w:pPr>
        <w:pStyle w:val="ManualConsidrant"/>
        <w:rPr>
          <w:noProof/>
        </w:rPr>
      </w:pPr>
      <w:r w:rsidRPr="000D0D06">
        <w:rPr>
          <w:noProof/>
        </w:rPr>
        <w:t>(45)</w:t>
      </w:r>
      <w:r w:rsidRPr="000D0D06">
        <w:rPr>
          <w:noProof/>
        </w:rPr>
        <w:tab/>
        <w:t xml:space="preserve">Os titulares dos dados que tenham recusado um pedido de consentimento são frequentemente confrontados com um novo pedido de consentimento sempre que voltam a visitar o mesmo serviço em linha do responsável pelo tratamento. Esta situação pode ter efeitos prejudiciais para os titulares dos dados, que podem dar o seu consentimento unicamente para evitar pedidos repetidos. Por conseguinte, o responsável pelo tratamento deve ser obrigado a respeitar as escolhas do titular dos dados de recusar um pedido de consentimento durante, pelo menos, um determinado período. </w:t>
      </w:r>
    </w:p>
    <w:p w14:paraId="61D52BFE" w14:textId="3BF774A5" w:rsidR="00B05BC6" w:rsidRPr="000D0D06" w:rsidRDefault="001936FC" w:rsidP="001936FC">
      <w:pPr>
        <w:pStyle w:val="ManualConsidrant"/>
        <w:rPr>
          <w:noProof/>
        </w:rPr>
      </w:pPr>
      <w:r w:rsidRPr="000D0D06">
        <w:rPr>
          <w:noProof/>
        </w:rPr>
        <w:t>(46)</w:t>
      </w:r>
      <w:r w:rsidRPr="000D0D06">
        <w:rPr>
          <w:noProof/>
        </w:rPr>
        <w:tab/>
        <w:t>Os titulares dos dados devem ter a possibilidade de recorrer a indicações automatizadas e legíveis por máquina da sua escolha para dar consentimento, recusar um pedido de consentimento ou opor-se ao tratamento dos dados. Esses meios devem acompanhar o estado da arte. Podem ser aplicados nas predefinições de um navegador Web ou na carteira europeia de identidade digital, tal como estabelecido no Regulamento (UE) n.º 910/2014, ou em qualquer outro meio adequado. As regras estabelecidas no presente regulamento devem apoiar a emergência de soluções orientadas para o mercado com interfaces adequadas. O responsável pelo tratamento deve ser obrigado a respeitar as indicações automatizadas e legíveis por máquina das escolhas do titular dos dados, assim que existirem normas disponíveis. Tendo em conta a importância do jornalismo independente numa sociedade democrática e a fim de não comprometer a base económica para tal, os prestadores de serviços de comunicação social não devem ser obrigados a respeitar as indicações legíveis por máquina das escolhas dos titulares dos dados. A obrigação de os fornecedores de navegadores Web disponibilizarem os meios técnicos para que os titulares dos dados façam escolhas no que diz respeito ao tratamento não deve prejudicar a possibilidade de os prestadores de serviços de comunicação social solicitarem o consentimento dos titulares dos dados.</w:t>
      </w:r>
    </w:p>
    <w:p w14:paraId="4A0594CD" w14:textId="77777777" w:rsidR="00B57316" w:rsidRPr="000D0D06" w:rsidRDefault="001936FC" w:rsidP="001936FC">
      <w:pPr>
        <w:pStyle w:val="ManualConsidrant"/>
        <w:rPr>
          <w:noProof/>
        </w:rPr>
      </w:pPr>
      <w:r w:rsidRPr="000D0D06">
        <w:rPr>
          <w:noProof/>
        </w:rPr>
        <w:t>(47)</w:t>
      </w:r>
      <w:r w:rsidRPr="000D0D06">
        <w:rPr>
          <w:noProof/>
        </w:rPr>
        <w:tab/>
        <w:t>A Diretiva 2002/58/CE relativa à privacidade e às comunicações eletrónicas («Diretiva Privacidade Eletrónica»), revista pela última vez em 2009, proporciona um quadro para a proteção do direito à privacidade, incluindo a confidencialidade das comunicações. Especifica igualmente o Regulamento (UE) 2016/679 no que respeita ao tratamento de dados pessoais no contexto dos serviços de comunicações eletrónicas. Protege a privacidade e a integridade do equipamento terminal do utilizador ou assinante utilizado para essas comunicações. A atual disposição do artigo 5.º, n.º 3, da Diretiva 2002/58/CE deve continuar a ser aplicável na medida em que o assinante ou utilizador não seja uma pessoa singular e as informações armazenadas ou acedidas não constituam nem conduzam ao tratamento de dados pessoais.</w:t>
      </w:r>
    </w:p>
    <w:p w14:paraId="532A5B08" w14:textId="3E7BCE39" w:rsidR="001253B5" w:rsidRPr="000D0D06" w:rsidRDefault="001936FC" w:rsidP="001936FC">
      <w:pPr>
        <w:pStyle w:val="ManualConsidrant"/>
        <w:rPr>
          <w:noProof/>
        </w:rPr>
      </w:pPr>
      <w:r w:rsidRPr="000D0D06">
        <w:rPr>
          <w:noProof/>
        </w:rPr>
        <w:t>(48)</w:t>
      </w:r>
      <w:r w:rsidRPr="000D0D06">
        <w:rPr>
          <w:noProof/>
        </w:rPr>
        <w:tab/>
        <w:t>O artigo 4.º da Diretiva 2002/58/CE deve ser revogado. O artigo 4.º da Diretiva 2002/58/CE estabelece requisitos para os prestadores de serviços de comunicações eletrónicas publicamente disponíveis no que diz respeito à garantia da segurança dos seus serviços e aos requisitos de notificação. Posteriormente, a Diretiva (UE) 2022/2555 estabeleceu novos requisitos em matéria de medidas de gestão dos riscos de cibersegurança e de notificação de incidentes para esses prestadores. A fim de reduzir a sobreposição de obrigações para as entidades do setor das comunicações eletrónicas, o artigo 4.º da Diretiva 2002/58/CE deve ser revogado. No que diz respeito à segurança do tratamento de dados pessoais nos termos do artigo 4.º, n.</w:t>
      </w:r>
      <w:r w:rsidRPr="000D0D06">
        <w:rPr>
          <w:noProof/>
          <w:vertAlign w:val="superscript"/>
        </w:rPr>
        <w:t>os</w:t>
      </w:r>
      <w:r w:rsidRPr="000D0D06">
        <w:rPr>
          <w:noProof/>
        </w:rPr>
        <w:t> 1 e 1-A, desta diretiva e à notificação de violações de dados pessoais nos termos do artigo 4.º, n.</w:t>
      </w:r>
      <w:r w:rsidRPr="000D0D06">
        <w:rPr>
          <w:noProof/>
          <w:vertAlign w:val="superscript"/>
        </w:rPr>
        <w:t>os</w:t>
      </w:r>
      <w:r w:rsidRPr="000D0D06">
        <w:rPr>
          <w:noProof/>
        </w:rPr>
        <w:t xml:space="preserve"> 3 a 5, da Diretiva 2002/58/CE, o Regulamento (UE) 2016/679 já prevê regras abrangentes e atualizadas. Estas regras devem, por conseguinte, aplicar-se aos prestadores de serviços de comunicações eletrónicas publicamente disponíveis e aos fornecedores de redes públicas de comunicações, assegurando assim a aplicação de um regime único aos responsáveis pelo tratamento e aos subcontratantes. </w:t>
      </w:r>
    </w:p>
    <w:p w14:paraId="1AF32497" w14:textId="4F304BB0" w:rsidR="00016EA9" w:rsidRPr="000D0D06" w:rsidRDefault="001936FC" w:rsidP="001936FC">
      <w:pPr>
        <w:pStyle w:val="ManualConsidrant"/>
        <w:rPr>
          <w:noProof/>
        </w:rPr>
      </w:pPr>
      <w:r w:rsidRPr="000D0D06">
        <w:rPr>
          <w:noProof/>
        </w:rPr>
        <w:t>(49)</w:t>
      </w:r>
      <w:r w:rsidRPr="000D0D06">
        <w:rPr>
          <w:noProof/>
        </w:rPr>
        <w:tab/>
        <w:t>Vários atos jurídicos horizontais ou setoriais da União exigem a notificação do mesmo evento a diferentes autoridades utilizando diferentes meios técnicos e canais. O ponto de entrada único para a notificação de incidentes deve permitir que as entidades cumpram as obrigações de notificação previstas na Diretiva (UE) 2022/2555, no Regulamento (UE) 2016/679, no Regulamento (UE) 2022/2554, no Regulamento (UE) n.º 910/2014 e na Diretiva (UE) 2022/2557, através da apresentação de notificações a uma única interface. Além disso, o ponto de entrada único deve dar às entidades a possibilidade de obter informações que tenham apresentado anteriormente através do ponto de entrada único, ajudando-as assim a acompanhar o cumprimento das obrigações de notificação relacionadas com incidentes específicos.</w:t>
      </w:r>
    </w:p>
    <w:p w14:paraId="7CCF70CB" w14:textId="16FEA904" w:rsidR="00E027EF" w:rsidRPr="000D0D06" w:rsidRDefault="001936FC" w:rsidP="001936FC">
      <w:pPr>
        <w:pStyle w:val="ManualConsidrant"/>
        <w:rPr>
          <w:noProof/>
        </w:rPr>
      </w:pPr>
      <w:r w:rsidRPr="000D0D06">
        <w:rPr>
          <w:noProof/>
        </w:rPr>
        <w:t>(50)</w:t>
      </w:r>
      <w:r w:rsidRPr="000D0D06">
        <w:rPr>
          <w:noProof/>
        </w:rPr>
        <w:tab/>
        <w:t xml:space="preserve">A fim de garantir a segurança do ponto de entrada único, a ENISA deve tomar medidas técnicas, operacionais e organizativas adequadas e proporcionadas para gerir os riscos que se colocam à segurança do ponto de entrada único e às informações apresentadas ou divulgadas através do ponto de entrada único. Ao avaliar o risco, bem como a adequação e a proporcionalidade dessas medidas, a ENISA deve ter em conta a sensibilidade das informações apresentadas ou divulgadas nos termos dos atos jurídicos pertinentes da União. A ENISA deve consultar as autoridades competentes ao abrigo dos atos jurídicos pertinentes da União aquando da elaboração das medidas técnicas, operacionais e organizativas necessárias para criar, manter e operar de forma segura o ponto de entrada único, recorrendo aos grupos de cooperação e redes de Estados-Membros existentes criados ao abrigo desses atos. </w:t>
      </w:r>
    </w:p>
    <w:p w14:paraId="3D2727F0" w14:textId="75525376" w:rsidR="00016EA9" w:rsidRPr="000D0D06" w:rsidRDefault="001936FC" w:rsidP="001936FC">
      <w:pPr>
        <w:pStyle w:val="ManualConsidrant"/>
        <w:rPr>
          <w:noProof/>
        </w:rPr>
      </w:pPr>
      <w:r w:rsidRPr="000D0D06">
        <w:rPr>
          <w:noProof/>
        </w:rPr>
        <w:t>(51)</w:t>
      </w:r>
      <w:r w:rsidRPr="000D0D06">
        <w:rPr>
          <w:noProof/>
        </w:rPr>
        <w:tab/>
        <w:t xml:space="preserve">Antes de permitir a notificação de incidentes, a ENISA deve submeter o funcionamento do ponto de entrada único a uma fase experimental, a qual deve incluir um teste exaustivo das especificidades e dos requisitos para as notificações dos atos jurídicos pertinentes da União. Com base nos resultados desta fase experimental, a Comissão deve avaliar o bom funcionamento, a fiabilidade, a integridade e a confidencialidade do ponto de entrada único. Ao realizar a avaliação, a Comissão deve consultar a rede de CSIRT e as autoridades competentes ao abrigo dos atos jurídicos pertinentes da União, recorrendo aos grupos de cooperação e às redes de Estados-Membros existentes criados no âmbito desses atos. Se a Comissão concluir que o ponto de entrada único assegura o bom funcionamento, a fiabilidade, a integridade e a confidencialidade, deve publicar um aviso para o efeito no </w:t>
      </w:r>
      <w:r w:rsidRPr="000D0D06">
        <w:rPr>
          <w:i/>
          <w:noProof/>
        </w:rPr>
        <w:t>Jornal Oficial da União Europeia</w:t>
      </w:r>
      <w:r w:rsidRPr="000D0D06">
        <w:rPr>
          <w:noProof/>
        </w:rPr>
        <w:t xml:space="preserve">. Caso a Comissão considere que o bom funcionamento, a fiabilidade, a integridade e a confidencialidade não estão assegurados, a ENISA deve tomar todas as medidas corretivas necessárias, seguidas de uma reavaliação pela Comissão. </w:t>
      </w:r>
    </w:p>
    <w:p w14:paraId="2233F656" w14:textId="5061BD79" w:rsidR="00197A06" w:rsidRPr="000D0D06" w:rsidRDefault="001936FC" w:rsidP="001936FC">
      <w:pPr>
        <w:pStyle w:val="ManualConsidrant"/>
        <w:rPr>
          <w:noProof/>
        </w:rPr>
      </w:pPr>
      <w:r w:rsidRPr="000D0D06">
        <w:rPr>
          <w:noProof/>
        </w:rPr>
        <w:t>(52)</w:t>
      </w:r>
      <w:r w:rsidRPr="000D0D06">
        <w:rPr>
          <w:noProof/>
        </w:rPr>
        <w:tab/>
        <w:t xml:space="preserve">A fim de assegurar a continuidade e a interoperabilidade com as soluções técnicas nacionais existentes que facilitam a notificação de incidentes, na medida do possível, a ENISA deve ter em conta essas soluções técnicas nacionais ao elaborar as especificações sobre as medidas técnicas, operacionais e organizativas necessárias para criar, manter e operar de forma segura o ponto de entrada único. Além disso, a ENISA deve considerar protocolos e instrumentos técnicos, como interfaces de programação de aplicações e normas legíveis por máquina, que permitam às entidades integrar as obrigações de notificação nos processos operacionais e às autoridades ligar o ponto de entrada único aos seus sistemas nacionais de notificação. </w:t>
      </w:r>
    </w:p>
    <w:p w14:paraId="3E7DF40B" w14:textId="581D0A76" w:rsidR="003F7762" w:rsidRPr="000D0D06" w:rsidRDefault="001936FC" w:rsidP="001936FC">
      <w:pPr>
        <w:pStyle w:val="ManualConsidrant"/>
        <w:rPr>
          <w:noProof/>
        </w:rPr>
      </w:pPr>
      <w:r w:rsidRPr="000D0D06">
        <w:rPr>
          <w:noProof/>
        </w:rPr>
        <w:t>(53)</w:t>
      </w:r>
      <w:r w:rsidRPr="000D0D06">
        <w:rPr>
          <w:noProof/>
        </w:rPr>
        <w:tab/>
        <w:t>A fim de assegurar que o ponto de entrada único permita às entidades pertinentes apresentar o tipo de informações e o formato exigidos nos termos dos atos jurídicos pertinentes da União, a ENISA deve consultar a Comissão e as autoridades competentes ao abrigo desses atos. Caso um ato jurídico da União não esteja plenamente harmonizado no que diz respeito ao tipo de informações e ao formato das notificações, os Estados-Membros devem informar a ENISA sobre as suas disposições nacionais.</w:t>
      </w:r>
    </w:p>
    <w:p w14:paraId="010829AF" w14:textId="2D3FF4A2" w:rsidR="00A1721A" w:rsidRPr="000D0D06" w:rsidRDefault="001936FC" w:rsidP="001936FC">
      <w:pPr>
        <w:pStyle w:val="ManualConsidrant"/>
        <w:rPr>
          <w:noProof/>
        </w:rPr>
      </w:pPr>
      <w:r w:rsidRPr="000D0D06">
        <w:rPr>
          <w:noProof/>
        </w:rPr>
        <w:t>(54)</w:t>
      </w:r>
      <w:r w:rsidRPr="000D0D06">
        <w:rPr>
          <w:noProof/>
        </w:rPr>
        <w:tab/>
        <w:t>Com base no Regulamento (UE) 2022/2554, o setor financeiro tem estado na vanguarda da aplicação de um quadro harmonizado, abrangente e eficaz, nomeadamente no que diz respeito à notificação de incidentes. A fim de simplificar o cumprimento, é conveniente alinhar o quadro de notificação de incidentes estabelecido ao abrigo do Regulamento (UE) 2022/2554 com o ponto de entrada único, assegurando simultaneamente a continuidade e a estabilidade do atual quadro de notificação e tendo em conta que o ponto de entrada único estará operacional após uma avaliação de que assegura o bom funcionamento, a fiabilidade, a integridade e a confidencialidade. Além disso, o Regulamento (UE) 2022/2554 introduziu modelos normalizados de notificação que simplificam o conteúdo das notificações de incidentes de caráter severo relacionados com as TIC para o setor financeiro. A experiência adquirida com a adoção destes modelos proporciona informações valiosas e boas práticas que devem ser tidas em conta ao especificar o tipo de informações, o formato e o procedimento de notificação para efeitos de comunicação ao ponto de entrada único nos termos da Diretiva (UE) 2022/2555, da Diretiva (UE) 2022/2557 ou do Regulamento (UE) 2016/679, conforme aplicável. Para o efeito, a Comissão deve ter devidamente em conta as normas técnicas de regulamentação adotadas nos termos do Regulamento (UE) 2022/2554, que especificam o conteúdo da notificação inicial, bem como dos relatórios intercalar e final, relativos a incidentes de caráter severo relacionados com as TIC. Esta abordagem visa assegurar a coerência, promover sinergias e reduzir os encargos administrativos para as entidades, minimizando o número de campos de dados que estas são obrigadas a preencher e facilitando assim processos de notificação mais eficientes e simplificados.</w:t>
      </w:r>
    </w:p>
    <w:p w14:paraId="3133D054" w14:textId="77777777" w:rsidR="002A6720" w:rsidRPr="000D0D06" w:rsidRDefault="001936FC" w:rsidP="001936FC">
      <w:pPr>
        <w:pStyle w:val="ManualConsidrant"/>
        <w:rPr>
          <w:noProof/>
        </w:rPr>
      </w:pPr>
      <w:r w:rsidRPr="000D0D06">
        <w:rPr>
          <w:noProof/>
        </w:rPr>
        <w:t>(55)</w:t>
      </w:r>
      <w:r w:rsidRPr="000D0D06">
        <w:rPr>
          <w:noProof/>
        </w:rPr>
        <w:tab/>
        <w:t>Nos termos dos atos jurídicos pertinentes da União, determinadas informações específicas sobre incidentes devem ser partilhadas numa fase posterior entre as autoridades competentes, a fim de facilitar uma supervisão e coordenação eficazes. Por conseguinte, o ponto de entrada único deve ser concebido de modo a ter em conta e apoiar o intercâmbio de informações a esse nível para cada ato jurídico pertinente da União, assegurando fluxos de dados adequados entre as autoridades de forma segura, atempada e eficiente, caso os Estados-Membros decidam utilizar esta funcionalidade adicional.</w:t>
      </w:r>
    </w:p>
    <w:p w14:paraId="2BCBF15F" w14:textId="191E3A39" w:rsidR="00A629A2" w:rsidRPr="000D0D06" w:rsidRDefault="001936FC" w:rsidP="001936FC">
      <w:pPr>
        <w:pStyle w:val="ManualConsidrant"/>
        <w:rPr>
          <w:noProof/>
        </w:rPr>
      </w:pPr>
      <w:r w:rsidRPr="000D0D06">
        <w:rPr>
          <w:noProof/>
        </w:rPr>
        <w:t>(56)</w:t>
      </w:r>
      <w:r w:rsidRPr="000D0D06">
        <w:rPr>
          <w:noProof/>
        </w:rPr>
        <w:tab/>
        <w:t>De modo a assegurar que a notificação de incidentes seja efetuada através do ponto de entrada único, a Diretiva (UE) 2022/2555, o Regulamento (UE) 2016/679, o Regulamento (UE) 2022/2554, o Regulamento (UE) n.º 910/2014 e a Diretiva (UE) 2022/2557 devem, por conseguinte, ser alterados em conformidade. O ponto de entrada único deve começar a ser utilizado para efeitos de notificação ao abrigo desses atos no prazo de 18 meses a contar da data de entrada em vigor do presente regulamento. Quando a Comissão dá início aos mecanismos da notificação que atrasam a data de aplicação para 24 meses a contar da data de entrada em vigor do regulamento, as disposições correspondentes da Diretiva (UE) 2022/2555, do Regulamento (UE) n.º 910/2014, do Regulamento (UE) 2022/2554 e da Diretiva (UE) 2022/2557 devem continuar a aplicar-se para efeitos do cumprimento das obrigações de notificação estabelecidas nas disposições.</w:t>
      </w:r>
    </w:p>
    <w:p w14:paraId="49F79A19" w14:textId="6DA2EDD8" w:rsidR="00CA7B9C" w:rsidRPr="000D0D06" w:rsidRDefault="001936FC" w:rsidP="001936FC">
      <w:pPr>
        <w:pStyle w:val="ManualConsidrant"/>
        <w:rPr>
          <w:noProof/>
        </w:rPr>
      </w:pPr>
      <w:r w:rsidRPr="000D0D06">
        <w:rPr>
          <w:noProof/>
        </w:rPr>
        <w:t>(57)</w:t>
      </w:r>
      <w:r w:rsidRPr="000D0D06">
        <w:rPr>
          <w:noProof/>
        </w:rPr>
        <w:tab/>
        <w:t xml:space="preserve">No caso excecional de uma impossibilidade técnica impedir a apresentação de notificações de incidentes através do ponto de entrada único, as entidades devem cumprir as suas obrigações de notificação através de meios alternativos. Para o efeito, os destinatários das notificações de incidentes ao abrigo dos atos jurídicos pertinentes da União devem assegurar que possam receber essas notificações de incidentes através de meios alternativos e devem disponibilizar ao público informações sobre esses mesmos meios. </w:t>
      </w:r>
    </w:p>
    <w:p w14:paraId="3ADF8557" w14:textId="77777777" w:rsidR="00FE5179" w:rsidRPr="000D0D06" w:rsidRDefault="001936FC" w:rsidP="001936FC">
      <w:pPr>
        <w:pStyle w:val="ManualConsidrant"/>
        <w:rPr>
          <w:noProof/>
        </w:rPr>
      </w:pPr>
      <w:r w:rsidRPr="000D0D06">
        <w:rPr>
          <w:noProof/>
        </w:rPr>
        <w:t>(58)</w:t>
      </w:r>
      <w:r w:rsidRPr="000D0D06">
        <w:rPr>
          <w:noProof/>
        </w:rPr>
        <w:tab/>
        <w:t>A Autoridade Europeia para a Proteção de Dados foi consultada nos termos do artigo 42.º, n.º 1, do Regulamento (UE) 2018/1725 do Parlamento Europeu e do Conselho</w:t>
      </w:r>
      <w:r w:rsidRPr="000D0D06">
        <w:rPr>
          <w:rStyle w:val="FootnoteReference"/>
          <w:noProof/>
        </w:rPr>
        <w:footnoteReference w:id="39"/>
      </w:r>
      <w:r w:rsidRPr="000D0D06">
        <w:rPr>
          <w:noProof/>
        </w:rPr>
        <w:t xml:space="preserve"> e emitiu o seu parecer em [DATA]. O Comité Europeu para a Proteção de Dados foi consultado nos termos do artigo 42.º, n.º 2, do Regulamento (UE) 2018/1725 e emitiu parecer em [DATA]. </w:t>
      </w:r>
    </w:p>
    <w:p w14:paraId="2C0B2B14" w14:textId="2DD87101" w:rsidR="003C198D" w:rsidRPr="000D0D06" w:rsidRDefault="001936FC" w:rsidP="001936FC">
      <w:pPr>
        <w:pStyle w:val="ManualConsidrant"/>
        <w:rPr>
          <w:rFonts w:eastAsia="Times New Roman"/>
          <w:noProof/>
        </w:rPr>
      </w:pPr>
      <w:r w:rsidRPr="000D0D06">
        <w:rPr>
          <w:noProof/>
        </w:rPr>
        <w:t>(59)</w:t>
      </w:r>
      <w:r w:rsidRPr="000D0D06">
        <w:rPr>
          <w:noProof/>
        </w:rPr>
        <w:tab/>
        <w:t>O Regulamento (UE) 2019/1150 estabelece um conjunto específico de regras obrigatórias a nível da União para garantir um ambiente comercial em linha justo, previsível, sustentável e de confiança no mercado interno. O Regulamento (UE) 2022/2065 e o Regulamento (UE) 2022/1925 proporcionam um quadro regulamentar abrangente para ambientes em linha seguros, previsíveis e fiáveis para todos os utilizadores finais de serviços em linha e estabelecem condições de concorrência equitativas para as empresas nos mercados digitais. No interesse da simplificação da legislação da União no domínio dos serviços de intermediação em linha e das plataformas em linha, e tendo em conta que os objetivos e as disposições materiais do Regulamento Plataformas-Empresas são, em grande medida, abrangidos pelo Regulamento Serviços Digitais e pelo Regulamento Mercados Digitais, o Regulamento (UE) 2019/1050 deve ser revogado. O Regulamento (UE) 2022/2065 e o Regulamento (UE) 2022/1925 contribuem para um quadro regulamentar plenamente harmonizado para os serviços digitais e os mercados digitais, aproximando as medidas nacionais relativas aos requisitos aplicáveis aos prestadores de serviços intermediários e à disputabilidade e equidade dos serviços essenciais de plataforma prestados por controladores de acesso. Por razões de segurança jurídica, as definições selecionadas no artigo 2.º, as disposições relativas às restrições e suspensões constantes do artigo 4.º, as disposições sobre o procedimento interno de tratamento de reclamações previstas no artigo 11.º do Regulamento (UE) 2019/1150, para as quais remetem outros atos jurídicos, em especial a Diretiva (UE) 2024/2831 relativa à melhoria das condições de trabalho em plataformas digitais, e o artigo 15.º que assegura o controlo da aplicação, permanecerão temporariamente em aplicação até os atos originais serem alterados.</w:t>
      </w:r>
    </w:p>
    <w:p w14:paraId="43807B40" w14:textId="63740E66" w:rsidR="00744CA0" w:rsidRPr="000D0D06" w:rsidRDefault="001936FC" w:rsidP="001936FC">
      <w:pPr>
        <w:pStyle w:val="ManualConsidrant"/>
        <w:rPr>
          <w:noProof/>
        </w:rPr>
      </w:pPr>
      <w:r w:rsidRPr="000D0D06">
        <w:rPr>
          <w:noProof/>
        </w:rPr>
        <w:t>(60)</w:t>
      </w:r>
      <w:r w:rsidRPr="000D0D06">
        <w:rPr>
          <w:noProof/>
        </w:rPr>
        <w:tab/>
        <w:t>Dada a natureza técnica das alterações propostas no presente regulamento e a urgência de criar um quadro jurídico simplificado, o presente regulamento deve entrar em vigor imediatamente após a sua publicação no Jornal Oficial. Se for caso disso, devem ser concedidos aos Estados-Membros e às entidades regulamentadas períodos transitórios para se adaptarem às regras,</w:t>
      </w:r>
    </w:p>
    <w:bookmarkEnd w:id="3"/>
    <w:p w14:paraId="3305300D" w14:textId="77777777" w:rsidR="00FF2EDA" w:rsidRPr="000D0D06" w:rsidRDefault="00FF2EDA" w:rsidP="008C7057">
      <w:pPr>
        <w:pStyle w:val="Formuledadoption"/>
        <w:rPr>
          <w:noProof/>
        </w:rPr>
      </w:pPr>
      <w:r w:rsidRPr="000D0D06">
        <w:rPr>
          <w:noProof/>
        </w:rPr>
        <w:t>ADOTARAM O PRESENTE REGULAMENTO:</w:t>
      </w:r>
    </w:p>
    <w:p w14:paraId="6911287B" w14:textId="77777777" w:rsidR="00DF3836" w:rsidRPr="000D0D06" w:rsidRDefault="00A72FA5" w:rsidP="00351DA1">
      <w:pPr>
        <w:pStyle w:val="Titrearticle"/>
        <w:rPr>
          <w:noProof/>
        </w:rPr>
      </w:pPr>
      <w:r w:rsidRPr="000D0D06">
        <w:rPr>
          <w:noProof/>
        </w:rPr>
        <w:t>Artigo 1.º</w:t>
      </w:r>
    </w:p>
    <w:p w14:paraId="524AD4A5" w14:textId="77777777" w:rsidR="002378AB" w:rsidRPr="000D0D06" w:rsidRDefault="002378AB" w:rsidP="002378AB">
      <w:pPr>
        <w:pStyle w:val="Titrearticle"/>
        <w:rPr>
          <w:noProof/>
        </w:rPr>
      </w:pPr>
      <w:r w:rsidRPr="000D0D06">
        <w:rPr>
          <w:noProof/>
        </w:rPr>
        <w:t>Alterações do Regulamento (UE) 2023/2854</w:t>
      </w:r>
    </w:p>
    <w:p w14:paraId="1BCC8F3E" w14:textId="77777777" w:rsidR="004E4D04" w:rsidRPr="000D0D06" w:rsidRDefault="008D06B6" w:rsidP="002378AB">
      <w:pPr>
        <w:rPr>
          <w:noProof/>
        </w:rPr>
      </w:pPr>
      <w:r w:rsidRPr="000D0D06">
        <w:rPr>
          <w:noProof/>
        </w:rPr>
        <w:t>O Regulamento (UE) 2023/2854 é alterado do seguinte modo:</w:t>
      </w:r>
    </w:p>
    <w:p w14:paraId="119FF413" w14:textId="77777777" w:rsidR="009943D8" w:rsidRPr="000D0D06" w:rsidRDefault="001936FC" w:rsidP="001936FC">
      <w:pPr>
        <w:pStyle w:val="ManualNumPar1"/>
        <w:rPr>
          <w:noProof/>
        </w:rPr>
      </w:pPr>
      <w:r w:rsidRPr="000D0D06">
        <w:rPr>
          <w:noProof/>
        </w:rPr>
        <w:t>1.</w:t>
      </w:r>
      <w:r w:rsidRPr="000D0D06">
        <w:rPr>
          <w:noProof/>
        </w:rPr>
        <w:tab/>
        <w:t>O artigo 1.º é alterado do seguinte modo:</w:t>
      </w:r>
    </w:p>
    <w:p w14:paraId="4063395F" w14:textId="77777777" w:rsidR="00A72FA5" w:rsidRPr="000D0D06" w:rsidRDefault="00807C52" w:rsidP="0014764C">
      <w:pPr>
        <w:pStyle w:val="LegalNumPar"/>
        <w:numPr>
          <w:ilvl w:val="0"/>
          <w:numId w:val="19"/>
        </w:numPr>
        <w:spacing w:before="0"/>
        <w:ind w:left="993"/>
        <w:rPr>
          <w:noProof/>
        </w:rPr>
      </w:pPr>
      <w:r w:rsidRPr="000D0D06">
        <w:rPr>
          <w:noProof/>
        </w:rPr>
        <w:t xml:space="preserve">No n.º 1, são inseridas as seguintes alíneas: </w:t>
      </w:r>
    </w:p>
    <w:p w14:paraId="399CBB64" w14:textId="77777777" w:rsidR="00367C12" w:rsidRPr="000D0D06" w:rsidRDefault="00A72FA5" w:rsidP="00B52555">
      <w:pPr>
        <w:pStyle w:val="Text1"/>
        <w:rPr>
          <w:noProof/>
        </w:rPr>
      </w:pPr>
      <w:r w:rsidRPr="000D0D06">
        <w:rPr>
          <w:noProof/>
        </w:rPr>
        <w:t>«e-A) O registo voluntário de serviços de intermediação de dados;</w:t>
      </w:r>
    </w:p>
    <w:p w14:paraId="4CCDC8EA" w14:textId="77777777" w:rsidR="00367C12" w:rsidRPr="000D0D06" w:rsidRDefault="00367C12" w:rsidP="00B52555">
      <w:pPr>
        <w:pStyle w:val="Text1"/>
        <w:rPr>
          <w:noProof/>
        </w:rPr>
      </w:pPr>
      <w:r w:rsidRPr="000D0D06">
        <w:rPr>
          <w:noProof/>
        </w:rPr>
        <w:t>e-B) O registo voluntário das entidades que recolhem e tratam dados disponibilizados para fins altruístas;</w:t>
      </w:r>
    </w:p>
    <w:p w14:paraId="0DA18DD4" w14:textId="77777777" w:rsidR="00833C49" w:rsidRPr="000D0D06" w:rsidRDefault="00367C12" w:rsidP="00B52555">
      <w:pPr>
        <w:pStyle w:val="Text1"/>
        <w:rPr>
          <w:noProof/>
        </w:rPr>
      </w:pPr>
      <w:r w:rsidRPr="000D0D06">
        <w:rPr>
          <w:noProof/>
        </w:rPr>
        <w:t>e-C) A criação de um Comité Europeu da Inovação de Dados;</w:t>
      </w:r>
    </w:p>
    <w:p w14:paraId="09CAC92C" w14:textId="79CE1CF9" w:rsidR="008429EE" w:rsidRPr="000D0D06" w:rsidRDefault="00503AD4" w:rsidP="00B52555">
      <w:pPr>
        <w:pStyle w:val="Text1"/>
        <w:rPr>
          <w:noProof/>
        </w:rPr>
      </w:pPr>
      <w:r w:rsidRPr="000D0D06">
        <w:rPr>
          <w:noProof/>
        </w:rPr>
        <w:t>e-D) Requisitos em matéria de localização de dados e disponibilidade de dados para as autoridades competentes;</w:t>
      </w:r>
    </w:p>
    <w:p w14:paraId="43945794" w14:textId="77777777" w:rsidR="00367C12" w:rsidRPr="000D0D06" w:rsidRDefault="008429EE" w:rsidP="00B52555">
      <w:pPr>
        <w:pStyle w:val="Text1"/>
        <w:rPr>
          <w:noProof/>
        </w:rPr>
      </w:pPr>
      <w:r w:rsidRPr="000D0D06">
        <w:rPr>
          <w:noProof/>
        </w:rPr>
        <w:t>e-E) A reutilização de determinados dados e documentos na posse de organismos do setor público ou de determinadas empresas públicas, bem como de dados de investigação.»;</w:t>
      </w:r>
    </w:p>
    <w:p w14:paraId="2CF0A441" w14:textId="77777777" w:rsidR="00A72FA5" w:rsidRPr="000D0D06" w:rsidRDefault="00A72FA5" w:rsidP="0014764C">
      <w:pPr>
        <w:pStyle w:val="LegalNumPar"/>
        <w:numPr>
          <w:ilvl w:val="0"/>
          <w:numId w:val="19"/>
        </w:numPr>
        <w:spacing w:before="0"/>
        <w:ind w:left="993"/>
        <w:rPr>
          <w:noProof/>
        </w:rPr>
      </w:pPr>
      <w:r w:rsidRPr="000D0D06">
        <w:rPr>
          <w:noProof/>
        </w:rPr>
        <w:t>Ao n.º 2 são aditadas as seguintes alíneas:</w:t>
      </w:r>
    </w:p>
    <w:p w14:paraId="26DA2323" w14:textId="77777777" w:rsidR="00825600" w:rsidRPr="000D0D06" w:rsidRDefault="00A72FA5" w:rsidP="00B52555">
      <w:pPr>
        <w:pStyle w:val="Text1"/>
        <w:rPr>
          <w:noProof/>
        </w:rPr>
      </w:pPr>
      <w:r w:rsidRPr="000D0D06">
        <w:rPr>
          <w:noProof/>
        </w:rPr>
        <w:t>«g) O capítulo VII-A é aplicável aos dados pessoais e não pessoais;</w:t>
      </w:r>
    </w:p>
    <w:p w14:paraId="1982C12C" w14:textId="733A752A" w:rsidR="00C4503A" w:rsidRPr="000D0D06" w:rsidRDefault="00825600" w:rsidP="00B52555">
      <w:pPr>
        <w:pStyle w:val="Text1"/>
        <w:rPr>
          <w:noProof/>
        </w:rPr>
      </w:pPr>
      <w:r w:rsidRPr="000D0D06">
        <w:rPr>
          <w:noProof/>
        </w:rPr>
        <w:t>h) O capítulo VII-B é aplicável a todos os dados não pessoais;</w:t>
      </w:r>
    </w:p>
    <w:p w14:paraId="48396517" w14:textId="77777777" w:rsidR="00EC383F" w:rsidRPr="000D0D06" w:rsidRDefault="647FBF27" w:rsidP="00B52555">
      <w:pPr>
        <w:pStyle w:val="Text1"/>
        <w:rPr>
          <w:noProof/>
        </w:rPr>
      </w:pPr>
      <w:r w:rsidRPr="000D0D06">
        <w:rPr>
          <w:noProof/>
        </w:rPr>
        <w:t>i) O capítulo VII-C aplica-se aos dados pessoais e não pessoais, nomeadamente:</w:t>
      </w:r>
    </w:p>
    <w:p w14:paraId="5CE7EE5B" w14:textId="77777777" w:rsidR="00604003" w:rsidRPr="000D0D06" w:rsidRDefault="00A72FA5" w:rsidP="00B52555">
      <w:pPr>
        <w:pStyle w:val="Text2"/>
        <w:rPr>
          <w:noProof/>
        </w:rPr>
      </w:pPr>
      <w:r w:rsidRPr="000D0D06">
        <w:rPr>
          <w:noProof/>
        </w:rPr>
        <w:t>i) documentos na posse de organismos do setor público dos Estados-Membros, a que se refere</w:t>
      </w:r>
    </w:p>
    <w:p w14:paraId="48B01271" w14:textId="24ADBE13" w:rsidR="00A77FFD" w:rsidRPr="000D0D06" w:rsidRDefault="001936FC" w:rsidP="001936FC">
      <w:pPr>
        <w:pStyle w:val="Point1"/>
        <w:rPr>
          <w:noProof/>
        </w:rPr>
      </w:pPr>
      <w:r w:rsidRPr="000D0D06">
        <w:rPr>
          <w:noProof/>
        </w:rPr>
        <w:t>1)</w:t>
      </w:r>
      <w:r w:rsidRPr="000D0D06">
        <w:rPr>
          <w:noProof/>
        </w:rPr>
        <w:tab/>
        <w:t>O artigo 32.º-I, n.º 1, alínea a), ou de empresas públicas a que se refere</w:t>
      </w:r>
    </w:p>
    <w:p w14:paraId="25C05CC8" w14:textId="177AA863" w:rsidR="00A72FA5" w:rsidRPr="000D0D06" w:rsidRDefault="001936FC" w:rsidP="001936FC">
      <w:pPr>
        <w:pStyle w:val="Point1"/>
        <w:rPr>
          <w:noProof/>
        </w:rPr>
      </w:pPr>
      <w:r w:rsidRPr="000D0D06">
        <w:rPr>
          <w:noProof/>
        </w:rPr>
        <w:t>2)</w:t>
      </w:r>
      <w:r w:rsidRPr="000D0D06">
        <w:rPr>
          <w:noProof/>
        </w:rPr>
        <w:tab/>
        <w:t>O artigo 32.º-I, n.º 1, alínea b),</w:t>
      </w:r>
    </w:p>
    <w:p w14:paraId="5FB4356D" w14:textId="77777777" w:rsidR="008E178F" w:rsidRPr="000D0D06" w:rsidRDefault="008E178F" w:rsidP="00B52555">
      <w:pPr>
        <w:pStyle w:val="Text2"/>
        <w:rPr>
          <w:noProof/>
        </w:rPr>
      </w:pPr>
      <w:r w:rsidRPr="000D0D06">
        <w:rPr>
          <w:noProof/>
        </w:rPr>
        <w:t xml:space="preserve">ii) dados de investigação a que se refere o artigo 32.º-I, n.º 1, alínea c), </w:t>
      </w:r>
    </w:p>
    <w:p w14:paraId="1F728F76" w14:textId="579AACDD" w:rsidR="00C4503A" w:rsidRPr="000D0D06" w:rsidRDefault="00553D06" w:rsidP="00B52555">
      <w:pPr>
        <w:pStyle w:val="Text2"/>
        <w:rPr>
          <w:noProof/>
        </w:rPr>
      </w:pPr>
      <w:r w:rsidRPr="000D0D06">
        <w:rPr>
          <w:noProof/>
        </w:rPr>
        <w:t>iii) determinadas categorias de dados protegidos a que se refere o artigo 32.º-I, n.º 1, alínea a).»;</w:t>
      </w:r>
    </w:p>
    <w:p w14:paraId="08F654D2" w14:textId="77777777" w:rsidR="00513A27" w:rsidRPr="000D0D06" w:rsidRDefault="00075541" w:rsidP="0014764C">
      <w:pPr>
        <w:pStyle w:val="LegalNumPar"/>
        <w:numPr>
          <w:ilvl w:val="0"/>
          <w:numId w:val="19"/>
        </w:numPr>
        <w:spacing w:before="0"/>
        <w:ind w:left="993"/>
        <w:rPr>
          <w:noProof/>
        </w:rPr>
      </w:pPr>
      <w:r w:rsidRPr="000D0D06">
        <w:rPr>
          <w:noProof/>
        </w:rPr>
        <w:t>No n.º 3, a alínea g) passa a ter a seguinte redação:</w:t>
      </w:r>
    </w:p>
    <w:p w14:paraId="6D20C38B" w14:textId="77777777" w:rsidR="00172DFD" w:rsidRPr="000D0D06" w:rsidRDefault="00172DFD" w:rsidP="00482892">
      <w:pPr>
        <w:pStyle w:val="Text1"/>
        <w:rPr>
          <w:rFonts w:eastAsia="Times New Roman"/>
          <w:noProof/>
        </w:rPr>
      </w:pPr>
      <w:r w:rsidRPr="000D0D06">
        <w:rPr>
          <w:noProof/>
        </w:rPr>
        <w:t>«g) Aos participantes em espaços de dados.»;</w:t>
      </w:r>
    </w:p>
    <w:p w14:paraId="1CFAA1BC" w14:textId="77777777" w:rsidR="009D408B" w:rsidRPr="000D0D06" w:rsidRDefault="00A72FA5" w:rsidP="0014764C">
      <w:pPr>
        <w:pStyle w:val="LegalNumPar"/>
        <w:numPr>
          <w:ilvl w:val="0"/>
          <w:numId w:val="19"/>
        </w:numPr>
        <w:spacing w:before="0"/>
        <w:ind w:left="993"/>
        <w:rPr>
          <w:noProof/>
        </w:rPr>
      </w:pPr>
      <w:r w:rsidRPr="000D0D06">
        <w:rPr>
          <w:noProof/>
        </w:rPr>
        <w:t>É suprimido o n.º 7;</w:t>
      </w:r>
    </w:p>
    <w:p w14:paraId="561B750C" w14:textId="77777777" w:rsidR="00C4503A" w:rsidRPr="000D0D06" w:rsidRDefault="009D0B36" w:rsidP="0014764C">
      <w:pPr>
        <w:pStyle w:val="LegalNumPar"/>
        <w:numPr>
          <w:ilvl w:val="0"/>
          <w:numId w:val="19"/>
        </w:numPr>
        <w:spacing w:before="0"/>
        <w:ind w:left="993"/>
        <w:rPr>
          <w:noProof/>
        </w:rPr>
      </w:pPr>
      <w:r w:rsidRPr="000D0D06">
        <w:rPr>
          <w:noProof/>
        </w:rPr>
        <w:t>São aditados os seguintes n.</w:t>
      </w:r>
      <w:r w:rsidRPr="000D0D06">
        <w:rPr>
          <w:noProof/>
          <w:vertAlign w:val="superscript"/>
        </w:rPr>
        <w:t>os</w:t>
      </w:r>
      <w:r w:rsidRPr="000D0D06">
        <w:rPr>
          <w:noProof/>
        </w:rPr>
        <w:t> 11, 12 e 13:</w:t>
      </w:r>
    </w:p>
    <w:p w14:paraId="76663FB2" w14:textId="77777777" w:rsidR="00C4503A" w:rsidRPr="000D0D06" w:rsidRDefault="00C4503A" w:rsidP="00351DA1">
      <w:pPr>
        <w:ind w:left="1440"/>
        <w:rPr>
          <w:noProof/>
        </w:rPr>
      </w:pPr>
      <w:r w:rsidRPr="000D0D06">
        <w:rPr>
          <w:noProof/>
        </w:rPr>
        <w:t>«11. O capítulo VII-B do presente regulamento é aplicável sem prejuízo das disposições legislativas, regulamentares e administrativas relativas à organização interna dos Estados-Membros e que atribuem às autoridades públicas e aos organismos de direito público poderes e responsabilidades para o tratamento de dados, sem remuneração contratual do setor privado, nem das disposições legislativas, regulamentares e administrativas dos Estados-Membros que preveem a aplicação desses poderes e dessas responsabilidades.</w:t>
      </w:r>
    </w:p>
    <w:p w14:paraId="4BA696E9" w14:textId="77777777" w:rsidR="001D679A" w:rsidRPr="000D0D06" w:rsidRDefault="00C70A3F" w:rsidP="0055422A">
      <w:pPr>
        <w:ind w:left="1417"/>
        <w:rPr>
          <w:noProof/>
        </w:rPr>
      </w:pPr>
      <w:r w:rsidRPr="000D0D06">
        <w:rPr>
          <w:noProof/>
        </w:rPr>
        <w:t>12. Caso o direito setorial da União ou nacional exija que os organismos do setor público, os prestadores de serviços de intermediação de dados ou as organizações de altruísmo de dados reconhecidas cumpram requisitos técnicos, administrativos ou organizacionais específicos adicionais relacionados com os capítulos VII-A e VII-B, nomeadamente através de um regime de autorização ou certificação, aplicam-se igualmente as disposições desse direito setorial da União ou nacional. Quaisquer requisitos adicionais específicos devem ser não discriminatórios, proporcionados e objetivamente justificados.</w:t>
      </w:r>
    </w:p>
    <w:p w14:paraId="50F83D3D" w14:textId="63E67E63" w:rsidR="0016727B" w:rsidRPr="000D0D06" w:rsidRDefault="004015C7" w:rsidP="0016727B">
      <w:pPr>
        <w:ind w:left="1417"/>
        <w:rPr>
          <w:noProof/>
        </w:rPr>
      </w:pPr>
      <w:r w:rsidRPr="000D0D06">
        <w:rPr>
          <w:noProof/>
        </w:rPr>
        <w:t>13. No que diz respeito aos dados e documentos abrangidos pelo âmbito de aplicação do capítulo VII-C, secção II, o capítulo VII-C do presente regulamento não afeta a possibilidade de os Estados-Membros adotarem regras mais pormenorizadas ou mais rigorosas, desde que essas regras permitam uma reutilização mais ampla dos dados e documentos.».</w:t>
      </w:r>
    </w:p>
    <w:p w14:paraId="5E5229C5" w14:textId="77777777" w:rsidR="00420F2D" w:rsidRPr="000D0D06" w:rsidRDefault="001936FC" w:rsidP="001936FC">
      <w:pPr>
        <w:pStyle w:val="ManualNumPar1"/>
        <w:rPr>
          <w:noProof/>
        </w:rPr>
      </w:pPr>
      <w:r w:rsidRPr="000D0D06">
        <w:rPr>
          <w:noProof/>
        </w:rPr>
        <w:t>2.</w:t>
      </w:r>
      <w:r w:rsidRPr="000D0D06">
        <w:rPr>
          <w:noProof/>
        </w:rPr>
        <w:tab/>
        <w:t>O artigo 2.º é alterado do seguinte modo:</w:t>
      </w:r>
    </w:p>
    <w:p w14:paraId="111957E4" w14:textId="77777777" w:rsidR="00A72FA5" w:rsidRPr="000D0D06" w:rsidRDefault="00A72FA5" w:rsidP="0014764C">
      <w:pPr>
        <w:pStyle w:val="LegalNumPar"/>
        <w:numPr>
          <w:ilvl w:val="0"/>
          <w:numId w:val="25"/>
        </w:numPr>
        <w:spacing w:before="0"/>
        <w:rPr>
          <w:noProof/>
        </w:rPr>
      </w:pPr>
      <w:r w:rsidRPr="000D0D06">
        <w:rPr>
          <w:noProof/>
        </w:rPr>
        <w:t>São inseridos os seguintes pontos 4-A, 4-B e 4-C:</w:t>
      </w:r>
    </w:p>
    <w:p w14:paraId="144D79D5" w14:textId="77777777" w:rsidR="00367C12" w:rsidRPr="000D0D06" w:rsidRDefault="00367C12" w:rsidP="00B52555">
      <w:pPr>
        <w:pStyle w:val="Text2"/>
        <w:rPr>
          <w:noProof/>
        </w:rPr>
      </w:pPr>
      <w:r w:rsidRPr="000D0D06">
        <w:rPr>
          <w:noProof/>
        </w:rPr>
        <w:t>«4-A) “Consentimento”, o consentimento na aceção do artigo 4.º, ponto 11, do Regulamento (UE) 2016/679;</w:t>
      </w:r>
    </w:p>
    <w:p w14:paraId="7B479619" w14:textId="77777777" w:rsidR="00367C12" w:rsidRPr="000D0D06" w:rsidRDefault="00367C12" w:rsidP="00B52555">
      <w:pPr>
        <w:pStyle w:val="Text2"/>
        <w:rPr>
          <w:noProof/>
        </w:rPr>
      </w:pPr>
      <w:r w:rsidRPr="000D0D06">
        <w:rPr>
          <w:noProof/>
        </w:rPr>
        <w:t>4-B) “Autorização”, a concessão, aos utilizadores de dados, do direito ao tratamento de dados não pessoais;</w:t>
      </w:r>
    </w:p>
    <w:p w14:paraId="0456465B" w14:textId="77777777" w:rsidR="0009455A" w:rsidRPr="000D0D06" w:rsidRDefault="00596D3B" w:rsidP="00B52555">
      <w:pPr>
        <w:pStyle w:val="Text2"/>
        <w:rPr>
          <w:noProof/>
        </w:rPr>
      </w:pPr>
      <w:r w:rsidRPr="000D0D06">
        <w:rPr>
          <w:noProof/>
        </w:rPr>
        <w:t>4-C) “Acesso”, a utilização de dados, em conformidade com requisitos técnicos, jurídicos ou organizacionais específicos, sem implicar necessariamente a transmissão ou o descarregamento de dados;»;</w:t>
      </w:r>
    </w:p>
    <w:p w14:paraId="7CD5BB8A" w14:textId="77777777" w:rsidR="0089653F" w:rsidRPr="000D0D06" w:rsidRDefault="0089653F" w:rsidP="0014764C">
      <w:pPr>
        <w:pStyle w:val="LegalNumPar"/>
        <w:numPr>
          <w:ilvl w:val="0"/>
          <w:numId w:val="25"/>
        </w:numPr>
        <w:spacing w:before="0"/>
        <w:rPr>
          <w:noProof/>
        </w:rPr>
      </w:pPr>
      <w:r w:rsidRPr="000D0D06">
        <w:rPr>
          <w:noProof/>
        </w:rPr>
        <w:t>O ponto 13 passa a ter a seguinte redação:</w:t>
      </w:r>
    </w:p>
    <w:p w14:paraId="2E889CF6" w14:textId="77777777" w:rsidR="0089653F" w:rsidRPr="000D0D06" w:rsidRDefault="0089653F" w:rsidP="00B52555">
      <w:pPr>
        <w:pStyle w:val="Text1"/>
        <w:rPr>
          <w:noProof/>
        </w:rPr>
      </w:pPr>
      <w:r w:rsidRPr="000D0D06">
        <w:rPr>
          <w:noProof/>
        </w:rPr>
        <w:t>«13) “Detentor dos dados”, uma pessoa singular ou coletiva que tem o direito ou a obrigação, nos termos do presente regulamento, do direito aplicável da União ou da legislação nacional adotada em conformidade com o direito da União, de utilizar ou de disponibilizar determinados dados, nomeadamente, caso tal tenha sido acordado contratualmente, dados relativos a um produto ou dados relativos a um serviço conexo que tenha recuperado ou gerado durante a prestação de um serviço conexo;»; </w:t>
      </w:r>
    </w:p>
    <w:p w14:paraId="49FA5EB6" w14:textId="77777777" w:rsidR="00930FAC" w:rsidRPr="000D0D06" w:rsidRDefault="00930FAC" w:rsidP="0014764C">
      <w:pPr>
        <w:pStyle w:val="LegalNumPar"/>
        <w:numPr>
          <w:ilvl w:val="0"/>
          <w:numId w:val="25"/>
        </w:numPr>
        <w:spacing w:before="0"/>
        <w:rPr>
          <w:noProof/>
        </w:rPr>
      </w:pPr>
      <w:r w:rsidRPr="000D0D06">
        <w:rPr>
          <w:noProof/>
        </w:rPr>
        <w:t>São inseridos os seguintes pontos 28-A e 28-B:</w:t>
      </w:r>
    </w:p>
    <w:p w14:paraId="251041B0" w14:textId="77777777" w:rsidR="0064100E" w:rsidRPr="000D0D06" w:rsidRDefault="00930FAC" w:rsidP="00B52555">
      <w:pPr>
        <w:pStyle w:val="Text1"/>
        <w:rPr>
          <w:noProof/>
        </w:rPr>
      </w:pPr>
      <w:r w:rsidRPr="000D0D06">
        <w:rPr>
          <w:noProof/>
        </w:rPr>
        <w:t xml:space="preserve">«28-A) “Organismos de direito público”, os organismos que apresentem todas as seguintes características: </w:t>
      </w:r>
    </w:p>
    <w:p w14:paraId="7BB4C10B" w14:textId="77777777" w:rsidR="0064100E" w:rsidRPr="000D0D06" w:rsidRDefault="001936FC" w:rsidP="001936FC">
      <w:pPr>
        <w:pStyle w:val="Point2"/>
        <w:rPr>
          <w:noProof/>
        </w:rPr>
      </w:pPr>
      <w:r w:rsidRPr="000D0D06">
        <w:rPr>
          <w:noProof/>
        </w:rPr>
        <w:t>a)</w:t>
      </w:r>
      <w:r w:rsidRPr="000D0D06">
        <w:rPr>
          <w:noProof/>
        </w:rPr>
        <w:tab/>
        <w:t xml:space="preserve">Foram criados para o fim específico de satisfazer necessidades de interesse geral, sem caráter industrial ou comercial; </w:t>
      </w:r>
    </w:p>
    <w:p w14:paraId="605EC778" w14:textId="77777777" w:rsidR="00517DFB" w:rsidRPr="000D0D06" w:rsidRDefault="001936FC" w:rsidP="001936FC">
      <w:pPr>
        <w:pStyle w:val="Point2"/>
        <w:rPr>
          <w:noProof/>
        </w:rPr>
      </w:pPr>
      <w:r w:rsidRPr="000D0D06">
        <w:rPr>
          <w:noProof/>
        </w:rPr>
        <w:t>b)</w:t>
      </w:r>
      <w:r w:rsidRPr="000D0D06">
        <w:rPr>
          <w:noProof/>
        </w:rPr>
        <w:tab/>
        <w:t xml:space="preserve">Têm personalidade jurídica; </w:t>
      </w:r>
    </w:p>
    <w:p w14:paraId="2F1725D4" w14:textId="77777777" w:rsidR="0064100E" w:rsidRPr="000D0D06" w:rsidRDefault="001936FC" w:rsidP="001936FC">
      <w:pPr>
        <w:pStyle w:val="Point2"/>
        <w:rPr>
          <w:noProof/>
        </w:rPr>
      </w:pPr>
      <w:r w:rsidRPr="000D0D06">
        <w:rPr>
          <w:noProof/>
        </w:rPr>
        <w:t>c)</w:t>
      </w:r>
      <w:r w:rsidRPr="000D0D06">
        <w:rPr>
          <w:noProof/>
        </w:rPr>
        <w:tab/>
        <w:t>São maioritariamente financiados pelo Estado, por autoridades regionais ou locais ou por outros organismos de direito público, ou a sua gestão está sujeita a controlo por parte dessas autoridades ou desses organismos, ou mais de metade dos membros no seu órgão de administração, direção ou fiscalização são designados pelo Estado, pelas autoridades regionais ou locais ou por outros organismos de direito público;</w:t>
      </w:r>
    </w:p>
    <w:p w14:paraId="26130AB0" w14:textId="77777777" w:rsidR="003B4F4A" w:rsidRPr="000D0D06" w:rsidRDefault="00862BD8" w:rsidP="00B52555">
      <w:pPr>
        <w:pStyle w:val="Text1"/>
        <w:rPr>
          <w:noProof/>
        </w:rPr>
      </w:pPr>
      <w:r w:rsidRPr="000D0D06">
        <w:rPr>
          <w:noProof/>
        </w:rPr>
        <w:t>28-B) “Empresa pública”, qualquer empresa em relação à qual um organismo do setor público possa exercer, direta ou indiretamente, uma influência dominante, por motivos de propriedade, participação financeira ou regras que lhe sejam aplicáveis. Presume-se a existência de influência dominante dos organismos do setor público sempre que estes organismos, de forma direta ou indireta: </w:t>
      </w:r>
    </w:p>
    <w:p w14:paraId="438DBF27" w14:textId="77777777" w:rsidR="000C153A" w:rsidRPr="000D0D06" w:rsidRDefault="001936FC" w:rsidP="001936FC">
      <w:pPr>
        <w:pStyle w:val="Point2"/>
        <w:rPr>
          <w:noProof/>
        </w:rPr>
      </w:pPr>
      <w:r w:rsidRPr="000D0D06">
        <w:rPr>
          <w:noProof/>
        </w:rPr>
        <w:t>a)</w:t>
      </w:r>
      <w:r w:rsidRPr="000D0D06">
        <w:rPr>
          <w:noProof/>
        </w:rPr>
        <w:tab/>
        <w:t xml:space="preserve">Detenham uma participação maioritária no capital subscrito da empresa; </w:t>
      </w:r>
    </w:p>
    <w:p w14:paraId="2FEB245E" w14:textId="77777777" w:rsidR="000C153A" w:rsidRPr="000D0D06" w:rsidRDefault="001936FC" w:rsidP="001936FC">
      <w:pPr>
        <w:pStyle w:val="Point2"/>
        <w:rPr>
          <w:noProof/>
        </w:rPr>
      </w:pPr>
      <w:r w:rsidRPr="000D0D06">
        <w:rPr>
          <w:noProof/>
        </w:rPr>
        <w:t>b)</w:t>
      </w:r>
      <w:r w:rsidRPr="000D0D06">
        <w:rPr>
          <w:noProof/>
        </w:rPr>
        <w:tab/>
        <w:t xml:space="preserve">Disponham da maioria dos votos correspondentes às ações emitidas pela empresa; </w:t>
      </w:r>
    </w:p>
    <w:p w14:paraId="6ADF04E2" w14:textId="77777777" w:rsidR="000C153A" w:rsidRPr="000D0D06" w:rsidRDefault="001936FC" w:rsidP="001936FC">
      <w:pPr>
        <w:pStyle w:val="Point2"/>
        <w:rPr>
          <w:noProof/>
        </w:rPr>
      </w:pPr>
      <w:r w:rsidRPr="000D0D06">
        <w:rPr>
          <w:noProof/>
        </w:rPr>
        <w:t>c)</w:t>
      </w:r>
      <w:r w:rsidRPr="000D0D06">
        <w:rPr>
          <w:noProof/>
        </w:rPr>
        <w:tab/>
        <w:t>Possam designar mais de metade dos membros do órgão de administração, direção ou fiscalização da empresa;»;</w:t>
      </w:r>
    </w:p>
    <w:p w14:paraId="08CB5109" w14:textId="77777777" w:rsidR="00C5628A" w:rsidRPr="000D0D06" w:rsidRDefault="00C5628A" w:rsidP="0014764C">
      <w:pPr>
        <w:pStyle w:val="LegalNumPar"/>
        <w:numPr>
          <w:ilvl w:val="0"/>
          <w:numId w:val="25"/>
        </w:numPr>
        <w:spacing w:before="0"/>
        <w:rPr>
          <w:noProof/>
        </w:rPr>
      </w:pPr>
      <w:r w:rsidRPr="000D0D06">
        <w:rPr>
          <w:noProof/>
        </w:rPr>
        <w:t>São inseridos os seguintes pontos 38-A e 38-B:</w:t>
      </w:r>
    </w:p>
    <w:p w14:paraId="7AF06E5A" w14:textId="31100505" w:rsidR="00367C12" w:rsidRPr="000D0D06" w:rsidRDefault="00FC3EC1" w:rsidP="00B52555">
      <w:pPr>
        <w:pStyle w:val="Text2"/>
        <w:rPr>
          <w:noProof/>
        </w:rPr>
      </w:pPr>
      <w:r w:rsidRPr="000D0D06">
        <w:rPr>
          <w:noProof/>
        </w:rPr>
        <w:t>«38-A) “Serviço de intermediação de dados”, um serviço que visa estabelecer relações de natureza económica para efeitos de partilha de dados entre um número indeterminado de titulares de dados ou detentores de dados e utilizadores de dados, através de meios técnicos, jurídicos ou outros, inclusive para efeitos do exercício dos direitos dos titulares dos dados em relação aos dados pessoais, e que:</w:t>
      </w:r>
    </w:p>
    <w:p w14:paraId="74C679B7" w14:textId="4E9D6C01" w:rsidR="00367C12" w:rsidRPr="000D0D06" w:rsidRDefault="001936FC" w:rsidP="001936FC">
      <w:pPr>
        <w:pStyle w:val="Point2"/>
        <w:rPr>
          <w:noProof/>
        </w:rPr>
      </w:pPr>
      <w:r w:rsidRPr="000D0D06">
        <w:rPr>
          <w:noProof/>
        </w:rPr>
        <w:t>1)</w:t>
      </w:r>
      <w:r w:rsidRPr="000D0D06">
        <w:rPr>
          <w:noProof/>
        </w:rPr>
        <w:tab/>
        <w:t xml:space="preserve"> Não tenha como objetivo principal a intermediação de conteúdos protegidos por direitos de autor;</w:t>
      </w:r>
    </w:p>
    <w:p w14:paraId="7D38479B" w14:textId="6376C4CF" w:rsidR="00A72FA5" w:rsidRPr="000D0D06" w:rsidRDefault="001936FC" w:rsidP="001936FC">
      <w:pPr>
        <w:pStyle w:val="Point2"/>
        <w:rPr>
          <w:noProof/>
        </w:rPr>
      </w:pPr>
      <w:r w:rsidRPr="000D0D06">
        <w:rPr>
          <w:noProof/>
        </w:rPr>
        <w:t>2)</w:t>
      </w:r>
      <w:r w:rsidRPr="000D0D06">
        <w:rPr>
          <w:noProof/>
        </w:rPr>
        <w:tab/>
        <w:t xml:space="preserve">Não seja adquirido conjuntamente por várias pessoas coletivas para uso exclusivo entre elas; </w:t>
      </w:r>
    </w:p>
    <w:p w14:paraId="731FF553" w14:textId="77777777" w:rsidR="00A72FA5" w:rsidRPr="000D0D06" w:rsidRDefault="00A72FA5" w:rsidP="00D86CC3">
      <w:pPr>
        <w:pStyle w:val="Text3"/>
        <w:rPr>
          <w:noProof/>
        </w:rPr>
      </w:pPr>
      <w:r w:rsidRPr="000D0D06">
        <w:rPr>
          <w:noProof/>
        </w:rPr>
        <w:t xml:space="preserve">38-B) “Altruísmo de dados”, a partilha voluntária de dados, com base no consentimento dos titulares dos dados para o tratamento dos respetivos dados pessoais ou na autorização, por parte de outros detentores dos dados, da utilização dos seus dados não pessoais, sem que esses titulares ou detentores procurem ou recebam uma gratificação que vá além de uma compensação pelos custos em que incorrem ao disponibilizarem os seus dados, para fins de interesse geral, previstos no direito nacional, se aplicável, tais como os cuidados de saúde, a luta contra as alterações climáticas, a melhoria da mobilidade, a facilitação do desenvolvimento, produção e divulgação de estatísticas oficiais, a melhoria da prestação dos serviços públicos, a elaboração de políticas públicas ou a investigação científica de interesse geral;»; </w:t>
      </w:r>
    </w:p>
    <w:p w14:paraId="2C136046" w14:textId="77777777" w:rsidR="00367C12" w:rsidRPr="000D0D06" w:rsidRDefault="00367C12" w:rsidP="0014764C">
      <w:pPr>
        <w:pStyle w:val="LegalNumPar"/>
        <w:numPr>
          <w:ilvl w:val="0"/>
          <w:numId w:val="25"/>
        </w:numPr>
        <w:spacing w:before="0"/>
        <w:rPr>
          <w:noProof/>
        </w:rPr>
      </w:pPr>
      <w:r w:rsidRPr="000D0D06">
        <w:rPr>
          <w:noProof/>
        </w:rPr>
        <w:t>São aditados os pontos 44 a 63:</w:t>
      </w:r>
    </w:p>
    <w:p w14:paraId="7E611F4A" w14:textId="7CCBC6D9" w:rsidR="00367C12" w:rsidRPr="000D0D06" w:rsidRDefault="00367C12" w:rsidP="00B52555">
      <w:pPr>
        <w:pStyle w:val="Text2"/>
        <w:rPr>
          <w:noProof/>
        </w:rPr>
      </w:pPr>
      <w:r w:rsidRPr="000D0D06">
        <w:rPr>
          <w:noProof/>
        </w:rPr>
        <w:t>«44) “Média empresa”, uma média empresa na aceção do artigo 2.º do anexo I da Recomendação 2003/361/CE;</w:t>
      </w:r>
    </w:p>
    <w:p w14:paraId="6EFA4D1F" w14:textId="77777777" w:rsidR="00D14F02" w:rsidRPr="000D0D06" w:rsidRDefault="00367C12" w:rsidP="00B52555">
      <w:pPr>
        <w:pStyle w:val="Text2"/>
        <w:rPr>
          <w:noProof/>
        </w:rPr>
      </w:pPr>
      <w:r w:rsidRPr="000D0D06">
        <w:rPr>
          <w:noProof/>
        </w:rPr>
        <w:t>45) “Pequena empresa de média capitalização”, uma pequena empresa de média capitalização na aceção do ponto 2 do anexo da Recomendação (UE) 2025/1099 da Comissão;</w:t>
      </w:r>
    </w:p>
    <w:p w14:paraId="136D8631" w14:textId="77777777" w:rsidR="00392E63" w:rsidRPr="000D0D06" w:rsidRDefault="008E2BC6" w:rsidP="00B52555">
      <w:pPr>
        <w:pStyle w:val="Text2"/>
        <w:rPr>
          <w:noProof/>
        </w:rPr>
      </w:pPr>
      <w:r w:rsidRPr="000D0D06">
        <w:rPr>
          <w:noProof/>
        </w:rPr>
        <w:t>46) “Universidade”, um organismo do setor público que ministra ensino superior pós-secundário conducente a graus académicos;</w:t>
      </w:r>
    </w:p>
    <w:p w14:paraId="6BC1B6E0" w14:textId="77777777" w:rsidR="003933D8" w:rsidRPr="000D0D06" w:rsidRDefault="00392E63" w:rsidP="00B52555">
      <w:pPr>
        <w:pStyle w:val="Text2"/>
        <w:rPr>
          <w:noProof/>
        </w:rPr>
      </w:pPr>
      <w:r w:rsidRPr="000D0D06">
        <w:rPr>
          <w:noProof/>
        </w:rPr>
        <w:t>47) “Licença-tipo”, um conjunto de condições de reutilização predefinidas num formato digital, preferencialmente compatíveis com licenças públicas normalizadas disponíveis em linha;</w:t>
      </w:r>
    </w:p>
    <w:p w14:paraId="0191AE9B" w14:textId="77777777" w:rsidR="0000131B" w:rsidRPr="000D0D06" w:rsidRDefault="0000131B" w:rsidP="00B52555">
      <w:pPr>
        <w:pStyle w:val="Text2"/>
        <w:rPr>
          <w:noProof/>
        </w:rPr>
      </w:pPr>
      <w:r w:rsidRPr="000D0D06">
        <w:rPr>
          <w:noProof/>
        </w:rPr>
        <w:t xml:space="preserve">48) “Documento”: </w:t>
      </w:r>
    </w:p>
    <w:p w14:paraId="4CE43445" w14:textId="77777777" w:rsidR="0000131B" w:rsidRPr="000D0D06" w:rsidRDefault="2D65480C" w:rsidP="00D86CC3">
      <w:pPr>
        <w:pStyle w:val="Text3"/>
        <w:rPr>
          <w:noProof/>
        </w:rPr>
      </w:pPr>
      <w:r w:rsidRPr="000D0D06">
        <w:rPr>
          <w:noProof/>
        </w:rPr>
        <w:t xml:space="preserve">a) Qualquer conteúdo não digital, seja qual for o seu suporte (papel ou registo sonoro, visual ou audiovisual); ou </w:t>
      </w:r>
    </w:p>
    <w:p w14:paraId="69B60B3D" w14:textId="77777777" w:rsidR="00A72FA5" w:rsidRPr="000D0D06" w:rsidRDefault="00A72FA5" w:rsidP="00D86CC3">
      <w:pPr>
        <w:pStyle w:val="Text3"/>
        <w:rPr>
          <w:noProof/>
        </w:rPr>
      </w:pPr>
      <w:r w:rsidRPr="000D0D06">
        <w:rPr>
          <w:noProof/>
        </w:rPr>
        <w:t xml:space="preserve">b) Qualquer parte desse conteúdo; </w:t>
      </w:r>
    </w:p>
    <w:p w14:paraId="07DA161B" w14:textId="63DDEDE0" w:rsidR="00C16342" w:rsidRPr="000D0D06" w:rsidRDefault="00C16342" w:rsidP="00B52555">
      <w:pPr>
        <w:pStyle w:val="Text2"/>
        <w:rPr>
          <w:noProof/>
        </w:rPr>
      </w:pPr>
      <w:r w:rsidRPr="000D0D06">
        <w:rPr>
          <w:noProof/>
        </w:rPr>
        <w:t xml:space="preserve">50) “Dados dinâmicos”, dados e documentos em formato digital, sujeitos a atualizações frequentes ou em tempo real, nomeadamente devido à sua volatilidade ou rápida obsolescência; os dados gerados por sensores são normalmente considerados dados dinâmicos; </w:t>
      </w:r>
    </w:p>
    <w:p w14:paraId="548EAF59" w14:textId="77777777" w:rsidR="00C16342" w:rsidRPr="000D0D06" w:rsidRDefault="00C16342" w:rsidP="00B52555">
      <w:pPr>
        <w:pStyle w:val="Text2"/>
        <w:rPr>
          <w:noProof/>
        </w:rPr>
      </w:pPr>
      <w:r w:rsidRPr="000D0D06">
        <w:rPr>
          <w:noProof/>
        </w:rPr>
        <w:t xml:space="preserve">51) “Dados de investigação”, dados, com exceção das publicações científicas, que são recolhidos ou produzidos no decurso de atividades de investigação científica e utilizados como elementos de prova no processo de investigação, ou que são geralmente considerados na comunidade de investigação como necessários para validar os resultados da investigação; </w:t>
      </w:r>
    </w:p>
    <w:p w14:paraId="00E9C340" w14:textId="77777777" w:rsidR="00B25F68" w:rsidRPr="000D0D06" w:rsidRDefault="00A72FA5" w:rsidP="00B52555">
      <w:pPr>
        <w:pStyle w:val="Text2"/>
        <w:rPr>
          <w:noProof/>
        </w:rPr>
      </w:pPr>
      <w:r w:rsidRPr="000D0D06">
        <w:rPr>
          <w:noProof/>
        </w:rPr>
        <w:t xml:space="preserve">52) “Reutilização”, a utilização por pessoas singulares ou coletivas de documentos na posse de: </w:t>
      </w:r>
    </w:p>
    <w:p w14:paraId="22F42087" w14:textId="77777777" w:rsidR="00B25F68" w:rsidRPr="000D0D06" w:rsidRDefault="001936FC" w:rsidP="001936FC">
      <w:pPr>
        <w:pStyle w:val="Point3"/>
        <w:rPr>
          <w:noProof/>
        </w:rPr>
      </w:pPr>
      <w:r w:rsidRPr="000D0D06">
        <w:rPr>
          <w:noProof/>
        </w:rPr>
        <w:t>a)</w:t>
      </w:r>
      <w:r w:rsidRPr="000D0D06">
        <w:rPr>
          <w:noProof/>
        </w:rPr>
        <w:tab/>
        <w:t xml:space="preserve">Organismos do setor público, para fins comerciais ou não comerciais que não correspondam ao objetivo inicial da missão de serviço público para a qual os documentos foram produzidos, excetuando o intercâmbio de documentos entre organismos do setor público exclusivamente no desempenho das suas missões de serviço público; ou </w:t>
      </w:r>
    </w:p>
    <w:p w14:paraId="0A90B051" w14:textId="77777777" w:rsidR="004730EF" w:rsidRPr="000D0D06" w:rsidRDefault="001936FC" w:rsidP="001936FC">
      <w:pPr>
        <w:pStyle w:val="Point3"/>
        <w:rPr>
          <w:noProof/>
        </w:rPr>
      </w:pPr>
      <w:r w:rsidRPr="000D0D06">
        <w:rPr>
          <w:noProof/>
        </w:rPr>
        <w:t>b)</w:t>
      </w:r>
      <w:r w:rsidRPr="000D0D06">
        <w:rPr>
          <w:noProof/>
        </w:rPr>
        <w:tab/>
        <w:t>Empresas públicas, nos termos do capítulo VII-C, secção 2, para fins comerciais ou não comerciais que não correspondam ao objetivo inicial de prestação de serviços de interesse geral para os quais os documentos foram produzidos, excetuando o intercâmbio de documentos entre empresas públicas e organismos do setor público exclusivamente no desempenho das missões de serviço público dos organismos do setor público;</w:t>
      </w:r>
    </w:p>
    <w:p w14:paraId="6BC8C729" w14:textId="77777777" w:rsidR="0000131B" w:rsidRPr="000D0D06" w:rsidRDefault="00C16342" w:rsidP="00B52555">
      <w:pPr>
        <w:pStyle w:val="Text2"/>
        <w:rPr>
          <w:noProof/>
        </w:rPr>
      </w:pPr>
      <w:r w:rsidRPr="000D0D06">
        <w:rPr>
          <w:noProof/>
        </w:rPr>
        <w:t>53) “Conjuntos de dados de elevado valor”, dados e documentos cuja reutilização está associada a importantes benefícios para a sociedade, o ambiente e a economia, nomeadamente devido à sua adequação para a criação de serviços, aplicações e novos empregos dignos e de alta qualidade com valor acrescentado e ao número de potenciais beneficiários desses serviços e aplicações baseados nesses dados e documentos;</w:t>
      </w:r>
    </w:p>
    <w:p w14:paraId="108D6D24" w14:textId="7741F327" w:rsidR="002E7C76" w:rsidRPr="000D0D06" w:rsidRDefault="00E9755D" w:rsidP="00B52555">
      <w:pPr>
        <w:pStyle w:val="Text2"/>
        <w:rPr>
          <w:noProof/>
        </w:rPr>
      </w:pPr>
      <w:r w:rsidRPr="000D0D06">
        <w:rPr>
          <w:noProof/>
        </w:rPr>
        <w:t>54) “Determinadas categorias de dados protegidos”, os dados e documentos na posse de organismos do setor público que são protegidos por motivos de:</w:t>
      </w:r>
    </w:p>
    <w:p w14:paraId="1CA0B5E7" w14:textId="77777777" w:rsidR="002E7C76" w:rsidRPr="000D0D06" w:rsidRDefault="001936FC" w:rsidP="001936FC">
      <w:pPr>
        <w:pStyle w:val="Point3"/>
        <w:rPr>
          <w:noProof/>
        </w:rPr>
      </w:pPr>
      <w:r w:rsidRPr="000D0D06">
        <w:rPr>
          <w:noProof/>
        </w:rPr>
        <w:t>a)</w:t>
      </w:r>
      <w:r w:rsidRPr="000D0D06">
        <w:rPr>
          <w:noProof/>
        </w:rPr>
        <w:tab/>
        <w:t>Confidencialidade comercial, nomeadamente segredos comerciais, profissionais e empresariais;</w:t>
      </w:r>
    </w:p>
    <w:p w14:paraId="5C6F1EC1" w14:textId="77777777" w:rsidR="002E7C76" w:rsidRPr="000D0D06" w:rsidRDefault="001936FC" w:rsidP="001936FC">
      <w:pPr>
        <w:pStyle w:val="Point3"/>
        <w:rPr>
          <w:noProof/>
        </w:rPr>
      </w:pPr>
      <w:r w:rsidRPr="000D0D06">
        <w:rPr>
          <w:noProof/>
        </w:rPr>
        <w:t>b)</w:t>
      </w:r>
      <w:r w:rsidRPr="000D0D06">
        <w:rPr>
          <w:noProof/>
        </w:rPr>
        <w:tab/>
        <w:t xml:space="preserve">Confidencialidade estatística; </w:t>
      </w:r>
    </w:p>
    <w:p w14:paraId="2DFBC907" w14:textId="77777777" w:rsidR="002E7C76" w:rsidRPr="000D0D06" w:rsidRDefault="001936FC" w:rsidP="001936FC">
      <w:pPr>
        <w:pStyle w:val="Point3"/>
        <w:rPr>
          <w:noProof/>
        </w:rPr>
      </w:pPr>
      <w:r w:rsidRPr="000D0D06">
        <w:rPr>
          <w:noProof/>
        </w:rPr>
        <w:t>c)</w:t>
      </w:r>
      <w:r w:rsidRPr="000D0D06">
        <w:rPr>
          <w:noProof/>
        </w:rPr>
        <w:tab/>
        <w:t>Proteção dos direitos de propriedade intelectual de terceiros; ou</w:t>
      </w:r>
    </w:p>
    <w:p w14:paraId="2F5BCF23" w14:textId="77777777" w:rsidR="00C16342" w:rsidRPr="000D0D06" w:rsidRDefault="001936FC" w:rsidP="001936FC">
      <w:pPr>
        <w:pStyle w:val="Point3"/>
        <w:rPr>
          <w:noProof/>
        </w:rPr>
      </w:pPr>
      <w:r w:rsidRPr="000D0D06">
        <w:rPr>
          <w:noProof/>
        </w:rPr>
        <w:t>d)</w:t>
      </w:r>
      <w:r w:rsidRPr="000D0D06">
        <w:rPr>
          <w:noProof/>
        </w:rPr>
        <w:tab/>
        <w:t>Proteção de dados pessoais, na medida em que esses dados não sejam abrangidos pelo âmbito de aplicação do capítulo VII-C, secção 2;</w:t>
      </w:r>
    </w:p>
    <w:p w14:paraId="70263107" w14:textId="77777777" w:rsidR="004730EF" w:rsidRPr="000D0D06" w:rsidRDefault="00DD3757" w:rsidP="00B52555">
      <w:pPr>
        <w:pStyle w:val="Text2"/>
        <w:rPr>
          <w:noProof/>
        </w:rPr>
      </w:pPr>
      <w:r w:rsidRPr="000D0D06">
        <w:rPr>
          <w:noProof/>
        </w:rPr>
        <w:t>56) “Ambiente de tratamento seguro”, o ambiente físico ou virtual e os meios organizacionais destinados a assegurar o cumprimento do direito da União, em especial no que respeita aos direitos dos titulares dos dados, aos direitos de propriedade intelectual, à confidencialidade comercial e estatística, à integridade e à acessibilidade, bem como o cumprimento do direito nacional aplicável, e a permitir à entidade que fornece o ambiente de tratamento seguro determinar e supervisionar todas as ações de tratamento de dados, incluindo a visualização, o armazenamento, o descarregamento e a exportação de dados, assim como o cálculo de dados derivados através de algoritmos computacionais;</w:t>
      </w:r>
    </w:p>
    <w:p w14:paraId="0433C60B" w14:textId="5B8044B6" w:rsidR="003F0807" w:rsidRPr="000D0D06" w:rsidRDefault="004730EF" w:rsidP="00B52555">
      <w:pPr>
        <w:pStyle w:val="Text2"/>
        <w:rPr>
          <w:noProof/>
        </w:rPr>
      </w:pPr>
      <w:r w:rsidRPr="000D0D06">
        <w:rPr>
          <w:noProof/>
        </w:rPr>
        <w:t xml:space="preserve">57) “Reutilizador”, uma pessoa singular ou coletiva à qual foi concedido o direito de reutilização de dados ou documentos na posse de um organismo do setor público ou de uma empresa pública nos termos do capítulo VII-C ou de dados de investigação ou determinadas categorias de dados protegidos; </w:t>
      </w:r>
    </w:p>
    <w:p w14:paraId="51414812" w14:textId="77777777" w:rsidR="000F4C4C" w:rsidRPr="000D0D06" w:rsidRDefault="000F4C4C" w:rsidP="00B52555">
      <w:pPr>
        <w:pStyle w:val="Text2"/>
        <w:rPr>
          <w:noProof/>
        </w:rPr>
      </w:pPr>
      <w:r w:rsidRPr="000D0D06">
        <w:rPr>
          <w:noProof/>
        </w:rPr>
        <w:t xml:space="preserve">58) “Formato legível por máquina”, um formato de ficheiro estruturado de modo a que seja facilmente possível, por meio de aplicações de </w:t>
      </w:r>
      <w:r w:rsidRPr="000D0D06">
        <w:rPr>
          <w:i/>
          <w:iCs/>
          <w:noProof/>
        </w:rPr>
        <w:t>software</w:t>
      </w:r>
      <w:r w:rsidRPr="000D0D06">
        <w:rPr>
          <w:noProof/>
        </w:rPr>
        <w:t xml:space="preserve">, identificar, reconhecer e extrair dados específicos, incluindo o enunciado de um facto e a sua estrutura interna; </w:t>
      </w:r>
    </w:p>
    <w:p w14:paraId="5076BD98" w14:textId="77777777" w:rsidR="000F4C4C" w:rsidRPr="000D0D06" w:rsidRDefault="000F4C4C" w:rsidP="00B52555">
      <w:pPr>
        <w:pStyle w:val="Text2"/>
        <w:rPr>
          <w:noProof/>
        </w:rPr>
      </w:pPr>
      <w:r w:rsidRPr="000D0D06">
        <w:rPr>
          <w:noProof/>
        </w:rPr>
        <w:t xml:space="preserve">59) “Formato aberto”, um formato de ficheiro independente da plataforma e disponibilizado ao público sem qualquer restrição que impeça a reutilização de documentos; </w:t>
      </w:r>
    </w:p>
    <w:p w14:paraId="76544F00" w14:textId="77777777" w:rsidR="00185B97" w:rsidRPr="000D0D06" w:rsidRDefault="000F4C4C" w:rsidP="00B52555">
      <w:pPr>
        <w:pStyle w:val="Text2"/>
        <w:rPr>
          <w:noProof/>
        </w:rPr>
      </w:pPr>
      <w:r w:rsidRPr="000D0D06">
        <w:rPr>
          <w:noProof/>
        </w:rPr>
        <w:t xml:space="preserve">60) “Norma formal aberta”, uma norma estabelecida em forma escrita, que pormenoriza especificações no que diz respeito aos requisitos para assegurar a interoperabilidade de </w:t>
      </w:r>
      <w:r w:rsidRPr="000D0D06">
        <w:rPr>
          <w:i/>
          <w:iCs/>
          <w:noProof/>
        </w:rPr>
        <w:t>software</w:t>
      </w:r>
      <w:r w:rsidRPr="000D0D06">
        <w:rPr>
          <w:noProof/>
        </w:rPr>
        <w:t>;</w:t>
      </w:r>
    </w:p>
    <w:p w14:paraId="1B67AA97" w14:textId="77777777" w:rsidR="00095FC4" w:rsidRPr="000D0D06" w:rsidRDefault="00185B97" w:rsidP="00B52555">
      <w:pPr>
        <w:pStyle w:val="Text2"/>
        <w:rPr>
          <w:noProof/>
        </w:rPr>
      </w:pPr>
      <w:r w:rsidRPr="000D0D06">
        <w:rPr>
          <w:noProof/>
        </w:rPr>
        <w:t xml:space="preserve">61) “Retorno razoável do investimento”, percentagem dos emolumentos globais que acresce ao montante necessário para recuperar os custos elegíveis, e que não excede em mais de cinco pontos percentuais a taxa de juro fixa do BCE; </w:t>
      </w:r>
    </w:p>
    <w:p w14:paraId="7308126F" w14:textId="77777777" w:rsidR="00152131" w:rsidRPr="000D0D06" w:rsidRDefault="00095FC4" w:rsidP="00B52555">
      <w:pPr>
        <w:pStyle w:val="Text2"/>
        <w:rPr>
          <w:noProof/>
        </w:rPr>
      </w:pPr>
      <w:r w:rsidRPr="000D0D06">
        <w:rPr>
          <w:noProof/>
        </w:rPr>
        <w:t>62) “Requisito de localização de dados”, uma obrigação, proibição, condição, limitação ou outra exigência, prevista nas disposições legislativas, regulamentares ou administrativas de um Estado-Membro, ou resultante de práticas administrativas gerais e coerentes de um Estado-Membro e de organismos de direito público, nomeadamente no domínio dos contratos públicos, sem prejuízo do disposto na Diretiva 2014/24/UE, que exige o tratamento de dados no território de um Estado-Membro específico ou restringe o tratamento de dados em qualquer outro Estado-Membro;</w:t>
      </w:r>
    </w:p>
    <w:p w14:paraId="17B81347" w14:textId="0AC81B8B" w:rsidR="00152131" w:rsidRPr="000D0D06" w:rsidRDefault="62009C00" w:rsidP="00B52555">
      <w:pPr>
        <w:pStyle w:val="Text2"/>
        <w:rPr>
          <w:noProof/>
        </w:rPr>
      </w:pPr>
      <w:r w:rsidRPr="000D0D06">
        <w:rPr>
          <w:noProof/>
        </w:rPr>
        <w:t>63) “Pseudonimização”, pseudonimização na aceção do artigo 4.º, ponto 5, do Regulamento (UE) 2016/679.».</w:t>
      </w:r>
    </w:p>
    <w:p w14:paraId="0BC85473" w14:textId="77777777" w:rsidR="00A72FA5" w:rsidRPr="000D0D06" w:rsidRDefault="001936FC" w:rsidP="001936FC">
      <w:pPr>
        <w:pStyle w:val="ManualNumPar1"/>
        <w:rPr>
          <w:noProof/>
        </w:rPr>
      </w:pPr>
      <w:r w:rsidRPr="000D0D06">
        <w:rPr>
          <w:noProof/>
        </w:rPr>
        <w:t>3.</w:t>
      </w:r>
      <w:r w:rsidRPr="000D0D06">
        <w:rPr>
          <w:noProof/>
        </w:rPr>
        <w:tab/>
        <w:t>No artigo 4.º, o n.º 8 passa a ter a seguinte redação:</w:t>
      </w:r>
    </w:p>
    <w:p w14:paraId="1F5C8876" w14:textId="240411D0" w:rsidR="00ED0D37" w:rsidRPr="000D0D06" w:rsidRDefault="00ED0D37" w:rsidP="00A72FA5">
      <w:pPr>
        <w:ind w:left="993"/>
        <w:rPr>
          <w:iCs/>
          <w:noProof/>
        </w:rPr>
      </w:pPr>
      <w:r w:rsidRPr="000D0D06">
        <w:rPr>
          <w:noProof/>
        </w:rPr>
        <w:t>«8. Em circunstâncias excecionais, caso o detentor dos dados que seja titular de um segredo comercial possa demonstrar que, não obstante as medidas técnicas e organizativas tomadas pelo utilizador nos termos do n.º 6 do presente artigo, é altamente provável que venha a sofrer prejuízos económicos graves devido à divulgação de segredos comerciais ou que a divulgação de segredos comerciais ao utilizador implica um elevado risco de aquisição, utilização ou divulgação ilegais a entidades de países terceiros, ou a entidades estabelecidas na União sob o controlo direto ou indireto dessas entidades, que estão sujeitas a jurisdições que oferecem uma proteção mais fraca ou não equivalente à prevista no direito da União, esse detentor dos dados pode recusar, numa base casuística, um pedido de acesso aos dados específicos em causa. A referida demonstração deve ser devidamente fundamentada com base em elementos objetivos, nomeadamente a aplicabilidade da proteção de segredos comerciais em países terceiros, a natureza e o nível de confidencialidade dos dados solicitados e o caráter único e novo do produto conectado. Deve ser apresentada por escrito ao utilizador, sem demora injustificada. Caso o detentor dos dados se recuse a partilhar dados nos termos do presente número, notifica a autoridade competente designada nos termos do artigo 37.º.».</w:t>
      </w:r>
    </w:p>
    <w:p w14:paraId="3BEBD1B0" w14:textId="77777777" w:rsidR="00A72FA5" w:rsidRPr="000D0D06" w:rsidRDefault="001936FC" w:rsidP="001936FC">
      <w:pPr>
        <w:pStyle w:val="ManualNumPar1"/>
        <w:rPr>
          <w:noProof/>
        </w:rPr>
      </w:pPr>
      <w:r w:rsidRPr="000D0D06">
        <w:rPr>
          <w:noProof/>
        </w:rPr>
        <w:t>4.</w:t>
      </w:r>
      <w:r w:rsidRPr="000D0D06">
        <w:rPr>
          <w:noProof/>
        </w:rPr>
        <w:tab/>
        <w:t>No artigo 5.º, o n.º 11 passa a ter a seguinte redação:</w:t>
      </w:r>
    </w:p>
    <w:p w14:paraId="60D816F7" w14:textId="4CFCC253" w:rsidR="00A72FA5" w:rsidRPr="000D0D06" w:rsidRDefault="00A72FA5" w:rsidP="00A72FA5">
      <w:pPr>
        <w:ind w:left="993"/>
        <w:rPr>
          <w:noProof/>
        </w:rPr>
      </w:pPr>
      <w:r w:rsidRPr="000D0D06">
        <w:rPr>
          <w:noProof/>
        </w:rPr>
        <w:t>«11. Em circunstâncias excecionais, caso o detentor dos dados que seja titular de um segredo comercial possa demonstrar que, não obstante as medidas técnicas e organizativas tomadas pelo terceiro nos termos do n.º 9 do presente artigo, é altamente provável que venha a sofrer prejuízos económicos graves devido à divulgação de segredos comerciais ou que a divulgação de segredos comerciais ao terceiro implica um elevado risco de aquisição, utilização ou divulgação ilegais a entidades de países terceiros, ou a entidades estabelecidas na União sob o controlo direto ou indireto dessas entidades, que estão sujeitas a jurisdições que oferecem uma proteção mais fraca ou não equivalente à prevista no direito da União, esse detentor dos dados pode recusar, numa base casuística, um pedido de acesso aos dados específicos em causa. A referida demonstração deve ser devidamente fundamentada com base em elementos objetivos, nomeadamente a aplicabilidade da proteção de segredos comerciais em países terceiros, a natureza e o nível de confidencialidade dos dados solicitados e o caráter único e novo do produto conectado. Deve ser apresentada por escrito ao terceiro, sem demora injustificada. Caso o detentor dos dados se recuse a partilhar dados nos termos do presente número, notifica a autoridade competente designada nos termos do artigo 37.º.».</w:t>
      </w:r>
    </w:p>
    <w:p w14:paraId="5CF5ED40" w14:textId="77777777" w:rsidR="0078355A" w:rsidRPr="000D0D06" w:rsidRDefault="001936FC" w:rsidP="001936FC">
      <w:pPr>
        <w:pStyle w:val="ManualNumPar1"/>
        <w:rPr>
          <w:noProof/>
        </w:rPr>
      </w:pPr>
      <w:r w:rsidRPr="000D0D06">
        <w:rPr>
          <w:noProof/>
        </w:rPr>
        <w:t>5.</w:t>
      </w:r>
      <w:r w:rsidRPr="000D0D06">
        <w:rPr>
          <w:noProof/>
        </w:rPr>
        <w:tab/>
        <w:t xml:space="preserve">O título do capítulo V passa a ter a seguinte redação: </w:t>
      </w:r>
    </w:p>
    <w:p w14:paraId="619BA330" w14:textId="77777777" w:rsidR="0078355A" w:rsidRPr="000D0D06" w:rsidRDefault="005315AD" w:rsidP="005315AD">
      <w:pPr>
        <w:jc w:val="center"/>
        <w:rPr>
          <w:b/>
          <w:noProof/>
        </w:rPr>
      </w:pPr>
      <w:r w:rsidRPr="000D0D06">
        <w:rPr>
          <w:b/>
          <w:noProof/>
        </w:rPr>
        <w:t>«DISPONIBILIZAÇÃO DE DADOS AOS ORGANISMOS DO SETOR PÚBLICO, À COMISSÃO, AO BANCO CENTRAL EUROPEU E AOS ÓRGÃOS DA UNIÃO POR MOTIVO DE EMERGÊNCIA PÚBLICA».</w:t>
      </w:r>
    </w:p>
    <w:p w14:paraId="2AD05AB4" w14:textId="77777777" w:rsidR="00CE2D93" w:rsidRPr="000D0D06" w:rsidRDefault="00CE2D93" w:rsidP="00CE2D93">
      <w:pPr>
        <w:jc w:val="center"/>
        <w:rPr>
          <w:b/>
          <w:bCs/>
          <w:noProof/>
        </w:rPr>
      </w:pPr>
    </w:p>
    <w:p w14:paraId="1634854F" w14:textId="77777777" w:rsidR="00CE2D93" w:rsidRPr="000D0D06" w:rsidRDefault="001936FC" w:rsidP="001936FC">
      <w:pPr>
        <w:pStyle w:val="ManualNumPar1"/>
        <w:rPr>
          <w:noProof/>
        </w:rPr>
      </w:pPr>
      <w:r w:rsidRPr="000D0D06">
        <w:rPr>
          <w:noProof/>
        </w:rPr>
        <w:t>6.</w:t>
      </w:r>
      <w:r w:rsidRPr="000D0D06">
        <w:rPr>
          <w:noProof/>
        </w:rPr>
        <w:tab/>
        <w:t>São suprimidos os artigos 14.º e 15.º.</w:t>
      </w:r>
    </w:p>
    <w:p w14:paraId="77EAD9F9" w14:textId="77777777" w:rsidR="0078355A" w:rsidRPr="000D0D06" w:rsidRDefault="001936FC" w:rsidP="001936FC">
      <w:pPr>
        <w:pStyle w:val="ManualNumPar1"/>
        <w:rPr>
          <w:noProof/>
        </w:rPr>
      </w:pPr>
      <w:r w:rsidRPr="000D0D06">
        <w:rPr>
          <w:noProof/>
        </w:rPr>
        <w:t>7.</w:t>
      </w:r>
      <w:r w:rsidRPr="000D0D06">
        <w:rPr>
          <w:noProof/>
        </w:rPr>
        <w:tab/>
        <w:t xml:space="preserve">É inserido o seguinte artigo 15.º‑A: </w:t>
      </w:r>
    </w:p>
    <w:p w14:paraId="07B92118" w14:textId="77777777" w:rsidR="002D592A" w:rsidRPr="000D0D06" w:rsidRDefault="0078355A" w:rsidP="00150F58">
      <w:pPr>
        <w:spacing w:before="100" w:beforeAutospacing="1" w:after="100" w:afterAutospacing="1"/>
        <w:jc w:val="center"/>
        <w:rPr>
          <w:noProof/>
        </w:rPr>
      </w:pPr>
      <w:r w:rsidRPr="000D0D06">
        <w:rPr>
          <w:noProof/>
        </w:rPr>
        <w:t>«Artigo 15.º‑A</w:t>
      </w:r>
    </w:p>
    <w:p w14:paraId="64373E1A" w14:textId="77777777" w:rsidR="008D3893" w:rsidRPr="000D0D06" w:rsidRDefault="008D3893" w:rsidP="60E008F6">
      <w:pPr>
        <w:spacing w:before="100" w:beforeAutospacing="1" w:after="100" w:afterAutospacing="1"/>
        <w:ind w:left="360"/>
        <w:jc w:val="center"/>
        <w:rPr>
          <w:bCs/>
          <w:i/>
          <w:iCs/>
          <w:noProof/>
        </w:rPr>
      </w:pPr>
      <w:r w:rsidRPr="000D0D06">
        <w:rPr>
          <w:i/>
          <w:noProof/>
        </w:rPr>
        <w:t>Obrigação de os detentores dos dados disponibilizarem dados por motivo de emergência pública</w:t>
      </w:r>
    </w:p>
    <w:p w14:paraId="365667FA" w14:textId="0C4F953B" w:rsidR="000E285F" w:rsidRPr="000D0D06" w:rsidRDefault="001936FC" w:rsidP="001936FC">
      <w:pPr>
        <w:pStyle w:val="ManualNumPar1"/>
        <w:rPr>
          <w:noProof/>
        </w:rPr>
      </w:pPr>
      <w:r w:rsidRPr="000D0D06">
        <w:rPr>
          <w:noProof/>
        </w:rPr>
        <w:t>1.</w:t>
      </w:r>
      <w:r w:rsidRPr="000D0D06">
        <w:rPr>
          <w:noProof/>
        </w:rPr>
        <w:tab/>
        <w:t xml:space="preserve">Caso um organismo do setor público, a Comissão, o Banco Central Europeu ou um órgão da União demonstre uma necessidade excecional de utilizar determinados dados para desempenhar as suas atribuições legais de interesse público a fim de responder a uma emergência pública, atenuá-la ou apoiar a recuperação da mesma, pode solicitar aos detentores dos dados que sejam pessoas coletivas e que não sejam organismos do setor público que disponibilizem esses dados, incluindo os metadados necessários para interpretar e utilizar esses dados. Na sequência de um pedido devidamente fundamentado deste tipo, os detentores dos dados devem disponibilizar os dados e metadados ao organismo do setor público requerente, à Comissão, ao Banco Central Europeu ou ao órgão da União. Esses pedidos podem também ser apresentados sempre que seja necessária a produção de estatísticas oficiais em relação a uma emergência pública. </w:t>
      </w:r>
    </w:p>
    <w:p w14:paraId="2BDFB751" w14:textId="77777777" w:rsidR="000F5D5B" w:rsidRPr="000D0D06" w:rsidRDefault="001936FC" w:rsidP="001936FC">
      <w:pPr>
        <w:pStyle w:val="ManualNumPar1"/>
        <w:rPr>
          <w:noProof/>
        </w:rPr>
      </w:pPr>
      <w:r w:rsidRPr="000D0D06">
        <w:rPr>
          <w:noProof/>
        </w:rPr>
        <w:t>2.</w:t>
      </w:r>
      <w:r w:rsidRPr="000D0D06">
        <w:rPr>
          <w:noProof/>
        </w:rPr>
        <w:tab/>
        <w:t>Caso os dados solicitados sejam necessários para dar resposta a uma emergência pública e o organismo requerente nos termos do n.º 1 não possa obter esses dados por outros meios de forma atempada e eficaz em condições equivalentes, o pedido diz respeito a dados não pessoais. Se o fornecimento de dados não pessoais for insuficiente para fazer face à emergência pública, os dados pessoais podem também ser solicitados e, sempre que possível, disponibilizados sob forma pseudonimizada, sob reserva de medidas técnicas e organizativas adequadas para assegurar a sua proteção.</w:t>
      </w:r>
    </w:p>
    <w:p w14:paraId="40885B91" w14:textId="3D8E1DB4" w:rsidR="000E285F" w:rsidRPr="000D0D06" w:rsidRDefault="001936FC" w:rsidP="001936FC">
      <w:pPr>
        <w:pStyle w:val="ManualNumPar1"/>
        <w:rPr>
          <w:noProof/>
        </w:rPr>
      </w:pPr>
      <w:r w:rsidRPr="000D0D06">
        <w:rPr>
          <w:noProof/>
        </w:rPr>
        <w:t>3.</w:t>
      </w:r>
      <w:r w:rsidRPr="000D0D06">
        <w:rPr>
          <w:noProof/>
        </w:rPr>
        <w:tab/>
        <w:t>Caso os dados solicitados sejam necessários para atenuar uma emergência pública ou apoiar a recuperação da mesma, um organismo requerente nos termos do n.º 1, agindo com base no direito da União ou no direito nacional, pode solicitar dados não pessoais específicos, cuja falta o impeça de atenuar uma emergência pública ou apoiar a recuperação da mesma. Esses pedidos não podem ser apresentados a microempresas nem a pequenas empresas.».</w:t>
      </w:r>
    </w:p>
    <w:p w14:paraId="4A2DABE8" w14:textId="77777777" w:rsidR="0078355A" w:rsidRPr="000D0D06" w:rsidRDefault="001936FC" w:rsidP="001936FC">
      <w:pPr>
        <w:pStyle w:val="ManualNumPar1"/>
        <w:rPr>
          <w:noProof/>
        </w:rPr>
      </w:pPr>
      <w:r w:rsidRPr="000D0D06">
        <w:rPr>
          <w:noProof/>
        </w:rPr>
        <w:t>8.</w:t>
      </w:r>
      <w:r w:rsidRPr="000D0D06">
        <w:rPr>
          <w:noProof/>
        </w:rPr>
        <w:tab/>
        <w:t>No artigo 16.º, o n.º 2 passa a ter a seguinte redação:</w:t>
      </w:r>
    </w:p>
    <w:p w14:paraId="5528C224" w14:textId="77777777" w:rsidR="00E33D46" w:rsidRPr="000D0D06" w:rsidRDefault="0084410B" w:rsidP="0084090C">
      <w:pPr>
        <w:pStyle w:val="Text1"/>
        <w:rPr>
          <w:noProof/>
        </w:rPr>
      </w:pPr>
      <w:r w:rsidRPr="000D0D06">
        <w:rPr>
          <w:noProof/>
        </w:rPr>
        <w:t>«2. O presente capítulo não se aplica a atividades realizadas por organismos do setor público, pela Comissão, pelo Banco Central Europeu ou por órgãos da União, relacionadas com a prevenção, investigação, deteção ou repressão de infrações penais ou administrativas ou de execução de sanções penais, nem à administração aduaneira ou fiscal. O presente capítulo não afeta o direito da União nem o direito nacional que regem essas atividades.».</w:t>
      </w:r>
    </w:p>
    <w:p w14:paraId="17ACB746" w14:textId="77777777" w:rsidR="00C71FF7" w:rsidRPr="000D0D06" w:rsidRDefault="001936FC" w:rsidP="001936FC">
      <w:pPr>
        <w:pStyle w:val="ManualNumPar1"/>
        <w:rPr>
          <w:noProof/>
        </w:rPr>
      </w:pPr>
      <w:r w:rsidRPr="000D0D06">
        <w:rPr>
          <w:noProof/>
        </w:rPr>
        <w:t>9.</w:t>
      </w:r>
      <w:r w:rsidRPr="000D0D06">
        <w:rPr>
          <w:noProof/>
        </w:rPr>
        <w:tab/>
        <w:t>O artigo 17.º é alterado do seguinte modo:</w:t>
      </w:r>
    </w:p>
    <w:p w14:paraId="57FFA3E3" w14:textId="77777777" w:rsidR="00AD5BE9" w:rsidRPr="000D0D06" w:rsidRDefault="009D5501" w:rsidP="00AD5BE9">
      <w:pPr>
        <w:pStyle w:val="Text1"/>
        <w:rPr>
          <w:noProof/>
        </w:rPr>
      </w:pPr>
      <w:r w:rsidRPr="000D0D06">
        <w:rPr>
          <w:noProof/>
        </w:rPr>
        <w:t>a)</w:t>
      </w:r>
      <w:r w:rsidRPr="000D0D06">
        <w:rPr>
          <w:noProof/>
        </w:rPr>
        <w:tab/>
        <w:t>O n.º 1 é alterado do seguinte modo:</w:t>
      </w:r>
    </w:p>
    <w:p w14:paraId="053F22CB" w14:textId="77777777" w:rsidR="0078355A" w:rsidRPr="000D0D06" w:rsidRDefault="006148AF" w:rsidP="0084090C">
      <w:pPr>
        <w:pStyle w:val="Text2"/>
        <w:rPr>
          <w:noProof/>
        </w:rPr>
      </w:pPr>
      <w:r w:rsidRPr="000D0D06">
        <w:rPr>
          <w:noProof/>
        </w:rPr>
        <w:t>i) o proémio passa a ter a seguinte redação:</w:t>
      </w:r>
    </w:p>
    <w:p w14:paraId="62268BBA" w14:textId="77777777" w:rsidR="00621B41" w:rsidRPr="000D0D06" w:rsidRDefault="00BB6933" w:rsidP="0084090C">
      <w:pPr>
        <w:pStyle w:val="Text2"/>
        <w:rPr>
          <w:noProof/>
        </w:rPr>
      </w:pPr>
      <w:r w:rsidRPr="000D0D06">
        <w:rPr>
          <w:noProof/>
        </w:rPr>
        <w:t>«Ao solicitar dados nos termos do artigo 15.º-A, um organismo do setor público, a Comissão, o Banco Central Europeu ou um órgão da União deve:»,</w:t>
      </w:r>
    </w:p>
    <w:p w14:paraId="7BCB516F" w14:textId="77777777" w:rsidR="0078355A" w:rsidRPr="000D0D06" w:rsidRDefault="006148AF" w:rsidP="0084090C">
      <w:pPr>
        <w:pStyle w:val="Text2"/>
        <w:rPr>
          <w:noProof/>
        </w:rPr>
      </w:pPr>
      <w:r w:rsidRPr="000D0D06">
        <w:rPr>
          <w:noProof/>
        </w:rPr>
        <w:t xml:space="preserve">ii) as alíneas b) e c) passam a ter a seguinte redação: </w:t>
      </w:r>
    </w:p>
    <w:p w14:paraId="41FFFA9F" w14:textId="77777777" w:rsidR="0078355A" w:rsidRPr="000D0D06" w:rsidRDefault="0078355A" w:rsidP="00E02128">
      <w:pPr>
        <w:pStyle w:val="Text3"/>
        <w:rPr>
          <w:noProof/>
        </w:rPr>
      </w:pPr>
      <w:r w:rsidRPr="000D0D06">
        <w:rPr>
          <w:noProof/>
        </w:rPr>
        <w:t>«b) Demonstrar que estão reunidas as condições para apresentar um pedido nos termos do artigo 15.º-A;</w:t>
      </w:r>
    </w:p>
    <w:p w14:paraId="143E83CD" w14:textId="77777777" w:rsidR="0078355A" w:rsidRPr="000D0D06" w:rsidRDefault="00C409F7" w:rsidP="00E02128">
      <w:pPr>
        <w:pStyle w:val="Text3"/>
        <w:rPr>
          <w:noProof/>
        </w:rPr>
      </w:pPr>
      <w:r w:rsidRPr="000D0D06">
        <w:rPr>
          <w:noProof/>
        </w:rPr>
        <w:t>c) Explicar a finalidade do pedido, a utilização prevista dos dados solicitados, incluindo, se aplicável, por terceiros nos termos do n.º 4 do presente artigo, a duração dessa utilização e, se pertinente, a forma como o tratamento dos dados pessoais dará resposta à emergência pública;»;</w:t>
      </w:r>
    </w:p>
    <w:p w14:paraId="3D530160" w14:textId="77777777" w:rsidR="00C409F7" w:rsidRPr="000D0D06" w:rsidRDefault="00C409F7" w:rsidP="00C409F7">
      <w:pPr>
        <w:pStyle w:val="Text1"/>
        <w:rPr>
          <w:noProof/>
        </w:rPr>
      </w:pPr>
      <w:r w:rsidRPr="000D0D06">
        <w:rPr>
          <w:noProof/>
        </w:rPr>
        <w:t>b)</w:t>
      </w:r>
      <w:r w:rsidRPr="000D0D06">
        <w:rPr>
          <w:noProof/>
        </w:rPr>
        <w:tab/>
        <w:t>O n.º 2 é alterado do seguinte modo:</w:t>
      </w:r>
    </w:p>
    <w:p w14:paraId="346898AB" w14:textId="77777777" w:rsidR="0078355A" w:rsidRPr="000D0D06" w:rsidRDefault="00AE3C3A" w:rsidP="00D86CC3">
      <w:pPr>
        <w:pStyle w:val="Text1"/>
        <w:ind w:firstLine="590"/>
        <w:rPr>
          <w:noProof/>
        </w:rPr>
      </w:pPr>
      <w:r w:rsidRPr="000D0D06">
        <w:rPr>
          <w:noProof/>
        </w:rPr>
        <w:t>i) a alínea c) passa a ter a seguinte redação:</w:t>
      </w:r>
    </w:p>
    <w:p w14:paraId="2BB594F7" w14:textId="77777777" w:rsidR="0078355A" w:rsidRPr="000D0D06" w:rsidRDefault="0078355A" w:rsidP="00665C74">
      <w:pPr>
        <w:pStyle w:val="Text3"/>
        <w:rPr>
          <w:noProof/>
        </w:rPr>
      </w:pPr>
      <w:r w:rsidRPr="000D0D06">
        <w:rPr>
          <w:noProof/>
        </w:rPr>
        <w:t>«c) Ser proporcional à emergência pública e devidamente justificado no que diz respeito à granularidade e volume dos dados solicitados e à frequência de acesso aos mesmos;»,</w:t>
      </w:r>
    </w:p>
    <w:p w14:paraId="70208E16" w14:textId="77777777" w:rsidR="00F74DF2" w:rsidRPr="000D0D06" w:rsidRDefault="00F74DF2" w:rsidP="00D86CC3">
      <w:pPr>
        <w:pStyle w:val="Text1"/>
        <w:ind w:firstLine="590"/>
        <w:rPr>
          <w:noProof/>
        </w:rPr>
      </w:pPr>
      <w:r w:rsidRPr="000D0D06">
        <w:rPr>
          <w:noProof/>
        </w:rPr>
        <w:t>ii) é suprimida a alínea e);</w:t>
      </w:r>
    </w:p>
    <w:p w14:paraId="2BF7D156" w14:textId="77777777" w:rsidR="00EE48A9" w:rsidRPr="000D0D06" w:rsidRDefault="00EE48A9" w:rsidP="00EE48A9">
      <w:pPr>
        <w:pStyle w:val="Text1"/>
        <w:rPr>
          <w:noProof/>
        </w:rPr>
      </w:pPr>
      <w:r w:rsidRPr="000D0D06">
        <w:rPr>
          <w:noProof/>
        </w:rPr>
        <w:t>c)</w:t>
      </w:r>
      <w:r w:rsidRPr="000D0D06">
        <w:rPr>
          <w:noProof/>
        </w:rPr>
        <w:tab/>
        <w:t>São suprimidos os n.</w:t>
      </w:r>
      <w:r w:rsidRPr="000D0D06">
        <w:rPr>
          <w:noProof/>
          <w:vertAlign w:val="superscript"/>
        </w:rPr>
        <w:t>os</w:t>
      </w:r>
      <w:r w:rsidRPr="000D0D06">
        <w:rPr>
          <w:noProof/>
        </w:rPr>
        <w:t> 5 e 6.</w:t>
      </w:r>
    </w:p>
    <w:p w14:paraId="5D26A715" w14:textId="77777777" w:rsidR="003A28DE" w:rsidRPr="000D0D06" w:rsidRDefault="001936FC" w:rsidP="001936FC">
      <w:pPr>
        <w:pStyle w:val="ManualNumPar1"/>
        <w:rPr>
          <w:noProof/>
        </w:rPr>
      </w:pPr>
      <w:r w:rsidRPr="000D0D06">
        <w:rPr>
          <w:noProof/>
        </w:rPr>
        <w:t>10.</w:t>
      </w:r>
      <w:r w:rsidRPr="000D0D06">
        <w:rPr>
          <w:noProof/>
        </w:rPr>
        <w:tab/>
        <w:t>O artigo 18.º é alterado do seguinte modo:</w:t>
      </w:r>
    </w:p>
    <w:p w14:paraId="2EE4BE7A" w14:textId="77777777" w:rsidR="0078355A" w:rsidRPr="000D0D06" w:rsidRDefault="003A28DE" w:rsidP="00D86CC3">
      <w:pPr>
        <w:pStyle w:val="Text1"/>
        <w:rPr>
          <w:noProof/>
        </w:rPr>
      </w:pPr>
      <w:bookmarkStart w:id="5" w:name="_Hlk213576090"/>
      <w:r w:rsidRPr="000D0D06">
        <w:rPr>
          <w:noProof/>
        </w:rPr>
        <w:t>a)</w:t>
      </w:r>
      <w:r w:rsidRPr="000D0D06">
        <w:rPr>
          <w:noProof/>
        </w:rPr>
        <w:tab/>
        <w:t>No n.º 2, o proémio passa a ter a seguinte redação:</w:t>
      </w:r>
    </w:p>
    <w:bookmarkEnd w:id="5"/>
    <w:p w14:paraId="186C0CBD" w14:textId="77777777" w:rsidR="005812E2" w:rsidRPr="000D0D06" w:rsidRDefault="00BB6933" w:rsidP="003A28DE">
      <w:pPr>
        <w:ind w:left="1440"/>
        <w:rPr>
          <w:noProof/>
        </w:rPr>
      </w:pPr>
      <w:r w:rsidRPr="000D0D06">
        <w:rPr>
          <w:noProof/>
        </w:rPr>
        <w:t>«2. Sem prejuízo das necessidades específicas relativas à disponibilidade de dados definidas no direito da União ou nacional, um detentor dos dados pode recusar ou solicitar a alteração de um pedido de disponibilização de dados ao abrigo do presente capítulo sem demora injustificada e, em qualquer caso, o mais tardar no prazo de cinco dias úteis após a receção de um pedido nos termos do artigo 15.º-A, n.º 2, e sem demora injustificada e, em qualquer caso, o mais tardar, no prazo de 30 dias úteis após a receção de um pedido nos termos do artigo 15.º‑A, n.º 3, por um dos seguintes motivos:»;</w:t>
      </w:r>
    </w:p>
    <w:p w14:paraId="04316DE7" w14:textId="77777777" w:rsidR="0078355A" w:rsidRPr="000D0D06" w:rsidRDefault="00FC53C9" w:rsidP="00D86CC3">
      <w:pPr>
        <w:pStyle w:val="Text1"/>
        <w:rPr>
          <w:noProof/>
        </w:rPr>
      </w:pPr>
      <w:r w:rsidRPr="000D0D06">
        <w:rPr>
          <w:noProof/>
        </w:rPr>
        <w:t>b)</w:t>
      </w:r>
      <w:r w:rsidRPr="000D0D06">
        <w:rPr>
          <w:noProof/>
        </w:rPr>
        <w:tab/>
        <w:t>É suprimido o n.º 5.</w:t>
      </w:r>
    </w:p>
    <w:p w14:paraId="7751F614" w14:textId="77777777" w:rsidR="00FC53C9" w:rsidRPr="000D0D06" w:rsidRDefault="001936FC" w:rsidP="001936FC">
      <w:pPr>
        <w:pStyle w:val="ManualNumPar1"/>
        <w:rPr>
          <w:noProof/>
        </w:rPr>
      </w:pPr>
      <w:r w:rsidRPr="000D0D06">
        <w:rPr>
          <w:noProof/>
        </w:rPr>
        <w:t>11.</w:t>
      </w:r>
      <w:r w:rsidRPr="000D0D06">
        <w:rPr>
          <w:noProof/>
        </w:rPr>
        <w:tab/>
        <w:t>O artigo 19.º é alterado do seguinte modo:</w:t>
      </w:r>
    </w:p>
    <w:p w14:paraId="1E5A6231" w14:textId="77777777" w:rsidR="00FC53C9" w:rsidRPr="000D0D06" w:rsidRDefault="00FC53C9" w:rsidP="00D86CC3">
      <w:pPr>
        <w:pStyle w:val="Text1"/>
        <w:rPr>
          <w:noProof/>
        </w:rPr>
      </w:pPr>
      <w:r w:rsidRPr="000D0D06">
        <w:rPr>
          <w:noProof/>
        </w:rPr>
        <w:t>a) No n.º 1, o proémio passa a ter a seguinte redação:</w:t>
      </w:r>
    </w:p>
    <w:p w14:paraId="0C75AE45" w14:textId="77777777" w:rsidR="00C54369" w:rsidRPr="000D0D06" w:rsidRDefault="00BB6933" w:rsidP="00665C74">
      <w:pPr>
        <w:pStyle w:val="Text2"/>
        <w:rPr>
          <w:noProof/>
        </w:rPr>
      </w:pPr>
      <w:r w:rsidRPr="000D0D06">
        <w:rPr>
          <w:noProof/>
        </w:rPr>
        <w:t>«Um organismo do setor público, a Comissão, o Banco Central Europeu ou um órgão da União que receba dados na sequência de um pedido apresentado nos termos do artigo 15.º-A:»;</w:t>
      </w:r>
    </w:p>
    <w:p w14:paraId="19AB56F3" w14:textId="77777777" w:rsidR="00FC53C9" w:rsidRPr="000D0D06" w:rsidRDefault="00FC53C9" w:rsidP="00D86CC3">
      <w:pPr>
        <w:pStyle w:val="Text1"/>
        <w:rPr>
          <w:noProof/>
        </w:rPr>
      </w:pPr>
      <w:r w:rsidRPr="000D0D06">
        <w:rPr>
          <w:noProof/>
        </w:rPr>
        <w:t>b) O n.º 3 passa a ter a seguinte redação:</w:t>
      </w:r>
    </w:p>
    <w:p w14:paraId="5D335F7F" w14:textId="77777777" w:rsidR="00D81BBD" w:rsidRPr="000D0D06" w:rsidRDefault="00BB6933" w:rsidP="00665C74">
      <w:pPr>
        <w:pStyle w:val="Text2"/>
        <w:rPr>
          <w:noProof/>
        </w:rPr>
      </w:pPr>
      <w:r w:rsidRPr="000D0D06">
        <w:rPr>
          <w:noProof/>
        </w:rPr>
        <w:t>«3. A divulgação de segredos comerciais a um organismo do setor público, à Comissão, ao Banco Central Europeu ou a um órgão da União só pode ser exigida na medida do estritamente necessário para alcançar o objetivo de um pedido efetuado nos termos do artigo 15.º-A. Nesse caso, o detentor dos dados, ou, caso não sejam a mesma pessoa, o titular do segredo comercial, deve identificar os dados protegidos como segredos comerciais, incluindo os metadados pertinentes. Antes da divulgação dos segredos comerciais, o organismo do setor público, a Comissão, o Banco Central Europeu ou o órgão da União deve tomar todas as medidas técnicas e organizativas necessárias e adequadas para preservar a confidencialidade dos segredos comerciais, incluindo, se for caso disso, a utilização de modelos de cláusulas contratuais, normas técnicas e a aplicação de códigos de conduta.».</w:t>
      </w:r>
    </w:p>
    <w:p w14:paraId="16E38652" w14:textId="77777777" w:rsidR="0078355A" w:rsidRPr="000D0D06" w:rsidRDefault="001936FC" w:rsidP="001936FC">
      <w:pPr>
        <w:pStyle w:val="ManualNumPar1"/>
        <w:rPr>
          <w:noProof/>
        </w:rPr>
      </w:pPr>
      <w:r w:rsidRPr="000D0D06">
        <w:rPr>
          <w:noProof/>
        </w:rPr>
        <w:t>12.</w:t>
      </w:r>
      <w:r w:rsidRPr="000D0D06">
        <w:rPr>
          <w:noProof/>
        </w:rPr>
        <w:tab/>
        <w:t>O artigo 20.º passa a ter a seguinte redação:</w:t>
      </w:r>
    </w:p>
    <w:p w14:paraId="31A4C2F1" w14:textId="77777777" w:rsidR="0078355A" w:rsidRPr="000D0D06" w:rsidRDefault="0078355A" w:rsidP="00D86CC3">
      <w:pPr>
        <w:pStyle w:val="Text1"/>
        <w:ind w:left="3010" w:firstLine="590"/>
        <w:rPr>
          <w:noProof/>
        </w:rPr>
      </w:pPr>
      <w:r w:rsidRPr="000D0D06">
        <w:rPr>
          <w:noProof/>
        </w:rPr>
        <w:t>«Artigo 20.º</w:t>
      </w:r>
    </w:p>
    <w:p w14:paraId="18D77883" w14:textId="77777777" w:rsidR="00DF1D76" w:rsidRPr="000D0D06" w:rsidRDefault="00DF1D76" w:rsidP="00D86CC3">
      <w:pPr>
        <w:pStyle w:val="Text1"/>
        <w:ind w:firstLine="590"/>
        <w:rPr>
          <w:i/>
          <w:iCs/>
          <w:noProof/>
        </w:rPr>
      </w:pPr>
      <w:r w:rsidRPr="000D0D06">
        <w:rPr>
          <w:i/>
          <w:noProof/>
        </w:rPr>
        <w:t>Compensação pela disponibilização de dados ao abrigo do capítulo V</w:t>
      </w:r>
    </w:p>
    <w:p w14:paraId="1D36EEB7" w14:textId="77777777" w:rsidR="00DF1D76" w:rsidRPr="000D0D06" w:rsidRDefault="009A05DD" w:rsidP="00665C74">
      <w:pPr>
        <w:pStyle w:val="Text2"/>
        <w:rPr>
          <w:noProof/>
        </w:rPr>
      </w:pPr>
      <w:r w:rsidRPr="000D0D06">
        <w:rPr>
          <w:noProof/>
        </w:rPr>
        <w:t>1. Os detentores dos dados devem disponibilizar a título gratuito os dados necessários para dar resposta a uma emergência pública nos termos do artigo 15.º-A, n.º 2. O organismo do setor público, a Comissão, o Banco Central Europeu ou o órgão da União que recebeu os dados deve proporcionar reconhecimento público ao detentor dos dados, caso este o solicite.</w:t>
      </w:r>
    </w:p>
    <w:p w14:paraId="5F70B400" w14:textId="77777777" w:rsidR="00255EE2" w:rsidRPr="000D0D06" w:rsidRDefault="00DF1D76" w:rsidP="00665C74">
      <w:pPr>
        <w:pStyle w:val="Text2"/>
        <w:rPr>
          <w:noProof/>
        </w:rPr>
      </w:pPr>
      <w:r w:rsidRPr="000D0D06">
        <w:rPr>
          <w:noProof/>
        </w:rPr>
        <w:t>2. O detentor dos dados tem direito a uma compensação justa pela disponibilização dos mesmos em cumprimento de um pedido apresentado nos termos do artigo 15.º-A, n.º 3. Tal compensação deve cobrir os custos técnicos e organizativos incorridos para dar cumprimento ao pedido, incluindo, se aplicável, os custos de anonimização, pseudonimização, agregação e adaptação técnica, e uma margem razoável. A pedido do organismo do setor público, da Comissão, do Banco Central Europeu ou do órgão da União, o detentor dos dados deve facultar informações sobre a base de cálculo dos custos e da margem razoável.</w:t>
      </w:r>
    </w:p>
    <w:p w14:paraId="01B655D2" w14:textId="77777777" w:rsidR="00842179" w:rsidRPr="000D0D06" w:rsidRDefault="003353DB" w:rsidP="00665C74">
      <w:pPr>
        <w:pStyle w:val="Text2"/>
        <w:rPr>
          <w:noProof/>
        </w:rPr>
      </w:pPr>
      <w:r w:rsidRPr="000D0D06">
        <w:rPr>
          <w:noProof/>
        </w:rPr>
        <w:t xml:space="preserve">3. Em derrogação do n.º 1 do presente artigo, um detentor de dados que seja uma microempresa ou uma pequena empresa pode solicitar uma compensação pela disponibilização dos dados em resposta a um pedido apresentado nos termos do artigo 15.º-A, n.º 2, de acordo com as condições estabelecidas no n.º 2 do presente artigo. </w:t>
      </w:r>
    </w:p>
    <w:p w14:paraId="4B070965" w14:textId="77777777" w:rsidR="00B714EC" w:rsidRPr="000D0D06" w:rsidRDefault="003353DB" w:rsidP="00665C74">
      <w:pPr>
        <w:pStyle w:val="Text2"/>
        <w:rPr>
          <w:noProof/>
        </w:rPr>
      </w:pPr>
      <w:r w:rsidRPr="000D0D06">
        <w:rPr>
          <w:noProof/>
        </w:rPr>
        <w:t>4. Os detentores dos dados não podem solicitar uma compensação pela disponibilização de dados em cumprimento de um pedido apresentado nos termos do artigo 15.º-A, n.º 3, se a função específica de interesse público for a produção de estatísticas oficiais e se a aquisição dos dados não for permitida pelo direito nacional. Os Estados-Membros notificam a Comissão sempre que a aquisição de dados para a produção de estatísticas oficiais não seja permitida pelo direito nacional.».</w:t>
      </w:r>
    </w:p>
    <w:p w14:paraId="680032B2" w14:textId="77777777" w:rsidR="00132238" w:rsidRPr="000D0D06" w:rsidRDefault="001936FC" w:rsidP="001936FC">
      <w:pPr>
        <w:pStyle w:val="ManualNumPar1"/>
        <w:rPr>
          <w:noProof/>
        </w:rPr>
      </w:pPr>
      <w:r w:rsidRPr="000D0D06">
        <w:rPr>
          <w:noProof/>
        </w:rPr>
        <w:t>13.</w:t>
      </w:r>
      <w:r w:rsidRPr="000D0D06">
        <w:rPr>
          <w:noProof/>
        </w:rPr>
        <w:tab/>
        <w:t>O artigo 21.º é alterado do seguinte modo:</w:t>
      </w:r>
    </w:p>
    <w:p w14:paraId="6AA5C0AF" w14:textId="77777777" w:rsidR="0078355A" w:rsidRPr="000D0D06" w:rsidRDefault="00EA5655" w:rsidP="00D86CC3">
      <w:pPr>
        <w:pStyle w:val="Text1"/>
        <w:rPr>
          <w:noProof/>
        </w:rPr>
      </w:pPr>
      <w:r w:rsidRPr="000D0D06">
        <w:rPr>
          <w:noProof/>
        </w:rPr>
        <w:t>a) O título passa a ter a seguinte redação:</w:t>
      </w:r>
    </w:p>
    <w:p w14:paraId="73DDFA99" w14:textId="77777777" w:rsidR="004F6CBD" w:rsidRPr="000D0D06" w:rsidRDefault="00824592" w:rsidP="00526FC2">
      <w:pPr>
        <w:tabs>
          <w:tab w:val="left" w:pos="0"/>
        </w:tabs>
        <w:spacing w:before="100" w:beforeAutospacing="1" w:after="100" w:afterAutospacing="1"/>
        <w:jc w:val="center"/>
        <w:rPr>
          <w:noProof/>
          <w:szCs w:val="24"/>
        </w:rPr>
      </w:pPr>
      <w:r w:rsidRPr="000D0D06">
        <w:rPr>
          <w:noProof/>
        </w:rPr>
        <w:t>«</w:t>
      </w:r>
      <w:r w:rsidRPr="000D0D06">
        <w:rPr>
          <w:b/>
          <w:noProof/>
        </w:rPr>
        <w:t>Partilha de dados obtidos no contexto de uma emergência pública com organismos de investigação ou organismos de estatística</w:t>
      </w:r>
      <w:r w:rsidRPr="000D0D06">
        <w:rPr>
          <w:noProof/>
        </w:rPr>
        <w:t>»;</w:t>
      </w:r>
    </w:p>
    <w:p w14:paraId="25E3B78B" w14:textId="77777777" w:rsidR="00511CEE" w:rsidRPr="000D0D06" w:rsidRDefault="00511CEE" w:rsidP="00D86CC3">
      <w:pPr>
        <w:pStyle w:val="Text1"/>
        <w:rPr>
          <w:noProof/>
        </w:rPr>
      </w:pPr>
      <w:r w:rsidRPr="000D0D06">
        <w:rPr>
          <w:noProof/>
        </w:rPr>
        <w:t>b) O n.º 5 passa a ter a seguinte redação:</w:t>
      </w:r>
    </w:p>
    <w:p w14:paraId="2C0521FE" w14:textId="77777777" w:rsidR="00C040A7" w:rsidRPr="000D0D06" w:rsidRDefault="006234B7" w:rsidP="00665C74">
      <w:pPr>
        <w:pStyle w:val="Text2"/>
        <w:rPr>
          <w:noProof/>
        </w:rPr>
      </w:pPr>
      <w:r w:rsidRPr="000D0D06">
        <w:rPr>
          <w:noProof/>
        </w:rPr>
        <w:t xml:space="preserve">«5. Caso um organismo do setor público, a Comissão, o Banco Central Europeu ou um órgão da União tencione transmitir ou disponibilizar dados nos termos do n.º 1, deve, sem demora injustificada, notificar o detentor dos dados do qual recebeu esses dados, indicando o seguinte: </w:t>
      </w:r>
    </w:p>
    <w:p w14:paraId="5BF5E696" w14:textId="77777777" w:rsidR="00C040A7" w:rsidRPr="000D0D06" w:rsidRDefault="001936FC" w:rsidP="001936FC">
      <w:pPr>
        <w:pStyle w:val="Point3"/>
        <w:rPr>
          <w:noProof/>
        </w:rPr>
      </w:pPr>
      <w:r w:rsidRPr="000D0D06">
        <w:rPr>
          <w:noProof/>
        </w:rPr>
        <w:t>a)</w:t>
      </w:r>
      <w:r w:rsidRPr="000D0D06">
        <w:rPr>
          <w:noProof/>
        </w:rPr>
        <w:tab/>
        <w:t xml:space="preserve">A identidade e os dados de contacto da organização ou da pessoa que irá receber os dados; </w:t>
      </w:r>
    </w:p>
    <w:p w14:paraId="039BF61E" w14:textId="77777777" w:rsidR="00C040A7" w:rsidRPr="000D0D06" w:rsidRDefault="001936FC" w:rsidP="001936FC">
      <w:pPr>
        <w:pStyle w:val="Point3"/>
        <w:rPr>
          <w:noProof/>
        </w:rPr>
      </w:pPr>
      <w:r w:rsidRPr="000D0D06">
        <w:rPr>
          <w:noProof/>
        </w:rPr>
        <w:t>b)</w:t>
      </w:r>
      <w:r w:rsidRPr="000D0D06">
        <w:rPr>
          <w:noProof/>
        </w:rPr>
        <w:tab/>
        <w:t xml:space="preserve">A finalidade da transmissão ou disponibilização dos dados; </w:t>
      </w:r>
    </w:p>
    <w:p w14:paraId="113D8669" w14:textId="77777777" w:rsidR="00C040A7" w:rsidRPr="000D0D06" w:rsidRDefault="001936FC" w:rsidP="001936FC">
      <w:pPr>
        <w:pStyle w:val="Point3"/>
        <w:rPr>
          <w:noProof/>
        </w:rPr>
      </w:pPr>
      <w:r w:rsidRPr="000D0D06">
        <w:rPr>
          <w:noProof/>
        </w:rPr>
        <w:t>c)</w:t>
      </w:r>
      <w:r w:rsidRPr="000D0D06">
        <w:rPr>
          <w:noProof/>
        </w:rPr>
        <w:tab/>
        <w:t xml:space="preserve">O período de utilização dos dados e a proteção técnica; </w:t>
      </w:r>
    </w:p>
    <w:p w14:paraId="005A35C0" w14:textId="41595D96" w:rsidR="00782A8A" w:rsidRPr="000D0D06" w:rsidRDefault="001936FC" w:rsidP="001936FC">
      <w:pPr>
        <w:pStyle w:val="Point3"/>
        <w:rPr>
          <w:noProof/>
        </w:rPr>
      </w:pPr>
      <w:r w:rsidRPr="000D0D06">
        <w:rPr>
          <w:noProof/>
        </w:rPr>
        <w:t>d)</w:t>
      </w:r>
      <w:r w:rsidRPr="000D0D06">
        <w:rPr>
          <w:noProof/>
        </w:rPr>
        <w:tab/>
        <w:t>As medidas organizativas tomadas, nomeadamente quando estejam em causa dados pessoais ou segredos comerciais.».</w:t>
      </w:r>
    </w:p>
    <w:p w14:paraId="1FCCC4CB" w14:textId="77777777" w:rsidR="0078355A" w:rsidRPr="000D0D06" w:rsidRDefault="001936FC" w:rsidP="001936FC">
      <w:pPr>
        <w:pStyle w:val="ManualNumPar1"/>
        <w:rPr>
          <w:noProof/>
        </w:rPr>
      </w:pPr>
      <w:r w:rsidRPr="000D0D06">
        <w:rPr>
          <w:noProof/>
        </w:rPr>
        <w:t>14.</w:t>
      </w:r>
      <w:r w:rsidRPr="000D0D06">
        <w:rPr>
          <w:noProof/>
        </w:rPr>
        <w:tab/>
        <w:t>Antes do capítulo VI, é inserido o seguinte artigo 22.º-A:</w:t>
      </w:r>
    </w:p>
    <w:p w14:paraId="0DA66283" w14:textId="77777777" w:rsidR="00F72408" w:rsidRPr="000D0D06" w:rsidRDefault="00BB6933" w:rsidP="00260A31">
      <w:pPr>
        <w:jc w:val="center"/>
        <w:rPr>
          <w:noProof/>
        </w:rPr>
      </w:pPr>
      <w:r w:rsidRPr="000D0D06">
        <w:rPr>
          <w:noProof/>
        </w:rPr>
        <w:t>«Artigo 22.º‑A</w:t>
      </w:r>
    </w:p>
    <w:p w14:paraId="431DF762" w14:textId="77777777" w:rsidR="00D321CC" w:rsidRPr="000D0D06" w:rsidRDefault="003200BE" w:rsidP="00260A31">
      <w:pPr>
        <w:jc w:val="center"/>
        <w:rPr>
          <w:bCs/>
          <w:i/>
          <w:iCs/>
          <w:noProof/>
        </w:rPr>
      </w:pPr>
      <w:r w:rsidRPr="000D0D06">
        <w:rPr>
          <w:i/>
          <w:noProof/>
        </w:rPr>
        <w:t>Direito de reclamação</w:t>
      </w:r>
    </w:p>
    <w:p w14:paraId="6FA8427D" w14:textId="5EFE1149" w:rsidR="002467D3" w:rsidRPr="000D0D06" w:rsidRDefault="002467D3" w:rsidP="00665C74">
      <w:pPr>
        <w:pStyle w:val="Text2"/>
        <w:rPr>
          <w:noProof/>
        </w:rPr>
      </w:pPr>
      <w:r w:rsidRPr="000D0D06">
        <w:rPr>
          <w:noProof/>
        </w:rPr>
        <w:t>Em caso de litígio relativo a um pedido de dados nos termos do artigo 15.º-A, incluindo a sua recusa, alteração, nível de compensação ou transmissão ou disponibilização de dados, o detentor dos dados, o organismo do setor público, a Comissão, o Banco Central Europeu ou o órgão da União pode apresentar uma reclamação à autoridade competente, designada nos termos do artigo 37.º, do Estado-Membro em que o detentor dos dados está estabelecido.».</w:t>
      </w:r>
    </w:p>
    <w:p w14:paraId="250BB816" w14:textId="77777777" w:rsidR="00C6750C" w:rsidRPr="000D0D06" w:rsidRDefault="001936FC" w:rsidP="001936FC">
      <w:pPr>
        <w:pStyle w:val="ManualNumPar1"/>
        <w:rPr>
          <w:noProof/>
        </w:rPr>
      </w:pPr>
      <w:r w:rsidRPr="000D0D06">
        <w:rPr>
          <w:noProof/>
        </w:rPr>
        <w:t>15.</w:t>
      </w:r>
      <w:r w:rsidRPr="000D0D06">
        <w:rPr>
          <w:noProof/>
        </w:rPr>
        <w:tab/>
        <w:t>No artigo 31.º, são inseridos os seguintes n.</w:t>
      </w:r>
      <w:r w:rsidRPr="000D0D06">
        <w:rPr>
          <w:noProof/>
          <w:vertAlign w:val="superscript"/>
        </w:rPr>
        <w:t>os</w:t>
      </w:r>
      <w:r w:rsidRPr="000D0D06">
        <w:rPr>
          <w:noProof/>
        </w:rPr>
        <w:t xml:space="preserve"> 1-A e 1-B: </w:t>
      </w:r>
    </w:p>
    <w:p w14:paraId="4DA1F570" w14:textId="53EA055F" w:rsidR="00AE7466" w:rsidRPr="000D0D06" w:rsidRDefault="00E475A2" w:rsidP="00665C74">
      <w:pPr>
        <w:pStyle w:val="Text2"/>
        <w:rPr>
          <w:noProof/>
        </w:rPr>
      </w:pPr>
      <w:r w:rsidRPr="000D0D06">
        <w:rPr>
          <w:noProof/>
        </w:rPr>
        <w:t xml:space="preserve">«1-A. As obrigações estabelecidas no capítulo VI, com exceção do artigo 29.º, e no artigo 34.º não se aplicam a serviços de tratamento de dados que não os referidos no artigo 30.º, n.º 1, caso a maioria das características e funcionalidades do serviço de tratamento de dados tenha sido adaptada pelo prestador às necessidades específicas do cliente, se a prestação desses serviços se basear num contrato celebrado em 12 de setembro de 2025 ou antes dessa data. </w:t>
      </w:r>
    </w:p>
    <w:p w14:paraId="5951B489" w14:textId="5B3A09A9" w:rsidR="00AE7466" w:rsidRPr="000D0D06" w:rsidRDefault="00AE7466" w:rsidP="00665C74">
      <w:pPr>
        <w:pStyle w:val="Text2"/>
        <w:rPr>
          <w:noProof/>
        </w:rPr>
      </w:pPr>
      <w:r w:rsidRPr="000D0D06">
        <w:rPr>
          <w:noProof/>
        </w:rPr>
        <w:t>O prestador desses serviços de tratamento de dados não é obrigado a renegociar ou alterar um contrato de prestação desses serviços antes do seu termo, se esse contrato tiver sido celebrado em 12 de setembro de 2025 ou antes dessa data. Qualquer disposição contratual contida nesse contrato que seja contrária ao artigo 29.º, n.</w:t>
      </w:r>
      <w:r w:rsidRPr="000D0D06">
        <w:rPr>
          <w:noProof/>
          <w:vertAlign w:val="superscript"/>
        </w:rPr>
        <w:t>os</w:t>
      </w:r>
      <w:r w:rsidRPr="000D0D06">
        <w:rPr>
          <w:noProof/>
        </w:rPr>
        <w:t xml:space="preserve"> 1, 2 ou 3, é considerada nula e sem efeito. </w:t>
      </w:r>
    </w:p>
    <w:p w14:paraId="2E87C65C" w14:textId="77777777" w:rsidR="00D70B77" w:rsidRPr="000D0D06" w:rsidRDefault="00D654A5" w:rsidP="00665C74">
      <w:pPr>
        <w:pStyle w:val="Text2"/>
        <w:rPr>
          <w:noProof/>
        </w:rPr>
      </w:pPr>
      <w:r w:rsidRPr="000D0D06">
        <w:rPr>
          <w:noProof/>
        </w:rPr>
        <w:t>1-B. Um prestador de um serviço de tratamento de dados pode incluir disposições sobre sanções proporcionadas por rescisão antecipada num contrato de duração fixa relativo à prestação de serviços de tratamento de dados que não os referidos no artigo 30.º, n.º 1.</w:t>
      </w:r>
    </w:p>
    <w:p w14:paraId="29D1820D" w14:textId="77777777" w:rsidR="00D70B77" w:rsidRPr="000D0D06" w:rsidRDefault="00D70B77" w:rsidP="00665C74">
      <w:pPr>
        <w:pStyle w:val="Text2"/>
        <w:rPr>
          <w:noProof/>
        </w:rPr>
      </w:pPr>
      <w:r w:rsidRPr="000D0D06">
        <w:rPr>
          <w:noProof/>
        </w:rPr>
        <w:t xml:space="preserve">Caso o prestador de um serviço de tratamento de dados seja uma pequena e média empresa ou uma pequena empresa de média capitalização, as obrigações estabelecidas no capítulo VI, com exceção do artigo 29.º, e no artigo 34.º não se aplicam aos serviços de tratamento de dados que não os referidos no artigo 30.º, n.º 1, se a prestação desses serviços se basear num contrato celebrado em 12 de setembro de 2025 ou antes dessa data. </w:t>
      </w:r>
    </w:p>
    <w:p w14:paraId="65770343" w14:textId="3DD864AE" w:rsidR="00D70B77" w:rsidRPr="000D0D06" w:rsidRDefault="00D70B77" w:rsidP="00665C74">
      <w:pPr>
        <w:pStyle w:val="Text2"/>
        <w:rPr>
          <w:noProof/>
        </w:rPr>
      </w:pPr>
      <w:r w:rsidRPr="000D0D06">
        <w:rPr>
          <w:noProof/>
        </w:rPr>
        <w:t>Caso seja uma pequena e média empresa ou uma pequena empresa de média capitalização, o prestador de um serviço de tratamento de dados não é obrigado a renegociar ou alterar um contrato de prestação de serviços de tratamento de dados que não os referidos no artigo 30.º, n.º 1, antes do seu termo, se esse contrato tiver sido celebrado em 12 de setembro de 2025 ou antes dessa data. Qualquer disposição contratual contida nesse contrato que seja contrária ao artigo 29.º, n.</w:t>
      </w:r>
      <w:r w:rsidRPr="000D0D06">
        <w:rPr>
          <w:noProof/>
          <w:vertAlign w:val="superscript"/>
        </w:rPr>
        <w:t>os</w:t>
      </w:r>
      <w:r w:rsidRPr="000D0D06">
        <w:rPr>
          <w:noProof/>
        </w:rPr>
        <w:t xml:space="preserve"> 1, 2 ou 3, é considerada nula e sem efeito.». </w:t>
      </w:r>
    </w:p>
    <w:p w14:paraId="21C519AD" w14:textId="77777777" w:rsidR="00C07DC3" w:rsidRPr="000D0D06" w:rsidRDefault="001936FC" w:rsidP="001936FC">
      <w:pPr>
        <w:pStyle w:val="ManualNumPar1"/>
        <w:rPr>
          <w:noProof/>
        </w:rPr>
      </w:pPr>
      <w:r w:rsidRPr="000D0D06">
        <w:rPr>
          <w:noProof/>
        </w:rPr>
        <w:t>16.</w:t>
      </w:r>
      <w:r w:rsidRPr="000D0D06">
        <w:rPr>
          <w:noProof/>
        </w:rPr>
        <w:tab/>
        <w:t>O artigo 32.º é alterado do seguinte modo:</w:t>
      </w:r>
    </w:p>
    <w:p w14:paraId="2176D0C0" w14:textId="77777777" w:rsidR="00367C12" w:rsidRPr="000D0D06" w:rsidRDefault="00EA5655" w:rsidP="00BB04C4">
      <w:pPr>
        <w:pStyle w:val="Text1"/>
        <w:rPr>
          <w:noProof/>
        </w:rPr>
      </w:pPr>
      <w:r w:rsidRPr="000D0D06">
        <w:rPr>
          <w:noProof/>
        </w:rPr>
        <w:t>a) Os n.</w:t>
      </w:r>
      <w:r w:rsidRPr="000D0D06">
        <w:rPr>
          <w:noProof/>
          <w:vertAlign w:val="superscript"/>
        </w:rPr>
        <w:t>os</w:t>
      </w:r>
      <w:r w:rsidRPr="000D0D06">
        <w:rPr>
          <w:noProof/>
        </w:rPr>
        <w:t xml:space="preserve"> 1 e 2 passam a ter a seguinte redação: </w:t>
      </w:r>
    </w:p>
    <w:p w14:paraId="6633137D" w14:textId="5A02CDFA" w:rsidR="00985EC8" w:rsidRPr="000D0D06" w:rsidRDefault="00985EC8" w:rsidP="00665C74">
      <w:pPr>
        <w:pStyle w:val="Text2"/>
        <w:rPr>
          <w:noProof/>
        </w:rPr>
      </w:pPr>
      <w:r w:rsidRPr="000D0D06">
        <w:rPr>
          <w:noProof/>
        </w:rPr>
        <w:t>«1. Sem prejuízo do disposto no n.º 2 ou no n.º 3, os prestadores de serviços de tratamento de dados, o organismo do setor público que disponibiliza dados ou documentos em conformidade com o capítulo VII-C, secção 3, a pessoa singular ou coletiva a quem foi concedido o direito de reutilizar dados ou documentos em conformidade com o capítulo VII-C, secção 3, um prestador de serviços de intermediação de dados ou uma organização de altruísmo de dados reconhecida devem tomar todas as medidas técnicas, organizativas e jurídicas adequadas, incluindo contratos, a fim de impedir que entidades governamentais internacionais ou de países terceiros acedam a dados não pessoais detidos na União ou os transfiram, caso essa transferência ou acesso seja suscetível de criar um conflito com o direito da União ou o direito nacional do Estado-Membro em causa. </w:t>
      </w:r>
    </w:p>
    <w:p w14:paraId="507F9606" w14:textId="4D10C54F" w:rsidR="006E4A55" w:rsidRPr="000D0D06" w:rsidRDefault="006E4A55" w:rsidP="00665C74">
      <w:pPr>
        <w:pStyle w:val="Text2"/>
        <w:rPr>
          <w:noProof/>
        </w:rPr>
      </w:pPr>
      <w:r w:rsidRPr="000D0D06">
        <w:rPr>
          <w:noProof/>
        </w:rPr>
        <w:t>2. As decisões judiciais ou sentenças de um órgão jurisdicional de um país terceiro e as decisões de uma autoridade administrativa de um país terceiro que exijam que um prestador de serviços de tratamento de dados, o organismo do setor público que disponibiliza dados ou documentos nos termos do capítulo VII-C, secção 3, a pessoa singular ou coletiva a quem foi concedido o direito de reutilizar dados ou documentos de acordo com o capítulo VII-C, secção 3, um prestador de serviços de intermediação de dados ou uma organização de altruísmo de dados reconhecida transfira ou dê acesso a dados não pessoais abrangidos pelo âmbito de aplicação do presente regulamento e detidos na União só podem ser reconhecidas ou executadas, seja de que forma for, se tiverem por base um acordo internacional, como um acordo de auxílio judiciário mútuo, em vigor entre o país terceiro requerente e a União ou entre o país terceiro requerente e um Estado-Membro.»;</w:t>
      </w:r>
    </w:p>
    <w:p w14:paraId="49AB486F" w14:textId="77777777" w:rsidR="00965929" w:rsidRPr="000D0D06" w:rsidRDefault="00965929" w:rsidP="00BB04C4">
      <w:pPr>
        <w:pStyle w:val="Text1"/>
        <w:rPr>
          <w:noProof/>
        </w:rPr>
      </w:pPr>
      <w:r w:rsidRPr="000D0D06">
        <w:rPr>
          <w:noProof/>
        </w:rPr>
        <w:t xml:space="preserve">b) No n.º 3, primeiro parágrafo, o proémio passa a ter a seguinte redação: </w:t>
      </w:r>
    </w:p>
    <w:p w14:paraId="4B06A583" w14:textId="71138347" w:rsidR="0078355A" w:rsidRPr="000D0D06" w:rsidRDefault="0078355A" w:rsidP="00665C74">
      <w:pPr>
        <w:pStyle w:val="Text2"/>
        <w:rPr>
          <w:noProof/>
        </w:rPr>
      </w:pPr>
      <w:r w:rsidRPr="000D0D06">
        <w:rPr>
          <w:noProof/>
        </w:rPr>
        <w:t>«3. Na ausência de um acordo internacional nos termos do n.º 2, caso um prestador de serviços de tratamento de dados, o organismo do setor público que disponibiliza dados ou documentos nos termos do capítulo VII-C, secção 3, a pessoa singular ou coletiva a quem foi concedido o direito de reutilizar dados ou documentos de acordo com o capítulo VII-C, secção 3, um prestador de serviços de intermediação de dados ou uma organização de altruísmo de dados reconhecida seja o destinatário de uma decisão judicial ou sentença de um órgão jurisdicional de um país terceiro ou de uma decisão de uma autoridade administrativa de um país terceiro que exija a transferência ou o acesso a dados não pessoais abrangidos pelo âmbito de aplicação do presente regulamento e detidos na União, e o cumprimento dessa decisão ou sentença seja suscetível de colocar o destinatário numa situação de conflito com o direito da União ou com o direito nacional do Estado-Membro em causa, a transferência dos dados em causa para essa autoridade de um país terceiro ou o acesso a esses dados pela mesma autoridade só pode ter lugar se:»;</w:t>
      </w:r>
    </w:p>
    <w:p w14:paraId="59086E9A" w14:textId="77777777" w:rsidR="00400959" w:rsidRPr="000D0D06" w:rsidRDefault="00400959" w:rsidP="00BB04C4">
      <w:pPr>
        <w:pStyle w:val="Text1"/>
        <w:rPr>
          <w:noProof/>
        </w:rPr>
      </w:pPr>
      <w:r w:rsidRPr="000D0D06">
        <w:rPr>
          <w:noProof/>
        </w:rPr>
        <w:t>c) Os n.</w:t>
      </w:r>
      <w:r w:rsidRPr="000D0D06">
        <w:rPr>
          <w:noProof/>
          <w:vertAlign w:val="superscript"/>
        </w:rPr>
        <w:t>os</w:t>
      </w:r>
      <w:r w:rsidRPr="000D0D06">
        <w:rPr>
          <w:noProof/>
        </w:rPr>
        <w:t xml:space="preserve"> 4 e 5 passam a ter a seguinte redação: </w:t>
      </w:r>
    </w:p>
    <w:p w14:paraId="3387E5E2" w14:textId="14A02B0A" w:rsidR="005F7EE5" w:rsidRPr="000D0D06" w:rsidRDefault="005F7EE5" w:rsidP="00665C74">
      <w:pPr>
        <w:pStyle w:val="Text2"/>
        <w:rPr>
          <w:noProof/>
        </w:rPr>
      </w:pPr>
      <w:r w:rsidRPr="000D0D06">
        <w:rPr>
          <w:noProof/>
        </w:rPr>
        <w:t xml:space="preserve">«4. Se estiverem preenchidas as condições estabelecidas no n.º 2 ou no n.º 3, o prestador de serviços de tratamento de dados, o organismo do setor público que disponibiliza dados ou documentos em conformidade com o capítulo VII-C, secção 3, a pessoa singular ou coletiva a quem foi concedido o direito de reutilizar dados ou documentos em conformidade com o capítulo VII-C, secção 3, o prestador de serviços de intermediação de dados ou a organização de altruísmo de dados reconhecida deve facultar a quantidade mínima de dados admissível em resposta a um pedido, com base na interpretação razoável desse pedido por parte do prestador ou do organismo ou autoridade nacional relevante a que se refere o n.º 3, segundo parágrafo. </w:t>
      </w:r>
    </w:p>
    <w:p w14:paraId="7F8AE411" w14:textId="1DA0B32D" w:rsidR="006E4A55" w:rsidRPr="000D0D06" w:rsidRDefault="005F7EE5" w:rsidP="00665C74">
      <w:pPr>
        <w:pStyle w:val="Text2"/>
        <w:rPr>
          <w:noProof/>
        </w:rPr>
      </w:pPr>
      <w:r w:rsidRPr="000D0D06">
        <w:rPr>
          <w:noProof/>
        </w:rPr>
        <w:t>5. O prestador de serviços de tratamento de dados, o organismo do setor público que disponibiliza dados ou documentos em conformidade com o capítulo VII-C, secção 3, a pessoa singular ou coletiva a quem foi concedido o direito de reutilizar dados ou documentos em conformidade com o capítulo VII-C, secção 3, o prestador de serviços de intermediação de dados ou a organização de altruísmo de dados reconhecida deve informar a pessoa singular ou coletiva cujos direitos e interesses possam ser afetados sobre a existência de um pedido de acesso aos seus dados apresentado por uma autoridade de um país terceiro antes de dar seguimento a esse pedido, exceto nos casos em que o pedido se destine a atividades de aplicação da lei e enquanto tal for necessário para preservar a eficácia das atividades de aplicação da lei.».</w:t>
      </w:r>
    </w:p>
    <w:p w14:paraId="0E5C5FA2" w14:textId="77777777" w:rsidR="00044A86" w:rsidRPr="000D0D06" w:rsidRDefault="001936FC" w:rsidP="001936FC">
      <w:pPr>
        <w:pStyle w:val="ManualNumPar1"/>
        <w:rPr>
          <w:noProof/>
        </w:rPr>
      </w:pPr>
      <w:r w:rsidRPr="000D0D06">
        <w:rPr>
          <w:noProof/>
        </w:rPr>
        <w:t>17.</w:t>
      </w:r>
      <w:r w:rsidRPr="000D0D06">
        <w:rPr>
          <w:noProof/>
        </w:rPr>
        <w:tab/>
        <w:t>É suprimido o artigo 36.º.</w:t>
      </w:r>
    </w:p>
    <w:p w14:paraId="08CD7C48" w14:textId="77777777" w:rsidR="00B82DB3" w:rsidRPr="000D0D06" w:rsidRDefault="001936FC" w:rsidP="001936FC">
      <w:pPr>
        <w:pStyle w:val="ManualNumPar1"/>
        <w:rPr>
          <w:noProof/>
        </w:rPr>
      </w:pPr>
      <w:r w:rsidRPr="000D0D06">
        <w:rPr>
          <w:noProof/>
        </w:rPr>
        <w:t>18.</w:t>
      </w:r>
      <w:r w:rsidRPr="000D0D06">
        <w:rPr>
          <w:noProof/>
        </w:rPr>
        <w:tab/>
        <w:t xml:space="preserve">São inseridos os seguintes capítulos VII-A, VII-B e VII-C: </w:t>
      </w:r>
    </w:p>
    <w:p w14:paraId="4E2592FF" w14:textId="77777777" w:rsidR="00C7639C" w:rsidRPr="000D0D06" w:rsidRDefault="00C7639C" w:rsidP="000F0A2E">
      <w:pPr>
        <w:pStyle w:val="Text1"/>
        <w:rPr>
          <w:noProof/>
        </w:rPr>
      </w:pPr>
    </w:p>
    <w:p w14:paraId="12852D5C" w14:textId="77777777" w:rsidR="00B82DB3" w:rsidRPr="000D0D06" w:rsidRDefault="0078355A" w:rsidP="0055422A">
      <w:pPr>
        <w:pStyle w:val="ListParagraph"/>
        <w:tabs>
          <w:tab w:val="num" w:pos="0"/>
        </w:tabs>
        <w:ind w:left="0"/>
        <w:jc w:val="center"/>
        <w:rPr>
          <w:noProof/>
        </w:rPr>
      </w:pPr>
      <w:r w:rsidRPr="000D0D06">
        <w:rPr>
          <w:noProof/>
        </w:rPr>
        <w:t>«</w:t>
      </w:r>
      <w:r w:rsidRPr="000D0D06">
        <w:rPr>
          <w:b/>
          <w:noProof/>
        </w:rPr>
        <w:t>CAPÍTULO VII-A</w:t>
      </w:r>
    </w:p>
    <w:p w14:paraId="1A29EB68" w14:textId="77777777" w:rsidR="00856F3D" w:rsidRPr="000D0D06" w:rsidRDefault="0078355A" w:rsidP="00856F3D">
      <w:pPr>
        <w:pStyle w:val="ListParagraph"/>
        <w:tabs>
          <w:tab w:val="num" w:pos="0"/>
        </w:tabs>
        <w:ind w:left="0"/>
        <w:jc w:val="center"/>
        <w:rPr>
          <w:rFonts w:ascii="Times New Roman Bold" w:eastAsiaTheme="minorHAnsi" w:hAnsi="Times New Roman Bold"/>
          <w:b/>
          <w:bCs/>
          <w:caps/>
          <w:noProof/>
        </w:rPr>
      </w:pPr>
      <w:r w:rsidRPr="000D0D06">
        <w:rPr>
          <w:rFonts w:ascii="Times New Roman Bold" w:hAnsi="Times New Roman Bold"/>
          <w:b/>
          <w:caps/>
          <w:noProof/>
        </w:rPr>
        <w:t xml:space="preserve">serviços de intermediação de dados </w:t>
      </w:r>
    </w:p>
    <w:p w14:paraId="5538A51C" w14:textId="77777777" w:rsidR="0078355A" w:rsidRPr="000D0D06" w:rsidRDefault="00D514DA" w:rsidP="0055422A">
      <w:pPr>
        <w:pStyle w:val="ListParagraph"/>
        <w:tabs>
          <w:tab w:val="num" w:pos="0"/>
        </w:tabs>
        <w:ind w:left="0"/>
        <w:jc w:val="center"/>
        <w:rPr>
          <w:rFonts w:eastAsiaTheme="minorHAnsi"/>
          <w:b/>
          <w:bCs/>
          <w:noProof/>
        </w:rPr>
      </w:pPr>
      <w:r w:rsidRPr="000D0D06">
        <w:rPr>
          <w:rFonts w:ascii="Times New Roman Bold" w:hAnsi="Times New Roman Bold"/>
          <w:b/>
          <w:caps/>
          <w:noProof/>
        </w:rPr>
        <w:t>e organizações de altruísmo de dados</w:t>
      </w:r>
    </w:p>
    <w:p w14:paraId="79230314" w14:textId="77777777" w:rsidR="0078355A" w:rsidRPr="000D0D06" w:rsidRDefault="0078355A" w:rsidP="0078355A">
      <w:pPr>
        <w:rPr>
          <w:b/>
          <w:bCs/>
          <w:noProof/>
          <w:u w:val="single"/>
        </w:rPr>
      </w:pPr>
    </w:p>
    <w:p w14:paraId="4F3A0349" w14:textId="77777777" w:rsidR="00A02019" w:rsidRPr="000D0D06" w:rsidRDefault="0078355A" w:rsidP="00EA5DBC">
      <w:pPr>
        <w:jc w:val="center"/>
        <w:rPr>
          <w:i/>
          <w:iCs/>
          <w:noProof/>
        </w:rPr>
      </w:pPr>
      <w:r w:rsidRPr="000D0D06">
        <w:rPr>
          <w:noProof/>
        </w:rPr>
        <w:t>Artigo 32.º‑A</w:t>
      </w:r>
    </w:p>
    <w:p w14:paraId="7F9CEC72" w14:textId="77777777" w:rsidR="0016210E" w:rsidRPr="000D0D06" w:rsidRDefault="0016210E" w:rsidP="008D6372">
      <w:pPr>
        <w:jc w:val="center"/>
        <w:rPr>
          <w:noProof/>
        </w:rPr>
      </w:pPr>
      <w:r w:rsidRPr="000D0D06">
        <w:rPr>
          <w:i/>
          <w:noProof/>
        </w:rPr>
        <w:t>Registos públicos da União</w:t>
      </w:r>
    </w:p>
    <w:p w14:paraId="4227C4F4" w14:textId="4D122DB4" w:rsidR="0016210E" w:rsidRPr="000D0D06" w:rsidRDefault="001936FC" w:rsidP="001936FC">
      <w:pPr>
        <w:pStyle w:val="Point0"/>
        <w:rPr>
          <w:noProof/>
        </w:rPr>
      </w:pPr>
      <w:r w:rsidRPr="000D0D06">
        <w:rPr>
          <w:noProof/>
        </w:rPr>
        <w:t>1)</w:t>
      </w:r>
      <w:r w:rsidRPr="000D0D06">
        <w:rPr>
          <w:noProof/>
        </w:rPr>
        <w:tab/>
        <w:t xml:space="preserve">A Comissão mantém e atualiza regularmente registos públicos da União de: </w:t>
      </w:r>
    </w:p>
    <w:p w14:paraId="0ABBA214" w14:textId="77777777" w:rsidR="0016210E" w:rsidRPr="000D0D06" w:rsidRDefault="001936FC" w:rsidP="001936FC">
      <w:pPr>
        <w:pStyle w:val="Point1"/>
        <w:rPr>
          <w:noProof/>
        </w:rPr>
      </w:pPr>
      <w:r w:rsidRPr="000D0D06">
        <w:rPr>
          <w:noProof/>
        </w:rPr>
        <w:t>a)</w:t>
      </w:r>
      <w:r w:rsidRPr="000D0D06">
        <w:rPr>
          <w:noProof/>
        </w:rPr>
        <w:tab/>
        <w:t xml:space="preserve">Prestadores de serviços de intermediação de dados reconhecidos; e </w:t>
      </w:r>
    </w:p>
    <w:p w14:paraId="5B45A025" w14:textId="77777777" w:rsidR="0016210E" w:rsidRPr="000D0D06" w:rsidRDefault="001936FC" w:rsidP="001936FC">
      <w:pPr>
        <w:pStyle w:val="Point1"/>
        <w:rPr>
          <w:noProof/>
        </w:rPr>
      </w:pPr>
      <w:r w:rsidRPr="000D0D06">
        <w:rPr>
          <w:noProof/>
        </w:rPr>
        <w:t>b)</w:t>
      </w:r>
      <w:r w:rsidRPr="000D0D06">
        <w:rPr>
          <w:noProof/>
        </w:rPr>
        <w:tab/>
        <w:t>Organizações de altruísmo de dados reconhecidas.</w:t>
      </w:r>
    </w:p>
    <w:p w14:paraId="191DA534" w14:textId="04AF20A5" w:rsidR="005D5D77" w:rsidRPr="000D0D06" w:rsidRDefault="001936FC" w:rsidP="001936FC">
      <w:pPr>
        <w:pStyle w:val="Point0"/>
        <w:rPr>
          <w:noProof/>
        </w:rPr>
      </w:pPr>
      <w:r w:rsidRPr="000D0D06">
        <w:rPr>
          <w:noProof/>
        </w:rPr>
        <w:t>2)</w:t>
      </w:r>
      <w:r w:rsidRPr="000D0D06">
        <w:rPr>
          <w:noProof/>
        </w:rPr>
        <w:tab/>
        <w:t xml:space="preserve">Os prestadores de serviços de intermediação de dados inscritos no registo público da União a que se refere o n.º 1, alínea a), podem utilizar o título de “prestador de serviços de intermediação de dados reconhecido na União” na sua comunicação oral e escrita, bem como o logótipo comum a que se refere o n.º 4. </w:t>
      </w:r>
    </w:p>
    <w:p w14:paraId="215775BD" w14:textId="5D7C799F" w:rsidR="008C12DB" w:rsidRPr="000D0D06" w:rsidRDefault="001936FC" w:rsidP="001936FC">
      <w:pPr>
        <w:pStyle w:val="Point0"/>
        <w:rPr>
          <w:noProof/>
        </w:rPr>
      </w:pPr>
      <w:r w:rsidRPr="000D0D06">
        <w:rPr>
          <w:noProof/>
        </w:rPr>
        <w:t>3)</w:t>
      </w:r>
      <w:r w:rsidRPr="000D0D06">
        <w:rPr>
          <w:noProof/>
        </w:rPr>
        <w:tab/>
        <w:t>As organizações de altruísmo de dados inscritas no registo público da União a que se refere o n.º 1, alínea b), podem utilizar o título de “organização de altruísmo de dados reconhecida na União” na sua comunicação oral e escrita, bem como o logótipo comum a que se refere o n.º 4.</w:t>
      </w:r>
    </w:p>
    <w:p w14:paraId="334C8FD4" w14:textId="77777777" w:rsidR="0016210E" w:rsidRPr="000D0D06" w:rsidRDefault="001936FC" w:rsidP="001936FC">
      <w:pPr>
        <w:pStyle w:val="Point0"/>
        <w:rPr>
          <w:noProof/>
        </w:rPr>
      </w:pPr>
      <w:r w:rsidRPr="000D0D06">
        <w:rPr>
          <w:noProof/>
        </w:rPr>
        <w:t>4)</w:t>
      </w:r>
      <w:r w:rsidRPr="000D0D06">
        <w:rPr>
          <w:noProof/>
        </w:rPr>
        <w:tab/>
        <w:t>A fim de garantir que os prestadores de serviços de intermediação de dados reconhecidos na União sejam facilmente identificáveis em toda a União, a Comissão fica habilitada a adotar atos de execução que determinem a conceção do logótipo comum. Os referidos atos de execução são adotados pelo procedimento consultivo a que se refere o artigo 46.º, n.º 1-A.</w:t>
      </w:r>
    </w:p>
    <w:p w14:paraId="1B368C63" w14:textId="77777777" w:rsidR="00A02019" w:rsidRPr="000D0D06" w:rsidRDefault="0078355A" w:rsidP="00EA5DBC">
      <w:pPr>
        <w:jc w:val="center"/>
        <w:rPr>
          <w:noProof/>
        </w:rPr>
      </w:pPr>
      <w:r w:rsidRPr="000D0D06">
        <w:rPr>
          <w:noProof/>
        </w:rPr>
        <w:t>Artigo 32.º-B</w:t>
      </w:r>
    </w:p>
    <w:p w14:paraId="16B479AD" w14:textId="77777777" w:rsidR="00C15547" w:rsidRPr="000D0D06" w:rsidRDefault="0046584B" w:rsidP="008D6372">
      <w:pPr>
        <w:jc w:val="center"/>
        <w:rPr>
          <w:i/>
          <w:iCs/>
          <w:noProof/>
        </w:rPr>
      </w:pPr>
      <w:r w:rsidRPr="000D0D06">
        <w:rPr>
          <w:i/>
          <w:noProof/>
        </w:rPr>
        <w:t>Autoridades competentes em matéria de registo dos prestadores de serviços de intermediação de dados e das organizações de altruísmo de dados</w:t>
      </w:r>
    </w:p>
    <w:p w14:paraId="24AC8ECE" w14:textId="77777777" w:rsidR="00C15547" w:rsidRPr="000D0D06" w:rsidRDefault="001936FC" w:rsidP="001936FC">
      <w:pPr>
        <w:pStyle w:val="Point0"/>
        <w:rPr>
          <w:noProof/>
        </w:rPr>
      </w:pPr>
      <w:r w:rsidRPr="000D0D06">
        <w:rPr>
          <w:noProof/>
        </w:rPr>
        <w:t>1)</w:t>
      </w:r>
      <w:r w:rsidRPr="000D0D06">
        <w:rPr>
          <w:noProof/>
        </w:rPr>
        <w:tab/>
        <w:t>Cada Estado-Membro designa uma ou mais autoridades competentes responsáveis pela execução e pela fiscalização do cumprimento do presente capítulo, em conformidade com o artigo 37.º, n.º 1.</w:t>
      </w:r>
    </w:p>
    <w:p w14:paraId="0AEF4E14" w14:textId="77777777" w:rsidR="00C15547" w:rsidRPr="000D0D06" w:rsidRDefault="001936FC" w:rsidP="001936FC">
      <w:pPr>
        <w:pStyle w:val="Point0"/>
        <w:rPr>
          <w:noProof/>
        </w:rPr>
      </w:pPr>
      <w:r w:rsidRPr="000D0D06">
        <w:rPr>
          <w:noProof/>
        </w:rPr>
        <w:t>2)</w:t>
      </w:r>
      <w:r w:rsidRPr="000D0D06">
        <w:rPr>
          <w:noProof/>
        </w:rPr>
        <w:tab/>
        <w:t xml:space="preserve">As autoridades competentes devem ser criadas de modo a garantir a sua independência em relação a qualquer prestador de serviços de intermediação de dados reconhecido ou organização de altruísmo de dados reconhecida. </w:t>
      </w:r>
    </w:p>
    <w:p w14:paraId="1993158F" w14:textId="77777777" w:rsidR="00A02019" w:rsidRPr="000D0D06" w:rsidRDefault="0078355A" w:rsidP="00EA5DBC">
      <w:pPr>
        <w:jc w:val="center"/>
        <w:rPr>
          <w:noProof/>
        </w:rPr>
      </w:pPr>
      <w:r w:rsidRPr="000D0D06">
        <w:rPr>
          <w:noProof/>
        </w:rPr>
        <w:t xml:space="preserve">Artigo 32.º-C </w:t>
      </w:r>
    </w:p>
    <w:p w14:paraId="3AAEBC95" w14:textId="77777777" w:rsidR="0017518C" w:rsidRPr="000D0D06" w:rsidRDefault="0017518C" w:rsidP="008D6372">
      <w:pPr>
        <w:jc w:val="center"/>
        <w:rPr>
          <w:i/>
          <w:iCs/>
          <w:noProof/>
        </w:rPr>
      </w:pPr>
      <w:r w:rsidRPr="000D0D06">
        <w:rPr>
          <w:i/>
          <w:noProof/>
        </w:rPr>
        <w:t>Requisitos gerais para o registo de prestadores de serviços de intermediação de dados reconhecidos</w:t>
      </w:r>
    </w:p>
    <w:p w14:paraId="5C856B5B" w14:textId="77777777" w:rsidR="0017518C" w:rsidRPr="000D0D06" w:rsidRDefault="0017518C" w:rsidP="00D0309F">
      <w:pPr>
        <w:rPr>
          <w:noProof/>
        </w:rPr>
      </w:pPr>
      <w:r w:rsidRPr="000D0D06">
        <w:rPr>
          <w:noProof/>
        </w:rPr>
        <w:t>Para poder ser inscrito no registo público da União a que se refere o artigo 32.º-A, n.º 1, alínea a), um prestador de serviços de intermediação de dados deve cumprir todos os seguintes requisitos:</w:t>
      </w:r>
    </w:p>
    <w:p w14:paraId="057469FD" w14:textId="3DE1C5B6" w:rsidR="00F54FF4" w:rsidRPr="000D0D06" w:rsidRDefault="001936FC" w:rsidP="001936FC">
      <w:pPr>
        <w:pStyle w:val="Point0"/>
        <w:rPr>
          <w:noProof/>
        </w:rPr>
      </w:pPr>
      <w:r w:rsidRPr="000D0D06">
        <w:rPr>
          <w:noProof/>
        </w:rPr>
        <w:t>a)</w:t>
      </w:r>
      <w:r w:rsidRPr="000D0D06">
        <w:rPr>
          <w:noProof/>
        </w:rPr>
        <w:tab/>
        <w:t>Não utiliza os dados relativamente aos quais presta serviços de intermediação de dados para outros fins que não a sua disponibilização aos utilizadores de dados;</w:t>
      </w:r>
    </w:p>
    <w:p w14:paraId="5E12BFE9" w14:textId="77777777" w:rsidR="0017518C" w:rsidRPr="000D0D06" w:rsidRDefault="001936FC" w:rsidP="001936FC">
      <w:pPr>
        <w:pStyle w:val="Point0"/>
        <w:rPr>
          <w:noProof/>
        </w:rPr>
      </w:pPr>
      <w:r w:rsidRPr="000D0D06">
        <w:rPr>
          <w:noProof/>
        </w:rPr>
        <w:t>b)</w:t>
      </w:r>
      <w:r w:rsidRPr="000D0D06">
        <w:rPr>
          <w:noProof/>
        </w:rPr>
        <w:tab/>
        <w:t>Os dados que recolhe relativamente a qualquer atividade de uma pessoa singular ou coletiva para efeitos da prestação do serviço de intermediação de dados, incluindo a data, a hora e os dados de geolocalização, a duração da atividade e as ligações a outras pessoas singulares ou coletivas estabelecidas pela pessoa que utiliza o serviço de intermediação de dados, são utilizados apenas para o desenvolvimento desse serviço de intermediação de dados; </w:t>
      </w:r>
    </w:p>
    <w:p w14:paraId="105945E8" w14:textId="196AAC77" w:rsidR="0017518C" w:rsidRPr="000D0D06" w:rsidRDefault="001936FC" w:rsidP="001936FC">
      <w:pPr>
        <w:pStyle w:val="Point0"/>
        <w:rPr>
          <w:noProof/>
        </w:rPr>
      </w:pPr>
      <w:r w:rsidRPr="000D0D06">
        <w:rPr>
          <w:noProof/>
        </w:rPr>
        <w:t>c)</w:t>
      </w:r>
      <w:r w:rsidRPr="000D0D06">
        <w:rPr>
          <w:noProof/>
        </w:rPr>
        <w:tab/>
        <w:t>Se oferecer instrumentos e serviços adicionais aos detentores dos dados ou aos titulares dos dados com a finalidade específica de facilitar o intercâmbio de dados, como o armazenamento temporário, a curadoria, a conversão, a encriptação, a anonimização e a pseudonimização, esses instrumentos e serviços só são utilizados mediante pedido ou aprovação explícita do detentor dos dados ou do titular dos dados; </w:t>
      </w:r>
    </w:p>
    <w:p w14:paraId="4BDB9D36" w14:textId="77777777" w:rsidR="005B4207" w:rsidRPr="000D0D06" w:rsidRDefault="001936FC" w:rsidP="001936FC">
      <w:pPr>
        <w:pStyle w:val="Point0"/>
        <w:rPr>
          <w:noProof/>
        </w:rPr>
      </w:pPr>
      <w:r w:rsidRPr="000D0D06">
        <w:rPr>
          <w:noProof/>
        </w:rPr>
        <w:t>d)</w:t>
      </w:r>
      <w:r w:rsidRPr="000D0D06">
        <w:rPr>
          <w:noProof/>
        </w:rPr>
        <w:tab/>
        <w:t xml:space="preserve">Caso os prestadores de serviços de intermediação de dados que não sejam micro nem pequenas empresas ofereçam serviços de valor acrescentado aos seus clientes que não os serviços referidos na alínea c), preenchem as seguintes condições: </w:t>
      </w:r>
    </w:p>
    <w:p w14:paraId="432B08D8" w14:textId="77777777" w:rsidR="005B4207" w:rsidRPr="000D0D06" w:rsidRDefault="00BB04C4" w:rsidP="00BB04C4">
      <w:pPr>
        <w:pStyle w:val="Point2"/>
        <w:rPr>
          <w:noProof/>
        </w:rPr>
      </w:pPr>
      <w:r w:rsidRPr="000D0D06">
        <w:rPr>
          <w:noProof/>
        </w:rPr>
        <w:t>i)</w:t>
      </w:r>
      <w:r w:rsidRPr="000D0D06">
        <w:rPr>
          <w:noProof/>
        </w:rPr>
        <w:tab/>
        <w:t xml:space="preserve">os serviços de valor acrescentado são explicitamente solicitados pelo utilizador, </w:t>
      </w:r>
    </w:p>
    <w:p w14:paraId="64FF1358" w14:textId="77777777" w:rsidR="00AA6A5D" w:rsidRPr="000D0D06" w:rsidRDefault="00BB04C4" w:rsidP="00BB04C4">
      <w:pPr>
        <w:pStyle w:val="Point2"/>
        <w:rPr>
          <w:noProof/>
        </w:rPr>
      </w:pPr>
      <w:r w:rsidRPr="000D0D06">
        <w:rPr>
          <w:noProof/>
        </w:rPr>
        <w:t>ii)</w:t>
      </w:r>
      <w:r w:rsidRPr="000D0D06">
        <w:rPr>
          <w:noProof/>
        </w:rPr>
        <w:tab/>
        <w:t xml:space="preserve">os dados não são utilizados para outros fins que não a prestação do serviço de valor acrescentado, </w:t>
      </w:r>
    </w:p>
    <w:p w14:paraId="2895FEBF" w14:textId="77777777" w:rsidR="005B4207" w:rsidRPr="000D0D06" w:rsidRDefault="00BB04C4" w:rsidP="00BB04C4">
      <w:pPr>
        <w:pStyle w:val="Point2"/>
        <w:rPr>
          <w:noProof/>
        </w:rPr>
      </w:pPr>
      <w:r w:rsidRPr="000D0D06">
        <w:rPr>
          <w:noProof/>
        </w:rPr>
        <w:t>iii)</w:t>
      </w:r>
      <w:r w:rsidRPr="000D0D06">
        <w:rPr>
          <w:noProof/>
        </w:rPr>
        <w:tab/>
        <w:t xml:space="preserve">os serviços de valor acrescentado são oferecidos através de uma entidade funcionalmente distinta, </w:t>
      </w:r>
    </w:p>
    <w:p w14:paraId="1D5AAED2" w14:textId="77777777" w:rsidR="00481392" w:rsidRPr="000D0D06" w:rsidRDefault="00BB04C4" w:rsidP="00BB04C4">
      <w:pPr>
        <w:pStyle w:val="Point2"/>
        <w:rPr>
          <w:noProof/>
        </w:rPr>
      </w:pPr>
      <w:r w:rsidRPr="000D0D06">
        <w:rPr>
          <w:noProof/>
        </w:rPr>
        <w:t>iv)</w:t>
      </w:r>
      <w:r w:rsidRPr="000D0D06">
        <w:rPr>
          <w:noProof/>
        </w:rPr>
        <w:tab/>
        <w:t xml:space="preserve">a empresa que pretende oferecer os serviços de valor acrescentado não é designada como controlador de acesso nos termos do artigo 3.º do Regulamento (UE) 2022/1925, </w:t>
      </w:r>
    </w:p>
    <w:p w14:paraId="3AF16211" w14:textId="77777777" w:rsidR="00C92ACB" w:rsidRPr="000D0D06" w:rsidRDefault="00BB04C4" w:rsidP="00BB04C4">
      <w:pPr>
        <w:pStyle w:val="Point2"/>
        <w:rPr>
          <w:noProof/>
        </w:rPr>
      </w:pPr>
      <w:r w:rsidRPr="000D0D06">
        <w:rPr>
          <w:noProof/>
        </w:rPr>
        <w:t>v)</w:t>
      </w:r>
      <w:r w:rsidRPr="000D0D06">
        <w:rPr>
          <w:noProof/>
        </w:rPr>
        <w:tab/>
        <w:t>as condições comerciais, incluindo os preços, para a prestação de serviços de intermediação de dados a um detentor ou utilizador de dados não dependem do facto de o detentor ou utilizador de dados utilizar serviços de valor acrescentado prestados pelo prestador de serviços de intermediação de dados ou por uma entidade com ele relacionada;</w:t>
      </w:r>
    </w:p>
    <w:p w14:paraId="594BED5B" w14:textId="77777777" w:rsidR="0017518C" w:rsidRPr="000D0D06" w:rsidRDefault="001936FC" w:rsidP="001936FC">
      <w:pPr>
        <w:pStyle w:val="Point0"/>
        <w:rPr>
          <w:noProof/>
        </w:rPr>
      </w:pPr>
      <w:r w:rsidRPr="000D0D06">
        <w:rPr>
          <w:noProof/>
        </w:rPr>
        <w:t>e)</w:t>
      </w:r>
      <w:r w:rsidRPr="000D0D06">
        <w:rPr>
          <w:noProof/>
        </w:rPr>
        <w:tab/>
        <w:t>O prestador de serviços de intermediação de dados que oferece serviços a titulares dos dados age no melhor interesse destes ao facilitar o exercício dos seus direitos, em especial informando-os e, se for caso disso, aconselhando-os de forma concisa, transparente, inteligível e facilmente acessível sobre as utilizações previstas dos dados por parte dos utilizadores dos dados e sobre as condições gerais associadas a essas utilizações, antes de os titulares dos dados darem o seu consentimento.</w:t>
      </w:r>
    </w:p>
    <w:p w14:paraId="50DDAB54" w14:textId="77777777" w:rsidR="004719F5" w:rsidRPr="000D0D06" w:rsidRDefault="0078355A" w:rsidP="008D6372">
      <w:pPr>
        <w:jc w:val="center"/>
        <w:rPr>
          <w:noProof/>
        </w:rPr>
      </w:pPr>
      <w:r w:rsidRPr="000D0D06">
        <w:rPr>
          <w:noProof/>
        </w:rPr>
        <w:t>Artigo 32.º-D</w:t>
      </w:r>
    </w:p>
    <w:p w14:paraId="6302853D" w14:textId="77777777" w:rsidR="0017518C" w:rsidRPr="000D0D06" w:rsidRDefault="0017518C" w:rsidP="008D6372">
      <w:pPr>
        <w:jc w:val="center"/>
        <w:rPr>
          <w:i/>
          <w:iCs/>
          <w:noProof/>
        </w:rPr>
      </w:pPr>
      <w:r w:rsidRPr="000D0D06">
        <w:rPr>
          <w:i/>
          <w:noProof/>
        </w:rPr>
        <w:t>Requisitos gerais para o registo de organizações de altruísmo de dados reconhecidas</w:t>
      </w:r>
    </w:p>
    <w:p w14:paraId="72BE5930" w14:textId="77777777" w:rsidR="0017518C" w:rsidRPr="000D0D06" w:rsidRDefault="0017518C" w:rsidP="60E008F6">
      <w:pPr>
        <w:rPr>
          <w:noProof/>
        </w:rPr>
      </w:pPr>
      <w:r w:rsidRPr="000D0D06">
        <w:rPr>
          <w:noProof/>
        </w:rPr>
        <w:t>Para poder ser inscrita no registo público da União a que se refere o artigo 32.º-A, n.º 1, alínea b), uma organização de altruísmo de dados deve cumprir todos os seguintes requisitos:</w:t>
      </w:r>
    </w:p>
    <w:p w14:paraId="0B707316" w14:textId="77777777" w:rsidR="0017518C" w:rsidRPr="000D0D06" w:rsidRDefault="001936FC" w:rsidP="001936FC">
      <w:pPr>
        <w:pStyle w:val="Point0"/>
        <w:rPr>
          <w:noProof/>
        </w:rPr>
      </w:pPr>
      <w:r w:rsidRPr="000D0D06">
        <w:rPr>
          <w:noProof/>
        </w:rPr>
        <w:t>a)</w:t>
      </w:r>
      <w:r w:rsidRPr="000D0D06">
        <w:rPr>
          <w:noProof/>
        </w:rPr>
        <w:tab/>
        <w:t>Realizar atividades de altruísmo de dados;</w:t>
      </w:r>
    </w:p>
    <w:p w14:paraId="73FBD527" w14:textId="77777777" w:rsidR="0017518C" w:rsidRPr="000D0D06" w:rsidRDefault="001936FC" w:rsidP="001936FC">
      <w:pPr>
        <w:pStyle w:val="Point0"/>
        <w:rPr>
          <w:noProof/>
        </w:rPr>
      </w:pPr>
      <w:r w:rsidRPr="000D0D06">
        <w:rPr>
          <w:noProof/>
        </w:rPr>
        <w:t>b)</w:t>
      </w:r>
      <w:r w:rsidRPr="000D0D06">
        <w:rPr>
          <w:noProof/>
        </w:rPr>
        <w:tab/>
        <w:t>Ser uma pessoa coletiva estabelecida nos termos do direito nacional para responder a objetivos de interesse geral, tal como previsto no direito nacional, quando aplicável;</w:t>
      </w:r>
    </w:p>
    <w:p w14:paraId="1F2D21EC" w14:textId="77777777" w:rsidR="0017518C" w:rsidRPr="000D0D06" w:rsidRDefault="001936FC" w:rsidP="001936FC">
      <w:pPr>
        <w:pStyle w:val="Point0"/>
        <w:rPr>
          <w:noProof/>
        </w:rPr>
      </w:pPr>
      <w:r w:rsidRPr="000D0D06">
        <w:rPr>
          <w:noProof/>
        </w:rPr>
        <w:t>c)</w:t>
      </w:r>
      <w:r w:rsidRPr="000D0D06">
        <w:rPr>
          <w:noProof/>
        </w:rPr>
        <w:tab/>
        <w:t>Operar sem fins lucrativos e ser juridicamente independente de qualquer entidade que opere com fins lucrativos;</w:t>
      </w:r>
    </w:p>
    <w:p w14:paraId="217B0BD1" w14:textId="77777777" w:rsidR="0017518C" w:rsidRPr="000D0D06" w:rsidRDefault="001936FC" w:rsidP="001936FC">
      <w:pPr>
        <w:pStyle w:val="Point0"/>
        <w:rPr>
          <w:noProof/>
        </w:rPr>
      </w:pPr>
      <w:r w:rsidRPr="000D0D06">
        <w:rPr>
          <w:noProof/>
        </w:rPr>
        <w:t>d)</w:t>
      </w:r>
      <w:r w:rsidRPr="000D0D06">
        <w:rPr>
          <w:noProof/>
        </w:rPr>
        <w:tab/>
        <w:t>Realizar as suas atividades de altruísmo de dados por meio de uma estrutura que seja funcionalmente distinta das suas outras atividades.</w:t>
      </w:r>
    </w:p>
    <w:p w14:paraId="0881036E" w14:textId="77777777" w:rsidR="00350F88" w:rsidRPr="000D0D06" w:rsidRDefault="0017518C" w:rsidP="00482892">
      <w:pPr>
        <w:jc w:val="center"/>
        <w:rPr>
          <w:noProof/>
        </w:rPr>
      </w:pPr>
      <w:r w:rsidRPr="000D0D06">
        <w:rPr>
          <w:noProof/>
        </w:rPr>
        <w:t>Artigo 32.º-E</w:t>
      </w:r>
    </w:p>
    <w:p w14:paraId="586D56C5" w14:textId="77777777" w:rsidR="0017518C" w:rsidRPr="000D0D06" w:rsidRDefault="0017518C" w:rsidP="00482892">
      <w:pPr>
        <w:jc w:val="center"/>
        <w:rPr>
          <w:i/>
          <w:noProof/>
        </w:rPr>
      </w:pPr>
      <w:r w:rsidRPr="000D0D06">
        <w:rPr>
          <w:i/>
          <w:noProof/>
        </w:rPr>
        <w:t>Registo</w:t>
      </w:r>
    </w:p>
    <w:p w14:paraId="75A6AC2A" w14:textId="2C670070" w:rsidR="00FB4E80" w:rsidRPr="000D0D06" w:rsidRDefault="001936FC" w:rsidP="001936FC">
      <w:pPr>
        <w:pStyle w:val="Point0"/>
        <w:rPr>
          <w:noProof/>
        </w:rPr>
      </w:pPr>
      <w:r w:rsidRPr="000D0D06">
        <w:rPr>
          <w:noProof/>
        </w:rPr>
        <w:t>1)</w:t>
      </w:r>
      <w:r w:rsidRPr="000D0D06">
        <w:rPr>
          <w:noProof/>
        </w:rPr>
        <w:tab/>
        <w:t>Os prestadores de serviços de intermediação de dados que cumpram os requisitos estabelecidos no artigo 32.º-C podem apresentar um pedido de inscrição no registo público da União de prestadores de serviços de intermediação de dados reconhecidos à autoridade competente a que se refere o artigo 32.º-B no Estado-Membro em que têm o seu estabelecimento principal.</w:t>
      </w:r>
    </w:p>
    <w:p w14:paraId="1627B6FB" w14:textId="06888CCD" w:rsidR="004D717B" w:rsidRPr="000D0D06" w:rsidRDefault="00E2186D" w:rsidP="00665C74">
      <w:pPr>
        <w:pStyle w:val="Text1"/>
        <w:rPr>
          <w:noProof/>
        </w:rPr>
      </w:pPr>
      <w:r w:rsidRPr="000D0D06">
        <w:rPr>
          <w:noProof/>
        </w:rPr>
        <w:t xml:space="preserve">As organizações de altruísmo de dados que cumpram os requisitos estabelecidos no artigo 32.º-D podem apresentar um pedido de inscrição no registo público da União de organizações de altruísmo de dados reconhecidas à autoridade competente a que se refere o artigo 32.º-B no Estado-Membro em que têm o seu estabelecimento principal. </w:t>
      </w:r>
    </w:p>
    <w:p w14:paraId="0CA36812" w14:textId="3F8E4C38" w:rsidR="00EF7CCF" w:rsidRPr="000D0D06" w:rsidRDefault="001936FC" w:rsidP="001936FC">
      <w:pPr>
        <w:pStyle w:val="Point0"/>
        <w:rPr>
          <w:noProof/>
        </w:rPr>
      </w:pPr>
      <w:r w:rsidRPr="000D0D06">
        <w:rPr>
          <w:noProof/>
        </w:rPr>
        <w:t>2)</w:t>
      </w:r>
      <w:r w:rsidRPr="000D0D06">
        <w:rPr>
          <w:noProof/>
        </w:rPr>
        <w:tab/>
        <w:t>Os prestadores de serviços de intermediação de dados e as organizações de altruísmo de dados que não tenham estabelecimento principal na União devem designar um representante legal num dos Estados-Membros. O representante legal deve ser mandatado pelas autoridades competentes ou pelos titulares e detentores dos dados para ser contactado, em complemento ou em substituição do prestador de serviços de intermediação de dados ou da organização de altruísmo de dados. O representante legal coopera com a autoridade competente e demonstra-lhe cabalmente, mediante pedido, as medidas tomadas e as disposições adotadas pelo prestador de serviços de intermediação de dados ou pela organização de altruísmo de dados para assegurar o cumprimento do presente regulamento.</w:t>
      </w:r>
    </w:p>
    <w:p w14:paraId="73DC2672" w14:textId="77777777" w:rsidR="00460817" w:rsidRPr="000D0D06" w:rsidRDefault="00B51E1B" w:rsidP="00665C74">
      <w:pPr>
        <w:pStyle w:val="Text1"/>
        <w:rPr>
          <w:noProof/>
        </w:rPr>
      </w:pPr>
      <w:r w:rsidRPr="000D0D06">
        <w:rPr>
          <w:noProof/>
        </w:rPr>
        <w:t>Considera-se que o prestador de serviços de intermediação de dados ou a organização de altruísmo de dados está sob a jurisdição do Estado-Membro em que o representante legal está localizado. A designação de um representante legal não prejudica quaisquer ações judiciais que possam ser intentadas contra o prestador de serviços de intermediação de dados ou a organização de altruísmo de dados.</w:t>
      </w:r>
    </w:p>
    <w:p w14:paraId="5FBBCE2F" w14:textId="77777777" w:rsidR="00333DFE" w:rsidRPr="000D0D06" w:rsidRDefault="001936FC" w:rsidP="001936FC">
      <w:pPr>
        <w:pStyle w:val="Point0"/>
        <w:rPr>
          <w:noProof/>
        </w:rPr>
      </w:pPr>
      <w:r w:rsidRPr="000D0D06">
        <w:rPr>
          <w:noProof/>
        </w:rPr>
        <w:t>3)</w:t>
      </w:r>
      <w:r w:rsidRPr="000D0D06">
        <w:rPr>
          <w:noProof/>
        </w:rPr>
        <w:tab/>
        <w:t xml:space="preserve">As autoridades competentes devem estabelecer os formulários de pedido necessários. </w:t>
      </w:r>
    </w:p>
    <w:p w14:paraId="42E1DB22" w14:textId="77777777" w:rsidR="00FB4E80" w:rsidRPr="000D0D06" w:rsidRDefault="001936FC" w:rsidP="001936FC">
      <w:pPr>
        <w:pStyle w:val="Point0"/>
        <w:rPr>
          <w:noProof/>
        </w:rPr>
      </w:pPr>
      <w:r w:rsidRPr="000D0D06">
        <w:rPr>
          <w:noProof/>
        </w:rPr>
        <w:t>4)</w:t>
      </w:r>
      <w:r w:rsidRPr="000D0D06">
        <w:rPr>
          <w:noProof/>
        </w:rPr>
        <w:tab/>
        <w:t>Caso um prestador de serviços de intermediação de dados tenha apresentado todas as informações necessárias nos termos do n.º 3 do presente artigo e cumpra os requisitos estabelecidos no artigo 32.º-C, a autoridade competente toma, no prazo de 12 semanas a contar da receção do pedido de registo, uma decisão sobre se o prestador cumpre os critérios estabelecidos no artigo 32.º-C. Caso o prestador cumpra os critérios, a autoridade competente deve apresentar as informações pertinentes à Comissão, que deve inscrever os prestadores no registo público da União como prestadores de serviços de intermediação de dados reconhecidos.</w:t>
      </w:r>
    </w:p>
    <w:p w14:paraId="6DA07D11" w14:textId="77777777" w:rsidR="00FB4E80" w:rsidRPr="000D0D06" w:rsidRDefault="0096416A" w:rsidP="00BB04C4">
      <w:pPr>
        <w:pStyle w:val="Text1"/>
        <w:rPr>
          <w:noProof/>
        </w:rPr>
      </w:pPr>
      <w:r w:rsidRPr="000D0D06">
        <w:rPr>
          <w:noProof/>
        </w:rPr>
        <w:t>O primeiro parágrafo é igualmente aplicável caso uma organização de altruísmo de dados tenha apresentado todas as informações necessárias nos termos do n.º 2 e cumpra os requisitos de registo estabelecidos no artigo 32.º-D.</w:t>
      </w:r>
    </w:p>
    <w:p w14:paraId="40EAED96" w14:textId="77777777" w:rsidR="00FB4E80" w:rsidRPr="000D0D06" w:rsidRDefault="00FB4E80" w:rsidP="00BB04C4">
      <w:pPr>
        <w:pStyle w:val="Text1"/>
        <w:rPr>
          <w:noProof/>
        </w:rPr>
      </w:pPr>
      <w:r w:rsidRPr="000D0D06">
        <w:rPr>
          <w:noProof/>
        </w:rPr>
        <w:t>A inscrição no registo público da União é válida em todos os Estados-Membros.</w:t>
      </w:r>
    </w:p>
    <w:p w14:paraId="0FA96970" w14:textId="77777777" w:rsidR="00B275DB" w:rsidRPr="000D0D06" w:rsidRDefault="001936FC" w:rsidP="001936FC">
      <w:pPr>
        <w:pStyle w:val="Point0"/>
        <w:rPr>
          <w:noProof/>
        </w:rPr>
      </w:pPr>
      <w:r w:rsidRPr="000D0D06">
        <w:rPr>
          <w:noProof/>
        </w:rPr>
        <w:t>5)</w:t>
      </w:r>
      <w:r w:rsidRPr="000D0D06">
        <w:rPr>
          <w:noProof/>
        </w:rPr>
        <w:tab/>
        <w:t>A autoridade competente pode cobrar taxas pelo registo em conformidade com o direito nacional. Essas taxas devem ser proporcionadas e objetivas e basear-se nos custos administrativos relacionados com o controlo do cumprimento. No caso das pequenas empresas de média capitalização, das pequenas e médias empresas e das empresas em fase de arranque, a autoridade competente pode cobrar uma taxa reduzida ou isentá-las do pagamento da taxa.</w:t>
      </w:r>
    </w:p>
    <w:p w14:paraId="713EAE46" w14:textId="77777777" w:rsidR="00B275DB" w:rsidRPr="000D0D06" w:rsidRDefault="001936FC" w:rsidP="001936FC">
      <w:pPr>
        <w:pStyle w:val="Point0"/>
        <w:rPr>
          <w:noProof/>
        </w:rPr>
      </w:pPr>
      <w:r w:rsidRPr="000D0D06">
        <w:rPr>
          <w:noProof/>
        </w:rPr>
        <w:t>6)</w:t>
      </w:r>
      <w:r w:rsidRPr="000D0D06">
        <w:rPr>
          <w:noProof/>
        </w:rPr>
        <w:tab/>
        <w:t>As entidades registadas devem notificar a autoridade competente de quaisquer alterações subsequentes das informações fornecidas durante o processo de pedido ou caso cessem as suas atividades de intermediação de dados ou de altruísmo de dados na União.</w:t>
      </w:r>
    </w:p>
    <w:p w14:paraId="0CB0A34D" w14:textId="42A4056F" w:rsidR="00B23619" w:rsidRPr="000D0D06" w:rsidRDefault="001936FC" w:rsidP="001936FC">
      <w:pPr>
        <w:pStyle w:val="Point0"/>
        <w:rPr>
          <w:noProof/>
        </w:rPr>
      </w:pPr>
      <w:r w:rsidRPr="000D0D06">
        <w:rPr>
          <w:noProof/>
        </w:rPr>
        <w:t>7)</w:t>
      </w:r>
      <w:r w:rsidRPr="000D0D06">
        <w:rPr>
          <w:noProof/>
        </w:rPr>
        <w:tab/>
        <w:t>A autoridade competente deve notificar a Comissão sem demora e por via eletrónica de qualquer notificação nos termos do n.º 6. A Comissão atualiza, sem demora injustificada, o registo público da União.</w:t>
      </w:r>
    </w:p>
    <w:p w14:paraId="6F757BCA" w14:textId="77777777" w:rsidR="00CD1E8F" w:rsidRPr="000D0D06" w:rsidRDefault="00636B61" w:rsidP="00324761">
      <w:pPr>
        <w:ind w:left="66"/>
        <w:jc w:val="center"/>
        <w:rPr>
          <w:noProof/>
        </w:rPr>
      </w:pPr>
      <w:r w:rsidRPr="000D0D06">
        <w:rPr>
          <w:noProof/>
        </w:rPr>
        <w:t>Artigo 32.º-F</w:t>
      </w:r>
    </w:p>
    <w:p w14:paraId="091AE4C7" w14:textId="77777777" w:rsidR="00977536" w:rsidRPr="000D0D06" w:rsidRDefault="00636B61" w:rsidP="00324761">
      <w:pPr>
        <w:ind w:left="66"/>
        <w:jc w:val="center"/>
        <w:rPr>
          <w:i/>
          <w:noProof/>
        </w:rPr>
      </w:pPr>
      <w:r w:rsidRPr="000D0D06">
        <w:rPr>
          <w:i/>
          <w:noProof/>
        </w:rPr>
        <w:t>Obrigações das organizações de altruísmo de dados reconhecidas</w:t>
      </w:r>
    </w:p>
    <w:p w14:paraId="67C76B73" w14:textId="77777777" w:rsidR="00651318" w:rsidRPr="000D0D06" w:rsidRDefault="001936FC" w:rsidP="001936FC">
      <w:pPr>
        <w:pStyle w:val="Point0"/>
        <w:rPr>
          <w:noProof/>
        </w:rPr>
      </w:pPr>
      <w:r w:rsidRPr="000D0D06">
        <w:rPr>
          <w:noProof/>
        </w:rPr>
        <w:t>1)</w:t>
      </w:r>
      <w:r w:rsidRPr="000D0D06">
        <w:rPr>
          <w:noProof/>
        </w:rPr>
        <w:tab/>
        <w:t>As organizações de altruísmo de dados reconhecidas informam os titulares dos dados ou os detentores dos dados, antes de qualquer tratamento dos seus dados, de uma forma clara e facilmente compreensível sobre o seguinte:</w:t>
      </w:r>
    </w:p>
    <w:p w14:paraId="68720DB7" w14:textId="77777777" w:rsidR="00651318" w:rsidRPr="000D0D06" w:rsidRDefault="00651318" w:rsidP="00665C74">
      <w:pPr>
        <w:pStyle w:val="Text2"/>
        <w:rPr>
          <w:noProof/>
        </w:rPr>
      </w:pPr>
      <w:r w:rsidRPr="000D0D06">
        <w:rPr>
          <w:noProof/>
        </w:rPr>
        <w:t>a) Os objetivos de interesse geral e, se for caso disso, a finalidade específica, explícita e legítima para a qual os dados pessoais devem ser tratados, e para a qual permitem o tratamento dos seus dados por um utilizador de dados;</w:t>
      </w:r>
    </w:p>
    <w:p w14:paraId="7A8517BE" w14:textId="77777777" w:rsidR="00A61727" w:rsidRPr="000D0D06" w:rsidRDefault="00651318" w:rsidP="00665C74">
      <w:pPr>
        <w:pStyle w:val="Text2"/>
        <w:rPr>
          <w:noProof/>
        </w:rPr>
      </w:pPr>
      <w:r w:rsidRPr="000D0D06">
        <w:rPr>
          <w:noProof/>
        </w:rPr>
        <w:t>b) A localização do tratamento e os objetivos de interesse geral para os quais permitem qualquer tratamento realizado num país terceiro, caso o tratamento seja realizado pela organização de altruísmo de dados reconhecida.</w:t>
      </w:r>
    </w:p>
    <w:p w14:paraId="5EECD44D" w14:textId="77777777" w:rsidR="00A61727" w:rsidRPr="000D0D06" w:rsidRDefault="001936FC" w:rsidP="001936FC">
      <w:pPr>
        <w:pStyle w:val="Point0"/>
        <w:rPr>
          <w:noProof/>
        </w:rPr>
      </w:pPr>
      <w:r w:rsidRPr="000D0D06">
        <w:rPr>
          <w:noProof/>
        </w:rPr>
        <w:t>2)</w:t>
      </w:r>
      <w:r w:rsidRPr="000D0D06">
        <w:rPr>
          <w:noProof/>
        </w:rPr>
        <w:tab/>
        <w:t>As organizações de altruísmo de dados reconhecidas não podem utilizar os dados com outros objetivos que não os objetivos de interesse geral para os quais o titular dos dados ou o detentor dos dados autoriza o tratamento. A organização de altruísmo de dados reconhecida não pode recorrer a práticas comerciais enganosas para solicitar o fornecimento de dados.</w:t>
      </w:r>
    </w:p>
    <w:p w14:paraId="3E99669D" w14:textId="7C1FC51D" w:rsidR="00A61727" w:rsidRPr="000D0D06" w:rsidRDefault="001936FC" w:rsidP="001936FC">
      <w:pPr>
        <w:pStyle w:val="Point0"/>
        <w:rPr>
          <w:noProof/>
        </w:rPr>
      </w:pPr>
      <w:r w:rsidRPr="000D0D06">
        <w:rPr>
          <w:noProof/>
        </w:rPr>
        <w:t>3)</w:t>
      </w:r>
      <w:r w:rsidRPr="000D0D06">
        <w:rPr>
          <w:noProof/>
        </w:rPr>
        <w:tab/>
        <w:t>As organizações de altruísmo de dados reconhecidas disponibilizam meios eletrónicos para obter o consentimento dos titulares dos dados ou a autorização para o tratamento dos dados disponibilizados pelos detentores dos dados, bem como para a sua retirada.</w:t>
      </w:r>
    </w:p>
    <w:p w14:paraId="1E026A4E" w14:textId="77777777" w:rsidR="00A61727" w:rsidRPr="000D0D06" w:rsidRDefault="001936FC" w:rsidP="001936FC">
      <w:pPr>
        <w:pStyle w:val="Point0"/>
        <w:rPr>
          <w:noProof/>
        </w:rPr>
      </w:pPr>
      <w:r w:rsidRPr="000D0D06">
        <w:rPr>
          <w:noProof/>
        </w:rPr>
        <w:t>4)</w:t>
      </w:r>
      <w:r w:rsidRPr="000D0D06">
        <w:rPr>
          <w:noProof/>
        </w:rPr>
        <w:tab/>
        <w:t>As organizações de altruísmo de dados reconhecidas informam sem demora os detentores dos dados em caso de qualquer transferência, acesso ou utilização não autorizados dos dados não pessoais que tenham partilhado.</w:t>
      </w:r>
    </w:p>
    <w:p w14:paraId="5DB500EF" w14:textId="77777777" w:rsidR="00384453" w:rsidRPr="000D0D06" w:rsidRDefault="001936FC" w:rsidP="001936FC">
      <w:pPr>
        <w:pStyle w:val="Point0"/>
        <w:rPr>
          <w:noProof/>
        </w:rPr>
      </w:pPr>
      <w:r w:rsidRPr="000D0D06">
        <w:rPr>
          <w:noProof/>
        </w:rPr>
        <w:t>5)</w:t>
      </w:r>
      <w:r w:rsidRPr="000D0D06">
        <w:rPr>
          <w:noProof/>
        </w:rPr>
        <w:tab/>
        <w:t>Caso as organizações de altruísmo de dados reconhecidas facilitem o tratamento de dados por terceiros, nomeadamente facultando instrumentos para obter o consentimento dos titulares dos dados ou a autorização para o tratamento dos dados disponibilizados pelos detentores dos dados, especificam, se for caso disso, o país terceiro em que se pretende utilizar os dados.</w:t>
      </w:r>
    </w:p>
    <w:p w14:paraId="03F1BF6C" w14:textId="77777777" w:rsidR="00A02019" w:rsidRPr="000D0D06" w:rsidRDefault="0078355A" w:rsidP="004719F5">
      <w:pPr>
        <w:spacing w:before="0" w:after="160" w:line="259" w:lineRule="auto"/>
        <w:jc w:val="center"/>
        <w:rPr>
          <w:noProof/>
        </w:rPr>
      </w:pPr>
      <w:r w:rsidRPr="000D0D06">
        <w:rPr>
          <w:noProof/>
        </w:rPr>
        <w:t>Artigo 32.º-G</w:t>
      </w:r>
    </w:p>
    <w:p w14:paraId="6C49499B" w14:textId="77777777" w:rsidR="00384453" w:rsidRPr="000D0D06" w:rsidRDefault="00384453" w:rsidP="008D6372">
      <w:pPr>
        <w:spacing w:before="0" w:after="160" w:line="259" w:lineRule="auto"/>
        <w:jc w:val="center"/>
        <w:rPr>
          <w:i/>
          <w:iCs/>
          <w:noProof/>
        </w:rPr>
      </w:pPr>
      <w:r w:rsidRPr="000D0D06">
        <w:rPr>
          <w:i/>
          <w:noProof/>
        </w:rPr>
        <w:t>Controlo do cumprimento</w:t>
      </w:r>
    </w:p>
    <w:p w14:paraId="5299A210" w14:textId="77777777" w:rsidR="00384453" w:rsidRPr="000D0D06" w:rsidRDefault="001936FC" w:rsidP="001936FC">
      <w:pPr>
        <w:pStyle w:val="Point0"/>
        <w:rPr>
          <w:noProof/>
        </w:rPr>
      </w:pPr>
      <w:r w:rsidRPr="000D0D06">
        <w:rPr>
          <w:noProof/>
        </w:rPr>
        <w:t>1)</w:t>
      </w:r>
      <w:r w:rsidRPr="000D0D06">
        <w:rPr>
          <w:noProof/>
        </w:rPr>
        <w:tab/>
        <w:t>As autoridades competentes a que se refere o artigo 32.º-B devem controlar e supervisionar, por iniciativa própria ou a pedido de uma pessoa singular ou coletiva, se os prestadores de serviços de intermediação de dados reconhecidos e as organizações de altruísmo de dados reconhecidas cumprem os requisitos estabelecidos no presente capítulo, nomeadamente se continuam a cumprir os requisitos de registo nele estabelecidos.</w:t>
      </w:r>
    </w:p>
    <w:p w14:paraId="6AEB293C" w14:textId="77777777" w:rsidR="003A59A2" w:rsidRPr="000D0D06" w:rsidRDefault="001936FC" w:rsidP="001936FC">
      <w:pPr>
        <w:pStyle w:val="Point0"/>
        <w:rPr>
          <w:noProof/>
        </w:rPr>
      </w:pPr>
      <w:r w:rsidRPr="000D0D06">
        <w:rPr>
          <w:noProof/>
        </w:rPr>
        <w:t>2)</w:t>
      </w:r>
      <w:r w:rsidRPr="000D0D06">
        <w:rPr>
          <w:noProof/>
        </w:rPr>
        <w:tab/>
        <w:t>As autoridades competentes têm poderes para solicitar aos prestadores de serviços de intermediação de dados reconhecidos ou às organizações de altruísmo de dados reconhecidas, ou ao seu representante legal, todas as informações necessárias para verificar o cumprimento dos requisitos estabelecidos no presente capítulo. Os pedidos de informação devem ser proporcionados em relação ao desempenho da função a que se destinam e devem ser fundamentados.</w:t>
      </w:r>
    </w:p>
    <w:p w14:paraId="5A99D270" w14:textId="77777777" w:rsidR="00384453" w:rsidRPr="000D0D06" w:rsidRDefault="001936FC" w:rsidP="001936FC">
      <w:pPr>
        <w:pStyle w:val="Point0"/>
        <w:rPr>
          <w:noProof/>
        </w:rPr>
      </w:pPr>
      <w:r w:rsidRPr="000D0D06">
        <w:rPr>
          <w:noProof/>
        </w:rPr>
        <w:t>3)</w:t>
      </w:r>
      <w:r w:rsidRPr="000D0D06">
        <w:rPr>
          <w:noProof/>
        </w:rPr>
        <w:tab/>
        <w:t>Se a autoridade competente verificar que um prestador de serviços de intermediação de dados reconhecido ou uma organização de altruísmo de dados reconhecida não cumpre um ou mais dos requisitos estabelecidos no presente capítulo, deve notificar essa entidade ou o seu representante legal, desse facto e dar-lhe a oportunidade de exprimir os seus pontos de vista, num prazo de 30 dias a contar da receção da notificação.</w:t>
      </w:r>
    </w:p>
    <w:p w14:paraId="5A2B0567" w14:textId="77777777" w:rsidR="00384453" w:rsidRPr="000D0D06" w:rsidRDefault="001936FC" w:rsidP="001936FC">
      <w:pPr>
        <w:pStyle w:val="Point0"/>
        <w:rPr>
          <w:noProof/>
        </w:rPr>
      </w:pPr>
      <w:r w:rsidRPr="000D0D06">
        <w:rPr>
          <w:noProof/>
        </w:rPr>
        <w:t>4)</w:t>
      </w:r>
      <w:r w:rsidRPr="000D0D06">
        <w:rPr>
          <w:noProof/>
        </w:rPr>
        <w:tab/>
        <w:t>A autoridade competente pode exigir a cessação do incumprimento a que se refere o n.º 3 imediatamente ou num prazo razoável e toma medidas adequadas e proporcionadas com o objetivo de garantir o cumprimento.</w:t>
      </w:r>
    </w:p>
    <w:p w14:paraId="3F7B1DC7" w14:textId="77777777" w:rsidR="00384453" w:rsidRPr="000D0D06" w:rsidRDefault="001936FC" w:rsidP="001936FC">
      <w:pPr>
        <w:pStyle w:val="Point0"/>
        <w:rPr>
          <w:noProof/>
        </w:rPr>
      </w:pPr>
      <w:r w:rsidRPr="000D0D06">
        <w:rPr>
          <w:noProof/>
        </w:rPr>
        <w:t>5)</w:t>
      </w:r>
      <w:r w:rsidRPr="000D0D06">
        <w:rPr>
          <w:noProof/>
        </w:rPr>
        <w:tab/>
        <w:t>Se um prestador de serviços de intermediação de dados reconhecido ou uma organização de altruísmo de dados reconhecida não cumprir um ou mais dos requisitos estabelecidos no presente capítulo, mesmo após ter sido notificada nos termos do n.º 3, essa entidade:</w:t>
      </w:r>
    </w:p>
    <w:p w14:paraId="71324191" w14:textId="77777777" w:rsidR="00384453" w:rsidRPr="000D0D06" w:rsidRDefault="00384453" w:rsidP="00BB04C4">
      <w:pPr>
        <w:pStyle w:val="Text2"/>
        <w:rPr>
          <w:noProof/>
        </w:rPr>
      </w:pPr>
      <w:r w:rsidRPr="000D0D06">
        <w:rPr>
          <w:noProof/>
        </w:rPr>
        <w:t>a) Perde o direito de utilizar o título referido no artigo 32.º-A na comunicação oral e escrita;</w:t>
      </w:r>
    </w:p>
    <w:p w14:paraId="300A558E" w14:textId="77777777" w:rsidR="00384453" w:rsidRPr="000D0D06" w:rsidRDefault="00384453" w:rsidP="00BB04C4">
      <w:pPr>
        <w:pStyle w:val="Text2"/>
        <w:rPr>
          <w:noProof/>
        </w:rPr>
      </w:pPr>
      <w:r w:rsidRPr="000D0D06">
        <w:rPr>
          <w:noProof/>
        </w:rPr>
        <w:t>b) É retirada do registo público da União a que se refere o artigo 32.º-A.</w:t>
      </w:r>
    </w:p>
    <w:p w14:paraId="1781086C" w14:textId="77777777" w:rsidR="00384453" w:rsidRPr="000D0D06" w:rsidRDefault="00384453" w:rsidP="00665C74">
      <w:pPr>
        <w:pStyle w:val="Text1"/>
        <w:rPr>
          <w:noProof/>
        </w:rPr>
      </w:pPr>
      <w:r w:rsidRPr="000D0D06">
        <w:rPr>
          <w:noProof/>
        </w:rPr>
        <w:t>A autoridade competente deve tornar pública qualquer decisão de revogação do direito de utilização do título a que se refere o primeiro parágrafo, alínea a).</w:t>
      </w:r>
    </w:p>
    <w:p w14:paraId="4C2CD6EC" w14:textId="77777777" w:rsidR="00C6520F" w:rsidRPr="000D0D06" w:rsidRDefault="0078355A" w:rsidP="008E26EF">
      <w:pPr>
        <w:pStyle w:val="ChapterTitle"/>
        <w:rPr>
          <w:noProof/>
        </w:rPr>
      </w:pPr>
      <w:r w:rsidRPr="000D0D06">
        <w:rPr>
          <w:noProof/>
        </w:rPr>
        <w:t xml:space="preserve">CAPÍTULO VII-B </w:t>
      </w:r>
    </w:p>
    <w:p w14:paraId="6F3E04B5" w14:textId="77777777" w:rsidR="0078355A" w:rsidRPr="000D0D06" w:rsidRDefault="0078355A" w:rsidP="008E26EF">
      <w:pPr>
        <w:pStyle w:val="ChapterTitle"/>
        <w:rPr>
          <w:noProof/>
        </w:rPr>
      </w:pPr>
      <w:r w:rsidRPr="000D0D06">
        <w:rPr>
          <w:noProof/>
        </w:rPr>
        <w:t>Livre fluxo de dados não pessoais na União</w:t>
      </w:r>
    </w:p>
    <w:p w14:paraId="39477FF3" w14:textId="77777777" w:rsidR="00DB7F9B" w:rsidRPr="000D0D06" w:rsidRDefault="00367C12" w:rsidP="008D6372">
      <w:pPr>
        <w:jc w:val="center"/>
        <w:rPr>
          <w:noProof/>
        </w:rPr>
      </w:pPr>
      <w:r w:rsidRPr="000D0D06">
        <w:rPr>
          <w:noProof/>
        </w:rPr>
        <w:t>Artigo 32.º‑H</w:t>
      </w:r>
    </w:p>
    <w:p w14:paraId="07047236" w14:textId="77777777" w:rsidR="00367C12" w:rsidRPr="000D0D06" w:rsidRDefault="00B702CC" w:rsidP="008D6372">
      <w:pPr>
        <w:jc w:val="center"/>
        <w:rPr>
          <w:i/>
          <w:iCs/>
          <w:noProof/>
        </w:rPr>
      </w:pPr>
      <w:r w:rsidRPr="000D0D06">
        <w:rPr>
          <w:i/>
          <w:noProof/>
        </w:rPr>
        <w:t>Proibição de requisitos de localização de dados não pessoais na União</w:t>
      </w:r>
    </w:p>
    <w:p w14:paraId="509E286E" w14:textId="680B47DA" w:rsidR="00294CE2" w:rsidRPr="000D0D06" w:rsidRDefault="001936FC" w:rsidP="001936FC">
      <w:pPr>
        <w:pStyle w:val="Point0"/>
        <w:rPr>
          <w:noProof/>
        </w:rPr>
      </w:pPr>
      <w:r w:rsidRPr="000D0D06">
        <w:rPr>
          <w:noProof/>
        </w:rPr>
        <w:t>1)</w:t>
      </w:r>
      <w:r w:rsidRPr="000D0D06">
        <w:rPr>
          <w:noProof/>
        </w:rPr>
        <w:tab/>
        <w:t>Os requisitos de localização de dados não pessoais são proibidos, a menos que sejam justificados por razões de segurança pública, em conformidade com o princípio da proporcionalidade, ou estabelecidos com base no direito da União.</w:t>
      </w:r>
    </w:p>
    <w:p w14:paraId="5E81E13F" w14:textId="3EABA09E" w:rsidR="007C073C" w:rsidRPr="000D0D06" w:rsidRDefault="001936FC" w:rsidP="001936FC">
      <w:pPr>
        <w:pStyle w:val="Point0"/>
        <w:rPr>
          <w:noProof/>
        </w:rPr>
      </w:pPr>
      <w:r w:rsidRPr="000D0D06">
        <w:rPr>
          <w:noProof/>
        </w:rPr>
        <w:t>2)</w:t>
      </w:r>
      <w:r w:rsidRPr="000D0D06">
        <w:rPr>
          <w:noProof/>
        </w:rPr>
        <w:tab/>
        <w:t>Os Estados-Membros devem comunicar imediatamente à Comissão qualquer projeto de ato que introduza um novo requisito em matéria de localização de dados ou que altere um requisito existente em matéria de localização dos dados, em conformidade com os procedimentos estabelecidos nos artigos 5.º, 6.º e 7.º da Diretiva (UE) 2015/1535 do Parlamento Europeu e do Conselho.</w:t>
      </w:r>
    </w:p>
    <w:p w14:paraId="37AB0D32" w14:textId="77777777" w:rsidR="004549D8" w:rsidRPr="000D0D06" w:rsidRDefault="004549D8" w:rsidP="00DE7617">
      <w:pPr>
        <w:rPr>
          <w:noProof/>
        </w:rPr>
      </w:pPr>
    </w:p>
    <w:p w14:paraId="382612CD" w14:textId="77777777" w:rsidR="00C6520F" w:rsidRPr="000D0D06" w:rsidRDefault="00EC029F" w:rsidP="008E26EF">
      <w:pPr>
        <w:pStyle w:val="ChapterTitle"/>
        <w:rPr>
          <w:noProof/>
        </w:rPr>
      </w:pPr>
      <w:r w:rsidRPr="000D0D06">
        <w:rPr>
          <w:noProof/>
        </w:rPr>
        <w:t xml:space="preserve">CAPÍTULO VII-C </w:t>
      </w:r>
    </w:p>
    <w:p w14:paraId="27AC21EF" w14:textId="593D95A1" w:rsidR="00EC029F" w:rsidRPr="000D0D06" w:rsidRDefault="00AD15DB" w:rsidP="008E26EF">
      <w:pPr>
        <w:pStyle w:val="ChapterTitle"/>
        <w:rPr>
          <w:noProof/>
        </w:rPr>
      </w:pPr>
      <w:r w:rsidRPr="000D0D06">
        <w:rPr>
          <w:noProof/>
        </w:rPr>
        <w:t>Reutilização de dados e documentos na posse de organismos do setor público</w:t>
      </w:r>
    </w:p>
    <w:p w14:paraId="119E910A" w14:textId="77777777" w:rsidR="00154098" w:rsidRPr="000D0D06" w:rsidRDefault="001502BF" w:rsidP="008E26EF">
      <w:pPr>
        <w:pStyle w:val="SectionTitle"/>
        <w:rPr>
          <w:noProof/>
        </w:rPr>
      </w:pPr>
      <w:r w:rsidRPr="000D0D06">
        <w:rPr>
          <w:noProof/>
        </w:rPr>
        <w:t xml:space="preserve">Secção 1 </w:t>
      </w:r>
    </w:p>
    <w:p w14:paraId="0B2EDD7D" w14:textId="77777777" w:rsidR="001502BF" w:rsidRPr="000D0D06" w:rsidRDefault="001502BF" w:rsidP="008E26EF">
      <w:pPr>
        <w:pStyle w:val="SectionTitle"/>
        <w:rPr>
          <w:noProof/>
        </w:rPr>
      </w:pPr>
      <w:r w:rsidRPr="000D0D06">
        <w:rPr>
          <w:noProof/>
        </w:rPr>
        <w:t>Disposições gerais</w:t>
      </w:r>
    </w:p>
    <w:p w14:paraId="1FF3C85F" w14:textId="77777777" w:rsidR="00154098" w:rsidRPr="000D0D06" w:rsidRDefault="00316F1B" w:rsidP="008D6372">
      <w:pPr>
        <w:ind w:left="720"/>
        <w:jc w:val="center"/>
        <w:rPr>
          <w:noProof/>
        </w:rPr>
      </w:pPr>
      <w:r w:rsidRPr="000D0D06">
        <w:rPr>
          <w:noProof/>
        </w:rPr>
        <w:t>Artigo 32.º-I</w:t>
      </w:r>
    </w:p>
    <w:p w14:paraId="665AB4AF" w14:textId="77777777" w:rsidR="00776DD3" w:rsidRPr="000D0D06" w:rsidRDefault="00530D1F" w:rsidP="008D6372">
      <w:pPr>
        <w:ind w:left="720"/>
        <w:jc w:val="center"/>
        <w:rPr>
          <w:noProof/>
        </w:rPr>
      </w:pPr>
      <w:r w:rsidRPr="000D0D06">
        <w:rPr>
          <w:i/>
          <w:noProof/>
        </w:rPr>
        <w:t>Objeto e âmbito de aplicação</w:t>
      </w:r>
    </w:p>
    <w:p w14:paraId="40D2850D" w14:textId="77777777" w:rsidR="00F2559A" w:rsidRPr="000D0D06" w:rsidRDefault="001936FC" w:rsidP="001936FC">
      <w:pPr>
        <w:pStyle w:val="Point0"/>
        <w:rPr>
          <w:noProof/>
        </w:rPr>
      </w:pPr>
      <w:r w:rsidRPr="000D0D06">
        <w:rPr>
          <w:noProof/>
        </w:rPr>
        <w:t>1)</w:t>
      </w:r>
      <w:r w:rsidRPr="000D0D06">
        <w:rPr>
          <w:noProof/>
        </w:rPr>
        <w:tab/>
        <w:t>O presente capítulo estabelece um conjunto de regras que regem a reutilização e as disposições práticas destinadas a facilitar a reutilização dos seguintes elementos: </w:t>
      </w:r>
    </w:p>
    <w:p w14:paraId="674717A4" w14:textId="77777777" w:rsidR="00F2559A" w:rsidRPr="000D0D06" w:rsidRDefault="001936FC" w:rsidP="001936FC">
      <w:pPr>
        <w:pStyle w:val="Point1"/>
        <w:rPr>
          <w:noProof/>
        </w:rPr>
      </w:pPr>
      <w:r w:rsidRPr="000D0D06">
        <w:rPr>
          <w:noProof/>
        </w:rPr>
        <w:t>a)</w:t>
      </w:r>
      <w:r w:rsidRPr="000D0D06">
        <w:rPr>
          <w:noProof/>
        </w:rPr>
        <w:tab/>
        <w:t>Dados e documentos existentes na posse de organismos do setor público dos Estados-Membros, incluindo determinadas categorias de dados protegidos; </w:t>
      </w:r>
    </w:p>
    <w:p w14:paraId="2D62D934" w14:textId="77777777" w:rsidR="00F2559A" w:rsidRPr="000D0D06" w:rsidRDefault="001936FC" w:rsidP="001936FC">
      <w:pPr>
        <w:pStyle w:val="Point1"/>
        <w:rPr>
          <w:noProof/>
        </w:rPr>
      </w:pPr>
      <w:r w:rsidRPr="000D0D06">
        <w:rPr>
          <w:noProof/>
        </w:rPr>
        <w:t>b)</w:t>
      </w:r>
      <w:r w:rsidRPr="000D0D06">
        <w:rPr>
          <w:noProof/>
        </w:rPr>
        <w:tab/>
        <w:t>Dados e documentos existentes na posse de empresas públicas que: </w:t>
      </w:r>
    </w:p>
    <w:p w14:paraId="44336593" w14:textId="77777777" w:rsidR="00F2559A" w:rsidRPr="000D0D06" w:rsidRDefault="00BB04C4" w:rsidP="00665C74">
      <w:pPr>
        <w:pStyle w:val="Point2"/>
        <w:rPr>
          <w:noProof/>
        </w:rPr>
      </w:pPr>
      <w:r w:rsidRPr="000D0D06">
        <w:rPr>
          <w:noProof/>
        </w:rPr>
        <w:t>i)</w:t>
      </w:r>
      <w:r w:rsidRPr="000D0D06">
        <w:rPr>
          <w:noProof/>
        </w:rPr>
        <w:tab/>
        <w:t>estão ativas nos domínios a que se refere o capítulo II da Diretiva 2014/25/UE do Parlamento Europeu e do Conselho, </w:t>
      </w:r>
    </w:p>
    <w:p w14:paraId="02CC8F66" w14:textId="77777777" w:rsidR="00F2559A" w:rsidRPr="000D0D06" w:rsidRDefault="00BB04C4" w:rsidP="00665C74">
      <w:pPr>
        <w:pStyle w:val="Point2"/>
        <w:rPr>
          <w:noProof/>
        </w:rPr>
      </w:pPr>
      <w:r w:rsidRPr="000D0D06">
        <w:rPr>
          <w:noProof/>
        </w:rPr>
        <w:t>ii)</w:t>
      </w:r>
      <w:r w:rsidRPr="000D0D06">
        <w:rPr>
          <w:noProof/>
        </w:rPr>
        <w:tab/>
        <w:t>atuam como operadores de serviços públicos nos termos do artigo 2.º do Regulamento (CE) n.º 1370/2007 do Parlamento Europeu e do Conselho, </w:t>
      </w:r>
    </w:p>
    <w:p w14:paraId="7CA5EB1B" w14:textId="77777777" w:rsidR="00F2559A" w:rsidRPr="000D0D06" w:rsidRDefault="00BB04C4" w:rsidP="00665C74">
      <w:pPr>
        <w:pStyle w:val="Point2"/>
        <w:rPr>
          <w:noProof/>
        </w:rPr>
      </w:pPr>
      <w:r w:rsidRPr="000D0D06">
        <w:rPr>
          <w:noProof/>
        </w:rPr>
        <w:t>iii)</w:t>
      </w:r>
      <w:r w:rsidRPr="000D0D06">
        <w:rPr>
          <w:noProof/>
        </w:rPr>
        <w:tab/>
        <w:t>atuam como transportadoras aéreas que cumprem obrigações de serviço público nos termos do artigo 16.º do Regulamento (CE) n.º 1008/2008 do Parlamento Europeu e do Conselho, ou </w:t>
      </w:r>
    </w:p>
    <w:p w14:paraId="04396DB7" w14:textId="77777777" w:rsidR="00F2559A" w:rsidRPr="000D0D06" w:rsidRDefault="00BB04C4" w:rsidP="00665C74">
      <w:pPr>
        <w:pStyle w:val="Point2"/>
        <w:rPr>
          <w:noProof/>
        </w:rPr>
      </w:pPr>
      <w:r w:rsidRPr="000D0D06">
        <w:rPr>
          <w:noProof/>
        </w:rPr>
        <w:t>iv)</w:t>
      </w:r>
      <w:r w:rsidRPr="000D0D06">
        <w:rPr>
          <w:noProof/>
        </w:rPr>
        <w:tab/>
        <w:t>operam na qualidade de armadores comunitários que preenchem obrigações de serviço público nos termos do artigo 4.º do Regulamento (CEE) n.º 3577/92 do Conselho; </w:t>
      </w:r>
    </w:p>
    <w:p w14:paraId="2A32B61C" w14:textId="77777777" w:rsidR="008F6AF7" w:rsidRPr="000D0D06" w:rsidRDefault="008809BA" w:rsidP="00665C74">
      <w:pPr>
        <w:pStyle w:val="Text1"/>
        <w:rPr>
          <w:noProof/>
        </w:rPr>
      </w:pPr>
      <w:r w:rsidRPr="000D0D06">
        <w:rPr>
          <w:noProof/>
        </w:rPr>
        <w:t>c)</w:t>
      </w:r>
      <w:r w:rsidRPr="000D0D06">
        <w:rPr>
          <w:noProof/>
        </w:rPr>
        <w:tab/>
        <w:t>Dados de investigação, em conformidade com as condições estabelecidas no artigo 32.º-T.</w:t>
      </w:r>
    </w:p>
    <w:p w14:paraId="76812596" w14:textId="77777777" w:rsidR="00F2559A" w:rsidRPr="000D0D06" w:rsidRDefault="001936FC" w:rsidP="001936FC">
      <w:pPr>
        <w:pStyle w:val="Point0"/>
        <w:rPr>
          <w:noProof/>
        </w:rPr>
      </w:pPr>
      <w:r w:rsidRPr="000D0D06">
        <w:rPr>
          <w:noProof/>
        </w:rPr>
        <w:t>2)</w:t>
      </w:r>
      <w:r w:rsidRPr="000D0D06">
        <w:rPr>
          <w:noProof/>
        </w:rPr>
        <w:tab/>
        <w:t xml:space="preserve"> O presente capítulo não se aplica a: </w:t>
      </w:r>
    </w:p>
    <w:p w14:paraId="538BEE64" w14:textId="77777777" w:rsidR="00882E0E" w:rsidRPr="000D0D06" w:rsidRDefault="001936FC" w:rsidP="001936FC">
      <w:pPr>
        <w:pStyle w:val="Point1"/>
        <w:rPr>
          <w:noProof/>
        </w:rPr>
      </w:pPr>
      <w:r w:rsidRPr="000D0D06">
        <w:rPr>
          <w:noProof/>
        </w:rPr>
        <w:t>a)</w:t>
      </w:r>
      <w:r w:rsidRPr="000D0D06">
        <w:rPr>
          <w:noProof/>
        </w:rPr>
        <w:tab/>
        <w:t>Dados e documentos cujo fornecimento seja uma atividade fora do âmbito das missões de serviço público dos organismos do setor público em causa, tal como definidas na lei ou noutras normas vinculativas do Estado-Membro, ou na ausência de tais normas, tal como definidas de acordo com a prática administrativa corrente no Estado-Membro em causa, desde que o âmbito das missões de serviço público seja transparente e passível de reapreciação; </w:t>
      </w:r>
    </w:p>
    <w:p w14:paraId="3A4558C1" w14:textId="77777777" w:rsidR="00882E0E" w:rsidRPr="000D0D06" w:rsidRDefault="001936FC" w:rsidP="001936FC">
      <w:pPr>
        <w:pStyle w:val="Point1"/>
        <w:rPr>
          <w:noProof/>
        </w:rPr>
      </w:pPr>
      <w:r w:rsidRPr="000D0D06">
        <w:rPr>
          <w:noProof/>
        </w:rPr>
        <w:t>b)</w:t>
      </w:r>
      <w:r w:rsidRPr="000D0D06">
        <w:rPr>
          <w:noProof/>
        </w:rPr>
        <w:tab/>
        <w:t>Dados e documentos na posse de empresas públicas e: </w:t>
      </w:r>
    </w:p>
    <w:p w14:paraId="116AC992" w14:textId="77777777" w:rsidR="00882E0E" w:rsidRPr="000D0D06" w:rsidRDefault="00BB04C4" w:rsidP="00665C74">
      <w:pPr>
        <w:pStyle w:val="Point2"/>
        <w:rPr>
          <w:noProof/>
        </w:rPr>
      </w:pPr>
      <w:r w:rsidRPr="000D0D06">
        <w:rPr>
          <w:noProof/>
        </w:rPr>
        <w:t>i)</w:t>
      </w:r>
      <w:r w:rsidRPr="000D0D06">
        <w:rPr>
          <w:noProof/>
        </w:rPr>
        <w:tab/>
        <w:t>produzidos fora do âmbito da prestação de serviços de interesse geral, tal como definidos na lei ou em outras normas vinculativas do Estado-Membro, </w:t>
      </w:r>
    </w:p>
    <w:p w14:paraId="48C39744" w14:textId="77777777" w:rsidR="00882E0E" w:rsidRPr="000D0D06" w:rsidRDefault="00BB04C4" w:rsidP="00665C74">
      <w:pPr>
        <w:pStyle w:val="Point2"/>
        <w:rPr>
          <w:noProof/>
        </w:rPr>
      </w:pPr>
      <w:r w:rsidRPr="000D0D06">
        <w:rPr>
          <w:noProof/>
        </w:rPr>
        <w:t>ii)</w:t>
      </w:r>
      <w:r w:rsidRPr="000D0D06">
        <w:rPr>
          <w:noProof/>
        </w:rPr>
        <w:tab/>
        <w:t>relacionados com as atividades diretamente expostas à concorrência e, por conseguinte, nos termos do artigo 34.º da Diretiva 2014/25/UE, não sujeitas a regras de contratação pública; </w:t>
      </w:r>
    </w:p>
    <w:p w14:paraId="128EF282" w14:textId="2AA21F3A" w:rsidR="00FC6ED2" w:rsidRPr="000D0D06" w:rsidRDefault="001936FC" w:rsidP="001936FC">
      <w:pPr>
        <w:pStyle w:val="Point1"/>
        <w:rPr>
          <w:noProof/>
        </w:rPr>
      </w:pPr>
      <w:r w:rsidRPr="000D0D06">
        <w:rPr>
          <w:noProof/>
        </w:rPr>
        <w:t>c)</w:t>
      </w:r>
      <w:r w:rsidRPr="000D0D06">
        <w:rPr>
          <w:noProof/>
        </w:rPr>
        <w:tab/>
        <w:t>Dados e documentos, tais como dados sensíveis, cujo acesso é excluído por força dos regimes de acesso do Estado-Membro por razões de proteção da segurança nacional (nomeadamente, segurança do Estado), defesa ou segurança pública;</w:t>
      </w:r>
    </w:p>
    <w:p w14:paraId="10FA20CC" w14:textId="77777777" w:rsidR="0061722B" w:rsidRPr="000D0D06" w:rsidRDefault="001936FC" w:rsidP="001936FC">
      <w:pPr>
        <w:pStyle w:val="Point1"/>
        <w:rPr>
          <w:noProof/>
        </w:rPr>
      </w:pPr>
      <w:r w:rsidRPr="000D0D06">
        <w:rPr>
          <w:noProof/>
        </w:rPr>
        <w:t>d)</w:t>
      </w:r>
      <w:r w:rsidRPr="000D0D06">
        <w:rPr>
          <w:noProof/>
        </w:rPr>
        <w:tab/>
        <w:t xml:space="preserve">Dados e documentos na posse de empresas de radiodifusão de serviço público e suas filiais e de outros organismos ou suas filiais com vista ao cumprimento das suas funções de radiodifusão de serviço público; </w:t>
      </w:r>
    </w:p>
    <w:p w14:paraId="66C8F518" w14:textId="77777777" w:rsidR="000C2DFA" w:rsidRPr="000D0D06" w:rsidRDefault="001936FC" w:rsidP="001936FC">
      <w:pPr>
        <w:pStyle w:val="Point0"/>
        <w:rPr>
          <w:noProof/>
        </w:rPr>
      </w:pPr>
      <w:r w:rsidRPr="000D0D06">
        <w:rPr>
          <w:noProof/>
        </w:rPr>
        <w:t>3)</w:t>
      </w:r>
      <w:r w:rsidRPr="000D0D06">
        <w:rPr>
          <w:noProof/>
        </w:rPr>
        <w:tab/>
        <w:t>A secção 2 do presente capítulo não se aplica a:</w:t>
      </w:r>
    </w:p>
    <w:p w14:paraId="466F8265" w14:textId="77777777" w:rsidR="007B3AC4" w:rsidRPr="000D0D06" w:rsidRDefault="001936FC" w:rsidP="001936FC">
      <w:pPr>
        <w:pStyle w:val="Point1"/>
        <w:rPr>
          <w:noProof/>
        </w:rPr>
      </w:pPr>
      <w:r w:rsidRPr="000D0D06">
        <w:rPr>
          <w:noProof/>
        </w:rPr>
        <w:t>a)</w:t>
      </w:r>
      <w:r w:rsidRPr="000D0D06">
        <w:rPr>
          <w:noProof/>
        </w:rPr>
        <w:tab/>
        <w:t>Dados ou documentos, tais como dados ou documentos sensíveis, cujo acesso é excluído por força dos regimes de acesso do Estado-Membro, nomeadamente por razões de:</w:t>
      </w:r>
    </w:p>
    <w:p w14:paraId="3EEA2D04" w14:textId="77777777" w:rsidR="007B3AC4" w:rsidRPr="000D0D06" w:rsidRDefault="00CD477C" w:rsidP="00665C74">
      <w:pPr>
        <w:pStyle w:val="Point2"/>
        <w:rPr>
          <w:noProof/>
        </w:rPr>
      </w:pPr>
      <w:r w:rsidRPr="000D0D06">
        <w:rPr>
          <w:noProof/>
        </w:rPr>
        <w:t>i)</w:t>
      </w:r>
      <w:r w:rsidRPr="000D0D06">
        <w:rPr>
          <w:noProof/>
        </w:rPr>
        <w:tab/>
        <w:t>confidencialidade estatística,  </w:t>
      </w:r>
    </w:p>
    <w:p w14:paraId="38CDC181" w14:textId="77777777" w:rsidR="007B3AC4" w:rsidRPr="000D0D06" w:rsidRDefault="00CD477C" w:rsidP="00665C74">
      <w:pPr>
        <w:pStyle w:val="Point2"/>
        <w:rPr>
          <w:noProof/>
        </w:rPr>
      </w:pPr>
      <w:r w:rsidRPr="000D0D06">
        <w:rPr>
          <w:noProof/>
        </w:rPr>
        <w:t>ii)</w:t>
      </w:r>
      <w:r w:rsidRPr="000D0D06">
        <w:rPr>
          <w:noProof/>
        </w:rPr>
        <w:tab/>
        <w:t>confidencialidade de dados comerciais (nomeadamente, segredos comerciais, profissionais ou empresariais);  </w:t>
      </w:r>
    </w:p>
    <w:p w14:paraId="48853D8A" w14:textId="2894B077" w:rsidR="007B3AC4" w:rsidRPr="000D0D06" w:rsidRDefault="001936FC" w:rsidP="001936FC">
      <w:pPr>
        <w:pStyle w:val="Point1"/>
        <w:rPr>
          <w:noProof/>
        </w:rPr>
      </w:pPr>
      <w:r w:rsidRPr="000D0D06">
        <w:rPr>
          <w:noProof/>
        </w:rPr>
        <w:t>b)</w:t>
      </w:r>
      <w:r w:rsidRPr="000D0D06">
        <w:rPr>
          <w:noProof/>
        </w:rPr>
        <w:tab/>
        <w:t xml:space="preserve">Dados ou documentos cujo acesso é restrito por força dos regimes de acesso dos Estados-Membros, </w:t>
      </w:r>
    </w:p>
    <w:p w14:paraId="3A96C281" w14:textId="6B428824" w:rsidR="007B3AC4" w:rsidRPr="000D0D06" w:rsidRDefault="00BB04C4" w:rsidP="00665C74">
      <w:pPr>
        <w:pStyle w:val="Point2"/>
        <w:rPr>
          <w:noProof/>
        </w:rPr>
      </w:pPr>
      <w:r w:rsidRPr="000D0D06">
        <w:rPr>
          <w:noProof/>
        </w:rPr>
        <w:t>i)</w:t>
      </w:r>
      <w:r w:rsidRPr="000D0D06">
        <w:rPr>
          <w:noProof/>
        </w:rPr>
        <w:tab/>
        <w:t>incluindo os casos em que os cidadãos ou as entidades jurídicas tenham de provar um interesse particular para obter acesso a documentos,</w:t>
      </w:r>
    </w:p>
    <w:p w14:paraId="44B0B3DE" w14:textId="77777777" w:rsidR="007B3AC4" w:rsidRPr="000D0D06" w:rsidRDefault="00BB04C4" w:rsidP="00665C74">
      <w:pPr>
        <w:pStyle w:val="Point2"/>
        <w:rPr>
          <w:noProof/>
        </w:rPr>
      </w:pPr>
      <w:r w:rsidRPr="000D0D06">
        <w:rPr>
          <w:noProof/>
        </w:rPr>
        <w:t>ii)</w:t>
      </w:r>
      <w:r w:rsidRPr="000D0D06">
        <w:rPr>
          <w:noProof/>
        </w:rPr>
        <w:tab/>
        <w:t>por motivos de proteção de dados pessoais e partes de dados ou documentos acessíveis por força desses regimes que contenham dados pessoais cuja reutilização tenha sido definida por lei como incompatível com a legislação relativa à proteção das pessoas singulares no que diz respeito ao tratamento de dados pessoais ou como comprometendo a proteção da privacidade e da integridade da pessoa singular, nomeadamente nos termos do direito da União ou do direito nacional relativo à proteção de dados pessoais, logótipos, brasões e insígnias;</w:t>
      </w:r>
    </w:p>
    <w:p w14:paraId="49F11FCB" w14:textId="77777777" w:rsidR="007B3AC4" w:rsidRPr="000D0D06" w:rsidRDefault="001936FC" w:rsidP="001936FC">
      <w:pPr>
        <w:pStyle w:val="Point1"/>
        <w:rPr>
          <w:noProof/>
        </w:rPr>
      </w:pPr>
      <w:r w:rsidRPr="000D0D06">
        <w:rPr>
          <w:noProof/>
        </w:rPr>
        <w:t>c)</w:t>
      </w:r>
      <w:r w:rsidRPr="000D0D06">
        <w:rPr>
          <w:noProof/>
        </w:rPr>
        <w:tab/>
        <w:t>Dados ou documentos cujos direitos de propriedade intelectual sejam detidos por terceiros; </w:t>
      </w:r>
    </w:p>
    <w:p w14:paraId="425D87E9" w14:textId="77777777" w:rsidR="007B3AC4" w:rsidRPr="000D0D06" w:rsidRDefault="001936FC" w:rsidP="001936FC">
      <w:pPr>
        <w:pStyle w:val="Point1"/>
        <w:rPr>
          <w:noProof/>
        </w:rPr>
      </w:pPr>
      <w:r w:rsidRPr="000D0D06">
        <w:rPr>
          <w:noProof/>
        </w:rPr>
        <w:t>d)</w:t>
      </w:r>
      <w:r w:rsidRPr="000D0D06">
        <w:rPr>
          <w:noProof/>
        </w:rPr>
        <w:tab/>
        <w:t>Dados ou documentos na posse de instituições culturais, exceto bibliotecas, incluindo bibliotecas universitárias, museus e arquivos;</w:t>
      </w:r>
    </w:p>
    <w:p w14:paraId="1933D555" w14:textId="77777777" w:rsidR="007B3AC4" w:rsidRPr="000D0D06" w:rsidRDefault="001936FC" w:rsidP="001936FC">
      <w:pPr>
        <w:pStyle w:val="Point1"/>
        <w:rPr>
          <w:noProof/>
        </w:rPr>
      </w:pPr>
      <w:r w:rsidRPr="000D0D06">
        <w:rPr>
          <w:noProof/>
        </w:rPr>
        <w:t>e)</w:t>
      </w:r>
      <w:r w:rsidRPr="000D0D06">
        <w:rPr>
          <w:noProof/>
        </w:rPr>
        <w:tab/>
        <w:t>Dados ou documentos na posse de estabelecimentos de ensino de nível secundário ou inferior e, no caso dos restantes estabelecimentos de ensino, dados distintos dos referidos no n.º 1, alínea c);</w:t>
      </w:r>
    </w:p>
    <w:p w14:paraId="748BCFA1" w14:textId="77777777" w:rsidR="00F96535" w:rsidRPr="000D0D06" w:rsidRDefault="001936FC" w:rsidP="001936FC">
      <w:pPr>
        <w:pStyle w:val="Point1"/>
        <w:rPr>
          <w:noProof/>
        </w:rPr>
      </w:pPr>
      <w:r w:rsidRPr="000D0D06">
        <w:rPr>
          <w:noProof/>
        </w:rPr>
        <w:t>f)</w:t>
      </w:r>
      <w:r w:rsidRPr="000D0D06">
        <w:rPr>
          <w:noProof/>
        </w:rPr>
        <w:tab/>
        <w:t>Dados ou documentos distintos dos referidos no n.º 1, alínea c), na posse de organismos que realizam investigação e de organismos financiadores de investigação, incluindo os organismos criados com vista à transferência de resultados de investigação;</w:t>
      </w:r>
    </w:p>
    <w:p w14:paraId="32A944B5" w14:textId="7D5E88FA" w:rsidR="007B3AC4" w:rsidRPr="000D0D06" w:rsidRDefault="001936FC" w:rsidP="001936FC">
      <w:pPr>
        <w:pStyle w:val="Point1"/>
        <w:rPr>
          <w:noProof/>
        </w:rPr>
      </w:pPr>
      <w:r w:rsidRPr="000D0D06">
        <w:rPr>
          <w:noProof/>
        </w:rPr>
        <w:t>g)</w:t>
      </w:r>
      <w:r w:rsidRPr="000D0D06">
        <w:rPr>
          <w:noProof/>
        </w:rPr>
        <w:tab/>
        <w:t>Dados ou documentos cujo acesso esteja excluído ou restringido por motivos de informação relacionada com a proteção de uma entidade crítica ou de uma infraestrutura crítica, na aceção do artigo 2.º, pontos 1 e 4, da Diretiva (UE) 2022/2557.</w:t>
      </w:r>
    </w:p>
    <w:p w14:paraId="22BD98EA" w14:textId="77777777" w:rsidR="004C6BAD" w:rsidRPr="000D0D06" w:rsidRDefault="001936FC" w:rsidP="001936FC">
      <w:pPr>
        <w:pStyle w:val="Point0"/>
        <w:rPr>
          <w:noProof/>
        </w:rPr>
      </w:pPr>
      <w:r w:rsidRPr="000D0D06">
        <w:rPr>
          <w:noProof/>
        </w:rPr>
        <w:t>4)</w:t>
      </w:r>
      <w:r w:rsidRPr="000D0D06">
        <w:rPr>
          <w:noProof/>
        </w:rPr>
        <w:tab/>
        <w:t>A secção 3 do presente capítulo não se aplica a:</w:t>
      </w:r>
    </w:p>
    <w:p w14:paraId="5EA01595" w14:textId="77777777" w:rsidR="004C6BAD" w:rsidRPr="000D0D06" w:rsidRDefault="001936FC" w:rsidP="001936FC">
      <w:pPr>
        <w:pStyle w:val="Point1"/>
        <w:rPr>
          <w:noProof/>
        </w:rPr>
      </w:pPr>
      <w:r w:rsidRPr="000D0D06">
        <w:rPr>
          <w:noProof/>
        </w:rPr>
        <w:t>a)</w:t>
      </w:r>
      <w:r w:rsidRPr="000D0D06">
        <w:rPr>
          <w:noProof/>
        </w:rPr>
        <w:tab/>
        <w:t>Dados e documentos que não sejam determinadas categorias de dados protegidos;</w:t>
      </w:r>
    </w:p>
    <w:p w14:paraId="3E68E765" w14:textId="77777777" w:rsidR="004C6BAD" w:rsidRPr="000D0D06" w:rsidRDefault="001936FC" w:rsidP="001936FC">
      <w:pPr>
        <w:pStyle w:val="Point1"/>
        <w:rPr>
          <w:noProof/>
        </w:rPr>
      </w:pPr>
      <w:r w:rsidRPr="000D0D06">
        <w:rPr>
          <w:noProof/>
        </w:rPr>
        <w:t>b)</w:t>
      </w:r>
      <w:r w:rsidRPr="000D0D06">
        <w:rPr>
          <w:noProof/>
        </w:rPr>
        <w:tab/>
        <w:t>Dados ou documentos na posse de empresas públicas;</w:t>
      </w:r>
    </w:p>
    <w:p w14:paraId="5981E79B" w14:textId="77777777" w:rsidR="004C6BAD" w:rsidRPr="000D0D06" w:rsidRDefault="001936FC" w:rsidP="001936FC">
      <w:pPr>
        <w:pStyle w:val="Point1"/>
        <w:rPr>
          <w:noProof/>
        </w:rPr>
      </w:pPr>
      <w:r w:rsidRPr="000D0D06">
        <w:rPr>
          <w:noProof/>
        </w:rPr>
        <w:t>c)</w:t>
      </w:r>
      <w:r w:rsidRPr="000D0D06">
        <w:rPr>
          <w:noProof/>
        </w:rPr>
        <w:tab/>
        <w:t>Dados ou documentos na posse de instituições culturais e estabelecimentos de ensino;</w:t>
      </w:r>
    </w:p>
    <w:p w14:paraId="679EFDF2" w14:textId="77777777" w:rsidR="004C6BAD" w:rsidRPr="000D0D06" w:rsidRDefault="001936FC" w:rsidP="001936FC">
      <w:pPr>
        <w:pStyle w:val="Point1"/>
        <w:rPr>
          <w:noProof/>
        </w:rPr>
      </w:pPr>
      <w:r w:rsidRPr="000D0D06">
        <w:rPr>
          <w:noProof/>
        </w:rPr>
        <w:t>d)</w:t>
      </w:r>
      <w:r w:rsidRPr="000D0D06">
        <w:rPr>
          <w:noProof/>
        </w:rPr>
        <w:tab/>
        <w:t>Dados e documentos abrangidos pela secção 2 do presente capítulo.</w:t>
      </w:r>
    </w:p>
    <w:p w14:paraId="5981288B" w14:textId="77777777" w:rsidR="00075343" w:rsidRPr="000D0D06" w:rsidRDefault="001936FC" w:rsidP="001936FC">
      <w:pPr>
        <w:pStyle w:val="Point0"/>
        <w:rPr>
          <w:noProof/>
        </w:rPr>
      </w:pPr>
      <w:r w:rsidRPr="000D0D06">
        <w:rPr>
          <w:noProof/>
        </w:rPr>
        <w:t>5)</w:t>
      </w:r>
      <w:r w:rsidRPr="000D0D06">
        <w:rPr>
          <w:noProof/>
        </w:rPr>
        <w:tab/>
        <w:t xml:space="preserve">O presente capítulo tem por base e não prejudica os regimes de acesso nacionais e da União, em especial no que diz respeito à concessão de acesso e à divulgação de documentos oficiais. </w:t>
      </w:r>
    </w:p>
    <w:p w14:paraId="4AFD5175" w14:textId="77777777" w:rsidR="00075343" w:rsidRPr="000D0D06" w:rsidRDefault="001936FC" w:rsidP="001936FC">
      <w:pPr>
        <w:pStyle w:val="Point0"/>
        <w:rPr>
          <w:noProof/>
        </w:rPr>
      </w:pPr>
      <w:r w:rsidRPr="000D0D06">
        <w:rPr>
          <w:noProof/>
        </w:rPr>
        <w:t>6)</w:t>
      </w:r>
      <w:r w:rsidRPr="000D0D06">
        <w:rPr>
          <w:noProof/>
        </w:rPr>
        <w:tab/>
        <w:t xml:space="preserve">As obrigações impostas nos termos do presente capítulo só devem ser aplicáveis na medida em que sejam compatíveis com as disposições dos acordos internacionais sobre proteção de direitos de propriedade intelectual, em especial a Convenção de Berna para a Proteção das Obras Literárias e Artísticas (“Convenção de Berna”), o Acordo sobre os Aspetos dos Direitos de Propriedade Intelectual relacionados com o Comércio (“Acordo TRIPS”) e o Tratado da OMPI sobre o Direito de Autor (“TDA”). </w:t>
      </w:r>
    </w:p>
    <w:p w14:paraId="732AE418" w14:textId="77777777" w:rsidR="00075343" w:rsidRPr="000D0D06" w:rsidRDefault="001936FC" w:rsidP="001936FC">
      <w:pPr>
        <w:pStyle w:val="Point0"/>
        <w:rPr>
          <w:noProof/>
        </w:rPr>
      </w:pPr>
      <w:r w:rsidRPr="000D0D06">
        <w:rPr>
          <w:noProof/>
        </w:rPr>
        <w:t>7)</w:t>
      </w:r>
      <w:r w:rsidRPr="000D0D06">
        <w:rPr>
          <w:noProof/>
        </w:rPr>
        <w:tab/>
        <w:t xml:space="preserve">O direito do fabricante de uma base de dados previsto no artigo 7.º, n.º 1, da Diretiva 96/9/CE não pode ser exercido por organismos do setor público com o intuito de impedir a reutilização de dados e documentos ou de a restringir para além dos limites estabelecidos no presente capítulo. </w:t>
      </w:r>
    </w:p>
    <w:p w14:paraId="4F7D70D1" w14:textId="77777777" w:rsidR="00882E0E" w:rsidRPr="000D0D06" w:rsidRDefault="001936FC" w:rsidP="001936FC">
      <w:pPr>
        <w:pStyle w:val="Point0"/>
        <w:rPr>
          <w:noProof/>
        </w:rPr>
      </w:pPr>
      <w:r w:rsidRPr="000D0D06">
        <w:rPr>
          <w:noProof/>
        </w:rPr>
        <w:t>8)</w:t>
      </w:r>
      <w:r w:rsidRPr="000D0D06">
        <w:rPr>
          <w:noProof/>
        </w:rPr>
        <w:tab/>
        <w:t>O presente capítulo rege a reutilização de dados e documentos existentes na posse de organismos do setor público e de empresas públicas dos Estados-Membros, incluindo dados e documentos aos quais se aplica a Diretiva 2007/2/CE do Parlamento Europeu e do Conselho.</w:t>
      </w:r>
    </w:p>
    <w:p w14:paraId="1A5DE4C2" w14:textId="2EB9DB6D" w:rsidR="007B3E9A" w:rsidRPr="000D0D06" w:rsidRDefault="001936FC" w:rsidP="001936FC">
      <w:pPr>
        <w:pStyle w:val="Point0"/>
        <w:rPr>
          <w:noProof/>
        </w:rPr>
      </w:pPr>
      <w:r w:rsidRPr="000D0D06">
        <w:rPr>
          <w:noProof/>
        </w:rPr>
        <w:t>9)</w:t>
      </w:r>
      <w:r w:rsidRPr="000D0D06">
        <w:rPr>
          <w:noProof/>
        </w:rPr>
        <w:tab/>
        <w:t>O presente capítulo não prejudica o direito da União e o direito nacional nem os acordos internacionais em que a União ou os Estados-Membros sejam partes sobre a proteção das categorias de dados ou documentos a que se refere o artigo 2.º, ponto 54.</w:t>
      </w:r>
    </w:p>
    <w:p w14:paraId="1F1DB05C" w14:textId="77777777" w:rsidR="00020029" w:rsidRPr="000D0D06" w:rsidRDefault="00020029" w:rsidP="002E527E">
      <w:pPr>
        <w:rPr>
          <w:noProof/>
        </w:rPr>
      </w:pPr>
    </w:p>
    <w:p w14:paraId="510370A5" w14:textId="77777777" w:rsidR="00A02019" w:rsidRPr="000D0D06" w:rsidRDefault="00E60230" w:rsidP="00C6520F">
      <w:pPr>
        <w:jc w:val="center"/>
        <w:rPr>
          <w:noProof/>
        </w:rPr>
      </w:pPr>
      <w:r w:rsidRPr="000D0D06">
        <w:rPr>
          <w:noProof/>
        </w:rPr>
        <w:t xml:space="preserve">Artigo 32.º-J </w:t>
      </w:r>
    </w:p>
    <w:p w14:paraId="0C053EC4" w14:textId="77777777" w:rsidR="00E60230" w:rsidRPr="000D0D06" w:rsidRDefault="00E60230" w:rsidP="008D6372">
      <w:pPr>
        <w:jc w:val="center"/>
        <w:rPr>
          <w:i/>
          <w:iCs/>
          <w:noProof/>
        </w:rPr>
      </w:pPr>
      <w:r w:rsidRPr="000D0D06">
        <w:rPr>
          <w:i/>
          <w:noProof/>
        </w:rPr>
        <w:t>Não discriminação</w:t>
      </w:r>
    </w:p>
    <w:p w14:paraId="404589FE" w14:textId="77777777" w:rsidR="000A7030" w:rsidRPr="000D0D06" w:rsidRDefault="001936FC" w:rsidP="001936FC">
      <w:pPr>
        <w:pStyle w:val="Point0"/>
        <w:rPr>
          <w:noProof/>
          <w:szCs w:val="24"/>
        </w:rPr>
      </w:pPr>
      <w:r w:rsidRPr="000D0D06">
        <w:rPr>
          <w:noProof/>
        </w:rPr>
        <w:t>1)</w:t>
      </w:r>
      <w:r w:rsidRPr="000D0D06">
        <w:rPr>
          <w:noProof/>
        </w:rPr>
        <w:tab/>
        <w:t>As condições aplicáveis à reutilização de dados ou documentos devem ser não discriminatórias, transparentes, proporcionadas e objetivamente justificadas no que respeita às categorias de dados ou documentos e às finalidades de reutilização, bem como à natureza dos dados ou documentos cuja reutilização é permitida. Essas condições não podem ser utilizadas para restringir a concorrência. Este princípio aplica-se igualmente a categorias comparáveis de reutilização, incluindo a reutilização transfronteiriça. </w:t>
      </w:r>
    </w:p>
    <w:p w14:paraId="46CBB63B" w14:textId="77777777" w:rsidR="002E527E" w:rsidRPr="000D0D06" w:rsidRDefault="001936FC" w:rsidP="001936FC">
      <w:pPr>
        <w:pStyle w:val="Point0"/>
        <w:rPr>
          <w:noProof/>
        </w:rPr>
      </w:pPr>
      <w:r w:rsidRPr="000D0D06">
        <w:rPr>
          <w:noProof/>
        </w:rPr>
        <w:t>2)</w:t>
      </w:r>
      <w:r w:rsidRPr="000D0D06">
        <w:rPr>
          <w:noProof/>
        </w:rPr>
        <w:tab/>
        <w:t>Caso um organismo do setor público reutilize dados ou documentos como estímulo para as suas atividades comerciais que não se enquadrem no âmbito das suas missões de serviço público, ao fornecimento de dados ou documentos para tais atividades devem aplicar-se emolumentos e condições idênticos aos aplicáveis aos restantes reutilizadores.</w:t>
      </w:r>
    </w:p>
    <w:p w14:paraId="101AD0ED" w14:textId="77777777" w:rsidR="00333EBC" w:rsidRPr="000D0D06" w:rsidRDefault="00333EBC" w:rsidP="002E527E">
      <w:pPr>
        <w:rPr>
          <w:noProof/>
        </w:rPr>
      </w:pPr>
    </w:p>
    <w:p w14:paraId="6FCDBF41" w14:textId="77777777" w:rsidR="00A02019" w:rsidRPr="000D0D06" w:rsidRDefault="00BD54E0" w:rsidP="00C6520F">
      <w:pPr>
        <w:jc w:val="center"/>
        <w:rPr>
          <w:noProof/>
        </w:rPr>
      </w:pPr>
      <w:r w:rsidRPr="000D0D06">
        <w:rPr>
          <w:noProof/>
        </w:rPr>
        <w:t xml:space="preserve">Artigo 32.º-K </w:t>
      </w:r>
    </w:p>
    <w:p w14:paraId="432F126E" w14:textId="77777777" w:rsidR="0070575E" w:rsidRPr="000D0D06" w:rsidDel="00E578CD" w:rsidRDefault="00F52591" w:rsidP="008D6372">
      <w:pPr>
        <w:jc w:val="center"/>
        <w:rPr>
          <w:i/>
          <w:iCs/>
          <w:noProof/>
        </w:rPr>
      </w:pPr>
      <w:r w:rsidRPr="000D0D06">
        <w:rPr>
          <w:i/>
          <w:noProof/>
        </w:rPr>
        <w:t>Acordos de exclusividade</w:t>
      </w:r>
    </w:p>
    <w:p w14:paraId="7FE2DC80" w14:textId="77777777" w:rsidR="00F65389" w:rsidRPr="000D0D06" w:rsidRDefault="001936FC" w:rsidP="001936FC">
      <w:pPr>
        <w:pStyle w:val="Point0"/>
        <w:rPr>
          <w:noProof/>
        </w:rPr>
      </w:pPr>
      <w:r w:rsidRPr="000D0D06">
        <w:rPr>
          <w:noProof/>
        </w:rPr>
        <w:t>1)</w:t>
      </w:r>
      <w:r w:rsidRPr="000D0D06">
        <w:rPr>
          <w:noProof/>
        </w:rPr>
        <w:tab/>
        <w:t>A reutilização de dados ou documentos está aberta a todos os potenciais intervenientes no mercado, ainda que um ou mais desses intervenientes explorem já produtos de valor acrescentado baseados nesses dados ou documentos. São proibidos os acordos ou outras disposições ou práticas relativos à reutilização de dados ou documentos que tenham por objetivo ou efeito conceder direitos exclusivos ou restringir a disponibilidade de dados ou documentos para reutilização por entidades que não sejam partes nesses acordos, disposições ou práticas.</w:t>
      </w:r>
    </w:p>
    <w:p w14:paraId="3D3212D6" w14:textId="0E3E0039" w:rsidR="00302D62" w:rsidRPr="000D0D06" w:rsidRDefault="001936FC" w:rsidP="001936FC">
      <w:pPr>
        <w:pStyle w:val="Point0"/>
        <w:rPr>
          <w:noProof/>
        </w:rPr>
      </w:pPr>
      <w:r w:rsidRPr="000D0D06">
        <w:rPr>
          <w:noProof/>
        </w:rPr>
        <w:t>2)</w:t>
      </w:r>
      <w:r w:rsidRPr="000D0D06">
        <w:rPr>
          <w:noProof/>
        </w:rPr>
        <w:tab/>
        <w:t xml:space="preserve">Em derrogação do n.º 1, sempre que seja necessário um direito exclusivo para a prestação de um serviço </w:t>
      </w:r>
      <w:r w:rsidRPr="000D0D06">
        <w:rPr>
          <w:noProof/>
          <w:color w:val="333333"/>
          <w:sz w:val="27"/>
          <w:shd w:val="clear" w:color="auto" w:fill="FFFFFF"/>
        </w:rPr>
        <w:t xml:space="preserve">de </w:t>
      </w:r>
      <w:r w:rsidRPr="000D0D06">
        <w:rPr>
          <w:noProof/>
        </w:rPr>
        <w:t>interesse geral, esse direito pode ser concedido na medida do necessário para a prestação do serviço ou o fornecimento do produto, nas seguintes condições:</w:t>
      </w:r>
    </w:p>
    <w:p w14:paraId="45096ACB" w14:textId="7B9B375C" w:rsidR="00302D62" w:rsidRPr="000D0D06" w:rsidRDefault="001936FC" w:rsidP="001936FC">
      <w:pPr>
        <w:pStyle w:val="Point1"/>
        <w:rPr>
          <w:noProof/>
        </w:rPr>
      </w:pPr>
      <w:r w:rsidRPr="000D0D06">
        <w:rPr>
          <w:noProof/>
        </w:rPr>
        <w:t>a)</w:t>
      </w:r>
      <w:r w:rsidRPr="000D0D06">
        <w:rPr>
          <w:noProof/>
        </w:rPr>
        <w:tab/>
        <w:t>O direito exclusivo é concedido através de um ato administrativo ou de um acordo contratual nos termos do direito da União e do direito nacional aplicáveis e em conformidade com os princípios da transparência, da igualdade de tratamento e da não discriminação;</w:t>
      </w:r>
    </w:p>
    <w:p w14:paraId="1552B96D" w14:textId="5FF4A6E0" w:rsidR="00302D62" w:rsidRPr="000D0D06" w:rsidRDefault="001936FC" w:rsidP="001936FC">
      <w:pPr>
        <w:pStyle w:val="Point1"/>
        <w:rPr>
          <w:noProof/>
        </w:rPr>
      </w:pPr>
      <w:r w:rsidRPr="000D0D06">
        <w:rPr>
          <w:noProof/>
        </w:rPr>
        <w:t>b)</w:t>
      </w:r>
      <w:r w:rsidRPr="000D0D06">
        <w:rPr>
          <w:noProof/>
        </w:rPr>
        <w:tab/>
        <w:t xml:space="preserve">Os acordos que concedem o direito exclusivo, incluindo as razões pelas quais é necessário conceder esse direito, são transparentes e disponibilizados ao público em linha, de uma forma que cumpra o direito da União aplicável em matéria de contratos públicos e o direito nacional; </w:t>
      </w:r>
    </w:p>
    <w:p w14:paraId="21A04F9C" w14:textId="0CA7CE85" w:rsidR="00F83E0D" w:rsidRPr="000D0D06" w:rsidRDefault="001936FC" w:rsidP="001936FC">
      <w:pPr>
        <w:pStyle w:val="Point1"/>
        <w:rPr>
          <w:noProof/>
        </w:rPr>
      </w:pPr>
      <w:r w:rsidRPr="000D0D06">
        <w:rPr>
          <w:noProof/>
        </w:rPr>
        <w:t>c)</w:t>
      </w:r>
      <w:r w:rsidRPr="000D0D06">
        <w:rPr>
          <w:noProof/>
        </w:rPr>
        <w:tab/>
        <w:t>Com exceção dos direitos exclusivos relacionados com a digitalização de recursos culturais, a validade do motivo para a concessão de direitos exclusivos relativos a dados e documentos abrangidos pelo âmbito de aplicação da secção 2 deve ser objeto de reexame periódico e, em qualquer caso, deve ser revista de três em três anos;</w:t>
      </w:r>
    </w:p>
    <w:p w14:paraId="1E1AD250" w14:textId="1CAA6ECE" w:rsidR="00CE0FDB" w:rsidRPr="000D0D06" w:rsidRDefault="001936FC" w:rsidP="001936FC">
      <w:pPr>
        <w:pStyle w:val="Point1"/>
        <w:rPr>
          <w:noProof/>
        </w:rPr>
      </w:pPr>
      <w:r w:rsidRPr="000D0D06">
        <w:rPr>
          <w:noProof/>
        </w:rPr>
        <w:t>d)</w:t>
      </w:r>
      <w:r w:rsidRPr="000D0D06">
        <w:rPr>
          <w:noProof/>
        </w:rPr>
        <w:tab/>
        <w:t>Os acordos de exclusividade celebrados em ou após 16 de julho de 2019 são publicados em linha, pelo menos dois meses antes da respetiva data de entrada em vigor. As condições finais desses acordos devem ser transparentes e publicadas em linha.</w:t>
      </w:r>
    </w:p>
    <w:p w14:paraId="06031B36" w14:textId="516987F0" w:rsidR="00302D62" w:rsidRPr="000D0D06" w:rsidRDefault="001936FC" w:rsidP="001936FC">
      <w:pPr>
        <w:pStyle w:val="Point0"/>
        <w:rPr>
          <w:noProof/>
        </w:rPr>
      </w:pPr>
      <w:r w:rsidRPr="000D0D06">
        <w:rPr>
          <w:noProof/>
        </w:rPr>
        <w:t>3)</w:t>
      </w:r>
      <w:r w:rsidRPr="000D0D06">
        <w:rPr>
          <w:noProof/>
        </w:rPr>
        <w:tab/>
        <w:t>Em derrogação do disposto no n.º 1, caso um direito exclusivo diga respeito à digitalização de recursos culturais, o período de exclusividade não deve, em geral, exceder 10 anos. Se esse período exceder 10 anos, a sua duração deve estar em conformidade com o direito da União e o direito nacional aplicáveis e ser objeto de reexame durante o 11.º ano e, posteriormente, se aplicável, de sete em sete anos.</w:t>
      </w:r>
    </w:p>
    <w:p w14:paraId="4037996B" w14:textId="5890D761" w:rsidR="00302D62" w:rsidRPr="000D0D06" w:rsidRDefault="001936FC" w:rsidP="001936FC">
      <w:pPr>
        <w:pStyle w:val="Point0"/>
        <w:rPr>
          <w:noProof/>
        </w:rPr>
      </w:pPr>
      <w:r w:rsidRPr="000D0D06">
        <w:rPr>
          <w:noProof/>
        </w:rPr>
        <w:t>4)</w:t>
      </w:r>
      <w:r w:rsidRPr="000D0D06">
        <w:rPr>
          <w:noProof/>
        </w:rPr>
        <w:tab/>
        <w:t>Caso exista um direito exclusivo a que se refere o n.º 3, deve ser fornecida ao organismo do setor público em causa, como parte integrante desses acordos, a título gratuito, uma cópia dos recursos culturais digitalizados. Essa cópia deve estar disponível para reutilização no termo do período de exclusividade.</w:t>
      </w:r>
    </w:p>
    <w:p w14:paraId="30057D8E" w14:textId="77777777" w:rsidR="00302D62" w:rsidRPr="000D0D06" w:rsidRDefault="001936FC" w:rsidP="001936FC">
      <w:pPr>
        <w:pStyle w:val="Point0"/>
        <w:rPr>
          <w:noProof/>
        </w:rPr>
      </w:pPr>
      <w:r w:rsidRPr="000D0D06">
        <w:rPr>
          <w:noProof/>
        </w:rPr>
        <w:t>5)</w:t>
      </w:r>
      <w:r w:rsidRPr="000D0D06">
        <w:rPr>
          <w:noProof/>
        </w:rPr>
        <w:tab/>
        <w:t xml:space="preserve">Para determinadas categorias de dados protegidos, a duração de um direito exclusivo de reutilização de dados não pode exceder 12 meses. Em caso de celebração de um contrato, a duração desse contrato é igual à duração do direito exclusivo. </w:t>
      </w:r>
    </w:p>
    <w:p w14:paraId="5DAE88B3" w14:textId="6A345995" w:rsidR="0089685D" w:rsidRPr="000D0D06" w:rsidRDefault="001936FC" w:rsidP="001936FC">
      <w:pPr>
        <w:pStyle w:val="Point0"/>
        <w:rPr>
          <w:noProof/>
        </w:rPr>
      </w:pPr>
      <w:r w:rsidRPr="000D0D06">
        <w:rPr>
          <w:noProof/>
        </w:rPr>
        <w:t>6)</w:t>
      </w:r>
      <w:r w:rsidRPr="000D0D06">
        <w:rPr>
          <w:noProof/>
        </w:rPr>
        <w:tab/>
        <w:t>Os acordos ou outras disposições ou práticas que, embora não concedendo expressamente um direito exclusivo, visem ou sejam previsivelmente conducentes a uma limitação da disponibilidade para reutilização de dados e documentos dentro do âmbito de aplicação da secção 2 por parte de entidades que não sejam partes desses acordos são publicados em linha, pelo menos dois meses antes da sua entrada em vigor. Os efeitos de tais disposições legais ou práticas para a disponibilidade dos dados destinados à reutilização devem ser objeto de reexame periódico, devendo, em qualquer caso, ser revistos de três em três anos. As condições finais desses acordos devem ser transparentes e publicadas em linha.</w:t>
      </w:r>
    </w:p>
    <w:p w14:paraId="0BBF2C3F" w14:textId="755D927A" w:rsidR="0089685D" w:rsidRPr="000D0D06" w:rsidRDefault="001936FC" w:rsidP="001936FC">
      <w:pPr>
        <w:pStyle w:val="Point0"/>
        <w:rPr>
          <w:noProof/>
        </w:rPr>
      </w:pPr>
      <w:r w:rsidRPr="000D0D06">
        <w:rPr>
          <w:noProof/>
        </w:rPr>
        <w:t>7)</w:t>
      </w:r>
      <w:r w:rsidRPr="000D0D06">
        <w:rPr>
          <w:noProof/>
        </w:rPr>
        <w:tab/>
        <w:t xml:space="preserve">Em relação aos acordos de exclusividade em vigor, aplica-se o seguinte: </w:t>
      </w:r>
    </w:p>
    <w:p w14:paraId="401131F9" w14:textId="21C93AFF" w:rsidR="00415A64" w:rsidRPr="000D0D06" w:rsidRDefault="001936FC" w:rsidP="001936FC">
      <w:pPr>
        <w:pStyle w:val="Point1"/>
        <w:rPr>
          <w:noProof/>
        </w:rPr>
      </w:pPr>
      <w:r w:rsidRPr="000D0D06">
        <w:rPr>
          <w:noProof/>
        </w:rPr>
        <w:t>a)</w:t>
      </w:r>
      <w:r w:rsidRPr="000D0D06">
        <w:rPr>
          <w:noProof/>
        </w:rPr>
        <w:tab/>
        <w:t>Os acordos de exclusividade relativos a dados e documentos abrangidos pelo âmbito de aplicação da secção 2 em vigor em 17 de julho de 2013 que não sejam elegíveis para as exceções previstas nos n.</w:t>
      </w:r>
      <w:r w:rsidRPr="000D0D06">
        <w:rPr>
          <w:noProof/>
          <w:vertAlign w:val="superscript"/>
        </w:rPr>
        <w:t>os</w:t>
      </w:r>
      <w:r w:rsidRPr="000D0D06">
        <w:rPr>
          <w:noProof/>
        </w:rPr>
        <w:t> 2 e 3 e que tenham sido celebrados por organismos do setor público devem ser rescindidos no termo do contrato e, em qualquer caso, o mais tardar em 18 de julho de 2043;</w:t>
      </w:r>
    </w:p>
    <w:p w14:paraId="6EB6E310" w14:textId="6C724449" w:rsidR="00415A64" w:rsidRPr="000D0D06" w:rsidRDefault="001936FC" w:rsidP="001936FC">
      <w:pPr>
        <w:pStyle w:val="Point1"/>
        <w:rPr>
          <w:noProof/>
        </w:rPr>
      </w:pPr>
      <w:r w:rsidRPr="000D0D06">
        <w:rPr>
          <w:noProof/>
        </w:rPr>
        <w:t>b)</w:t>
      </w:r>
      <w:r w:rsidRPr="000D0D06">
        <w:rPr>
          <w:noProof/>
        </w:rPr>
        <w:tab/>
        <w:t>Os acordos de exclusividade relativos a dados e documentos abrangidos pelo âmbito de aplicação da secção 2 em vigor em 16 de julho de 2019 que não sejam elegíveis para as exceções previstas nos n.</w:t>
      </w:r>
      <w:r w:rsidRPr="000D0D06">
        <w:rPr>
          <w:noProof/>
          <w:vertAlign w:val="superscript"/>
        </w:rPr>
        <w:t>os</w:t>
      </w:r>
      <w:r w:rsidRPr="000D0D06">
        <w:rPr>
          <w:noProof/>
        </w:rPr>
        <w:t xml:space="preserve"> 2 e 3 e que tenham sido celebrados por empresas públicas devem ser rescindidos no termo do contrato e, em qualquer caso, o mais tardar em 17 de julho de 2049. </w:t>
      </w:r>
    </w:p>
    <w:p w14:paraId="7931D332" w14:textId="77777777" w:rsidR="00C6520F" w:rsidRPr="000D0D06" w:rsidRDefault="00C6520F" w:rsidP="008D6372">
      <w:pPr>
        <w:jc w:val="center"/>
        <w:rPr>
          <w:noProof/>
        </w:rPr>
      </w:pPr>
      <w:r w:rsidRPr="000D0D06">
        <w:rPr>
          <w:noProof/>
        </w:rPr>
        <w:t>Artigo 32.º-L</w:t>
      </w:r>
    </w:p>
    <w:p w14:paraId="07802512" w14:textId="76B29270" w:rsidR="00737426" w:rsidRPr="000D0D06" w:rsidRDefault="00737426" w:rsidP="008D6372">
      <w:pPr>
        <w:jc w:val="center"/>
        <w:rPr>
          <w:i/>
          <w:iCs/>
          <w:noProof/>
        </w:rPr>
      </w:pPr>
      <w:r w:rsidRPr="000D0D06">
        <w:rPr>
          <w:i/>
          <w:noProof/>
        </w:rPr>
        <w:t>Princípios gerais aplicáveis à cobrança de emolumentos</w:t>
      </w:r>
    </w:p>
    <w:p w14:paraId="5A1AD969" w14:textId="68E9B2BF" w:rsidR="00737426" w:rsidRPr="000D0D06" w:rsidRDefault="001936FC" w:rsidP="001936FC">
      <w:pPr>
        <w:pStyle w:val="Point0"/>
        <w:rPr>
          <w:noProof/>
        </w:rPr>
      </w:pPr>
      <w:r w:rsidRPr="000D0D06">
        <w:rPr>
          <w:noProof/>
        </w:rPr>
        <w:t>1)</w:t>
      </w:r>
      <w:r w:rsidRPr="000D0D06">
        <w:rPr>
          <w:noProof/>
        </w:rPr>
        <w:tab/>
        <w:t xml:space="preserve">Os emolumentos fixados nos termos da secção 2 ou da secção 3 devem ser transparentes, não discriminatórios, proporcionados e objetivamente justificados e não podem restringir a concorrência. </w:t>
      </w:r>
    </w:p>
    <w:p w14:paraId="531381FC" w14:textId="77777777" w:rsidR="00737426" w:rsidRPr="000D0D06" w:rsidRDefault="001936FC" w:rsidP="001936FC">
      <w:pPr>
        <w:pStyle w:val="Point0"/>
        <w:rPr>
          <w:noProof/>
        </w:rPr>
      </w:pPr>
      <w:r w:rsidRPr="000D0D06">
        <w:rPr>
          <w:noProof/>
        </w:rPr>
        <w:t>2)</w:t>
      </w:r>
      <w:r w:rsidRPr="000D0D06">
        <w:rPr>
          <w:noProof/>
        </w:rPr>
        <w:tab/>
        <w:t xml:space="preserve">No caso de emolumentos normalizados aplicáveis à reutilização de dados ou documentos, as eventuais condições e o montante efetivo desses emolumentos, incluindo a base de cálculo dos referidos emolumentos, são estabelecidos previamente e publicados, se possível e adequado, por via eletrónica. </w:t>
      </w:r>
    </w:p>
    <w:p w14:paraId="2E6E8F84" w14:textId="77777777" w:rsidR="00737426" w:rsidRPr="000D0D06" w:rsidRDefault="001936FC" w:rsidP="001936FC">
      <w:pPr>
        <w:pStyle w:val="Point0"/>
        <w:rPr>
          <w:noProof/>
        </w:rPr>
      </w:pPr>
      <w:r w:rsidRPr="000D0D06">
        <w:rPr>
          <w:noProof/>
        </w:rPr>
        <w:t>3)</w:t>
      </w:r>
      <w:r w:rsidRPr="000D0D06">
        <w:rPr>
          <w:noProof/>
        </w:rPr>
        <w:tab/>
        <w:t xml:space="preserve">No caso de emolumentos aplicáveis à reutilização que não os referidos no n.º 1, os fatores que são tidos em conta no cálculo desses emolumentos devem ser previamente indicados logo no início. A pedido, o detentor dos dados ou documentos em causa deve também indicar a forma como os referidos emolumentos foram calculados no que diz respeito a um pedido específico de reutilização. </w:t>
      </w:r>
    </w:p>
    <w:p w14:paraId="6284952A" w14:textId="77777777" w:rsidR="00737426" w:rsidRPr="000D0D06" w:rsidRDefault="001936FC" w:rsidP="001936FC">
      <w:pPr>
        <w:pStyle w:val="Point0"/>
        <w:rPr>
          <w:noProof/>
        </w:rPr>
      </w:pPr>
      <w:r w:rsidRPr="000D0D06">
        <w:rPr>
          <w:noProof/>
        </w:rPr>
        <w:t>4)</w:t>
      </w:r>
      <w:r w:rsidRPr="000D0D06">
        <w:rPr>
          <w:noProof/>
        </w:rPr>
        <w:tab/>
        <w:t>Os organismos do setor público asseguram que os emolumentos possam também ser pagos em linha, através de serviços de pagamento transfronteiriço amplamente acessíveis, sem discriminação com base no local de estabelecimento do prestador do serviço de pagamento, no local de emissão do instrumento de pagamento ou na localização da conta de pagamento na União. </w:t>
      </w:r>
    </w:p>
    <w:p w14:paraId="135B60C6" w14:textId="77777777" w:rsidR="00D603B3" w:rsidRPr="000D0D06" w:rsidRDefault="00D603B3" w:rsidP="002E527E">
      <w:pPr>
        <w:ind w:left="1080"/>
        <w:rPr>
          <w:noProof/>
        </w:rPr>
      </w:pPr>
    </w:p>
    <w:p w14:paraId="339C50B7" w14:textId="77777777" w:rsidR="00385583" w:rsidRPr="000D0D06" w:rsidRDefault="002E527E" w:rsidP="00C6520F">
      <w:pPr>
        <w:jc w:val="center"/>
        <w:rPr>
          <w:noProof/>
        </w:rPr>
      </w:pPr>
      <w:r w:rsidRPr="000D0D06">
        <w:rPr>
          <w:noProof/>
        </w:rPr>
        <w:t xml:space="preserve">Artigo 32.º-M </w:t>
      </w:r>
    </w:p>
    <w:p w14:paraId="0ED14C95" w14:textId="77777777" w:rsidR="005B7854" w:rsidRPr="000D0D06" w:rsidRDefault="005B7854" w:rsidP="008D6372">
      <w:pPr>
        <w:jc w:val="center"/>
        <w:rPr>
          <w:i/>
          <w:iCs/>
          <w:noProof/>
        </w:rPr>
      </w:pPr>
      <w:r w:rsidRPr="000D0D06">
        <w:rPr>
          <w:i/>
          <w:noProof/>
        </w:rPr>
        <w:t>Informação sobre as vias de recurso</w:t>
      </w:r>
    </w:p>
    <w:p w14:paraId="0E73AA47" w14:textId="77777777" w:rsidR="005B7854" w:rsidRPr="000D0D06" w:rsidRDefault="005B7854" w:rsidP="002E527E">
      <w:pPr>
        <w:rPr>
          <w:noProof/>
        </w:rPr>
      </w:pPr>
      <w:r w:rsidRPr="000D0D06">
        <w:rPr>
          <w:noProof/>
        </w:rPr>
        <w:t>Os organismos do setor público asseguram que os requerentes da reutilização de dados ou documentos sejam informados das vias de recurso de que dispõem para poderem contestar as decisões ou práticas que os afetam.</w:t>
      </w:r>
    </w:p>
    <w:p w14:paraId="06581779" w14:textId="77777777" w:rsidR="00E268CE" w:rsidRPr="000D0D06" w:rsidRDefault="00E268CE" w:rsidP="002E527E">
      <w:pPr>
        <w:ind w:left="1080"/>
        <w:rPr>
          <w:noProof/>
        </w:rPr>
      </w:pPr>
    </w:p>
    <w:p w14:paraId="7C8940D7" w14:textId="77777777" w:rsidR="00C6520F" w:rsidRPr="000D0D06" w:rsidRDefault="00C4333C" w:rsidP="00C80D71">
      <w:pPr>
        <w:pStyle w:val="SectionTitle"/>
        <w:rPr>
          <w:noProof/>
        </w:rPr>
      </w:pPr>
      <w:r w:rsidRPr="000D0D06">
        <w:rPr>
          <w:noProof/>
        </w:rPr>
        <w:t xml:space="preserve">Secção 2 </w:t>
      </w:r>
    </w:p>
    <w:p w14:paraId="388967AD" w14:textId="687B42C5" w:rsidR="00C4333C" w:rsidRPr="000D0D06" w:rsidRDefault="00C63278" w:rsidP="00C80D71">
      <w:pPr>
        <w:pStyle w:val="SectionTitle"/>
        <w:rPr>
          <w:noProof/>
        </w:rPr>
      </w:pPr>
      <w:r w:rsidRPr="000D0D06">
        <w:rPr>
          <w:noProof/>
        </w:rPr>
        <w:t>Reutilização de dados abertos das administrações públicas</w:t>
      </w:r>
    </w:p>
    <w:p w14:paraId="0A5B1D29" w14:textId="77777777" w:rsidR="00502D59" w:rsidRPr="000D0D06" w:rsidRDefault="00502D59" w:rsidP="008D6372">
      <w:pPr>
        <w:pStyle w:val="Subtitle"/>
        <w:jc w:val="center"/>
        <w:rPr>
          <w:noProof/>
          <w:szCs w:val="24"/>
        </w:rPr>
      </w:pPr>
      <w:r w:rsidRPr="000D0D06">
        <w:rPr>
          <w:rFonts w:ascii="Times New Roman" w:hAnsi="Times New Roman"/>
          <w:noProof/>
          <w:color w:val="auto"/>
          <w:sz w:val="24"/>
        </w:rPr>
        <w:t>Subsecção 1 Âmbito de aplicação e princípios gerais</w:t>
      </w:r>
    </w:p>
    <w:p w14:paraId="647A620B" w14:textId="77777777" w:rsidR="00385583" w:rsidRPr="000D0D06" w:rsidRDefault="00160B90" w:rsidP="00C6520F">
      <w:pPr>
        <w:jc w:val="center"/>
        <w:rPr>
          <w:noProof/>
        </w:rPr>
      </w:pPr>
      <w:r w:rsidRPr="000D0D06">
        <w:rPr>
          <w:noProof/>
        </w:rPr>
        <w:t xml:space="preserve">Artigo 32.º-N </w:t>
      </w:r>
    </w:p>
    <w:p w14:paraId="46102A05" w14:textId="5BBD634B" w:rsidR="00D5656A" w:rsidRPr="000D0D06" w:rsidRDefault="00D5656A" w:rsidP="008D6372">
      <w:pPr>
        <w:jc w:val="center"/>
        <w:rPr>
          <w:i/>
          <w:iCs/>
          <w:noProof/>
        </w:rPr>
      </w:pPr>
      <w:r w:rsidRPr="000D0D06">
        <w:rPr>
          <w:i/>
          <w:noProof/>
        </w:rPr>
        <w:t>Princípio geral da reutilização de dados abertos das administrações públicas</w:t>
      </w:r>
    </w:p>
    <w:p w14:paraId="7528DC7A" w14:textId="0B972B63" w:rsidR="00B63BD0" w:rsidRPr="000D0D06" w:rsidRDefault="001936FC" w:rsidP="001936FC">
      <w:pPr>
        <w:pStyle w:val="Point0"/>
        <w:rPr>
          <w:noProof/>
        </w:rPr>
      </w:pPr>
      <w:r w:rsidRPr="000D0D06">
        <w:rPr>
          <w:noProof/>
        </w:rPr>
        <w:t>1)</w:t>
      </w:r>
      <w:r w:rsidRPr="000D0D06">
        <w:rPr>
          <w:noProof/>
        </w:rPr>
        <w:tab/>
        <w:t xml:space="preserve">Os dados ou documentos abrangidos pelo âmbito de aplicação da presente secção são reutilizáveis para fins comerciais ou não comerciais, em conformidade com a secção 1 e a secção 2, subsecção 3. </w:t>
      </w:r>
    </w:p>
    <w:p w14:paraId="3B9F2C48" w14:textId="40D23150" w:rsidR="00B63BD0" w:rsidRPr="000D0D06" w:rsidRDefault="001936FC" w:rsidP="001936FC">
      <w:pPr>
        <w:pStyle w:val="Point0"/>
        <w:rPr>
          <w:noProof/>
        </w:rPr>
      </w:pPr>
      <w:r w:rsidRPr="000D0D06">
        <w:rPr>
          <w:noProof/>
        </w:rPr>
        <w:t>2)</w:t>
      </w:r>
      <w:r w:rsidRPr="000D0D06">
        <w:rPr>
          <w:noProof/>
        </w:rPr>
        <w:tab/>
        <w:t>No que respeita aos dados ou documentos em relação aos quais as bibliotecas, incluindo as bibliotecas universitárias, os museus e os arquivos são titulares de direitos de propriedade intelectual e aos dados ou documentos na posse de empresas públicas, caso seja permitida a sua reutilização, esses dados ou documentos são reutilizáveis para fins comerciais ou não comerciais, de acordo com a secção 1 e a secção 2, subsecção 3.</w:t>
      </w:r>
    </w:p>
    <w:p w14:paraId="647298A7" w14:textId="77777777" w:rsidR="00912368" w:rsidRPr="000D0D06" w:rsidRDefault="001E6EF1" w:rsidP="008D6372">
      <w:pPr>
        <w:pStyle w:val="Subtitle"/>
        <w:jc w:val="center"/>
        <w:rPr>
          <w:rFonts w:ascii="Times New Roman" w:hAnsi="Times New Roman" w:cs="Times New Roman"/>
          <w:noProof/>
          <w:color w:val="auto"/>
          <w:sz w:val="24"/>
          <w:szCs w:val="24"/>
        </w:rPr>
      </w:pPr>
      <w:r w:rsidRPr="000D0D06">
        <w:rPr>
          <w:rFonts w:ascii="Times New Roman" w:hAnsi="Times New Roman"/>
          <w:noProof/>
          <w:color w:val="auto"/>
          <w:sz w:val="24"/>
        </w:rPr>
        <w:t xml:space="preserve">Subsecção 2 </w:t>
      </w:r>
    </w:p>
    <w:p w14:paraId="1B5717FC" w14:textId="77777777" w:rsidR="001E6EF1" w:rsidRPr="000D0D06" w:rsidRDefault="001E6EF1" w:rsidP="008D6372">
      <w:pPr>
        <w:pStyle w:val="Subtitle"/>
        <w:jc w:val="center"/>
        <w:rPr>
          <w:rFonts w:ascii="Times New Roman" w:hAnsi="Times New Roman" w:cs="Times New Roman"/>
          <w:noProof/>
          <w:color w:val="auto"/>
          <w:sz w:val="24"/>
          <w:szCs w:val="24"/>
        </w:rPr>
      </w:pPr>
      <w:r w:rsidRPr="000D0D06">
        <w:rPr>
          <w:rFonts w:ascii="Times New Roman" w:hAnsi="Times New Roman"/>
          <w:noProof/>
          <w:color w:val="auto"/>
          <w:sz w:val="24"/>
        </w:rPr>
        <w:t>Pedidos de reutilização</w:t>
      </w:r>
    </w:p>
    <w:p w14:paraId="773FE5CD" w14:textId="77777777" w:rsidR="001F465C" w:rsidRPr="000D0D06" w:rsidRDefault="00F313E4" w:rsidP="001F465C">
      <w:pPr>
        <w:jc w:val="center"/>
        <w:rPr>
          <w:noProof/>
        </w:rPr>
      </w:pPr>
      <w:r w:rsidRPr="000D0D06">
        <w:rPr>
          <w:noProof/>
        </w:rPr>
        <w:t xml:space="preserve">Artigo 32.º-O </w:t>
      </w:r>
    </w:p>
    <w:p w14:paraId="695FDFB5" w14:textId="77777777" w:rsidR="00F313E4" w:rsidRPr="000D0D06" w:rsidRDefault="00F313E4" w:rsidP="008D6372">
      <w:pPr>
        <w:jc w:val="center"/>
        <w:rPr>
          <w:i/>
          <w:iCs/>
          <w:noProof/>
        </w:rPr>
      </w:pPr>
      <w:r w:rsidRPr="000D0D06">
        <w:rPr>
          <w:i/>
          <w:noProof/>
        </w:rPr>
        <w:t>Tratamento dos pedidos de reutilização</w:t>
      </w:r>
    </w:p>
    <w:p w14:paraId="1E1614DF" w14:textId="77777777" w:rsidR="000B3DB4" w:rsidRPr="000D0D06" w:rsidRDefault="001936FC" w:rsidP="001936FC">
      <w:pPr>
        <w:pStyle w:val="Point0"/>
        <w:rPr>
          <w:noProof/>
        </w:rPr>
      </w:pPr>
      <w:r w:rsidRPr="000D0D06">
        <w:rPr>
          <w:noProof/>
        </w:rPr>
        <w:t>1)</w:t>
      </w:r>
      <w:r w:rsidRPr="000D0D06">
        <w:rPr>
          <w:noProof/>
        </w:rPr>
        <w:tab/>
        <w:t>Os organismos do setor público tratam os pedidos de reutilização e põem o documento à disposição do requerente para reutilização ou, caso seja necessária uma licença, apresentam ao requerente a oferta de licença definitiva num prazo razoável, compatível com os prazos previstos para o tratamento de pedidos de acesso aos dados ou documentos, sempre que possível e adequado através de meios eletrónicos. </w:t>
      </w:r>
    </w:p>
    <w:p w14:paraId="502B7AFD" w14:textId="77777777" w:rsidR="000B3DB4" w:rsidRPr="000D0D06" w:rsidRDefault="001936FC" w:rsidP="001936FC">
      <w:pPr>
        <w:pStyle w:val="Point0"/>
        <w:rPr>
          <w:noProof/>
        </w:rPr>
      </w:pPr>
      <w:r w:rsidRPr="000D0D06">
        <w:rPr>
          <w:noProof/>
        </w:rPr>
        <w:t>2)</w:t>
      </w:r>
      <w:r w:rsidRPr="000D0D06">
        <w:rPr>
          <w:noProof/>
        </w:rPr>
        <w:tab/>
        <w:t>Caso não tenham sido estabelecidos prazos ou outras regras que regulem a entrega atempada dos dados ou documentos, os organismos do setor público tratam o pedido e põem à disposição do requerente os dados ou documentos destinados a reutilização ou, caso seja necessária uma licença, apresentam ao requerente a oferta de licença definitiva o mais rapidamente possível e, em qualquer caso, num prazo de 20 dias úteis após a receção do pedido. Esse prazo pode ser prorrogado por mais 20 dias úteis para pedidos extensos ou complexos. Nesse caso, o requerente é notificado o mais rapidamente possível e, para todos os efeitos, no prazo de três semanas após o pedido inicial, de que é necessário mais tempo para tratar o pedido e das razões que justificam essa demora. </w:t>
      </w:r>
    </w:p>
    <w:p w14:paraId="2F1A1CCB" w14:textId="71762B35" w:rsidR="000B3DB4" w:rsidRPr="000D0D06" w:rsidRDefault="001936FC" w:rsidP="001936FC">
      <w:pPr>
        <w:pStyle w:val="Point0"/>
        <w:rPr>
          <w:noProof/>
        </w:rPr>
      </w:pPr>
      <w:r w:rsidRPr="000D0D06">
        <w:rPr>
          <w:noProof/>
        </w:rPr>
        <w:t>3)</w:t>
      </w:r>
      <w:r w:rsidRPr="000D0D06">
        <w:rPr>
          <w:noProof/>
        </w:rPr>
        <w:tab/>
        <w:t xml:space="preserve">Em caso de indeferimento, os organismos do setor público comunicam ao requerente os motivos da recusa com base nas disposições pertinentes do regime de acesso em vigor nesse Estado-Membro ou nas disposições do presente regulamento, nomeadamente o artigo 32.º-I, n.º 2, alíneas a) a c), e n.º 3, alíneas a) a d), ou o artigo 32.º-N (secção relativa ao princípio geral da reutilização de dados abertos das administrações públicas). Em caso de indeferimento baseado no artigo 32.º-I, n.º 3, alínea d), o organismo do setor público inclui uma referência à pessoa singular ou coletiva titular do direito, nos casos em que esta seja conhecida, ou, em alternativa, à entidade licenciadora que cedeu o material em causa ao organismo do setor público. As bibliotecas, incluindo as bibliotecas universitárias, os museus e os arquivos não são obrigados a incluir essa referência. </w:t>
      </w:r>
    </w:p>
    <w:p w14:paraId="17CF6C45" w14:textId="77777777" w:rsidR="000B3DB4" w:rsidRPr="000D0D06" w:rsidRDefault="001936FC" w:rsidP="001936FC">
      <w:pPr>
        <w:pStyle w:val="Point0"/>
        <w:rPr>
          <w:noProof/>
        </w:rPr>
      </w:pPr>
      <w:r w:rsidRPr="000D0D06">
        <w:rPr>
          <w:noProof/>
        </w:rPr>
        <w:t>4)</w:t>
      </w:r>
      <w:r w:rsidRPr="000D0D06">
        <w:rPr>
          <w:noProof/>
        </w:rPr>
        <w:tab/>
        <w:t>As vias de recurso incluem a possibilidade de reapreciação por um organismo imparcial de recurso com a competência técnica adequada, como a autoridade nacional da concorrência, a autoridade pertinente de acesso a dados ou documentos, a autoridade de controlo estabelecida nos termos do Regulamento (UE) 2016/679, ou uma autoridade judicial nacional, cujas decisões sejam vinculativas para o organismo do setor público em questão. </w:t>
      </w:r>
    </w:p>
    <w:p w14:paraId="0B79425A" w14:textId="77777777" w:rsidR="00927A6F" w:rsidRPr="000D0D06" w:rsidRDefault="001936FC" w:rsidP="001936FC">
      <w:pPr>
        <w:pStyle w:val="Point0"/>
        <w:rPr>
          <w:noProof/>
        </w:rPr>
      </w:pPr>
      <w:r w:rsidRPr="000D0D06">
        <w:rPr>
          <w:noProof/>
        </w:rPr>
        <w:t>5)</w:t>
      </w:r>
      <w:r w:rsidRPr="000D0D06">
        <w:rPr>
          <w:noProof/>
        </w:rPr>
        <w:tab/>
        <w:t>Para efeitos do presente artigo, os Estados-Membros estabelecem disposições práticas para facilitar a reutilização efetiva dos dados ou documentos. Essas disposições podem, em particular, incluir as formas de prestar informações adequadas sobre os direitos previstos no presente regulamento e de disponibilizar assistência e orientação pertinentes.</w:t>
      </w:r>
    </w:p>
    <w:p w14:paraId="45F31B69" w14:textId="77777777" w:rsidR="007664B8" w:rsidRPr="000D0D06" w:rsidRDefault="001936FC" w:rsidP="001936FC">
      <w:pPr>
        <w:pStyle w:val="Point0"/>
        <w:rPr>
          <w:noProof/>
        </w:rPr>
      </w:pPr>
      <w:r w:rsidRPr="000D0D06">
        <w:rPr>
          <w:noProof/>
        </w:rPr>
        <w:t>6)</w:t>
      </w:r>
      <w:r w:rsidRPr="000D0D06">
        <w:rPr>
          <w:noProof/>
        </w:rPr>
        <w:tab/>
        <w:t>O presente artigo não se aplica às seguintes entidades:</w:t>
      </w:r>
    </w:p>
    <w:p w14:paraId="1A6F6523" w14:textId="77777777" w:rsidR="000B3DB4" w:rsidRPr="000D0D06" w:rsidRDefault="001936FC" w:rsidP="001936FC">
      <w:pPr>
        <w:pStyle w:val="Point1"/>
        <w:rPr>
          <w:noProof/>
        </w:rPr>
      </w:pPr>
      <w:r w:rsidRPr="000D0D06">
        <w:rPr>
          <w:noProof/>
        </w:rPr>
        <w:t>a)</w:t>
      </w:r>
      <w:r w:rsidRPr="000D0D06">
        <w:rPr>
          <w:noProof/>
        </w:rPr>
        <w:tab/>
        <w:t>Empresas públicas; </w:t>
      </w:r>
    </w:p>
    <w:p w14:paraId="3E87A8F6" w14:textId="77777777" w:rsidR="000B3DB4" w:rsidRPr="000D0D06" w:rsidRDefault="001936FC" w:rsidP="001936FC">
      <w:pPr>
        <w:pStyle w:val="Point1"/>
        <w:rPr>
          <w:noProof/>
        </w:rPr>
      </w:pPr>
      <w:r w:rsidRPr="000D0D06">
        <w:rPr>
          <w:noProof/>
        </w:rPr>
        <w:t>b)</w:t>
      </w:r>
      <w:r w:rsidRPr="000D0D06">
        <w:rPr>
          <w:noProof/>
        </w:rPr>
        <w:tab/>
        <w:t>Estabelecimentos de ensino, organismos que realizam investigação e organismos financiadores de investigação. </w:t>
      </w:r>
    </w:p>
    <w:p w14:paraId="7569B683" w14:textId="77777777" w:rsidR="00007ED3" w:rsidRPr="000D0D06" w:rsidRDefault="00B234D2" w:rsidP="008D6372">
      <w:pPr>
        <w:pStyle w:val="Subtitle"/>
        <w:jc w:val="center"/>
        <w:rPr>
          <w:rFonts w:ascii="Times New Roman" w:hAnsi="Times New Roman" w:cs="Times New Roman"/>
          <w:noProof/>
          <w:color w:val="auto"/>
          <w:sz w:val="24"/>
          <w:szCs w:val="24"/>
        </w:rPr>
      </w:pPr>
      <w:r w:rsidRPr="000D0D06">
        <w:rPr>
          <w:rFonts w:ascii="Times New Roman" w:hAnsi="Times New Roman"/>
          <w:noProof/>
          <w:color w:val="auto"/>
          <w:sz w:val="24"/>
        </w:rPr>
        <w:t xml:space="preserve">Subsecção 3 </w:t>
      </w:r>
    </w:p>
    <w:p w14:paraId="738BB4ED" w14:textId="77777777" w:rsidR="00B234D2" w:rsidRPr="000D0D06" w:rsidRDefault="00B234D2" w:rsidP="008D6372">
      <w:pPr>
        <w:pStyle w:val="Subtitle"/>
        <w:jc w:val="center"/>
        <w:rPr>
          <w:rFonts w:ascii="Times New Roman" w:hAnsi="Times New Roman" w:cs="Times New Roman"/>
          <w:noProof/>
          <w:color w:val="auto"/>
          <w:sz w:val="24"/>
          <w:szCs w:val="24"/>
        </w:rPr>
      </w:pPr>
      <w:r w:rsidRPr="000D0D06">
        <w:rPr>
          <w:rFonts w:ascii="Times New Roman" w:hAnsi="Times New Roman"/>
          <w:noProof/>
          <w:color w:val="auto"/>
          <w:sz w:val="24"/>
        </w:rPr>
        <w:t>Condições de reutilização</w:t>
      </w:r>
    </w:p>
    <w:p w14:paraId="51A8D352" w14:textId="77777777" w:rsidR="001F465C" w:rsidRPr="000D0D06" w:rsidRDefault="00421263" w:rsidP="001F465C">
      <w:pPr>
        <w:jc w:val="center"/>
        <w:rPr>
          <w:noProof/>
        </w:rPr>
      </w:pPr>
      <w:r w:rsidRPr="000D0D06">
        <w:rPr>
          <w:noProof/>
        </w:rPr>
        <w:t xml:space="preserve">Artigo 32.º-P </w:t>
      </w:r>
    </w:p>
    <w:p w14:paraId="54BFC7EE" w14:textId="77777777" w:rsidR="00421263" w:rsidRPr="000D0D06" w:rsidRDefault="00E549C8" w:rsidP="008D6372">
      <w:pPr>
        <w:jc w:val="center"/>
        <w:rPr>
          <w:i/>
          <w:iCs/>
          <w:noProof/>
        </w:rPr>
      </w:pPr>
      <w:r w:rsidRPr="000D0D06">
        <w:rPr>
          <w:i/>
          <w:noProof/>
        </w:rPr>
        <w:t>Formatos disponíveis</w:t>
      </w:r>
    </w:p>
    <w:p w14:paraId="5C65D8D0" w14:textId="77777777" w:rsidR="00E37830" w:rsidRPr="000D0D06" w:rsidRDefault="001936FC" w:rsidP="001936FC">
      <w:pPr>
        <w:pStyle w:val="Point0"/>
        <w:rPr>
          <w:noProof/>
        </w:rPr>
      </w:pPr>
      <w:r w:rsidRPr="000D0D06">
        <w:rPr>
          <w:noProof/>
        </w:rPr>
        <w:t>1)</w:t>
      </w:r>
      <w:r w:rsidRPr="000D0D06">
        <w:rPr>
          <w:noProof/>
        </w:rPr>
        <w:tab/>
        <w:t>Sem prejuízo do disposto na subsecção 5, os organismos do setor público e as empresas públicas disponibilizam os seus dados ou documentos em qualquer formato ou linguagem em que já existam e, se possível e adequado, através de meios eletrónicos, em formatos que sejam abertos, legíveis por máquina, acessíveis e localizáveis e reutilizáveis, juntamente com os respetivos metadados. Tanto o formato como os metadados devem, se possível, respeitar normas formais abertas. </w:t>
      </w:r>
    </w:p>
    <w:p w14:paraId="4A3B9E38" w14:textId="77777777" w:rsidR="006A77B5" w:rsidRPr="000D0D06" w:rsidRDefault="001936FC" w:rsidP="001936FC">
      <w:pPr>
        <w:pStyle w:val="Point0"/>
        <w:rPr>
          <w:noProof/>
        </w:rPr>
      </w:pPr>
      <w:r w:rsidRPr="000D0D06">
        <w:rPr>
          <w:noProof/>
        </w:rPr>
        <w:t>2)</w:t>
      </w:r>
      <w:r w:rsidRPr="000D0D06">
        <w:rPr>
          <w:noProof/>
        </w:rPr>
        <w:tab/>
        <w:t>Os Estados-Membros incentivam os organismos do setor público e as empresas públicas a produzir e disponibilizar dados ou documentos abrangidos pelo âmbito de aplicação da presente secção em conformidade com o princípio “abertos desde a conceção e por defeito”. </w:t>
      </w:r>
    </w:p>
    <w:p w14:paraId="6C31B171" w14:textId="77777777" w:rsidR="00E37830" w:rsidRPr="000D0D06" w:rsidRDefault="001936FC" w:rsidP="001936FC">
      <w:pPr>
        <w:pStyle w:val="Point0"/>
        <w:rPr>
          <w:noProof/>
        </w:rPr>
      </w:pPr>
      <w:r w:rsidRPr="000D0D06">
        <w:rPr>
          <w:noProof/>
        </w:rPr>
        <w:t>3)</w:t>
      </w:r>
      <w:r w:rsidRPr="000D0D06">
        <w:rPr>
          <w:noProof/>
        </w:rPr>
        <w:tab/>
        <w:t>O n.º 1 não implica, para os organismos do setor público, a obrigação de criar ou adaptar dados ou documentos ou de fornecer extratos a fim de cumprir as suas disposições, caso isso envolva um esforço desproporcionado, que ultrapasse a simples manipulação. </w:t>
      </w:r>
    </w:p>
    <w:p w14:paraId="497139DB" w14:textId="77777777" w:rsidR="00E37830" w:rsidRPr="000D0D06" w:rsidRDefault="001936FC" w:rsidP="001936FC">
      <w:pPr>
        <w:pStyle w:val="Point0"/>
        <w:rPr>
          <w:noProof/>
        </w:rPr>
      </w:pPr>
      <w:r w:rsidRPr="000D0D06">
        <w:rPr>
          <w:noProof/>
        </w:rPr>
        <w:t>4)</w:t>
      </w:r>
      <w:r w:rsidRPr="000D0D06">
        <w:rPr>
          <w:noProof/>
        </w:rPr>
        <w:tab/>
        <w:t xml:space="preserve">Não se pode exigir aos organismos do setor público que mantenham a produção e o armazenamento de determinado tipo de dados ou documentos com vista à sua reutilização por organismos do setor público ou privado. </w:t>
      </w:r>
    </w:p>
    <w:p w14:paraId="17C55F80" w14:textId="77777777" w:rsidR="00E37830" w:rsidRPr="000D0D06" w:rsidRDefault="001936FC" w:rsidP="001936FC">
      <w:pPr>
        <w:pStyle w:val="Point0"/>
        <w:rPr>
          <w:noProof/>
        </w:rPr>
      </w:pPr>
      <w:r w:rsidRPr="000D0D06">
        <w:rPr>
          <w:noProof/>
        </w:rPr>
        <w:t>5)</w:t>
      </w:r>
      <w:r w:rsidRPr="000D0D06">
        <w:rPr>
          <w:noProof/>
        </w:rPr>
        <w:tab/>
        <w:t>Os organismos do setor público disponibilizam dados dinâmicos para reutilização imediatamente após a respetiva recolha, através de IPA adequadas e, se for caso disso, sob a forma de descarregamento em bloco. </w:t>
      </w:r>
    </w:p>
    <w:p w14:paraId="09ED7C48" w14:textId="77777777" w:rsidR="00E37830" w:rsidRPr="000D0D06" w:rsidRDefault="001936FC" w:rsidP="001936FC">
      <w:pPr>
        <w:pStyle w:val="Point0"/>
        <w:rPr>
          <w:noProof/>
        </w:rPr>
      </w:pPr>
      <w:r w:rsidRPr="000D0D06">
        <w:rPr>
          <w:noProof/>
        </w:rPr>
        <w:t>6)</w:t>
      </w:r>
      <w:r w:rsidRPr="000D0D06">
        <w:rPr>
          <w:noProof/>
        </w:rPr>
        <w:tab/>
        <w:t>Se a disponibilização dos dados dinâmicos para reutilização imediatamente após a recolha, a que se refere o n.º 5, exceder as capacidades financeiras e técnicas do organismo do setor público, impondo assim um esforço desproporcionado, esses dados dinâmicos devem ser disponibilizados para reutilização num prazo ou com restrições técnicas temporárias que não prejudiquem indevidamente a exploração do seu potencial económico e social. </w:t>
      </w:r>
    </w:p>
    <w:p w14:paraId="76C59445" w14:textId="77777777" w:rsidR="00E37830" w:rsidRPr="000D0D06" w:rsidRDefault="001936FC" w:rsidP="001936FC">
      <w:pPr>
        <w:pStyle w:val="Point0"/>
        <w:rPr>
          <w:noProof/>
        </w:rPr>
      </w:pPr>
      <w:r w:rsidRPr="000D0D06">
        <w:rPr>
          <w:noProof/>
        </w:rPr>
        <w:t>7)</w:t>
      </w:r>
      <w:r w:rsidRPr="000D0D06">
        <w:rPr>
          <w:noProof/>
        </w:rPr>
        <w:tab/>
        <w:t>Os n.</w:t>
      </w:r>
      <w:r w:rsidRPr="000D0D06">
        <w:rPr>
          <w:noProof/>
          <w:vertAlign w:val="superscript"/>
        </w:rPr>
        <w:t>os</w:t>
      </w:r>
      <w:r w:rsidRPr="000D0D06">
        <w:rPr>
          <w:noProof/>
        </w:rPr>
        <w:t> 1 a 6 aplicam-se aos dados ou documentos existentes na posse de empresas públicas que estejam disponíveis para reutilização. </w:t>
      </w:r>
    </w:p>
    <w:p w14:paraId="14D60B29" w14:textId="77777777" w:rsidR="00E549C8" w:rsidRPr="000D0D06" w:rsidRDefault="001936FC" w:rsidP="001936FC">
      <w:pPr>
        <w:pStyle w:val="Point0"/>
        <w:rPr>
          <w:noProof/>
        </w:rPr>
      </w:pPr>
      <w:r w:rsidRPr="000D0D06">
        <w:rPr>
          <w:noProof/>
        </w:rPr>
        <w:t>8)</w:t>
      </w:r>
      <w:r w:rsidRPr="000D0D06">
        <w:rPr>
          <w:noProof/>
        </w:rPr>
        <w:tab/>
        <w:t>Os conjuntos de dados de elevado valor, como enumerados nos termos do artigo 32.º-V, n.º 1, são disponibilizados para reutilização em formato legível por máquina, através de IPA adequadas e, se for caso disso, sob a forma de descarregamento em bloco. </w:t>
      </w:r>
    </w:p>
    <w:p w14:paraId="7276F38A" w14:textId="77777777" w:rsidR="001F465C" w:rsidRPr="000D0D06" w:rsidRDefault="001E42C8" w:rsidP="001F465C">
      <w:pPr>
        <w:jc w:val="center"/>
        <w:rPr>
          <w:noProof/>
        </w:rPr>
      </w:pPr>
      <w:r w:rsidRPr="000D0D06">
        <w:rPr>
          <w:noProof/>
        </w:rPr>
        <w:t xml:space="preserve">Artigo 32.º-Q </w:t>
      </w:r>
    </w:p>
    <w:p w14:paraId="5869F88E" w14:textId="5D64934D" w:rsidR="001E42C8" w:rsidRPr="000D0D06" w:rsidRDefault="000E33D7" w:rsidP="008D6372">
      <w:pPr>
        <w:jc w:val="center"/>
        <w:rPr>
          <w:i/>
          <w:iCs/>
          <w:noProof/>
        </w:rPr>
      </w:pPr>
      <w:r w:rsidRPr="000D0D06">
        <w:rPr>
          <w:i/>
          <w:noProof/>
        </w:rPr>
        <w:t>Princípios que regem a cobrança de emolumentos por dados abertos das administrações públicas</w:t>
      </w:r>
    </w:p>
    <w:p w14:paraId="74715080" w14:textId="5731F174" w:rsidR="66776EDC" w:rsidRPr="000D0D06" w:rsidRDefault="001936FC" w:rsidP="001936FC">
      <w:pPr>
        <w:pStyle w:val="Point0"/>
        <w:rPr>
          <w:noProof/>
        </w:rPr>
      </w:pPr>
      <w:r w:rsidRPr="000D0D06">
        <w:rPr>
          <w:noProof/>
        </w:rPr>
        <w:t>1)</w:t>
      </w:r>
      <w:r w:rsidRPr="000D0D06">
        <w:rPr>
          <w:noProof/>
        </w:rPr>
        <w:tab/>
        <w:t xml:space="preserve">A reutilização dos dados ou documentos abrangidos pelo âmbito de aplicação da presente secção é gratuita. No entanto, pode ser permitida a recuperação, pelo organismo do setor público que detém os dados, dos custos marginais incorridos com a reprodução, o fornecimento e a divulgação desses dados ou documentos, bem como com a anonimização dos dados pessoais e as medidas tomadas para proteger informações comerciais confidenciais. </w:t>
      </w:r>
    </w:p>
    <w:p w14:paraId="3A2A3470" w14:textId="77777777" w:rsidR="009F49A8" w:rsidRPr="000D0D06" w:rsidRDefault="001936FC" w:rsidP="001936FC">
      <w:pPr>
        <w:pStyle w:val="Point0"/>
        <w:rPr>
          <w:noProof/>
        </w:rPr>
      </w:pPr>
      <w:r w:rsidRPr="000D0D06">
        <w:rPr>
          <w:noProof/>
        </w:rPr>
        <w:t>2)</w:t>
      </w:r>
      <w:r w:rsidRPr="000D0D06">
        <w:rPr>
          <w:noProof/>
        </w:rPr>
        <w:tab/>
        <w:t xml:space="preserve">O n.º 1 não é aplicável às seguintes entidades: </w:t>
      </w:r>
    </w:p>
    <w:p w14:paraId="002A82EF" w14:textId="77777777" w:rsidR="009F49A8" w:rsidRPr="000D0D06" w:rsidRDefault="001936FC" w:rsidP="001936FC">
      <w:pPr>
        <w:pStyle w:val="Point1"/>
        <w:rPr>
          <w:noProof/>
        </w:rPr>
      </w:pPr>
      <w:r w:rsidRPr="000D0D06">
        <w:rPr>
          <w:noProof/>
        </w:rPr>
        <w:t>a)</w:t>
      </w:r>
      <w:r w:rsidRPr="000D0D06">
        <w:rPr>
          <w:noProof/>
        </w:rPr>
        <w:tab/>
        <w:t xml:space="preserve">Organismos do setor público que são obrigados a gerar receitas para cobrir uma parte substancial dos seus custos relacionados com o desempenho das suas missões de serviço público; </w:t>
      </w:r>
    </w:p>
    <w:p w14:paraId="79EDC0EB" w14:textId="77777777" w:rsidR="009F49A8" w:rsidRPr="000D0D06" w:rsidRDefault="001936FC" w:rsidP="001936FC">
      <w:pPr>
        <w:pStyle w:val="Point1"/>
        <w:rPr>
          <w:noProof/>
        </w:rPr>
      </w:pPr>
      <w:r w:rsidRPr="000D0D06">
        <w:rPr>
          <w:noProof/>
        </w:rPr>
        <w:t>b)</w:t>
      </w:r>
      <w:r w:rsidRPr="000D0D06">
        <w:rPr>
          <w:noProof/>
        </w:rPr>
        <w:tab/>
        <w:t xml:space="preserve">Bibliotecas, incluindo bibliotecas universitárias, museus e arquivos; </w:t>
      </w:r>
    </w:p>
    <w:p w14:paraId="310EFD1F" w14:textId="77777777" w:rsidR="00452AFB" w:rsidRPr="000D0D06" w:rsidRDefault="001936FC" w:rsidP="001936FC">
      <w:pPr>
        <w:pStyle w:val="Point1"/>
        <w:rPr>
          <w:noProof/>
        </w:rPr>
      </w:pPr>
      <w:r w:rsidRPr="000D0D06">
        <w:rPr>
          <w:noProof/>
        </w:rPr>
        <w:t>c)</w:t>
      </w:r>
      <w:r w:rsidRPr="000D0D06">
        <w:rPr>
          <w:noProof/>
        </w:rPr>
        <w:tab/>
        <w:t xml:space="preserve">Empresas públicas. </w:t>
      </w:r>
    </w:p>
    <w:p w14:paraId="271158F8" w14:textId="77777777" w:rsidR="00452AFB" w:rsidRPr="000D0D06" w:rsidRDefault="001936FC" w:rsidP="001936FC">
      <w:pPr>
        <w:pStyle w:val="Point0"/>
        <w:rPr>
          <w:noProof/>
        </w:rPr>
      </w:pPr>
      <w:r w:rsidRPr="000D0D06">
        <w:rPr>
          <w:noProof/>
        </w:rPr>
        <w:t>3)</w:t>
      </w:r>
      <w:r w:rsidRPr="000D0D06">
        <w:rPr>
          <w:noProof/>
        </w:rPr>
        <w:tab/>
        <w:t xml:space="preserve">Os Estados-Membros publicam em linha uma lista dos organismos do setor público a que se refere o n.º 2, alínea a). </w:t>
      </w:r>
    </w:p>
    <w:p w14:paraId="5F8ED93D" w14:textId="77777777" w:rsidR="00E627A1" w:rsidRPr="000D0D06" w:rsidRDefault="001936FC" w:rsidP="001936FC">
      <w:pPr>
        <w:pStyle w:val="Point0"/>
        <w:rPr>
          <w:noProof/>
        </w:rPr>
      </w:pPr>
      <w:r w:rsidRPr="000D0D06">
        <w:rPr>
          <w:noProof/>
        </w:rPr>
        <w:t>4)</w:t>
      </w:r>
      <w:r w:rsidRPr="000D0D06">
        <w:rPr>
          <w:noProof/>
        </w:rPr>
        <w:tab/>
        <w:t xml:space="preserve">Nos casos a que se refere o n.º 2, alíneas a) e c), os emolumentos totais são calculados de acordo com critérios objetivos, transparentes e verificáveis. Esses critérios são estabelecidos pelos Estados-Membros. A receita total proveniente do fornecimento e da autorização de reutilização de dados ou documentos durante o período contabilístico adequado não pode exceder o custo da sua recolha, produção, reprodução e divulgação, bem como do armazenamento de dados, acrescido de um retorno razoável do investimento, e, se aplicável, da anonimização dos dados pessoais e das medidas destinadas a proteger informações comerciais confidenciais. Os emolumentos são calculados de acordo com os princípios contabilísticos aplicáveis. </w:t>
      </w:r>
    </w:p>
    <w:p w14:paraId="0630ED61" w14:textId="77777777" w:rsidR="009F49A8" w:rsidRPr="000D0D06" w:rsidRDefault="001936FC" w:rsidP="001936FC">
      <w:pPr>
        <w:pStyle w:val="Point0"/>
        <w:rPr>
          <w:noProof/>
        </w:rPr>
      </w:pPr>
      <w:r w:rsidRPr="000D0D06">
        <w:rPr>
          <w:noProof/>
        </w:rPr>
        <w:t>5)</w:t>
      </w:r>
      <w:r w:rsidRPr="000D0D06">
        <w:rPr>
          <w:noProof/>
        </w:rPr>
        <w:tab/>
        <w:t xml:space="preserve">No caso de serem cobrados emolumentos por organismos do setor público a que se refere o n.º 2, alínea b), a receita total proveniente do fornecimento e da autorização de reutilização de dados ou documentos durante o período contabilístico adequado não pode exceder o custo da sua recolha, produção, reprodução, divulgação e preservação, bem como do armazenamento de dados e da aquisição de direitos, e, se aplicável, da anonimização dos dados pessoais e das medidas destinadas a proteger informações comerciais confidenciais, acrescido de um retorno razoável do investimento. Os emolumentos são calculados de acordo com os princípios contabilísticos aplicáveis aos organismos do setor público interessados. </w:t>
      </w:r>
    </w:p>
    <w:p w14:paraId="1E0F4B27" w14:textId="2C25FE54" w:rsidR="7B3D7437" w:rsidRPr="000D0D06" w:rsidRDefault="001936FC" w:rsidP="001936FC">
      <w:pPr>
        <w:pStyle w:val="Point0"/>
        <w:rPr>
          <w:noProof/>
        </w:rPr>
      </w:pPr>
      <w:r w:rsidRPr="000D0D06">
        <w:rPr>
          <w:noProof/>
        </w:rPr>
        <w:t>6)</w:t>
      </w:r>
      <w:r w:rsidRPr="000D0D06">
        <w:rPr>
          <w:noProof/>
        </w:rPr>
        <w:tab/>
        <w:t>Os organismos do setor público podem fixar emolumentos mais elevados pela reutilização de dados e documentos por empresas de muito grande dimensão do que os previstos nos n.</w:t>
      </w:r>
      <w:r w:rsidRPr="000D0D06">
        <w:rPr>
          <w:noProof/>
          <w:vertAlign w:val="superscript"/>
        </w:rPr>
        <w:t>os</w:t>
      </w:r>
      <w:r w:rsidRPr="000D0D06">
        <w:rPr>
          <w:noProof/>
        </w:rPr>
        <w:t> 1, 4 e 5. Esses emolumentos devem ser proporcionados e basear-se em critérios objetivos, tendo em conta o poder económico ou a capacidade da entidade para adquirir dados, incluindo, em especial, a designação como controlador de acesso nos termos do Regulamento (UE) 2022/1925. Para além dos elementos enumerados no n.º 1 do presente artigo, esses emolumentos podem cobrir os custos de recolha, produção, reprodução, divulgação e armazenamento de dados e, se for caso disso, os custos de anonimização ou de medidas destinadas a proteger a confidencialidade dos dados ou documentos, juntamente com um retorno razoável do investimento.</w:t>
      </w:r>
    </w:p>
    <w:p w14:paraId="4BC2D163" w14:textId="77777777" w:rsidR="001B6BB6" w:rsidRPr="000D0D06" w:rsidRDefault="001936FC" w:rsidP="001936FC">
      <w:pPr>
        <w:pStyle w:val="Point0"/>
        <w:rPr>
          <w:noProof/>
        </w:rPr>
      </w:pPr>
      <w:r w:rsidRPr="000D0D06">
        <w:rPr>
          <w:noProof/>
        </w:rPr>
        <w:t>7)</w:t>
      </w:r>
      <w:r w:rsidRPr="000D0D06">
        <w:rPr>
          <w:noProof/>
        </w:rPr>
        <w:tab/>
        <w:t xml:space="preserve">A reutilização dos seguintes elementos é gratuita para o utilizador: </w:t>
      </w:r>
    </w:p>
    <w:p w14:paraId="0BE7A1FA" w14:textId="77777777" w:rsidR="001B6BB6" w:rsidRPr="000D0D06" w:rsidRDefault="001936FC" w:rsidP="001936FC">
      <w:pPr>
        <w:pStyle w:val="Point1"/>
        <w:rPr>
          <w:noProof/>
        </w:rPr>
      </w:pPr>
      <w:r w:rsidRPr="000D0D06">
        <w:rPr>
          <w:noProof/>
        </w:rPr>
        <w:t>a)</w:t>
      </w:r>
      <w:r w:rsidRPr="000D0D06">
        <w:rPr>
          <w:noProof/>
        </w:rPr>
        <w:tab/>
        <w:t>Sem prejuízo do artigo 32.º-V, n.</w:t>
      </w:r>
      <w:r w:rsidRPr="000D0D06">
        <w:rPr>
          <w:noProof/>
          <w:vertAlign w:val="superscript"/>
        </w:rPr>
        <w:t>os</w:t>
      </w:r>
      <w:r w:rsidRPr="000D0D06">
        <w:rPr>
          <w:noProof/>
        </w:rPr>
        <w:t> 3, 4 e 5, conjuntos de dados de elevado valor, enumerados nos termos do n.º 1 desse artigo;</w:t>
      </w:r>
    </w:p>
    <w:p w14:paraId="503DB395" w14:textId="77777777" w:rsidR="000E33D7" w:rsidRPr="000D0D06" w:rsidRDefault="001936FC" w:rsidP="001936FC">
      <w:pPr>
        <w:pStyle w:val="Point1"/>
        <w:rPr>
          <w:noProof/>
        </w:rPr>
      </w:pPr>
      <w:r w:rsidRPr="000D0D06">
        <w:rPr>
          <w:noProof/>
        </w:rPr>
        <w:t>b)</w:t>
      </w:r>
      <w:r w:rsidRPr="000D0D06">
        <w:rPr>
          <w:noProof/>
        </w:rPr>
        <w:tab/>
        <w:t>Dados de investigação a que se refere o artigo 32.º-I, n.º 1, alínea c).</w:t>
      </w:r>
    </w:p>
    <w:p w14:paraId="6A1F4B12" w14:textId="77777777" w:rsidR="001F465C" w:rsidRPr="000D0D06" w:rsidRDefault="00630884" w:rsidP="001F465C">
      <w:pPr>
        <w:jc w:val="center"/>
        <w:rPr>
          <w:noProof/>
        </w:rPr>
      </w:pPr>
      <w:r w:rsidRPr="000D0D06">
        <w:rPr>
          <w:noProof/>
        </w:rPr>
        <w:t xml:space="preserve">Artigo 32.º-R </w:t>
      </w:r>
    </w:p>
    <w:p w14:paraId="4D8FD99D" w14:textId="77777777" w:rsidR="004069A1" w:rsidRPr="000D0D06" w:rsidRDefault="004069A1" w:rsidP="008D6372">
      <w:pPr>
        <w:jc w:val="center"/>
        <w:rPr>
          <w:i/>
          <w:iCs/>
          <w:noProof/>
        </w:rPr>
      </w:pPr>
      <w:r w:rsidRPr="000D0D06">
        <w:rPr>
          <w:i/>
          <w:noProof/>
        </w:rPr>
        <w:t>Licenças-tipo</w:t>
      </w:r>
    </w:p>
    <w:p w14:paraId="229C4157" w14:textId="77777777" w:rsidR="00E73762" w:rsidRPr="000D0D06" w:rsidRDefault="001936FC" w:rsidP="001936FC">
      <w:pPr>
        <w:pStyle w:val="Point0"/>
        <w:rPr>
          <w:noProof/>
        </w:rPr>
      </w:pPr>
      <w:r w:rsidRPr="000D0D06">
        <w:rPr>
          <w:noProof/>
        </w:rPr>
        <w:t>1)</w:t>
      </w:r>
      <w:r w:rsidRPr="000D0D06">
        <w:rPr>
          <w:noProof/>
        </w:rPr>
        <w:tab/>
        <w:t>A reutilização de dados ou documentos não está sujeita a condições, salvo se tais condições forem objetivas, proporcionadas, não discriminatórias e justificadas por um objetivo de interesse público. </w:t>
      </w:r>
    </w:p>
    <w:p w14:paraId="5F837042" w14:textId="77777777" w:rsidR="00E73762" w:rsidRPr="000D0D06" w:rsidRDefault="001936FC" w:rsidP="001936FC">
      <w:pPr>
        <w:pStyle w:val="Point0"/>
        <w:rPr>
          <w:noProof/>
        </w:rPr>
      </w:pPr>
      <w:r w:rsidRPr="000D0D06">
        <w:rPr>
          <w:noProof/>
        </w:rPr>
        <w:t>2)</w:t>
      </w:r>
      <w:r w:rsidRPr="000D0D06">
        <w:rPr>
          <w:noProof/>
        </w:rPr>
        <w:tab/>
        <w:t>Se a reutilização estiver sujeita a condições, essas condições não restringem desnecessariamente as possibilidades de reutilização e não podem ser utilizadas para restringir a concorrência. </w:t>
      </w:r>
    </w:p>
    <w:p w14:paraId="50768305" w14:textId="77777777" w:rsidR="00084BC5" w:rsidRPr="000D0D06" w:rsidRDefault="001936FC" w:rsidP="001936FC">
      <w:pPr>
        <w:pStyle w:val="Point0"/>
        <w:rPr>
          <w:noProof/>
        </w:rPr>
      </w:pPr>
      <w:r w:rsidRPr="000D0D06">
        <w:rPr>
          <w:noProof/>
        </w:rPr>
        <w:t>3)</w:t>
      </w:r>
      <w:r w:rsidRPr="000D0D06">
        <w:rPr>
          <w:noProof/>
        </w:rPr>
        <w:tab/>
        <w:t xml:space="preserve">Nos Estados-Membros em que forem utilizadas licenças, os organismos do setor público devem garantir que as licenças-tipo para a reutilização de dados ou documentos do setor público, que podem ser adaptados para satisfazer pedidos de licença específicos, estejam disponíveis em formato digital e possam ser tratados eletronicamente. </w:t>
      </w:r>
    </w:p>
    <w:p w14:paraId="6D8D37FF" w14:textId="489A9CBB" w:rsidR="00084BC5" w:rsidRPr="000D0D06" w:rsidRDefault="001936FC" w:rsidP="001936FC">
      <w:pPr>
        <w:pStyle w:val="Point0"/>
        <w:rPr>
          <w:noProof/>
        </w:rPr>
      </w:pPr>
      <w:r w:rsidRPr="000D0D06">
        <w:rPr>
          <w:noProof/>
        </w:rPr>
        <w:t>4)</w:t>
      </w:r>
      <w:r w:rsidRPr="000D0D06">
        <w:rPr>
          <w:noProof/>
        </w:rPr>
        <w:tab/>
        <w:t xml:space="preserve">Os organismos do setor público podem estabelecer condições especiais para a reutilização de dados e documentos por empresas de muito grande dimensão. Essas condições devem ser proporcionadas e basear-se em critérios objetivos. São estabelecidas tendo em conta o poder económico ou a capacidade da entidade para adquirir dados, nomeadamente a designação como controlador de acesso nos termos do Regulamento (UE) 2022/1925. </w:t>
      </w:r>
    </w:p>
    <w:p w14:paraId="5DAA2207" w14:textId="77777777" w:rsidR="001F465C" w:rsidRPr="000D0D06" w:rsidRDefault="00E97820" w:rsidP="001F465C">
      <w:pPr>
        <w:jc w:val="center"/>
        <w:rPr>
          <w:noProof/>
        </w:rPr>
      </w:pPr>
      <w:r w:rsidRPr="000D0D06">
        <w:rPr>
          <w:noProof/>
        </w:rPr>
        <w:t xml:space="preserve">Artigo 32.º-S </w:t>
      </w:r>
    </w:p>
    <w:p w14:paraId="62E85210" w14:textId="77777777" w:rsidR="00490701" w:rsidRPr="000D0D06" w:rsidRDefault="00490701" w:rsidP="008D6372">
      <w:pPr>
        <w:jc w:val="center"/>
        <w:rPr>
          <w:i/>
          <w:iCs/>
          <w:noProof/>
        </w:rPr>
      </w:pPr>
      <w:r w:rsidRPr="000D0D06">
        <w:rPr>
          <w:i/>
          <w:noProof/>
        </w:rPr>
        <w:t>Disposições práticas</w:t>
      </w:r>
    </w:p>
    <w:p w14:paraId="05A122C2" w14:textId="77777777" w:rsidR="00927A6F" w:rsidRPr="000D0D06" w:rsidRDefault="001936FC" w:rsidP="001936FC">
      <w:pPr>
        <w:pStyle w:val="Point0"/>
        <w:rPr>
          <w:noProof/>
        </w:rPr>
      </w:pPr>
      <w:r w:rsidRPr="000D0D06">
        <w:rPr>
          <w:noProof/>
        </w:rPr>
        <w:t>1)</w:t>
      </w:r>
      <w:r w:rsidRPr="000D0D06">
        <w:rPr>
          <w:noProof/>
        </w:rPr>
        <w:tab/>
        <w:t>Os Estados-Membros estabelecem disposições práticas que facilitem a pesquisa de dados ou documentos disponíveis para reutilização, tais como listas de recursos dos dados ou documentos principais juntamente com os metadados conexos, acessíveis, se possível e adequado, em linha e em formato legível por máquina, assim como portais com ligação às listas de recursos. Se possível, os Estados-Membros facilitam a pesquisa multilingue de dados ou documentos, nomeadamente permitindo a agregação de metadados a nível da União.</w:t>
      </w:r>
    </w:p>
    <w:p w14:paraId="11BF1205" w14:textId="77777777" w:rsidR="0025654B" w:rsidRPr="000D0D06" w:rsidRDefault="00490701" w:rsidP="002443E7">
      <w:pPr>
        <w:ind w:left="810"/>
        <w:rPr>
          <w:noProof/>
        </w:rPr>
      </w:pPr>
      <w:r w:rsidRPr="000D0D06">
        <w:rPr>
          <w:noProof/>
        </w:rPr>
        <w:t>Os Estados-Membros incentivam também os organismos do setor público a prever disposições práticas para facilitar a preservação de dados ou documentos disponíveis para reutilização. </w:t>
      </w:r>
    </w:p>
    <w:p w14:paraId="6A22FD5D" w14:textId="77777777" w:rsidR="00490701" w:rsidRPr="000D0D06" w:rsidRDefault="001936FC" w:rsidP="001936FC">
      <w:pPr>
        <w:pStyle w:val="Point0"/>
        <w:rPr>
          <w:noProof/>
        </w:rPr>
      </w:pPr>
      <w:r w:rsidRPr="000D0D06">
        <w:rPr>
          <w:noProof/>
        </w:rPr>
        <w:t>2)</w:t>
      </w:r>
      <w:r w:rsidRPr="000D0D06">
        <w:rPr>
          <w:noProof/>
        </w:rPr>
        <w:tab/>
        <w:t>Os Estados-Membros, em cooperação com a Comissão, devem prosseguir os esforços para simplificar o acesso aos conjuntos de dados, nomeadamente através da criação de um ponto único de acesso e da disponibilização progressiva de conjuntos de dados adequados na posse dos organismos do setor público no que diz respeito aos dados ou documentos a que a presente secção é aplicável, bem como a dados na posse das instituições da União, em formatos que sejam acessíveis, facilmente localizáveis e reutilizáveis por via eletrónica. </w:t>
      </w:r>
    </w:p>
    <w:p w14:paraId="5B5ED7CA" w14:textId="77777777" w:rsidR="004C6FD1" w:rsidRPr="000D0D06" w:rsidRDefault="007C70CA" w:rsidP="008D6372">
      <w:pPr>
        <w:pStyle w:val="Subtitle"/>
        <w:jc w:val="center"/>
        <w:rPr>
          <w:rFonts w:ascii="Times New Roman" w:hAnsi="Times New Roman" w:cs="Times New Roman"/>
          <w:noProof/>
          <w:color w:val="auto"/>
          <w:sz w:val="24"/>
          <w:szCs w:val="24"/>
        </w:rPr>
      </w:pPr>
      <w:r w:rsidRPr="000D0D06">
        <w:rPr>
          <w:rFonts w:ascii="Times New Roman" w:hAnsi="Times New Roman"/>
          <w:noProof/>
          <w:color w:val="auto"/>
          <w:sz w:val="24"/>
        </w:rPr>
        <w:t xml:space="preserve">Subsecção 4 </w:t>
      </w:r>
    </w:p>
    <w:p w14:paraId="608935A6" w14:textId="77777777" w:rsidR="000D5F18" w:rsidRPr="000D0D06" w:rsidRDefault="007C70CA" w:rsidP="008D6372">
      <w:pPr>
        <w:pStyle w:val="Subtitle"/>
        <w:jc w:val="center"/>
        <w:rPr>
          <w:rFonts w:ascii="Times New Roman" w:hAnsi="Times New Roman" w:cs="Times New Roman"/>
          <w:noProof/>
          <w:color w:val="auto"/>
          <w:sz w:val="24"/>
          <w:szCs w:val="24"/>
        </w:rPr>
      </w:pPr>
      <w:r w:rsidRPr="000D0D06">
        <w:rPr>
          <w:rFonts w:ascii="Times New Roman" w:hAnsi="Times New Roman"/>
          <w:noProof/>
          <w:color w:val="auto"/>
          <w:sz w:val="24"/>
        </w:rPr>
        <w:t>Dados de investigação</w:t>
      </w:r>
    </w:p>
    <w:p w14:paraId="0ADC1645" w14:textId="77777777" w:rsidR="001F465C" w:rsidRPr="000D0D06" w:rsidRDefault="004377EA" w:rsidP="001F465C">
      <w:pPr>
        <w:jc w:val="center"/>
        <w:rPr>
          <w:noProof/>
        </w:rPr>
      </w:pPr>
      <w:r w:rsidRPr="000D0D06">
        <w:rPr>
          <w:noProof/>
        </w:rPr>
        <w:t xml:space="preserve">Artigo 32.º-T </w:t>
      </w:r>
    </w:p>
    <w:p w14:paraId="384F1D4C" w14:textId="77777777" w:rsidR="004377EA" w:rsidRPr="000D0D06" w:rsidRDefault="004377EA" w:rsidP="008D6372">
      <w:pPr>
        <w:jc w:val="center"/>
        <w:rPr>
          <w:i/>
          <w:iCs/>
          <w:noProof/>
        </w:rPr>
      </w:pPr>
      <w:r w:rsidRPr="000D0D06">
        <w:rPr>
          <w:i/>
          <w:noProof/>
        </w:rPr>
        <w:t>Dados de investigação</w:t>
      </w:r>
    </w:p>
    <w:p w14:paraId="4E23CA58" w14:textId="77777777" w:rsidR="00935374" w:rsidRPr="000D0D06" w:rsidRDefault="001936FC" w:rsidP="001936FC">
      <w:pPr>
        <w:pStyle w:val="Point0"/>
        <w:rPr>
          <w:noProof/>
        </w:rPr>
      </w:pPr>
      <w:r w:rsidRPr="000D0D06">
        <w:rPr>
          <w:noProof/>
        </w:rPr>
        <w:t>1)</w:t>
      </w:r>
      <w:r w:rsidRPr="000D0D06">
        <w:rPr>
          <w:noProof/>
        </w:rPr>
        <w:tab/>
        <w:t>Os Estados-Membros apoiam a disponibilização de dados de investigação por meio da adoção de políticas nacionais e de ações que visem facultar o livre acesso a dados de investigação financiada por fundos públicos (“políticas de acesso aberto”) de acordo com o princípio “abertura por defeito” e em conformidade com os princípios FAIR. Neste contexto, as preocupações relacionadas com os direitos de propriedade intelectual, a proteção dos dados pessoais e a confidencialidade, a segurança e os interesses comerciais legítimos devem ser tidas em conta, de acordo com o princípio “tão aberto quanto possível, tão fechado quanto necessário”. Essas políticas de acesso aberto visam os organismos que realizam investigação e os organismos financiadores de investigação. </w:t>
      </w:r>
    </w:p>
    <w:p w14:paraId="4E1674B9" w14:textId="77777777" w:rsidR="00341297" w:rsidRPr="000D0D06" w:rsidRDefault="001936FC" w:rsidP="001936FC">
      <w:pPr>
        <w:pStyle w:val="Point0"/>
        <w:rPr>
          <w:noProof/>
        </w:rPr>
      </w:pPr>
      <w:r w:rsidRPr="000D0D06">
        <w:rPr>
          <w:noProof/>
        </w:rPr>
        <w:t>2)</w:t>
      </w:r>
      <w:r w:rsidRPr="000D0D06">
        <w:rPr>
          <w:noProof/>
        </w:rPr>
        <w:tab/>
        <w:t xml:space="preserve">Sem prejuízo do artigo 32.º-N, n.º 3, alínea d), os dados de investigação são reutilizáveis para fins comerciais ou não comerciais, nos termos da secção 1 e da secção 2, subsecção 3, desde que sejam financiados por fundos públicos e que os investigadores, os organismos que realizam investigação ou os organismos financiadores de investigação já os tenham disponibilizado ao público através de um repositório institucional ou temático. Nesse contexto, devem ser tidos em conta os interesses comerciais legítimos, as atividades de transferência de conhecimentos e os direitos de propriedade intelectual preexistentes. </w:t>
      </w:r>
    </w:p>
    <w:p w14:paraId="4E88C67B" w14:textId="77777777" w:rsidR="00A66278" w:rsidRPr="000D0D06" w:rsidRDefault="009F7A69" w:rsidP="008D6372">
      <w:pPr>
        <w:pStyle w:val="Subtitle"/>
        <w:jc w:val="center"/>
        <w:rPr>
          <w:rFonts w:ascii="Times New Roman" w:hAnsi="Times New Roman" w:cs="Times New Roman"/>
          <w:noProof/>
          <w:color w:val="auto"/>
          <w:sz w:val="24"/>
          <w:szCs w:val="24"/>
        </w:rPr>
      </w:pPr>
      <w:r w:rsidRPr="000D0D06">
        <w:rPr>
          <w:rFonts w:ascii="Times New Roman" w:hAnsi="Times New Roman"/>
          <w:noProof/>
          <w:color w:val="auto"/>
          <w:sz w:val="24"/>
        </w:rPr>
        <w:t xml:space="preserve">Subsecção 5 </w:t>
      </w:r>
    </w:p>
    <w:p w14:paraId="70333E63" w14:textId="77777777" w:rsidR="009F7A69" w:rsidRPr="000D0D06" w:rsidRDefault="004E4AF4" w:rsidP="008D6372">
      <w:pPr>
        <w:pStyle w:val="Subtitle"/>
        <w:jc w:val="center"/>
        <w:rPr>
          <w:rFonts w:ascii="Times New Roman" w:hAnsi="Times New Roman" w:cs="Times New Roman"/>
          <w:noProof/>
          <w:color w:val="auto"/>
          <w:sz w:val="24"/>
          <w:szCs w:val="24"/>
        </w:rPr>
      </w:pPr>
      <w:r w:rsidRPr="000D0D06">
        <w:rPr>
          <w:rFonts w:ascii="Times New Roman" w:hAnsi="Times New Roman"/>
          <w:noProof/>
          <w:color w:val="auto"/>
          <w:sz w:val="24"/>
        </w:rPr>
        <w:t>Conjuntos de dados de elevado valor</w:t>
      </w:r>
    </w:p>
    <w:p w14:paraId="78ED56C5" w14:textId="77777777" w:rsidR="001F465C" w:rsidRPr="000D0D06" w:rsidRDefault="00F445A9" w:rsidP="001F465C">
      <w:pPr>
        <w:jc w:val="center"/>
        <w:rPr>
          <w:noProof/>
        </w:rPr>
      </w:pPr>
      <w:r w:rsidRPr="000D0D06">
        <w:rPr>
          <w:noProof/>
        </w:rPr>
        <w:t xml:space="preserve">Artigo 32.º-U </w:t>
      </w:r>
    </w:p>
    <w:p w14:paraId="4426B8AE" w14:textId="77777777" w:rsidR="00F445A9" w:rsidRPr="000D0D06" w:rsidRDefault="00F445A9" w:rsidP="008D6372">
      <w:pPr>
        <w:jc w:val="center"/>
        <w:rPr>
          <w:i/>
          <w:iCs/>
          <w:noProof/>
        </w:rPr>
      </w:pPr>
      <w:r w:rsidRPr="000D0D06">
        <w:rPr>
          <w:i/>
          <w:noProof/>
        </w:rPr>
        <w:t>Categorias temáticas de conjuntos de dados de elevado valor</w:t>
      </w:r>
    </w:p>
    <w:p w14:paraId="1C87C175" w14:textId="77777777" w:rsidR="0033407E" w:rsidRPr="000D0D06" w:rsidRDefault="001936FC" w:rsidP="001936FC">
      <w:pPr>
        <w:pStyle w:val="Point0"/>
        <w:rPr>
          <w:noProof/>
        </w:rPr>
      </w:pPr>
      <w:r w:rsidRPr="000D0D06">
        <w:rPr>
          <w:noProof/>
        </w:rPr>
        <w:t>1)</w:t>
      </w:r>
      <w:r w:rsidRPr="000D0D06">
        <w:rPr>
          <w:noProof/>
        </w:rPr>
        <w:tab/>
        <w:t>As categorias temáticas de conjuntos de dados de elevado valor são as estabelecidas no anexo I. </w:t>
      </w:r>
    </w:p>
    <w:p w14:paraId="1F155B9B" w14:textId="77777777" w:rsidR="0033407E" w:rsidRPr="000D0D06" w:rsidRDefault="001936FC" w:rsidP="001936FC">
      <w:pPr>
        <w:pStyle w:val="Point0"/>
        <w:rPr>
          <w:noProof/>
        </w:rPr>
      </w:pPr>
      <w:r w:rsidRPr="000D0D06">
        <w:rPr>
          <w:noProof/>
        </w:rPr>
        <w:t>2)</w:t>
      </w:r>
      <w:r w:rsidRPr="000D0D06">
        <w:rPr>
          <w:noProof/>
        </w:rPr>
        <w:tab/>
        <w:t>A Comissão fica habilitada a adotar atos delegados nos termos do artigo 45.º, n.º 2-A, para alterar o anexo I, acrescentando novas categorias temáticas de conjuntos de dados de elevado valor que reflitam a evolução tecnológica e do mercado. </w:t>
      </w:r>
    </w:p>
    <w:p w14:paraId="11680255" w14:textId="77777777" w:rsidR="001F465C" w:rsidRPr="000D0D06" w:rsidRDefault="00FB6B78" w:rsidP="008D6372">
      <w:pPr>
        <w:jc w:val="center"/>
        <w:rPr>
          <w:noProof/>
        </w:rPr>
      </w:pPr>
      <w:r w:rsidRPr="000D0D06">
        <w:rPr>
          <w:noProof/>
        </w:rPr>
        <w:t>Artigo 32.º-V</w:t>
      </w:r>
    </w:p>
    <w:p w14:paraId="5E2E331F" w14:textId="77777777" w:rsidR="00FB6B78" w:rsidRPr="000D0D06" w:rsidRDefault="005344D0" w:rsidP="008D6372">
      <w:pPr>
        <w:jc w:val="center"/>
        <w:rPr>
          <w:i/>
          <w:iCs/>
          <w:noProof/>
        </w:rPr>
      </w:pPr>
      <w:r w:rsidRPr="000D0D06">
        <w:rPr>
          <w:i/>
          <w:noProof/>
        </w:rPr>
        <w:t>Conjuntos específicos de dados de elevado valor e disposições relativas à publicação e reutilização</w:t>
      </w:r>
    </w:p>
    <w:p w14:paraId="2D6C079A" w14:textId="77777777" w:rsidR="002A6343" w:rsidRPr="000D0D06" w:rsidRDefault="001936FC" w:rsidP="001936FC">
      <w:pPr>
        <w:pStyle w:val="Point0"/>
        <w:rPr>
          <w:noProof/>
        </w:rPr>
      </w:pPr>
      <w:r w:rsidRPr="000D0D06">
        <w:rPr>
          <w:noProof/>
        </w:rPr>
        <w:t>1)</w:t>
      </w:r>
      <w:r w:rsidRPr="000D0D06">
        <w:rPr>
          <w:noProof/>
        </w:rPr>
        <w:tab/>
        <w:t xml:space="preserve">A Comissão adota atos de execução que estabelecem uma lista de conjuntos específicos de dados de elevado valor pertencentes às categorias constantes do anexo I e que estão na posse de organismos do setor público e de empresas públicas, de entre os dados ou documentos aos quais se aplica a presente secção. </w:t>
      </w:r>
    </w:p>
    <w:p w14:paraId="246C6288" w14:textId="77777777" w:rsidR="002A6343" w:rsidRPr="000D0D06" w:rsidRDefault="002A6343" w:rsidP="00665C74">
      <w:pPr>
        <w:pStyle w:val="Text1"/>
        <w:rPr>
          <w:noProof/>
        </w:rPr>
      </w:pPr>
      <w:r w:rsidRPr="000D0D06">
        <w:rPr>
          <w:noProof/>
        </w:rPr>
        <w:t xml:space="preserve">Esses conjuntos específicos de dados de elevado valor são: </w:t>
      </w:r>
    </w:p>
    <w:p w14:paraId="6D0CCF19" w14:textId="77777777" w:rsidR="002A6343" w:rsidRPr="000D0D06" w:rsidRDefault="001936FC" w:rsidP="001936FC">
      <w:pPr>
        <w:pStyle w:val="Point2"/>
        <w:rPr>
          <w:noProof/>
        </w:rPr>
      </w:pPr>
      <w:r w:rsidRPr="000D0D06">
        <w:rPr>
          <w:noProof/>
        </w:rPr>
        <w:t>a)</w:t>
      </w:r>
      <w:r w:rsidRPr="000D0D06">
        <w:rPr>
          <w:noProof/>
        </w:rPr>
        <w:tab/>
        <w:t>Sem prejuízo dos n.</w:t>
      </w:r>
      <w:r w:rsidRPr="000D0D06">
        <w:rPr>
          <w:noProof/>
          <w:vertAlign w:val="superscript"/>
        </w:rPr>
        <w:t>os</w:t>
      </w:r>
      <w:r w:rsidRPr="000D0D06">
        <w:rPr>
          <w:noProof/>
        </w:rPr>
        <w:t xml:space="preserve"> 3, 4 e 5, disponibilizados a título gratuito; </w:t>
      </w:r>
    </w:p>
    <w:p w14:paraId="1F71EE2A" w14:textId="77777777" w:rsidR="002A6343" w:rsidRPr="000D0D06" w:rsidRDefault="001936FC" w:rsidP="001936FC">
      <w:pPr>
        <w:pStyle w:val="Point2"/>
        <w:rPr>
          <w:noProof/>
        </w:rPr>
      </w:pPr>
      <w:r w:rsidRPr="000D0D06">
        <w:rPr>
          <w:noProof/>
        </w:rPr>
        <w:t>b)</w:t>
      </w:r>
      <w:r w:rsidRPr="000D0D06">
        <w:rPr>
          <w:noProof/>
        </w:rPr>
        <w:tab/>
        <w:t xml:space="preserve">Legíveis por máquina; </w:t>
      </w:r>
    </w:p>
    <w:p w14:paraId="70CA934D" w14:textId="77777777" w:rsidR="002A6343" w:rsidRPr="000D0D06" w:rsidRDefault="001936FC" w:rsidP="001936FC">
      <w:pPr>
        <w:pStyle w:val="Point2"/>
        <w:rPr>
          <w:noProof/>
        </w:rPr>
      </w:pPr>
      <w:r w:rsidRPr="000D0D06">
        <w:rPr>
          <w:noProof/>
        </w:rPr>
        <w:t>c)</w:t>
      </w:r>
      <w:r w:rsidRPr="000D0D06">
        <w:rPr>
          <w:noProof/>
        </w:rPr>
        <w:tab/>
        <w:t xml:space="preserve">Acessíveis através de IPA; e </w:t>
      </w:r>
    </w:p>
    <w:p w14:paraId="2681ED35" w14:textId="77777777" w:rsidR="002A6343" w:rsidRPr="000D0D06" w:rsidRDefault="001936FC" w:rsidP="001936FC">
      <w:pPr>
        <w:pStyle w:val="Point2"/>
        <w:rPr>
          <w:noProof/>
        </w:rPr>
      </w:pPr>
      <w:r w:rsidRPr="000D0D06">
        <w:rPr>
          <w:noProof/>
        </w:rPr>
        <w:t>d)</w:t>
      </w:r>
      <w:r w:rsidRPr="000D0D06">
        <w:rPr>
          <w:noProof/>
        </w:rPr>
        <w:tab/>
        <w:t xml:space="preserve">Se for caso disso, fornecidos sob a forma de descarregamento em bloco. </w:t>
      </w:r>
    </w:p>
    <w:p w14:paraId="6175C406" w14:textId="77777777" w:rsidR="002A6343" w:rsidRPr="000D0D06" w:rsidRDefault="002A6343" w:rsidP="00665C74">
      <w:pPr>
        <w:pStyle w:val="Text1"/>
        <w:rPr>
          <w:noProof/>
        </w:rPr>
      </w:pPr>
      <w:r w:rsidRPr="000D0D06">
        <w:rPr>
          <w:noProof/>
        </w:rPr>
        <w:t xml:space="preserve">Esses atos de execução podem especificar as disposições relativas à publicação e reutilização dos conjuntos de dados de elevado valor. Essas disposições são compatíveis com licenças-tipo abertas digitais. </w:t>
      </w:r>
    </w:p>
    <w:p w14:paraId="7DEDF5BD" w14:textId="77777777" w:rsidR="002A6343" w:rsidRPr="000D0D06" w:rsidRDefault="002A6343" w:rsidP="00665C74">
      <w:pPr>
        <w:pStyle w:val="Text1"/>
        <w:rPr>
          <w:noProof/>
        </w:rPr>
      </w:pPr>
      <w:r w:rsidRPr="000D0D06">
        <w:rPr>
          <w:noProof/>
        </w:rPr>
        <w:t xml:space="preserve">As disposições podem incluir condições aplicáveis à reutilização, aos formatos dos dados e metadados e às disposições técnicas relativas à sua divulgação. Os investimentos feitos pelos Estados-Membros em abordagens de acesso aos dados abertos, tais como os investimentos no desenvolvimento e implantação de determinadas normas, devem ser tidos em conta e ponderados em relação aos potenciais benefícios da inclusão na lista. </w:t>
      </w:r>
    </w:p>
    <w:p w14:paraId="2CF95284" w14:textId="77777777" w:rsidR="002A6343" w:rsidRPr="000D0D06" w:rsidRDefault="002A6343" w:rsidP="00665C74">
      <w:pPr>
        <w:pStyle w:val="Text1"/>
        <w:rPr>
          <w:noProof/>
        </w:rPr>
      </w:pPr>
      <w:r w:rsidRPr="000D0D06">
        <w:rPr>
          <w:noProof/>
        </w:rPr>
        <w:t xml:space="preserve">Os referidos atos de execução são adotados pelo procedimento de exame a que se refere o artigo 46.º, n.º 2. </w:t>
      </w:r>
    </w:p>
    <w:p w14:paraId="73DF595B" w14:textId="77777777" w:rsidR="002A6343" w:rsidRPr="000D0D06" w:rsidRDefault="001936FC" w:rsidP="001936FC">
      <w:pPr>
        <w:pStyle w:val="Point0"/>
        <w:rPr>
          <w:noProof/>
        </w:rPr>
      </w:pPr>
      <w:r w:rsidRPr="000D0D06">
        <w:rPr>
          <w:noProof/>
        </w:rPr>
        <w:t>2)</w:t>
      </w:r>
      <w:r w:rsidRPr="000D0D06">
        <w:rPr>
          <w:noProof/>
        </w:rPr>
        <w:tab/>
        <w:t xml:space="preserve">A identificação de conjuntos específicos de dados de elevado valor nos termos do n.º 1 baseia-se na avaliação do seu potencial para: </w:t>
      </w:r>
    </w:p>
    <w:p w14:paraId="5A73FC3B" w14:textId="77777777" w:rsidR="002A6343" w:rsidRPr="000D0D06" w:rsidRDefault="001936FC" w:rsidP="001936FC">
      <w:pPr>
        <w:pStyle w:val="Point2"/>
        <w:rPr>
          <w:noProof/>
        </w:rPr>
      </w:pPr>
      <w:r w:rsidRPr="000D0D06">
        <w:rPr>
          <w:noProof/>
        </w:rPr>
        <w:t>a)</w:t>
      </w:r>
      <w:r w:rsidRPr="000D0D06">
        <w:rPr>
          <w:noProof/>
        </w:rPr>
        <w:tab/>
        <w:t xml:space="preserve">Gerar benefícios socioeconómicos ou ambientais significativos ou serviços inovadores; </w:t>
      </w:r>
    </w:p>
    <w:p w14:paraId="2EA04D29" w14:textId="77777777" w:rsidR="002A6343" w:rsidRPr="000D0D06" w:rsidRDefault="001936FC" w:rsidP="001936FC">
      <w:pPr>
        <w:pStyle w:val="Point2"/>
        <w:rPr>
          <w:noProof/>
        </w:rPr>
      </w:pPr>
      <w:r w:rsidRPr="000D0D06">
        <w:rPr>
          <w:noProof/>
        </w:rPr>
        <w:t>b)</w:t>
      </w:r>
      <w:r w:rsidRPr="000D0D06">
        <w:rPr>
          <w:noProof/>
        </w:rPr>
        <w:tab/>
        <w:t xml:space="preserve">Beneficiar um elevado número de utilizadores, em particular as PME e as pequenas empresas de média capitalização; </w:t>
      </w:r>
    </w:p>
    <w:p w14:paraId="56BCDCAF" w14:textId="77777777" w:rsidR="002A6343" w:rsidRPr="000D0D06" w:rsidRDefault="001936FC" w:rsidP="001936FC">
      <w:pPr>
        <w:pStyle w:val="Point2"/>
        <w:rPr>
          <w:noProof/>
        </w:rPr>
      </w:pPr>
      <w:r w:rsidRPr="000D0D06">
        <w:rPr>
          <w:noProof/>
        </w:rPr>
        <w:t>c)</w:t>
      </w:r>
      <w:r w:rsidRPr="000D0D06">
        <w:rPr>
          <w:noProof/>
        </w:rPr>
        <w:tab/>
        <w:t xml:space="preserve">Ajudar a gerar receitas; e </w:t>
      </w:r>
    </w:p>
    <w:p w14:paraId="266B07A8" w14:textId="77777777" w:rsidR="002A6343" w:rsidRPr="000D0D06" w:rsidRDefault="001936FC" w:rsidP="001936FC">
      <w:pPr>
        <w:pStyle w:val="Point2"/>
        <w:rPr>
          <w:noProof/>
        </w:rPr>
      </w:pPr>
      <w:r w:rsidRPr="000D0D06">
        <w:rPr>
          <w:noProof/>
        </w:rPr>
        <w:t>d)</w:t>
      </w:r>
      <w:r w:rsidRPr="000D0D06">
        <w:rPr>
          <w:noProof/>
        </w:rPr>
        <w:tab/>
        <w:t>Serem combinados com outros conjuntos de dados.</w:t>
      </w:r>
    </w:p>
    <w:p w14:paraId="731188F3" w14:textId="7504A323" w:rsidR="00683447" w:rsidRPr="000D0D06" w:rsidRDefault="00683447" w:rsidP="00665C74">
      <w:pPr>
        <w:pStyle w:val="Text1"/>
        <w:rPr>
          <w:noProof/>
        </w:rPr>
      </w:pPr>
      <w:r w:rsidRPr="000D0D06">
        <w:rPr>
          <w:noProof/>
        </w:rPr>
        <w:t xml:space="preserve">A fim de identificar esses conjuntos específicos de dados de elevado valor, a Comissão procede às consultas adequadas, nomeadamente a nível de peritos, realiza uma avaliação de impacto e assegura a complementaridade com os atos jurídicos em vigor, como a Diretiva 2010/40/UE do Parlamento Europeu e do Conselho, no que diz respeito à reutilização de dados ou documentos. Essa avaliação de impacto deve incluir uma análise de custo-benefício e uma análise para determinar se a disponibilização gratuita de conjuntos de dados de elevado valor pelos organismos do setor público que são obrigados a gerar receitas para cobrir uma parte substancial dos seus custos relacionados com o desempenho das suas missões de serviço público teria um impacto substancial no orçamento de tais organismos. No que se refere a conjuntos de dados de elevado valor na posse de empresas públicas, a avaliação de impacto deve prestar especial atenção ao papel das empresas públicas num contexto económico concorrencial. </w:t>
      </w:r>
    </w:p>
    <w:p w14:paraId="02BFD914" w14:textId="77777777" w:rsidR="00935374" w:rsidRPr="000D0D06" w:rsidRDefault="001936FC" w:rsidP="001936FC">
      <w:pPr>
        <w:pStyle w:val="Point0"/>
        <w:rPr>
          <w:noProof/>
        </w:rPr>
      </w:pPr>
      <w:r w:rsidRPr="000D0D06">
        <w:rPr>
          <w:noProof/>
        </w:rPr>
        <w:t>3)</w:t>
      </w:r>
      <w:r w:rsidRPr="000D0D06">
        <w:rPr>
          <w:noProof/>
        </w:rPr>
        <w:tab/>
        <w:t xml:space="preserve">Não obstante o disposto no n.º 1, segundo parágrafo, alínea a), os atos de execução mencionados nesse número devem prever que a disponibilização a título gratuito de conjuntos de dados de elevado valor não se aplica a conjuntos específicos de dados de elevado valor na posse de empresas públicas, caso essa disponibilização conduza a uma distorção da concorrência nos mercados relevantes. </w:t>
      </w:r>
    </w:p>
    <w:p w14:paraId="14F77F0D" w14:textId="77777777" w:rsidR="00935374" w:rsidRPr="000D0D06" w:rsidRDefault="001936FC" w:rsidP="001936FC">
      <w:pPr>
        <w:pStyle w:val="Point0"/>
        <w:rPr>
          <w:noProof/>
        </w:rPr>
      </w:pPr>
      <w:r w:rsidRPr="000D0D06">
        <w:rPr>
          <w:noProof/>
        </w:rPr>
        <w:t>4)</w:t>
      </w:r>
      <w:r w:rsidRPr="000D0D06">
        <w:rPr>
          <w:noProof/>
        </w:rPr>
        <w:tab/>
        <w:t xml:space="preserve">O requisito para a disponibilização a título gratuito de conjuntos de dados de elevado valor ao abrigo do n.º 1, segundo parágrafo, alínea a), não se aplica a bibliotecas, incluindo bibliotecas universitárias, museus e arquivos. </w:t>
      </w:r>
    </w:p>
    <w:p w14:paraId="75D1E4B2" w14:textId="77777777" w:rsidR="00683447" w:rsidRPr="000D0D06" w:rsidRDefault="001936FC" w:rsidP="001936FC">
      <w:pPr>
        <w:pStyle w:val="Point0"/>
        <w:rPr>
          <w:noProof/>
        </w:rPr>
      </w:pPr>
      <w:r w:rsidRPr="000D0D06">
        <w:rPr>
          <w:noProof/>
        </w:rPr>
        <w:t>5)</w:t>
      </w:r>
      <w:r w:rsidRPr="000D0D06">
        <w:rPr>
          <w:noProof/>
        </w:rPr>
        <w:tab/>
        <w:t>Sempre que a disponibilização a título gratuito de conjuntos de dados de elevado valor, por parte de organismos do setor público que são obrigados a gerar receitas para cobrir uma parte substancial dos seus custos relacionados com o desempenho das suas missões de serviço público, tenha um impacto substancial no orçamento dos organismos em causa, os Estados-Membros podem isentar esses organismos da obrigação de disponibilizar a título gratuito estes conjuntos de dados de elevado valor por um período não superior a dois anos após a entrada em vigor do ato de execução pertinente adotado nos termos do n.º 1.</w:t>
      </w:r>
    </w:p>
    <w:p w14:paraId="103F82BE" w14:textId="77777777" w:rsidR="00763348" w:rsidRPr="000D0D06" w:rsidRDefault="008C306B" w:rsidP="008D6372">
      <w:pPr>
        <w:pStyle w:val="Subtitle"/>
        <w:jc w:val="center"/>
        <w:rPr>
          <w:rFonts w:ascii="Times New Roman" w:hAnsi="Times New Roman" w:cs="Times New Roman"/>
          <w:noProof/>
          <w:color w:val="auto"/>
          <w:sz w:val="24"/>
          <w:szCs w:val="24"/>
        </w:rPr>
      </w:pPr>
      <w:r w:rsidRPr="000D0D06">
        <w:rPr>
          <w:rFonts w:ascii="Times New Roman" w:hAnsi="Times New Roman"/>
          <w:noProof/>
          <w:color w:val="auto"/>
          <w:sz w:val="24"/>
        </w:rPr>
        <w:t xml:space="preserve">Secção 3 </w:t>
      </w:r>
    </w:p>
    <w:p w14:paraId="6F877316" w14:textId="77777777" w:rsidR="008C306B" w:rsidRPr="000D0D06" w:rsidRDefault="00D25231" w:rsidP="008D6372">
      <w:pPr>
        <w:pStyle w:val="Subtitle"/>
        <w:jc w:val="center"/>
        <w:rPr>
          <w:rFonts w:ascii="Times New Roman" w:hAnsi="Times New Roman" w:cs="Times New Roman"/>
          <w:noProof/>
          <w:color w:val="auto"/>
          <w:sz w:val="24"/>
          <w:szCs w:val="24"/>
        </w:rPr>
      </w:pPr>
      <w:r w:rsidRPr="000D0D06">
        <w:rPr>
          <w:rFonts w:ascii="Times New Roman" w:hAnsi="Times New Roman"/>
          <w:noProof/>
          <w:color w:val="auto"/>
          <w:sz w:val="24"/>
        </w:rPr>
        <w:t>Reutilização de determinadas categorias de dados protegidos na posse de organismos do setor público</w:t>
      </w:r>
    </w:p>
    <w:p w14:paraId="3A56F872" w14:textId="77777777" w:rsidR="001F465C" w:rsidRPr="000D0D06" w:rsidRDefault="000F5046" w:rsidP="008D6372">
      <w:pPr>
        <w:jc w:val="center"/>
        <w:rPr>
          <w:noProof/>
        </w:rPr>
      </w:pPr>
      <w:r w:rsidRPr="000D0D06">
        <w:rPr>
          <w:noProof/>
        </w:rPr>
        <w:t>Artigo 32.º-W</w:t>
      </w:r>
    </w:p>
    <w:p w14:paraId="35860528" w14:textId="77777777" w:rsidR="00C33D05" w:rsidRPr="000D0D06" w:rsidRDefault="004A4F77" w:rsidP="008D6372">
      <w:pPr>
        <w:jc w:val="center"/>
        <w:rPr>
          <w:i/>
          <w:iCs/>
          <w:noProof/>
        </w:rPr>
      </w:pPr>
      <w:r w:rsidRPr="000D0D06">
        <w:rPr>
          <w:i/>
          <w:noProof/>
        </w:rPr>
        <w:t>Condições de reutilização</w:t>
      </w:r>
    </w:p>
    <w:p w14:paraId="71809DE7" w14:textId="080A974A" w:rsidR="00E07983" w:rsidRPr="000D0D06" w:rsidRDefault="001936FC" w:rsidP="001936FC">
      <w:pPr>
        <w:pStyle w:val="Point0"/>
        <w:rPr>
          <w:noProof/>
        </w:rPr>
      </w:pPr>
      <w:r w:rsidRPr="000D0D06">
        <w:rPr>
          <w:noProof/>
        </w:rPr>
        <w:t>1)</w:t>
      </w:r>
      <w:r w:rsidRPr="000D0D06">
        <w:rPr>
          <w:noProof/>
        </w:rPr>
        <w:tab/>
        <w:t>Os organismos do setor público competentes, nos termos do direito nacional, para conceder ou recusar o acesso para fins de reutilização de dados ou documentos de determinadas categorias de dados protegidos, devem comunicar publicamente as condições em que é permitida essa reutilização e o procedimento a seguir para solicitar a reutilização através do ponto de informação único a que se refere o artigo 32.º-AA. Sempre que concedam ou recusem o acesso para fins de reutilização, os organismos do setor público podem ser assistidos pelos organismos competentes a que se refere o artigo 32.º-Z, n.º 1.</w:t>
      </w:r>
    </w:p>
    <w:p w14:paraId="6E36A6F8" w14:textId="77777777" w:rsidR="00E07983" w:rsidRPr="000D0D06" w:rsidRDefault="00DB7DCA" w:rsidP="00665C74">
      <w:pPr>
        <w:pStyle w:val="Text1"/>
        <w:rPr>
          <w:noProof/>
        </w:rPr>
      </w:pPr>
      <w:r w:rsidRPr="000D0D06">
        <w:rPr>
          <w:noProof/>
        </w:rPr>
        <w:t xml:space="preserve">Os Estados-Membros devem assegurar que os organismos do setor público dispõem dos recursos necessários para dar cumprimento ao presente artigo e ao artigo 32.º-X. </w:t>
      </w:r>
    </w:p>
    <w:p w14:paraId="41B06244" w14:textId="692DD426" w:rsidR="00DB7DCA" w:rsidRPr="000D0D06" w:rsidRDefault="001936FC" w:rsidP="001936FC">
      <w:pPr>
        <w:pStyle w:val="Point0"/>
        <w:rPr>
          <w:noProof/>
        </w:rPr>
      </w:pPr>
      <w:r w:rsidRPr="000D0D06">
        <w:rPr>
          <w:noProof/>
        </w:rPr>
        <w:t>2)</w:t>
      </w:r>
      <w:r w:rsidRPr="000D0D06">
        <w:rPr>
          <w:noProof/>
        </w:rPr>
        <w:tab/>
        <w:t>A reutilização de dados ou documentos não afeta a natureza protegida desses dados ou documentos e só é permitida:</w:t>
      </w:r>
    </w:p>
    <w:p w14:paraId="26B6B361" w14:textId="488A9889" w:rsidR="00E07983" w:rsidRPr="000D0D06" w:rsidRDefault="001936FC" w:rsidP="001936FC">
      <w:pPr>
        <w:pStyle w:val="Point1"/>
        <w:rPr>
          <w:noProof/>
        </w:rPr>
      </w:pPr>
      <w:r w:rsidRPr="000D0D06">
        <w:rPr>
          <w:noProof/>
        </w:rPr>
        <w:t>a)</w:t>
      </w:r>
      <w:r w:rsidRPr="000D0D06">
        <w:rPr>
          <w:noProof/>
        </w:rPr>
        <w:tab/>
        <w:t>No respeito dos direitos de propriedade intelectual;</w:t>
      </w:r>
    </w:p>
    <w:p w14:paraId="4A0C6090" w14:textId="195AAB5B" w:rsidR="00E07983" w:rsidRPr="000D0D06" w:rsidRDefault="001936FC" w:rsidP="001936FC">
      <w:pPr>
        <w:pStyle w:val="Point1"/>
        <w:rPr>
          <w:noProof/>
        </w:rPr>
      </w:pPr>
      <w:r w:rsidRPr="000D0D06">
        <w:rPr>
          <w:noProof/>
        </w:rPr>
        <w:t>b)</w:t>
      </w:r>
      <w:r w:rsidRPr="000D0D06">
        <w:rPr>
          <w:noProof/>
        </w:rPr>
        <w:tab/>
        <w:t>Sem divulgação, na sequência da permissão de reutilização, de dados considerados confidenciais em conformidade com o direito da União ou nacional em matéria de confidencialidade comercial ou estatística, a menos que essa reutilização tenha sido permitida com base no consentimento do titular dos dados ou na autorização do detentor dos dados nos termos do n.º 5;</w:t>
      </w:r>
    </w:p>
    <w:p w14:paraId="57E1435C" w14:textId="466C81BF" w:rsidR="00DB7DCA" w:rsidRPr="000D0D06" w:rsidRDefault="001936FC" w:rsidP="001936FC">
      <w:pPr>
        <w:pStyle w:val="Point1"/>
        <w:rPr>
          <w:noProof/>
        </w:rPr>
      </w:pPr>
      <w:r w:rsidRPr="000D0D06">
        <w:rPr>
          <w:noProof/>
        </w:rPr>
        <w:t>c)</w:t>
      </w:r>
      <w:r w:rsidRPr="000D0D06">
        <w:rPr>
          <w:noProof/>
        </w:rPr>
        <w:tab/>
        <w:t xml:space="preserve"> Em conformidade com o Regulamento (UE) 2016/679.</w:t>
      </w:r>
    </w:p>
    <w:p w14:paraId="77E21276" w14:textId="4BBA655C" w:rsidR="00E07983" w:rsidRPr="000D0D06" w:rsidRDefault="001936FC" w:rsidP="001936FC">
      <w:pPr>
        <w:pStyle w:val="Point0"/>
        <w:rPr>
          <w:noProof/>
        </w:rPr>
      </w:pPr>
      <w:r w:rsidRPr="000D0D06">
        <w:rPr>
          <w:noProof/>
        </w:rPr>
        <w:t>3)</w:t>
      </w:r>
      <w:r w:rsidRPr="000D0D06">
        <w:rPr>
          <w:noProof/>
        </w:rPr>
        <w:tab/>
        <w:t>Para assegurar a preservação da natureza protegida a que se refere o n.º 2, os organismos do setor público podem estabelecer os seguintes requisitos:</w:t>
      </w:r>
    </w:p>
    <w:p w14:paraId="36EB243E" w14:textId="48CF669E" w:rsidR="00DB7DCA" w:rsidRPr="000D0D06" w:rsidRDefault="001936FC" w:rsidP="001936FC">
      <w:pPr>
        <w:pStyle w:val="Point1"/>
        <w:rPr>
          <w:noProof/>
        </w:rPr>
      </w:pPr>
      <w:bookmarkStart w:id="6" w:name="_Hlk213576435"/>
      <w:r w:rsidRPr="000D0D06">
        <w:rPr>
          <w:noProof/>
        </w:rPr>
        <w:t>a)</w:t>
      </w:r>
      <w:r w:rsidRPr="000D0D06">
        <w:rPr>
          <w:noProof/>
        </w:rPr>
        <w:tab/>
        <w:t>O acesso para fins de reutilização de dados ou documentos só deve ser concedido se o organismo do setor público ou o organismo competente, na sequência do pedido de reutilização, tiver assegurado que esses dados ou documentos:</w:t>
      </w:r>
    </w:p>
    <w:p w14:paraId="75DA1D3C" w14:textId="483383B1" w:rsidR="00DB7DCA" w:rsidRPr="000D0D06" w:rsidRDefault="00927A6F" w:rsidP="00927A6F">
      <w:pPr>
        <w:pStyle w:val="Point2"/>
        <w:rPr>
          <w:noProof/>
        </w:rPr>
      </w:pPr>
      <w:r w:rsidRPr="000D0D06">
        <w:rPr>
          <w:noProof/>
        </w:rPr>
        <w:t>i)</w:t>
      </w:r>
      <w:r w:rsidRPr="000D0D06">
        <w:rPr>
          <w:noProof/>
        </w:rPr>
        <w:tab/>
        <w:t>foram anonimizados, no caso dos dados pessoais,</w:t>
      </w:r>
    </w:p>
    <w:bookmarkEnd w:id="6"/>
    <w:p w14:paraId="4BA08846" w14:textId="7B4FFA95" w:rsidR="00DB7DCA" w:rsidRPr="000D0D06" w:rsidRDefault="00927A6F" w:rsidP="00927A6F">
      <w:pPr>
        <w:pStyle w:val="Point2"/>
        <w:rPr>
          <w:noProof/>
        </w:rPr>
      </w:pPr>
      <w:r w:rsidRPr="000D0D06">
        <w:rPr>
          <w:noProof/>
        </w:rPr>
        <w:t>ii)</w:t>
      </w:r>
      <w:r w:rsidRPr="000D0D06">
        <w:rPr>
          <w:noProof/>
        </w:rPr>
        <w:tab/>
        <w:t>Foram sujeitos a outras formas de preparação de dados pessoais,</w:t>
      </w:r>
    </w:p>
    <w:p w14:paraId="6898BA79" w14:textId="464D2BCD" w:rsidR="00DB7DCA" w:rsidRPr="000D0D06" w:rsidRDefault="00927A6F" w:rsidP="00927A6F">
      <w:pPr>
        <w:pStyle w:val="Point2"/>
        <w:rPr>
          <w:noProof/>
        </w:rPr>
      </w:pPr>
      <w:r w:rsidRPr="000D0D06">
        <w:rPr>
          <w:noProof/>
        </w:rPr>
        <w:t>iii)</w:t>
      </w:r>
      <w:r w:rsidRPr="000D0D06">
        <w:rPr>
          <w:noProof/>
        </w:rPr>
        <w:tab/>
        <w:t>foram alterados, agregados ou tratados por qualquer outro método de controlo da divulgação, no caso das informações comerciais confidenciais, incluindo os segredos comerciais ou conteúdos protegidos por direitos de propriedade intelectual;</w:t>
      </w:r>
    </w:p>
    <w:p w14:paraId="46369404" w14:textId="1996331D" w:rsidR="00E07983" w:rsidRPr="000D0D06" w:rsidRDefault="001936FC" w:rsidP="001936FC">
      <w:pPr>
        <w:pStyle w:val="Point1"/>
        <w:rPr>
          <w:noProof/>
        </w:rPr>
      </w:pPr>
      <w:r w:rsidRPr="000D0D06">
        <w:rPr>
          <w:noProof/>
        </w:rPr>
        <w:t>b)</w:t>
      </w:r>
      <w:r w:rsidRPr="000D0D06">
        <w:rPr>
          <w:noProof/>
        </w:rPr>
        <w:tab/>
        <w:t>O acesso e reutilização remotos dos dados ou documentos devem realizar-se num ambiente de tratamento seguro disponibilizado ou controlado pelo organismo do setor público;</w:t>
      </w:r>
    </w:p>
    <w:p w14:paraId="36D9320C" w14:textId="323398A2" w:rsidR="00DB7DCA" w:rsidRPr="000D0D06" w:rsidRDefault="001936FC" w:rsidP="001936FC">
      <w:pPr>
        <w:pStyle w:val="Point1"/>
        <w:rPr>
          <w:noProof/>
        </w:rPr>
      </w:pPr>
      <w:r w:rsidRPr="000D0D06">
        <w:rPr>
          <w:noProof/>
        </w:rPr>
        <w:t>c)</w:t>
      </w:r>
      <w:r w:rsidRPr="000D0D06">
        <w:rPr>
          <w:noProof/>
        </w:rPr>
        <w:tab/>
        <w:t>Se o acesso remoto não puder ser autorizado sem comprometer os direitos e interesses de terceiros, o acesso e reutilização dos dados ou documentos devem realizar-se nas instalações físicas onde está localizado o ambiente de tratamento seguro, em conformidade com elevadas normas de segurança.</w:t>
      </w:r>
    </w:p>
    <w:p w14:paraId="4561D2F9" w14:textId="60BA3707" w:rsidR="00DB7DCA" w:rsidRPr="000D0D06" w:rsidRDefault="00DB7DCA" w:rsidP="00665C74">
      <w:pPr>
        <w:pStyle w:val="Text1"/>
        <w:rPr>
          <w:noProof/>
        </w:rPr>
      </w:pPr>
      <w:r w:rsidRPr="000D0D06">
        <w:rPr>
          <w:noProof/>
        </w:rPr>
        <w:t>No caso da reutilização permitida nos termos da alínea a), subalínea i), primeiro parágrafo, a reutilização de dados ou documentos está sujeita às regras em matéria de dados abertos das administrações públicas estabelecidas na secção 2. Tal não prejudica o disposto no artigo 32.º-Y, que prevalece em caso de conflito.</w:t>
      </w:r>
    </w:p>
    <w:p w14:paraId="54E7616A" w14:textId="62DDF1DE" w:rsidR="00DB7DCA" w:rsidRPr="000D0D06" w:rsidRDefault="00DB7DCA" w:rsidP="00665C74">
      <w:pPr>
        <w:pStyle w:val="Text1"/>
        <w:rPr>
          <w:noProof/>
        </w:rPr>
      </w:pPr>
      <w:r w:rsidRPr="000D0D06">
        <w:rPr>
          <w:noProof/>
        </w:rPr>
        <w:t>No caso da reutilização permitida nos termos das alíneas b) e c), primeiro parágrafo, os organismos do setor público impõem condições que preservem a integridade do funcionamento dos sistemas técnicos do ambiente de tratamento seguro utilizado.</w:t>
      </w:r>
    </w:p>
    <w:p w14:paraId="4B90F9DF" w14:textId="77777777" w:rsidR="000522E8" w:rsidRPr="000D0D06" w:rsidRDefault="001936FC" w:rsidP="001936FC">
      <w:pPr>
        <w:pStyle w:val="Point0"/>
        <w:rPr>
          <w:noProof/>
        </w:rPr>
      </w:pPr>
      <w:r w:rsidRPr="000D0D06">
        <w:rPr>
          <w:noProof/>
        </w:rPr>
        <w:t>4)</w:t>
      </w:r>
      <w:r w:rsidRPr="000D0D06">
        <w:rPr>
          <w:noProof/>
        </w:rPr>
        <w:tab/>
        <w:t>O organismo do setor público reserva-se o direito de verificar o processo, os meios e quaisquer resultados do tratamento de dados ou documentos efetuado pelo reutilizador para preservar a integridade da proteção dos dados ou documentos. Reserva-se igualmente o direito de proibir a utilização de resultados que contenham informações que comprometam os direitos e interesses de terceiros. A decisão de proibir a utilização dos resultados deve ser compreensível e transparente para o reutilizador.</w:t>
      </w:r>
    </w:p>
    <w:p w14:paraId="13CEBC1A" w14:textId="7794AD48" w:rsidR="007D7559" w:rsidRPr="000D0D06" w:rsidRDefault="00DB7DCA" w:rsidP="00665C74">
      <w:pPr>
        <w:pStyle w:val="Text1"/>
        <w:rPr>
          <w:noProof/>
        </w:rPr>
      </w:pPr>
      <w:r w:rsidRPr="000D0D06">
        <w:rPr>
          <w:noProof/>
        </w:rPr>
        <w:t>A menos que o direito nacional preveja salvaguardas específicas sobre as obrigações de confidencialidade aplicáveis relacionadas com a reutilização de determinadas categorias de dados protegidos, o organismo do setor público subordina a reutilização dos dados ou documentos fornecidos nos termos do n.º 3 ao cumprimento, por parte do reutilizador, de uma obrigação de confidencialidade que proíba a divulgação de qualquer informação que comprometa os direitos e interesses de terceiros e que o reutilizador possa ter adquirido apesar das salvaguardas instituídas. Em caso de reutilização não autorizada de dados não pessoais, o reutilizador é obrigado a informar, sem demora, se for caso disso com a assistência do organismo do setor público, as pessoas singulares ou coletivas cujos direitos e interesses possam ser afetados.</w:t>
      </w:r>
    </w:p>
    <w:p w14:paraId="7D12EDFC" w14:textId="3607688C" w:rsidR="00DB7DCA" w:rsidRPr="000D0D06" w:rsidRDefault="001936FC" w:rsidP="001936FC">
      <w:pPr>
        <w:pStyle w:val="Point0"/>
        <w:rPr>
          <w:noProof/>
        </w:rPr>
      </w:pPr>
      <w:r w:rsidRPr="000D0D06">
        <w:rPr>
          <w:noProof/>
        </w:rPr>
        <w:t>5)</w:t>
      </w:r>
      <w:r w:rsidRPr="000D0D06">
        <w:rPr>
          <w:noProof/>
        </w:rPr>
        <w:tab/>
        <w:t>Sempre que a reutilização de dados ou documentos não possa ser permitida nos termos dos n.</w:t>
      </w:r>
      <w:r w:rsidRPr="000D0D06">
        <w:rPr>
          <w:noProof/>
          <w:vertAlign w:val="superscript"/>
        </w:rPr>
        <w:t>os</w:t>
      </w:r>
      <w:r w:rsidRPr="000D0D06">
        <w:rPr>
          <w:noProof/>
        </w:rPr>
        <w:t> 3 e 4, a reutilização só é possível:</w:t>
      </w:r>
    </w:p>
    <w:p w14:paraId="5A40D3C2" w14:textId="5C1369E3" w:rsidR="00DB7DCA" w:rsidRPr="000D0D06" w:rsidRDefault="001936FC" w:rsidP="001936FC">
      <w:pPr>
        <w:pStyle w:val="Point1"/>
        <w:rPr>
          <w:noProof/>
        </w:rPr>
      </w:pPr>
      <w:r w:rsidRPr="000D0D06">
        <w:rPr>
          <w:noProof/>
        </w:rPr>
        <w:t>a)</w:t>
      </w:r>
      <w:r w:rsidRPr="000D0D06">
        <w:rPr>
          <w:noProof/>
        </w:rPr>
        <w:tab/>
        <w:t>Caso não exista outra base jurídica para a transmissão dos dados além do consentimento ao abrigo do Regulamento (UE) 2016/679, com o consentimento dos titulares dos dados;</w:t>
      </w:r>
    </w:p>
    <w:p w14:paraId="04089305" w14:textId="6FD209E5" w:rsidR="00DB7DCA" w:rsidRPr="000D0D06" w:rsidRDefault="001936FC" w:rsidP="001936FC">
      <w:pPr>
        <w:pStyle w:val="Point1"/>
        <w:rPr>
          <w:noProof/>
        </w:rPr>
      </w:pPr>
      <w:r w:rsidRPr="000D0D06">
        <w:rPr>
          <w:noProof/>
        </w:rPr>
        <w:t>b)</w:t>
      </w:r>
      <w:r w:rsidRPr="000D0D06">
        <w:rPr>
          <w:noProof/>
        </w:rPr>
        <w:tab/>
        <w:t>Com a autorização dos detentores dos dados cujos direitos e interesses possam ser afetados pela reutilização.</w:t>
      </w:r>
    </w:p>
    <w:p w14:paraId="57FCDC9D" w14:textId="1B678DB6" w:rsidR="00DB7DCA" w:rsidRPr="000D0D06" w:rsidRDefault="00DB7DCA" w:rsidP="00665C74">
      <w:pPr>
        <w:pStyle w:val="Text1"/>
        <w:rPr>
          <w:noProof/>
        </w:rPr>
      </w:pPr>
      <w:r w:rsidRPr="000D0D06">
        <w:rPr>
          <w:noProof/>
        </w:rPr>
        <w:t>O organismo do setor público envida todos os esforços, nos termos do direito da União e nacional, para prestar assistência aos potenciais reutilizadores na obtenção do consentimento dos titulares dos dados ou da autorização dos detentores dos dados cujos direitos e interesses possam ser afetados por essa reutilização, sempre que tal seja exequível sem acarretar encargos desproporcionados para o organismo do setor público.</w:t>
      </w:r>
    </w:p>
    <w:p w14:paraId="1AA85CE9" w14:textId="6EB43FA1" w:rsidR="00DB7DCA" w:rsidRPr="000D0D06" w:rsidRDefault="00DB7DCA" w:rsidP="00665C74">
      <w:pPr>
        <w:pStyle w:val="Text1"/>
        <w:rPr>
          <w:noProof/>
        </w:rPr>
      </w:pPr>
      <w:r w:rsidRPr="000D0D06">
        <w:rPr>
          <w:noProof/>
        </w:rPr>
        <w:t>Sempre que presta essa assistência, o organismo do setor público pode ser assistido pelos organismos competentes a que se refere o artigo 32.º-Z.</w:t>
      </w:r>
    </w:p>
    <w:p w14:paraId="4801235F" w14:textId="13F9EC64" w:rsidR="00D67349" w:rsidRPr="000D0D06" w:rsidRDefault="00D24F0E" w:rsidP="00D67349">
      <w:pPr>
        <w:ind w:left="360"/>
        <w:jc w:val="center"/>
        <w:rPr>
          <w:noProof/>
        </w:rPr>
      </w:pPr>
      <w:r w:rsidRPr="000D0D06">
        <w:rPr>
          <w:noProof/>
        </w:rPr>
        <w:t>Artigo 32.º-X</w:t>
      </w:r>
    </w:p>
    <w:p w14:paraId="6EB6CD59" w14:textId="77777777" w:rsidR="001D2C86" w:rsidRPr="000D0D06" w:rsidRDefault="001D2C86" w:rsidP="008D6372">
      <w:pPr>
        <w:ind w:left="360"/>
        <w:jc w:val="center"/>
        <w:rPr>
          <w:i/>
          <w:iCs/>
          <w:noProof/>
        </w:rPr>
      </w:pPr>
      <w:r w:rsidRPr="000D0D06">
        <w:rPr>
          <w:i/>
          <w:noProof/>
        </w:rPr>
        <w:t>Requisitos aplicáveis às transferências de dados não pessoais para países terceiros por reutilizadores</w:t>
      </w:r>
    </w:p>
    <w:p w14:paraId="75F0C75D" w14:textId="75EE7731" w:rsidR="00E07983" w:rsidRPr="000D0D06" w:rsidRDefault="001936FC" w:rsidP="001936FC">
      <w:pPr>
        <w:pStyle w:val="Point0"/>
        <w:rPr>
          <w:noProof/>
        </w:rPr>
      </w:pPr>
      <w:r w:rsidRPr="000D0D06">
        <w:rPr>
          <w:noProof/>
        </w:rPr>
        <w:t>1)</w:t>
      </w:r>
      <w:r w:rsidRPr="000D0D06">
        <w:rPr>
          <w:noProof/>
        </w:rPr>
        <w:tab/>
        <w:t>Sempre que tencione transferir para um país terceiro determinadas categorias de dados protegidos não pessoais, o reutilizador informa o organismo do setor público da sua intenção de transferir esses dados, bem como da finalidade dessa transferência, no momento do pedido de reutilização dos dados. Em caso de reutilização com base na autorização do detentor dos dados, o reutilizador, se for caso disso com a assistência do organismo do setor público, informa a pessoa singular ou coletiva cujos direitos e interesses possam ser afetados da intenção, da finalidade e das garantias pertinentes. O organismo do setor público não permite a reutilização a menos que a pessoa singular ou coletiva dê autorização à transferência.</w:t>
      </w:r>
    </w:p>
    <w:p w14:paraId="311D3AB0" w14:textId="585F7BD9" w:rsidR="001D2C86" w:rsidRPr="000D0D06" w:rsidRDefault="001936FC" w:rsidP="001936FC">
      <w:pPr>
        <w:pStyle w:val="Point0"/>
        <w:rPr>
          <w:noProof/>
        </w:rPr>
      </w:pPr>
      <w:r w:rsidRPr="000D0D06">
        <w:rPr>
          <w:noProof/>
        </w:rPr>
        <w:t>2)</w:t>
      </w:r>
      <w:r w:rsidRPr="000D0D06">
        <w:rPr>
          <w:noProof/>
        </w:rPr>
        <w:tab/>
        <w:t>Os organismos do setor público só podem transmitir dados confidenciais não pessoais ou dados protegidos por direitos de propriedade intelectual a um reutilizador que tencione transferir esses dados para um país terceiro que não seja um país designado em conformidade com o n.º 7 na condição de o reutilizador se comprometer contratualmente a:</w:t>
      </w:r>
    </w:p>
    <w:p w14:paraId="49614E2D" w14:textId="621F2725" w:rsidR="00C63247" w:rsidRPr="000D0D06" w:rsidRDefault="001936FC" w:rsidP="001936FC">
      <w:pPr>
        <w:pStyle w:val="Point1"/>
        <w:rPr>
          <w:noProof/>
        </w:rPr>
      </w:pPr>
      <w:r w:rsidRPr="000D0D06">
        <w:rPr>
          <w:noProof/>
        </w:rPr>
        <w:t>a)</w:t>
      </w:r>
      <w:r w:rsidRPr="000D0D06">
        <w:rPr>
          <w:noProof/>
        </w:rPr>
        <w:tab/>
        <w:t>Cumprir as obrigações impostas em conformidade com os direitos de propriedade intelectual e com o direito da União ou nacional em matéria de confidencialidade comercial ou estatística, mesmo após a transferência dos dados para o país terceiro;</w:t>
      </w:r>
    </w:p>
    <w:p w14:paraId="3500DED4" w14:textId="399564E7" w:rsidR="001D2C86" w:rsidRPr="000D0D06" w:rsidRDefault="001936FC" w:rsidP="001936FC">
      <w:pPr>
        <w:pStyle w:val="Point1"/>
        <w:rPr>
          <w:noProof/>
        </w:rPr>
      </w:pPr>
      <w:r w:rsidRPr="000D0D06">
        <w:rPr>
          <w:noProof/>
        </w:rPr>
        <w:t>b)</w:t>
      </w:r>
      <w:r w:rsidRPr="000D0D06">
        <w:rPr>
          <w:noProof/>
        </w:rPr>
        <w:tab/>
        <w:t>Aceitar a jurisdição dos órgãos jurisdicionais do Estado-Membro do organismo do setor público que transmite os dados para a resolução de eventuais litígios relacionados com o respeito dos direitos de propriedade intelectual e do direito da União ou nacional em matéria de confidencialidade comercial ou estatística.</w:t>
      </w:r>
    </w:p>
    <w:p w14:paraId="7D71339E" w14:textId="5226E7BF" w:rsidR="001D2C86" w:rsidRPr="000D0D06" w:rsidRDefault="001936FC" w:rsidP="001936FC">
      <w:pPr>
        <w:pStyle w:val="Point0"/>
        <w:rPr>
          <w:noProof/>
        </w:rPr>
      </w:pPr>
      <w:r w:rsidRPr="000D0D06">
        <w:rPr>
          <w:noProof/>
        </w:rPr>
        <w:t>3)</w:t>
      </w:r>
      <w:r w:rsidRPr="000D0D06">
        <w:rPr>
          <w:noProof/>
        </w:rPr>
        <w:tab/>
        <w:t>A Comissão pode adotar atos de execução que estabeleçam cláusulas contratuais-tipo para o cumprimento das obrigações a que se refere o n.º 2 do presente artigo. Os referidos atos de execução são adotados pelo procedimento de exame a que se refere o artigo 46.º, n.º 2.</w:t>
      </w:r>
    </w:p>
    <w:p w14:paraId="7AD634F9" w14:textId="334CB594" w:rsidR="00E07983" w:rsidRPr="000D0D06" w:rsidRDefault="001936FC" w:rsidP="001936FC">
      <w:pPr>
        <w:pStyle w:val="Point0"/>
        <w:rPr>
          <w:noProof/>
        </w:rPr>
      </w:pPr>
      <w:r w:rsidRPr="000D0D06">
        <w:rPr>
          <w:noProof/>
        </w:rPr>
        <w:t>4)</w:t>
      </w:r>
      <w:r w:rsidRPr="000D0D06">
        <w:rPr>
          <w:noProof/>
        </w:rPr>
        <w:tab/>
        <w:t>Os organismos do setor público prestam, sempre que pertinente e na medida das suas capacidades, orientações e apoio aos reutilizadores no cumprimento das obrigações a que se refere o n.º 2.</w:t>
      </w:r>
    </w:p>
    <w:p w14:paraId="06BB28F9" w14:textId="20DEC96E" w:rsidR="001D2C86" w:rsidRPr="000D0D06" w:rsidRDefault="001936FC" w:rsidP="001936FC">
      <w:pPr>
        <w:pStyle w:val="Point0"/>
        <w:rPr>
          <w:noProof/>
        </w:rPr>
      </w:pPr>
      <w:r w:rsidRPr="000D0D06">
        <w:rPr>
          <w:noProof/>
        </w:rPr>
        <w:t>5)</w:t>
      </w:r>
      <w:r w:rsidRPr="000D0D06">
        <w:rPr>
          <w:noProof/>
        </w:rPr>
        <w:tab/>
        <w:t>Se tal se justificar devido a um número substancial de pedidos, em toda a União, relativos à reutilização de dados não pessoais em países terceiros específicos, a Comissão pode adotar atos de execução que declarem que o enquadramento legal, de supervisão e de execução de um país terceiro:</w:t>
      </w:r>
    </w:p>
    <w:p w14:paraId="551F9D51" w14:textId="1DE2528F" w:rsidR="001D2C86" w:rsidRPr="000D0D06" w:rsidRDefault="001936FC" w:rsidP="001936FC">
      <w:pPr>
        <w:pStyle w:val="Point1"/>
        <w:rPr>
          <w:noProof/>
        </w:rPr>
      </w:pPr>
      <w:r w:rsidRPr="000D0D06">
        <w:rPr>
          <w:noProof/>
        </w:rPr>
        <w:t>a)</w:t>
      </w:r>
      <w:r w:rsidRPr="000D0D06">
        <w:rPr>
          <w:noProof/>
        </w:rPr>
        <w:tab/>
        <w:t>Assegura a proteção da propriedade intelectual e dos segredos comerciais de uma forma essencialmente equivalente à proteção garantida pelo direito da União;</w:t>
      </w:r>
    </w:p>
    <w:p w14:paraId="38E3037E" w14:textId="0E860A60" w:rsidR="001D2C86" w:rsidRPr="000D0D06" w:rsidRDefault="001936FC" w:rsidP="001936FC">
      <w:pPr>
        <w:pStyle w:val="Point1"/>
        <w:rPr>
          <w:noProof/>
        </w:rPr>
      </w:pPr>
      <w:r w:rsidRPr="000D0D06">
        <w:rPr>
          <w:noProof/>
        </w:rPr>
        <w:t>b)</w:t>
      </w:r>
      <w:r w:rsidRPr="000D0D06">
        <w:rPr>
          <w:noProof/>
        </w:rPr>
        <w:tab/>
        <w:t>Está a ser efetivamente aplicado e executado; e</w:t>
      </w:r>
    </w:p>
    <w:p w14:paraId="7809D528" w14:textId="4748B0DC" w:rsidR="001D2C86" w:rsidRPr="000D0D06" w:rsidRDefault="001936FC" w:rsidP="001936FC">
      <w:pPr>
        <w:pStyle w:val="Point1"/>
        <w:rPr>
          <w:noProof/>
        </w:rPr>
      </w:pPr>
      <w:r w:rsidRPr="000D0D06">
        <w:rPr>
          <w:noProof/>
        </w:rPr>
        <w:t>c)</w:t>
      </w:r>
      <w:r w:rsidRPr="000D0D06">
        <w:rPr>
          <w:noProof/>
        </w:rPr>
        <w:tab/>
        <w:t>Proporciona vias efetivas de recurso judicial.</w:t>
      </w:r>
    </w:p>
    <w:p w14:paraId="2C435E50" w14:textId="4AB5B34D" w:rsidR="001D2C86" w:rsidRPr="000D0D06" w:rsidRDefault="001936FC" w:rsidP="001936FC">
      <w:pPr>
        <w:pStyle w:val="Point0"/>
        <w:rPr>
          <w:noProof/>
        </w:rPr>
      </w:pPr>
      <w:r w:rsidRPr="000D0D06">
        <w:rPr>
          <w:noProof/>
        </w:rPr>
        <w:t>6)</w:t>
      </w:r>
      <w:r w:rsidRPr="000D0D06">
        <w:rPr>
          <w:noProof/>
        </w:rPr>
        <w:tab/>
        <w:t>Os referidos atos de execução são adotados pelo procedimento de exame a que se refere o artigo 46.º, n.º 2.</w:t>
      </w:r>
    </w:p>
    <w:p w14:paraId="2F85E36D" w14:textId="37AC6079" w:rsidR="00E653DA" w:rsidRPr="000D0D06" w:rsidRDefault="001936FC" w:rsidP="001936FC">
      <w:pPr>
        <w:pStyle w:val="Point0"/>
        <w:rPr>
          <w:noProof/>
        </w:rPr>
      </w:pPr>
      <w:r w:rsidRPr="000D0D06">
        <w:rPr>
          <w:noProof/>
        </w:rPr>
        <w:t>7)</w:t>
      </w:r>
      <w:r w:rsidRPr="000D0D06">
        <w:rPr>
          <w:noProof/>
        </w:rPr>
        <w:tab/>
        <w:t>Os atos legislativos específicos da União podem estabelecer que determinadas categorias de dados não pessoais na posse de organismos do setor público são consideradas altamente sensíveis para efeitos do presente artigo, caso a sua transferência para países terceiros possa comprometer objetivos de política pública da União, como a segurança e a saúde pública, ou possa acarretar riscos de reidentificação de dados não pessoais anonimizados. Caso um tal ato seja adotado, a Comissão adota atos delegados, nos termos do artigo 45.º, a fim de completar o presente regulamento estabelecendo condições especiais aplicáveis às transferências desses dados para países terceiros.</w:t>
      </w:r>
    </w:p>
    <w:p w14:paraId="3E72A790" w14:textId="6AFDD114" w:rsidR="00E4255C" w:rsidRPr="000D0D06" w:rsidRDefault="001D2C86" w:rsidP="00665C74">
      <w:pPr>
        <w:pStyle w:val="Text1"/>
        <w:rPr>
          <w:noProof/>
        </w:rPr>
      </w:pPr>
      <w:r w:rsidRPr="000D0D06">
        <w:rPr>
          <w:noProof/>
        </w:rPr>
        <w:t>Se um ato legislativo específico da União referido no primeiro parágrafo assim o exigir, essas condições especiais podem incluir condições aplicáveis à transferência ou disposições técnicas a este respeito, restrições no que diz respeito à reutilização de dados em países terceiros ou às categorias de pessoas habilitadas a transferir esses dados para países terceiros ou, em casos excecionais, restrições relativas às transferências para países terceiros.</w:t>
      </w:r>
    </w:p>
    <w:p w14:paraId="4F93066B" w14:textId="77777777" w:rsidR="00CD4418" w:rsidRPr="000D0D06" w:rsidRDefault="001D2C86" w:rsidP="00665C74">
      <w:pPr>
        <w:pStyle w:val="Text1"/>
        <w:rPr>
          <w:noProof/>
        </w:rPr>
      </w:pPr>
      <w:r w:rsidRPr="000D0D06">
        <w:rPr>
          <w:noProof/>
        </w:rPr>
        <w:t>O reutilizador a quem for concedido o direito de reutilização de dados não pessoais só pode transferir os dados para os países terceiros que cumpram os requisitos previstos nos n.</w:t>
      </w:r>
      <w:r w:rsidRPr="000D0D06">
        <w:rPr>
          <w:noProof/>
          <w:vertAlign w:val="superscript"/>
        </w:rPr>
        <w:t>os</w:t>
      </w:r>
      <w:r w:rsidRPr="000D0D06">
        <w:rPr>
          <w:noProof/>
        </w:rPr>
        <w:t> 2, 4 e 5. </w:t>
      </w:r>
    </w:p>
    <w:p w14:paraId="566A1F2C" w14:textId="77777777" w:rsidR="00B4642A" w:rsidRPr="000D0D06" w:rsidRDefault="00780F3C" w:rsidP="00CD4418">
      <w:pPr>
        <w:pStyle w:val="ListParagraph"/>
        <w:ind w:left="284"/>
        <w:jc w:val="center"/>
        <w:rPr>
          <w:noProof/>
        </w:rPr>
      </w:pPr>
      <w:r w:rsidRPr="000D0D06">
        <w:rPr>
          <w:noProof/>
        </w:rPr>
        <w:t>Artigo 32.º-Y</w:t>
      </w:r>
    </w:p>
    <w:p w14:paraId="403AAED4" w14:textId="77777777" w:rsidR="00037A9E" w:rsidRPr="000D0D06" w:rsidRDefault="005C74D5" w:rsidP="00A523BC">
      <w:pPr>
        <w:pStyle w:val="ListParagraph"/>
        <w:ind w:left="284"/>
        <w:jc w:val="center"/>
        <w:rPr>
          <w:noProof/>
        </w:rPr>
      </w:pPr>
      <w:r w:rsidRPr="000D0D06">
        <w:rPr>
          <w:i/>
          <w:noProof/>
        </w:rPr>
        <w:t>Taxas</w:t>
      </w:r>
    </w:p>
    <w:p w14:paraId="2651DEAC" w14:textId="59C252D1" w:rsidR="009822D0" w:rsidRPr="000D0D06" w:rsidRDefault="001936FC" w:rsidP="001936FC">
      <w:pPr>
        <w:pStyle w:val="Point0"/>
        <w:rPr>
          <w:noProof/>
        </w:rPr>
      </w:pPr>
      <w:bookmarkStart w:id="7" w:name="_Hlk213616155"/>
      <w:r w:rsidRPr="000D0D06">
        <w:rPr>
          <w:noProof/>
        </w:rPr>
        <w:t>1)</w:t>
      </w:r>
      <w:r w:rsidRPr="000D0D06">
        <w:rPr>
          <w:noProof/>
        </w:rPr>
        <w:tab/>
        <w:t>Os organismos do setor público que permitam a reutilização de determinadas categorias de dados protegidos podem cobrar taxas para o efeito.</w:t>
      </w:r>
    </w:p>
    <w:bookmarkEnd w:id="7"/>
    <w:p w14:paraId="2DD8364A" w14:textId="264AE547" w:rsidR="00E449E4" w:rsidRPr="000D0D06" w:rsidRDefault="001936FC" w:rsidP="001936FC">
      <w:pPr>
        <w:pStyle w:val="Point0"/>
        <w:rPr>
          <w:noProof/>
        </w:rPr>
      </w:pPr>
      <w:r w:rsidRPr="000D0D06">
        <w:rPr>
          <w:noProof/>
        </w:rPr>
        <w:t>2)</w:t>
      </w:r>
      <w:r w:rsidRPr="000D0D06">
        <w:rPr>
          <w:noProof/>
        </w:rPr>
        <w:tab/>
        <w:t>Sempre que apliquem taxas, os organismos do setor público tomam medidas para incentivar a reutilização de determinadas categorias de dados protegidos para fins não comerciais, tais como fins de investigação científica, e por empresas em fase de arranque, PME e pequenas empresas de média capitalização, em sintonia com as regras da União em matéria de auxílios estatais. A este respeito, os organismos do setor público também podem disponibilizar os dados mediante o pagamento de uma taxa reduzida ou a título gratuito, em especial a empresas em fase de arranque, PME e pequenas empresas de média capitalização, a organizações da sociedade civil, a centros de investigação e a estabelecimentos de ensino. Para o efeito, os organismos do setor público podem estabelecer uma lista das categorias de reutilizadores às quais os dados ou documentos para reutilização são disponibilizados mediante o pagamento de uma taxa reduzida ou a título gratuito. Essa lista, juntamente com os critérios utilizados para a sua elaboração, é tornada pública.</w:t>
      </w:r>
    </w:p>
    <w:p w14:paraId="5AA78B80" w14:textId="224A95C2" w:rsidR="00E449E4" w:rsidRPr="000D0D06" w:rsidRDefault="001936FC" w:rsidP="001936FC">
      <w:pPr>
        <w:pStyle w:val="Point0"/>
        <w:rPr>
          <w:noProof/>
        </w:rPr>
      </w:pPr>
      <w:bookmarkStart w:id="8" w:name="_Hlk213616557"/>
      <w:r w:rsidRPr="000D0D06">
        <w:rPr>
          <w:noProof/>
        </w:rPr>
        <w:t>3)</w:t>
      </w:r>
      <w:r w:rsidRPr="000D0D06">
        <w:rPr>
          <w:noProof/>
        </w:rPr>
        <w:tab/>
        <w:t>As taxas são calculadas com referência aos custos relacionados com a instrução do procedimento relativo aos pedidos de reutilização de determinadas categorias de dados protegidos e estão limitadas aos custos necessários relativos a:</w:t>
      </w:r>
    </w:p>
    <w:bookmarkEnd w:id="8"/>
    <w:p w14:paraId="689F8670" w14:textId="225FF976" w:rsidR="00E449E4" w:rsidRPr="000D0D06" w:rsidRDefault="001936FC" w:rsidP="001936FC">
      <w:pPr>
        <w:pStyle w:val="Point1"/>
        <w:rPr>
          <w:noProof/>
        </w:rPr>
      </w:pPr>
      <w:r w:rsidRPr="000D0D06">
        <w:rPr>
          <w:noProof/>
        </w:rPr>
        <w:t>a)</w:t>
      </w:r>
      <w:r w:rsidRPr="000D0D06">
        <w:rPr>
          <w:noProof/>
        </w:rPr>
        <w:tab/>
        <w:t>Reprodução, fornecimento e divulgação de dados;</w:t>
      </w:r>
    </w:p>
    <w:p w14:paraId="4AF567D4" w14:textId="56F1F05E" w:rsidR="00E449E4" w:rsidRPr="000D0D06" w:rsidRDefault="001936FC" w:rsidP="001936FC">
      <w:pPr>
        <w:pStyle w:val="Point1"/>
        <w:rPr>
          <w:noProof/>
        </w:rPr>
      </w:pPr>
      <w:r w:rsidRPr="000D0D06">
        <w:rPr>
          <w:noProof/>
        </w:rPr>
        <w:t>b)</w:t>
      </w:r>
      <w:r w:rsidRPr="000D0D06">
        <w:rPr>
          <w:noProof/>
        </w:rPr>
        <w:tab/>
        <w:t>Aquisição de direitos;</w:t>
      </w:r>
    </w:p>
    <w:p w14:paraId="439D147F" w14:textId="77777777" w:rsidR="00E449E4" w:rsidRPr="000D0D06" w:rsidRDefault="001936FC" w:rsidP="001936FC">
      <w:pPr>
        <w:pStyle w:val="Point1"/>
        <w:rPr>
          <w:noProof/>
        </w:rPr>
      </w:pPr>
      <w:r w:rsidRPr="000D0D06">
        <w:rPr>
          <w:noProof/>
        </w:rPr>
        <w:t>c)</w:t>
      </w:r>
      <w:r w:rsidRPr="000D0D06">
        <w:rPr>
          <w:noProof/>
        </w:rPr>
        <w:tab/>
        <w:t xml:space="preserve">Anonimização ou outras formas de preparação de dados pessoais e dados comerciais confidenciais nos termos do artigo 32.º-W, n.º 3 [condições de reutilização]; </w:t>
      </w:r>
    </w:p>
    <w:p w14:paraId="7C2815DD" w14:textId="1A9F3173" w:rsidR="00E449E4" w:rsidRPr="000D0D06" w:rsidRDefault="001936FC" w:rsidP="001936FC">
      <w:pPr>
        <w:pStyle w:val="Point1"/>
        <w:rPr>
          <w:noProof/>
        </w:rPr>
      </w:pPr>
      <w:r w:rsidRPr="000D0D06">
        <w:rPr>
          <w:noProof/>
        </w:rPr>
        <w:t>d)</w:t>
      </w:r>
      <w:r w:rsidRPr="000D0D06">
        <w:rPr>
          <w:noProof/>
        </w:rPr>
        <w:tab/>
        <w:t>Manutenção do ambiente de tratamento seguro;</w:t>
      </w:r>
    </w:p>
    <w:p w14:paraId="28DBB54D" w14:textId="6838C072" w:rsidR="00E449E4" w:rsidRPr="000D0D06" w:rsidRDefault="001936FC" w:rsidP="001936FC">
      <w:pPr>
        <w:pStyle w:val="Point1"/>
        <w:rPr>
          <w:noProof/>
        </w:rPr>
      </w:pPr>
      <w:r w:rsidRPr="000D0D06">
        <w:rPr>
          <w:noProof/>
        </w:rPr>
        <w:t>e)</w:t>
      </w:r>
      <w:r w:rsidRPr="000D0D06">
        <w:rPr>
          <w:noProof/>
        </w:rPr>
        <w:tab/>
        <w:t>Aquisição, junto de terceiros fora do setor público, do direito de permitir a reutilização nos termos da presente secção; e apoio aos reutilizadores na obtenção do consentimento dos titulares dos dados e da autorização dos detentores dos dados cujos direitos e interesses possam ser afetados pela reutilização.</w:t>
      </w:r>
    </w:p>
    <w:p w14:paraId="0FC701C0" w14:textId="77777777" w:rsidR="00B6453E" w:rsidRPr="000D0D06" w:rsidRDefault="001936FC" w:rsidP="001936FC">
      <w:pPr>
        <w:pStyle w:val="Point0"/>
        <w:rPr>
          <w:noProof/>
        </w:rPr>
      </w:pPr>
      <w:r w:rsidRPr="000D0D06">
        <w:rPr>
          <w:noProof/>
        </w:rPr>
        <w:t>4)</w:t>
      </w:r>
      <w:r w:rsidRPr="000D0D06">
        <w:rPr>
          <w:noProof/>
        </w:rPr>
        <w:tab/>
        <w:t>Os critérios e a metodologia de cálculo das taxas são estabelecidos pelos Estados-Membros e publicados. O organismo do setor público publica uma descrição das principais categorias de custos e das regras utilizadas para a respetiva imputação.</w:t>
      </w:r>
    </w:p>
    <w:p w14:paraId="609ACDC2" w14:textId="1489230B" w:rsidR="00691A98" w:rsidRPr="000D0D06" w:rsidRDefault="001936FC" w:rsidP="001936FC">
      <w:pPr>
        <w:pStyle w:val="Point0"/>
        <w:rPr>
          <w:noProof/>
        </w:rPr>
      </w:pPr>
      <w:r w:rsidRPr="000D0D06">
        <w:rPr>
          <w:noProof/>
        </w:rPr>
        <w:t>5)</w:t>
      </w:r>
      <w:r w:rsidRPr="000D0D06">
        <w:rPr>
          <w:noProof/>
        </w:rPr>
        <w:tab/>
        <w:t>Os organismos do setor público podem cobrar taxas mais elevadas do que as permitidas em conformidade com os n.</w:t>
      </w:r>
      <w:r w:rsidRPr="000D0D06">
        <w:rPr>
          <w:noProof/>
          <w:vertAlign w:val="superscript"/>
        </w:rPr>
        <w:t>os</w:t>
      </w:r>
      <w:r w:rsidRPr="000D0D06">
        <w:rPr>
          <w:noProof/>
        </w:rPr>
        <w:t xml:space="preserve"> 2 e 3 do presente artigo no que diz respeito às empresas de muito grande dimensão, com base em critérios objetivos, tendo em conta o poder económico ou a capacidade da entidade para adquirir dados, incluindo, em especial, a designação como controlador de acesso nos termos do Regulamento (UE) 2022/1925. Quaisquer taxas calculadas desta forma devem ser proporcionadas. Para além dos elementos previstos no n.º 3 do presente artigo, as taxas podem cobrir os custos de recolha e produção dos dados, acrescidos de um retorno razoável do investimento. </w:t>
      </w:r>
    </w:p>
    <w:p w14:paraId="2DD46F5B" w14:textId="77777777" w:rsidR="00691A98" w:rsidRPr="000D0D06" w:rsidRDefault="00FD4D12" w:rsidP="00927A6F">
      <w:pPr>
        <w:jc w:val="center"/>
        <w:rPr>
          <w:noProof/>
        </w:rPr>
      </w:pPr>
      <w:r w:rsidRPr="000D0D06">
        <w:rPr>
          <w:noProof/>
        </w:rPr>
        <w:t>Artigo 32.º-Z</w:t>
      </w:r>
    </w:p>
    <w:p w14:paraId="49C0D4C5" w14:textId="77777777" w:rsidR="00691A98" w:rsidRPr="000D0D06" w:rsidRDefault="006B1565" w:rsidP="00927A6F">
      <w:pPr>
        <w:jc w:val="center"/>
        <w:rPr>
          <w:i/>
          <w:iCs/>
          <w:noProof/>
        </w:rPr>
      </w:pPr>
      <w:r w:rsidRPr="000D0D06">
        <w:rPr>
          <w:i/>
          <w:noProof/>
        </w:rPr>
        <w:t>Organismos competentes</w:t>
      </w:r>
    </w:p>
    <w:p w14:paraId="05AF53D3" w14:textId="77777777" w:rsidR="009402D9" w:rsidRPr="000D0D06" w:rsidRDefault="001936FC" w:rsidP="001936FC">
      <w:pPr>
        <w:pStyle w:val="Point0"/>
        <w:rPr>
          <w:noProof/>
        </w:rPr>
      </w:pPr>
      <w:r w:rsidRPr="000D0D06">
        <w:rPr>
          <w:noProof/>
        </w:rPr>
        <w:t>1)</w:t>
      </w:r>
      <w:r w:rsidRPr="000D0D06">
        <w:rPr>
          <w:noProof/>
        </w:rPr>
        <w:tab/>
        <w:t>Para efeitos do exercício das funções a que se refere o presente artigo, cada Estado-Membro designa um ou mais organismos competentes, em conformidade com o artigo 37.º, n.º 1, que podem ser competentes em determinados setores, mas que, coletivamente, têm de abranger todos os setores, para apoiar os organismos do setor público que concedam ou recusem o acesso para fins de reutilização de determinadas categorias de dados protegidos. Os Estados-Membros podem criar um ou mais novos organismos competentes ou recorrer a organismos do setor público existentes ou a serviços internos de organismos do setor público que preencham as condições estabelecidas na presente secção.</w:t>
      </w:r>
    </w:p>
    <w:p w14:paraId="322F795B" w14:textId="77777777" w:rsidR="007A107C" w:rsidRPr="000D0D06" w:rsidRDefault="001936FC" w:rsidP="001936FC">
      <w:pPr>
        <w:pStyle w:val="Point0"/>
        <w:rPr>
          <w:noProof/>
        </w:rPr>
      </w:pPr>
      <w:r w:rsidRPr="000D0D06">
        <w:rPr>
          <w:noProof/>
        </w:rPr>
        <w:t>2)</w:t>
      </w:r>
      <w:r w:rsidRPr="000D0D06">
        <w:rPr>
          <w:noProof/>
        </w:rPr>
        <w:tab/>
        <w:t>Pode igualmente ser atribuída aos organismos competentes a competência para conceder acesso para fins de reutilização de determinadas categorias de dados protegidos, nos termos do direito da União ou nacional que prevê a concessão desse acesso. Sempre que concedam ou recusem o acesso para fins de reutilização, esses organismos competentes ficam sujeitos ao disposto nos artigos 32.º-K, 32.º-W, 32.º-X, 32.º-Y e 32.º-AB.</w:t>
      </w:r>
    </w:p>
    <w:p w14:paraId="624F5845" w14:textId="77777777" w:rsidR="00631121" w:rsidRPr="000D0D06" w:rsidRDefault="001936FC" w:rsidP="001936FC">
      <w:pPr>
        <w:pStyle w:val="Point0"/>
        <w:rPr>
          <w:noProof/>
        </w:rPr>
      </w:pPr>
      <w:r w:rsidRPr="000D0D06">
        <w:rPr>
          <w:noProof/>
        </w:rPr>
        <w:t>3)</w:t>
      </w:r>
      <w:r w:rsidRPr="000D0D06">
        <w:rPr>
          <w:noProof/>
        </w:rPr>
        <w:tab/>
        <w:t>Os organismos competentes devem dispor dos recursos jurídicos, financeiros, técnicos e humanos adequados para desempenhar as funções que lhes são atribuídas, inclusive dos conhecimentos técnicos necessários para poderem cumprir o direito da União ou nacional aplicável em matéria de regimes de acesso para as categorias de dados protegidos referidas no artigo 2.º, ponto 54.</w:t>
      </w:r>
    </w:p>
    <w:p w14:paraId="18FA4275" w14:textId="77777777" w:rsidR="00631121" w:rsidRPr="000D0D06" w:rsidRDefault="001936FC" w:rsidP="001936FC">
      <w:pPr>
        <w:pStyle w:val="Point0"/>
        <w:rPr>
          <w:noProof/>
        </w:rPr>
      </w:pPr>
      <w:r w:rsidRPr="000D0D06">
        <w:rPr>
          <w:noProof/>
        </w:rPr>
        <w:t>4)</w:t>
      </w:r>
      <w:r w:rsidRPr="000D0D06">
        <w:rPr>
          <w:noProof/>
        </w:rPr>
        <w:tab/>
        <w:t>O apoio referido no n.º 1 inclui, se necessário:</w:t>
      </w:r>
    </w:p>
    <w:p w14:paraId="53D451DA" w14:textId="664282C9" w:rsidR="00631121" w:rsidRPr="000D0D06" w:rsidRDefault="001936FC" w:rsidP="001936FC">
      <w:pPr>
        <w:pStyle w:val="Point1"/>
        <w:rPr>
          <w:noProof/>
        </w:rPr>
      </w:pPr>
      <w:r w:rsidRPr="000D0D06">
        <w:rPr>
          <w:noProof/>
        </w:rPr>
        <w:t>a)</w:t>
      </w:r>
      <w:r w:rsidRPr="000D0D06">
        <w:rPr>
          <w:noProof/>
        </w:rPr>
        <w:tab/>
        <w:t>A prestação de apoio técnico através da disponibilização de um ambiente de tratamento seguro para facultar o acesso para fins de reutilização de dados ou documentos;</w:t>
      </w:r>
    </w:p>
    <w:p w14:paraId="1354FFC0" w14:textId="25CF1EAA" w:rsidR="00631121" w:rsidRPr="000D0D06" w:rsidRDefault="001936FC" w:rsidP="001936FC">
      <w:pPr>
        <w:pStyle w:val="Point1"/>
        <w:rPr>
          <w:noProof/>
        </w:rPr>
      </w:pPr>
      <w:r w:rsidRPr="000D0D06">
        <w:rPr>
          <w:noProof/>
        </w:rPr>
        <w:t>b)</w:t>
      </w:r>
      <w:r w:rsidRPr="000D0D06">
        <w:rPr>
          <w:noProof/>
        </w:rPr>
        <w:tab/>
        <w:t>O fornecimento de orientações e a prestação de apoio técnico sobre a melhor forma de estruturar e armazenar os dados, de modo a tornar esses dados ou documentos facilmente acessíveis;</w:t>
      </w:r>
    </w:p>
    <w:p w14:paraId="3EE41D46" w14:textId="243D8215" w:rsidR="00631121" w:rsidRPr="000D0D06" w:rsidRDefault="001936FC" w:rsidP="001936FC">
      <w:pPr>
        <w:pStyle w:val="Point1"/>
        <w:rPr>
          <w:noProof/>
        </w:rPr>
      </w:pPr>
      <w:r w:rsidRPr="000D0D06">
        <w:rPr>
          <w:noProof/>
        </w:rPr>
        <w:t>c)</w:t>
      </w:r>
      <w:r w:rsidRPr="000D0D06">
        <w:rPr>
          <w:noProof/>
        </w:rPr>
        <w:tab/>
        <w:t>A prestação de apoio técnico à anonimização, à pseudonimização e aos métodos avançados de preservação da privacidade, não só para os dados pessoais, mas também para as informações comerciais confidenciais, nomeadamente segredos comerciais ou conteúdos protegidos por direitos de propriedade intelectual;</w:t>
      </w:r>
    </w:p>
    <w:p w14:paraId="5043ECEE" w14:textId="32B659F3" w:rsidR="00631121" w:rsidRPr="000D0D06" w:rsidRDefault="001936FC" w:rsidP="001936FC">
      <w:pPr>
        <w:pStyle w:val="Point1"/>
        <w:rPr>
          <w:noProof/>
        </w:rPr>
      </w:pPr>
      <w:r w:rsidRPr="000D0D06">
        <w:rPr>
          <w:noProof/>
        </w:rPr>
        <w:t>d)</w:t>
      </w:r>
      <w:r w:rsidRPr="000D0D06">
        <w:rPr>
          <w:noProof/>
        </w:rPr>
        <w:tab/>
        <w:t>A prestação de assistência aos organismos do setor público, se for caso disso, para que ajudem os reutilizadores a solicitar o consentimento dos titulares dos dados ou a autorização dos detentores dos dados para a reutilização, em consonância com as suas decisões específicas, inclusive no que respeita à jurisdição em que o tratamento de dados se destina a ser realizado, bem como a prestação de assistência aos organismos do setor público no estabelecimento de mecanismos técnicos que permitam a transmissão dos pedidos de consentimento ou autorização efetuados pelos reutilizadores, sempre que tal seja exequível na prática;</w:t>
      </w:r>
    </w:p>
    <w:p w14:paraId="58E552E2" w14:textId="7F7C0409" w:rsidR="00631121" w:rsidRPr="000D0D06" w:rsidRDefault="001936FC" w:rsidP="001936FC">
      <w:pPr>
        <w:pStyle w:val="Point1"/>
        <w:rPr>
          <w:noProof/>
        </w:rPr>
      </w:pPr>
      <w:r w:rsidRPr="000D0D06">
        <w:rPr>
          <w:noProof/>
        </w:rPr>
        <w:t>e)</w:t>
      </w:r>
      <w:r w:rsidRPr="000D0D06">
        <w:rPr>
          <w:noProof/>
        </w:rPr>
        <w:tab/>
        <w:t>A prestação de assistência aos organismos do setor público na avaliação da adequação dos compromissos contratuais assumidos por um reutilizador, nos termos do artigo 32.º-X, n.º 2.</w:t>
      </w:r>
    </w:p>
    <w:p w14:paraId="70A97B92" w14:textId="77777777" w:rsidR="00870341" w:rsidRPr="000D0D06" w:rsidRDefault="00870341" w:rsidP="00927A6F">
      <w:pPr>
        <w:jc w:val="center"/>
        <w:rPr>
          <w:noProof/>
        </w:rPr>
      </w:pPr>
    </w:p>
    <w:p w14:paraId="30F67737" w14:textId="77777777" w:rsidR="00870341" w:rsidRPr="000D0D06" w:rsidRDefault="00841324" w:rsidP="00927A6F">
      <w:pPr>
        <w:jc w:val="center"/>
        <w:rPr>
          <w:noProof/>
        </w:rPr>
      </w:pPr>
      <w:r w:rsidRPr="000D0D06">
        <w:rPr>
          <w:noProof/>
        </w:rPr>
        <w:t>Artigo 32.º-AA</w:t>
      </w:r>
    </w:p>
    <w:p w14:paraId="7A485776" w14:textId="77777777" w:rsidR="00841324" w:rsidRPr="000D0D06" w:rsidRDefault="00841324" w:rsidP="00927A6F">
      <w:pPr>
        <w:jc w:val="center"/>
        <w:rPr>
          <w:i/>
          <w:iCs/>
          <w:noProof/>
        </w:rPr>
      </w:pPr>
      <w:r w:rsidRPr="000D0D06">
        <w:rPr>
          <w:i/>
          <w:noProof/>
        </w:rPr>
        <w:t>Ponto de informação único</w:t>
      </w:r>
    </w:p>
    <w:p w14:paraId="44504BF1" w14:textId="15D81928" w:rsidR="00CF10AB" w:rsidRPr="000D0D06" w:rsidRDefault="001936FC" w:rsidP="001936FC">
      <w:pPr>
        <w:pStyle w:val="Point0"/>
        <w:rPr>
          <w:noProof/>
        </w:rPr>
      </w:pPr>
      <w:r w:rsidRPr="000D0D06">
        <w:rPr>
          <w:noProof/>
        </w:rPr>
        <w:t>1)</w:t>
      </w:r>
      <w:r w:rsidRPr="000D0D06">
        <w:rPr>
          <w:noProof/>
        </w:rPr>
        <w:tab/>
        <w:t>Cada Estado-Membro designa um ponto de informação único. Esse ponto deve disponibilizar informações facilmente acessíveis sobre a aplicação dos artigos 32.º-W, 32.º-X e 32.º-Y.</w:t>
      </w:r>
    </w:p>
    <w:p w14:paraId="577E42FA" w14:textId="1E49CC41" w:rsidR="00CF10AB" w:rsidRPr="000D0D06" w:rsidRDefault="001936FC" w:rsidP="001936FC">
      <w:pPr>
        <w:pStyle w:val="Point0"/>
        <w:rPr>
          <w:noProof/>
        </w:rPr>
      </w:pPr>
      <w:r w:rsidRPr="000D0D06">
        <w:rPr>
          <w:noProof/>
        </w:rPr>
        <w:t>2)</w:t>
      </w:r>
      <w:r w:rsidRPr="000D0D06">
        <w:rPr>
          <w:noProof/>
        </w:rPr>
        <w:tab/>
        <w:t>O ponto de informação único é competente para receber os pedidos de informação ou os pedidos de reutilização de determinadas categorias de dados protegidos e transmite-os, sempre que possível e adequado por meios automatizados, aos organismos do setor público competentes ou, se for caso disso, aos organismos competentes referidos no artigo 32.º-Z, n.º 1.</w:t>
      </w:r>
    </w:p>
    <w:p w14:paraId="21DC5646" w14:textId="77777777" w:rsidR="004A4076" w:rsidRPr="000D0D06" w:rsidRDefault="001936FC" w:rsidP="001936FC">
      <w:pPr>
        <w:pStyle w:val="Point0"/>
        <w:rPr>
          <w:noProof/>
        </w:rPr>
      </w:pPr>
      <w:r w:rsidRPr="000D0D06">
        <w:rPr>
          <w:noProof/>
        </w:rPr>
        <w:t>3)</w:t>
      </w:r>
      <w:r w:rsidRPr="000D0D06">
        <w:rPr>
          <w:noProof/>
        </w:rPr>
        <w:tab/>
        <w:t>O ponto de informação único pode incluir um canal de informação separado, simplificado e bem documentado para as PME, as pequenas empresas de média capitalização, as empresas em fase de arranque e os centros de investigação, que atenda às respetivas necessidades e capacidades em termos de solicitação da reutilização das categorias de dados referidas no artigo 2.º, ponto 54.</w:t>
      </w:r>
    </w:p>
    <w:p w14:paraId="1CE69306" w14:textId="77777777" w:rsidR="00EB4302" w:rsidRPr="000D0D06" w:rsidRDefault="001936FC" w:rsidP="001936FC">
      <w:pPr>
        <w:pStyle w:val="Point0"/>
        <w:rPr>
          <w:noProof/>
        </w:rPr>
      </w:pPr>
      <w:r w:rsidRPr="000D0D06">
        <w:rPr>
          <w:noProof/>
        </w:rPr>
        <w:t>4)</w:t>
      </w:r>
      <w:r w:rsidRPr="000D0D06">
        <w:rPr>
          <w:noProof/>
        </w:rPr>
        <w:tab/>
        <w:t>O ponto de informação único disponibiliza, por via eletrónica, uma lista pesquisável de recursos que ofereça uma panorâmica de todos os recursos de documentos disponíveis incluindo, se for caso disso, os recursos de documentos que estão disponíveis nos pontos de informação setoriais, regionais ou locais, com informações relevantes que descrevam os dados ou documentos disponíveis, incluindo, pelo menos, o formato e a dimensão dos dados e as condições da sua reutilização.</w:t>
      </w:r>
    </w:p>
    <w:p w14:paraId="54A30D9E" w14:textId="77777777" w:rsidR="00841324" w:rsidRPr="000D0D06" w:rsidRDefault="001936FC" w:rsidP="001936FC">
      <w:pPr>
        <w:pStyle w:val="Point0"/>
        <w:rPr>
          <w:noProof/>
        </w:rPr>
      </w:pPr>
      <w:r w:rsidRPr="000D0D06">
        <w:rPr>
          <w:noProof/>
        </w:rPr>
        <w:t>5)</w:t>
      </w:r>
      <w:r w:rsidRPr="000D0D06">
        <w:rPr>
          <w:noProof/>
        </w:rPr>
        <w:tab/>
        <w:t>A Comissão estabelece um ponto de acesso único europeu que disponibilize um registo eletrónico pesquisável dos dados ou documentos disponíveis nos pontos de informação únicos nacionais e outras informações sobre a forma de solicitar dados ou documentos através desses pontos de informação únicos nacionais.</w:t>
      </w:r>
    </w:p>
    <w:p w14:paraId="0E4E4855" w14:textId="77777777" w:rsidR="00CF10AB" w:rsidRPr="000D0D06" w:rsidRDefault="00CF10AB" w:rsidP="00927A6F">
      <w:pPr>
        <w:jc w:val="center"/>
        <w:rPr>
          <w:noProof/>
        </w:rPr>
      </w:pPr>
    </w:p>
    <w:p w14:paraId="6C39A7DD" w14:textId="77777777" w:rsidR="00CF10AB" w:rsidRPr="000D0D06" w:rsidRDefault="00CE3A25" w:rsidP="00927A6F">
      <w:pPr>
        <w:jc w:val="center"/>
        <w:rPr>
          <w:noProof/>
        </w:rPr>
      </w:pPr>
      <w:r w:rsidRPr="000D0D06">
        <w:rPr>
          <w:noProof/>
        </w:rPr>
        <w:t>Artigo 32.º-AB</w:t>
      </w:r>
    </w:p>
    <w:p w14:paraId="7AE9B1F5" w14:textId="77777777" w:rsidR="00CB3366" w:rsidRPr="000D0D06" w:rsidRDefault="00CB3366" w:rsidP="00927A6F">
      <w:pPr>
        <w:jc w:val="center"/>
        <w:rPr>
          <w:i/>
          <w:iCs/>
          <w:noProof/>
        </w:rPr>
      </w:pPr>
      <w:r w:rsidRPr="000D0D06">
        <w:rPr>
          <w:i/>
          <w:noProof/>
        </w:rPr>
        <w:t>Procedimento relativo aos pedidos de reutilização</w:t>
      </w:r>
    </w:p>
    <w:p w14:paraId="725CFAC3" w14:textId="77777777" w:rsidR="004A4076" w:rsidRPr="000D0D06" w:rsidRDefault="001936FC" w:rsidP="001936FC">
      <w:pPr>
        <w:pStyle w:val="Point0"/>
        <w:rPr>
          <w:noProof/>
        </w:rPr>
      </w:pPr>
      <w:r w:rsidRPr="000D0D06">
        <w:rPr>
          <w:noProof/>
        </w:rPr>
        <w:t>1)</w:t>
      </w:r>
      <w:r w:rsidRPr="000D0D06">
        <w:rPr>
          <w:noProof/>
        </w:rPr>
        <w:tab/>
        <w:t>A menos que tenham sido estabelecidos prazos mais curtos nos termos do direito nacional, os organismos do setor público competentes, ou os organismos competentes referidos no artigo 32.º-Z, n.º 1, adotam uma decisão sobre o pedido de reutilização de determinadas categorias de dados protegidos no prazo de dois meses a contar da data de receção do pedido.</w:t>
      </w:r>
    </w:p>
    <w:p w14:paraId="740D074B" w14:textId="77777777" w:rsidR="004A4076" w:rsidRPr="000D0D06" w:rsidRDefault="001936FC" w:rsidP="001936FC">
      <w:pPr>
        <w:pStyle w:val="Point0"/>
        <w:rPr>
          <w:noProof/>
        </w:rPr>
      </w:pPr>
      <w:r w:rsidRPr="000D0D06">
        <w:rPr>
          <w:noProof/>
        </w:rPr>
        <w:t>2)</w:t>
      </w:r>
      <w:r w:rsidRPr="000D0D06">
        <w:rPr>
          <w:noProof/>
        </w:rPr>
        <w:tab/>
        <w:t>No caso de pedidos de reutilização excecionalmente extensos e complexos, esse prazo de dois meses pode ser prorrogado por um máximo de 30 dias. Nesses casos, os organismos do setor público competentes ou os organismos competentes referidos no artigo 32.º-Z, n.º 1, notificam o requerente o mais rapidamente possível de que é necessário mais tempo para instruir o procedimento, juntamente com os motivos subjacentes a essa prorrogação.</w:t>
      </w:r>
    </w:p>
    <w:p w14:paraId="32DDBD36" w14:textId="77777777" w:rsidR="00CF10AB" w:rsidRPr="000D0D06" w:rsidRDefault="001936FC" w:rsidP="001936FC">
      <w:pPr>
        <w:pStyle w:val="Point0"/>
        <w:rPr>
          <w:noProof/>
        </w:rPr>
      </w:pPr>
      <w:r w:rsidRPr="000D0D06">
        <w:rPr>
          <w:noProof/>
        </w:rPr>
        <w:t>3)</w:t>
      </w:r>
      <w:r w:rsidRPr="000D0D06">
        <w:rPr>
          <w:noProof/>
        </w:rPr>
        <w:tab/>
        <w:t>Qualquer pessoa singular ou coletiva diretamente afetada por uma decisão referida no n.º 1 tem um direito efetivo de recurso no Estado-Membro em que o organismo em causa está localizado. Esse direito de recurso é previsto no direito nacional e inclui a possibilidade de reapreciação por um organismo imparcial com a competência técnica adequada, como a autoridade nacional da concorrência, a autoridade pertinente de acesso a documentos, a autoridade de controlo estabelecida nos termos do Regulamento (UE) 2016/679 ou uma autoridade judicial nacional, cujas decisões sejam vinculativas para o organismo do setor público ou para o organismo competente em questão.».</w:t>
      </w:r>
    </w:p>
    <w:p w14:paraId="7FB088EB" w14:textId="77777777" w:rsidR="00CF10AB" w:rsidRPr="000D0D06" w:rsidRDefault="001936FC" w:rsidP="001936FC">
      <w:pPr>
        <w:pStyle w:val="ManualNumPar1"/>
        <w:rPr>
          <w:noProof/>
        </w:rPr>
      </w:pPr>
      <w:r w:rsidRPr="000D0D06">
        <w:rPr>
          <w:noProof/>
        </w:rPr>
        <w:t>19.</w:t>
      </w:r>
      <w:r w:rsidRPr="000D0D06">
        <w:rPr>
          <w:noProof/>
        </w:rPr>
        <w:tab/>
        <w:t>O artigo 38.º passa a ter a seguinte redação:</w:t>
      </w:r>
    </w:p>
    <w:p w14:paraId="3281AA70" w14:textId="102DA059" w:rsidR="00A056B8" w:rsidRPr="000D0D06" w:rsidRDefault="001936FC" w:rsidP="001936FC">
      <w:pPr>
        <w:pStyle w:val="Point0"/>
        <w:rPr>
          <w:noProof/>
        </w:rPr>
      </w:pPr>
      <w:r w:rsidRPr="000D0D06">
        <w:rPr>
          <w:noProof/>
        </w:rPr>
        <w:t>1)</w:t>
      </w:r>
      <w:r w:rsidRPr="000D0D06">
        <w:rPr>
          <w:noProof/>
        </w:rPr>
        <w:tab/>
        <w:t>«Sem prejuízo de qualquer outra via de recurso administrativa ou judicial, as pessoas singulares e coletivas têm o direito de apresentar reclamações, a título individual ou, se for caso disso, a título coletivo:</w:t>
      </w:r>
    </w:p>
    <w:p w14:paraId="33746953" w14:textId="77777777" w:rsidR="00D83766" w:rsidRPr="000D0D06" w:rsidRDefault="001936FC" w:rsidP="001936FC">
      <w:pPr>
        <w:pStyle w:val="Point1"/>
        <w:rPr>
          <w:noProof/>
        </w:rPr>
      </w:pPr>
      <w:r w:rsidRPr="000D0D06">
        <w:rPr>
          <w:noProof/>
        </w:rPr>
        <w:t>a)</w:t>
      </w:r>
      <w:r w:rsidRPr="000D0D06">
        <w:rPr>
          <w:noProof/>
        </w:rPr>
        <w:tab/>
        <w:t>À autoridade competente do Estado-Membro da sua residência habitual, do seu local de trabalho ou do seu estabelecimento, se considerarem que os seus direitos ao abrigo do presente regulamento foram violados;</w:t>
      </w:r>
    </w:p>
    <w:p w14:paraId="13F95871" w14:textId="77777777" w:rsidR="004A4076" w:rsidRPr="000D0D06" w:rsidRDefault="001936FC" w:rsidP="001936FC">
      <w:pPr>
        <w:pStyle w:val="Point1"/>
        <w:rPr>
          <w:noProof/>
        </w:rPr>
      </w:pPr>
      <w:r w:rsidRPr="000D0D06">
        <w:rPr>
          <w:noProof/>
        </w:rPr>
        <w:t>b)</w:t>
      </w:r>
      <w:r w:rsidRPr="000D0D06">
        <w:rPr>
          <w:noProof/>
        </w:rPr>
        <w:tab/>
        <w:t>Em relação a qualquer questão abrangida pelo âmbito de aplicação do presente regulamento especificamente contra um prestador de serviços de intermediação de dados reconhecido ou contra uma organização de altruísmo de dados reconhecida, junto da autoridade competente em matéria de registo dos serviços de intermediação de dados ou da autoridade competente em matéria de registo das organizações de altruísmo de dados.</w:t>
      </w:r>
    </w:p>
    <w:p w14:paraId="5FC29EDF" w14:textId="416D3BCA" w:rsidR="004A4076" w:rsidRPr="000D0D06" w:rsidRDefault="001936FC" w:rsidP="001936FC">
      <w:pPr>
        <w:pStyle w:val="Point0"/>
        <w:rPr>
          <w:noProof/>
        </w:rPr>
      </w:pPr>
      <w:r w:rsidRPr="000D0D06">
        <w:rPr>
          <w:noProof/>
        </w:rPr>
        <w:t>2)</w:t>
      </w:r>
      <w:r w:rsidRPr="000D0D06">
        <w:rPr>
          <w:noProof/>
        </w:rPr>
        <w:tab/>
        <w:t>Mediante pedido, o coordenador de dados faculta todas as informações necessárias às pessoas singulares e coletivas para que apresentem as suas reclamações à autoridade competente adequada.</w:t>
      </w:r>
    </w:p>
    <w:p w14:paraId="4855B737" w14:textId="77777777" w:rsidR="00B758A6" w:rsidRPr="000D0D06" w:rsidRDefault="001936FC" w:rsidP="001936FC">
      <w:pPr>
        <w:pStyle w:val="Point0"/>
        <w:rPr>
          <w:noProof/>
        </w:rPr>
      </w:pPr>
      <w:r w:rsidRPr="000D0D06">
        <w:rPr>
          <w:noProof/>
        </w:rPr>
        <w:t>3)</w:t>
      </w:r>
      <w:r w:rsidRPr="000D0D06">
        <w:rPr>
          <w:noProof/>
        </w:rPr>
        <w:tab/>
        <w:t>A autoridade competente à qual tenha sido apresentada uma reclamação informa o autor da reclamação, em conformidade com o direito nacional, quanto:</w:t>
      </w:r>
    </w:p>
    <w:p w14:paraId="1B628988" w14:textId="77777777" w:rsidR="00D83766" w:rsidRPr="000D0D06" w:rsidRDefault="001936FC" w:rsidP="001936FC">
      <w:pPr>
        <w:pStyle w:val="Point1"/>
        <w:rPr>
          <w:noProof/>
        </w:rPr>
      </w:pPr>
      <w:r w:rsidRPr="000D0D06">
        <w:rPr>
          <w:noProof/>
        </w:rPr>
        <w:t>a)</w:t>
      </w:r>
      <w:r w:rsidRPr="000D0D06">
        <w:rPr>
          <w:noProof/>
        </w:rPr>
        <w:tab/>
        <w:t>À evolução do processo e à decisão tomada; e</w:t>
      </w:r>
    </w:p>
    <w:p w14:paraId="2E42E400" w14:textId="77777777" w:rsidR="00A056B8" w:rsidRPr="000D0D06" w:rsidRDefault="001936FC" w:rsidP="001936FC">
      <w:pPr>
        <w:pStyle w:val="Point1"/>
        <w:rPr>
          <w:noProof/>
        </w:rPr>
      </w:pPr>
      <w:r w:rsidRPr="000D0D06">
        <w:rPr>
          <w:noProof/>
        </w:rPr>
        <w:t>b)</w:t>
      </w:r>
      <w:r w:rsidRPr="000D0D06">
        <w:rPr>
          <w:noProof/>
        </w:rPr>
        <w:tab/>
        <w:t>Às vias de recurso judicial previstas no artigo 39.º.».</w:t>
      </w:r>
    </w:p>
    <w:p w14:paraId="57319350" w14:textId="169B9CD6" w:rsidR="00200990" w:rsidRPr="000D0D06" w:rsidRDefault="001936FC" w:rsidP="001936FC">
      <w:pPr>
        <w:pStyle w:val="ManualNumPar1"/>
        <w:rPr>
          <w:noProof/>
        </w:rPr>
      </w:pPr>
      <w:r w:rsidRPr="000D0D06">
        <w:rPr>
          <w:noProof/>
        </w:rPr>
        <w:t>20.</w:t>
      </w:r>
      <w:r w:rsidRPr="000D0D06">
        <w:rPr>
          <w:noProof/>
        </w:rPr>
        <w:tab/>
        <w:t>No artigo 40.º, é inserido o seguinte n.º 6:</w:t>
      </w:r>
    </w:p>
    <w:p w14:paraId="23ED5090" w14:textId="77777777" w:rsidR="00200990" w:rsidRPr="000D0D06" w:rsidRDefault="00200990" w:rsidP="00665C74">
      <w:pPr>
        <w:pStyle w:val="Text1"/>
        <w:rPr>
          <w:noProof/>
        </w:rPr>
      </w:pPr>
      <w:r w:rsidRPr="000D0D06">
        <w:rPr>
          <w:noProof/>
        </w:rPr>
        <w:t>«6. O presente artigo não se aplica ao capítulo VII-C.».</w:t>
      </w:r>
    </w:p>
    <w:p w14:paraId="62385863" w14:textId="77777777" w:rsidR="004A7F42" w:rsidRPr="000D0D06" w:rsidRDefault="004A7F42" w:rsidP="00482892">
      <w:pPr>
        <w:pStyle w:val="Text1"/>
        <w:rPr>
          <w:noProof/>
        </w:rPr>
      </w:pPr>
    </w:p>
    <w:p w14:paraId="26A3B106" w14:textId="6ADC7928" w:rsidR="00D83766" w:rsidRPr="000D0D06" w:rsidRDefault="001936FC" w:rsidP="001936FC">
      <w:pPr>
        <w:pStyle w:val="ManualNumPar1"/>
        <w:rPr>
          <w:noProof/>
        </w:rPr>
      </w:pPr>
      <w:r w:rsidRPr="000D0D06">
        <w:rPr>
          <w:noProof/>
        </w:rPr>
        <w:t>21.</w:t>
      </w:r>
      <w:r w:rsidRPr="000D0D06">
        <w:rPr>
          <w:noProof/>
        </w:rPr>
        <w:tab/>
        <w:t>Após o artigo 41.º, é inserido o seguinte título:</w:t>
      </w:r>
    </w:p>
    <w:p w14:paraId="70CAEB99" w14:textId="77777777" w:rsidR="006224B0" w:rsidRPr="000D0D06" w:rsidRDefault="00367C12" w:rsidP="005C18EB">
      <w:pPr>
        <w:jc w:val="center"/>
        <w:rPr>
          <w:b/>
          <w:bCs/>
          <w:noProof/>
          <w:sz w:val="32"/>
          <w:szCs w:val="32"/>
        </w:rPr>
      </w:pPr>
      <w:r w:rsidRPr="000D0D06">
        <w:rPr>
          <w:b/>
          <w:noProof/>
          <w:sz w:val="32"/>
        </w:rPr>
        <w:t>«CAPÍTULO IX-A</w:t>
      </w:r>
    </w:p>
    <w:p w14:paraId="33BD442B" w14:textId="77777777" w:rsidR="00D83766" w:rsidRPr="000D0D06" w:rsidRDefault="00367C12" w:rsidP="00A90D64">
      <w:pPr>
        <w:jc w:val="center"/>
        <w:rPr>
          <w:b/>
          <w:bCs/>
          <w:noProof/>
          <w:sz w:val="32"/>
          <w:szCs w:val="32"/>
        </w:rPr>
      </w:pPr>
      <w:r w:rsidRPr="000D0D06">
        <w:rPr>
          <w:b/>
          <w:noProof/>
          <w:sz w:val="32"/>
        </w:rPr>
        <w:t>Comité Europeu da Inovação de Dados».</w:t>
      </w:r>
    </w:p>
    <w:p w14:paraId="7EECFB8F" w14:textId="77777777" w:rsidR="00D83766" w:rsidRPr="000D0D06" w:rsidRDefault="001936FC" w:rsidP="001936FC">
      <w:pPr>
        <w:pStyle w:val="ManualNumPar1"/>
        <w:rPr>
          <w:noProof/>
        </w:rPr>
      </w:pPr>
      <w:r w:rsidRPr="000D0D06">
        <w:rPr>
          <w:noProof/>
        </w:rPr>
        <w:t>22.</w:t>
      </w:r>
      <w:r w:rsidRPr="000D0D06">
        <w:rPr>
          <w:noProof/>
        </w:rPr>
        <w:tab/>
        <w:t xml:space="preserve">É inserido o seguinte artigo 41.º‑A: </w:t>
      </w:r>
    </w:p>
    <w:p w14:paraId="647BAA43" w14:textId="77777777" w:rsidR="00F566DE" w:rsidRPr="000D0D06" w:rsidRDefault="00F07501" w:rsidP="00A90D64">
      <w:pPr>
        <w:jc w:val="center"/>
        <w:rPr>
          <w:noProof/>
        </w:rPr>
      </w:pPr>
      <w:r w:rsidRPr="000D0D06">
        <w:rPr>
          <w:noProof/>
        </w:rPr>
        <w:t>«Artigo 41.º‑A</w:t>
      </w:r>
    </w:p>
    <w:p w14:paraId="773FBC5B" w14:textId="77777777" w:rsidR="00367C12" w:rsidRPr="000D0D06" w:rsidRDefault="00367C12" w:rsidP="00A90D64">
      <w:pPr>
        <w:jc w:val="center"/>
        <w:rPr>
          <w:i/>
          <w:iCs/>
          <w:noProof/>
        </w:rPr>
      </w:pPr>
      <w:r w:rsidRPr="000D0D06">
        <w:rPr>
          <w:i/>
          <w:noProof/>
        </w:rPr>
        <w:t>Comité Europeu da Inovação de Dados</w:t>
      </w:r>
    </w:p>
    <w:p w14:paraId="6329DE1A" w14:textId="77777777" w:rsidR="00D83766" w:rsidRPr="000D0D06" w:rsidRDefault="001936FC" w:rsidP="001936FC">
      <w:pPr>
        <w:pStyle w:val="Point0"/>
        <w:rPr>
          <w:noProof/>
        </w:rPr>
      </w:pPr>
      <w:r w:rsidRPr="000D0D06">
        <w:rPr>
          <w:noProof/>
        </w:rPr>
        <w:t>1)</w:t>
      </w:r>
      <w:r w:rsidRPr="000D0D06">
        <w:rPr>
          <w:noProof/>
        </w:rPr>
        <w:tab/>
        <w:t xml:space="preserve">É criado o Comité Europeu da Inovação de Dados com o objetivo de aconselhar e apoiar a Comissão na coordenação da aplicação do presente regulamento e para servir de fórum de discussão para o desenvolvimento de uma economia europeia dos dados e de políticas europeias em matéria de dados. </w:t>
      </w:r>
    </w:p>
    <w:p w14:paraId="583A6CC7" w14:textId="2261E65D" w:rsidR="00C12BB8" w:rsidRPr="000D0D06" w:rsidRDefault="001936FC" w:rsidP="001936FC">
      <w:pPr>
        <w:pStyle w:val="Point0"/>
        <w:rPr>
          <w:noProof/>
        </w:rPr>
      </w:pPr>
      <w:r w:rsidRPr="000D0D06">
        <w:rPr>
          <w:noProof/>
        </w:rPr>
        <w:t>2)</w:t>
      </w:r>
      <w:r w:rsidRPr="000D0D06">
        <w:rPr>
          <w:noProof/>
        </w:rPr>
        <w:tab/>
        <w:t>É constituído, pelo menos, por representantes dos Estados-Membros competentes para questões relacionadas com os dados, pelas autoridades competentes em matéria de execução dos capítulos II, III, V, VII-A e VII-C do presente regulamento, pelo Comité Europeu para a Proteção de Dados, pela Autoridade Europeia para a Proteção de Dados, pela ENISA, pelo representante da UE para as PME ou por um representante nomeado pela rede de representantes nacionais das PME. A Comissão pode decidir acrescentar outras categorias de membros. Ao nomear peritos individuais, a Comissão procura alcançar um equilíbrio de género e geográfico entre os membros do grupo.</w:t>
      </w:r>
    </w:p>
    <w:p w14:paraId="546BE642" w14:textId="20CF4E2F" w:rsidR="00AB2753" w:rsidRPr="000D0D06" w:rsidRDefault="001936FC" w:rsidP="001936FC">
      <w:pPr>
        <w:pStyle w:val="Point0"/>
        <w:rPr>
          <w:noProof/>
        </w:rPr>
      </w:pPr>
      <w:r w:rsidRPr="000D0D06">
        <w:rPr>
          <w:noProof/>
        </w:rPr>
        <w:t>3)</w:t>
      </w:r>
      <w:r w:rsidRPr="000D0D06">
        <w:rPr>
          <w:noProof/>
        </w:rPr>
        <w:tab/>
        <w:t>A Comissão decide sobre a composição das diferentes formações em que o Comité exercerá as suas funções.</w:t>
      </w:r>
    </w:p>
    <w:p w14:paraId="4A6D5542" w14:textId="6B07B970" w:rsidR="00367C12" w:rsidRPr="000D0D06" w:rsidRDefault="001936FC" w:rsidP="001936FC">
      <w:pPr>
        <w:pStyle w:val="Point0"/>
        <w:rPr>
          <w:noProof/>
        </w:rPr>
      </w:pPr>
      <w:r w:rsidRPr="000D0D06">
        <w:rPr>
          <w:noProof/>
        </w:rPr>
        <w:t>4)</w:t>
      </w:r>
      <w:r w:rsidRPr="000D0D06">
        <w:rPr>
          <w:noProof/>
        </w:rPr>
        <w:tab/>
        <w:t>A Comissão preside às reuniões do Comité Europeu da Inovação de Dados.».</w:t>
      </w:r>
    </w:p>
    <w:p w14:paraId="5F6C924D" w14:textId="77777777" w:rsidR="005818B4" w:rsidRPr="000D0D06" w:rsidRDefault="001936FC" w:rsidP="001936FC">
      <w:pPr>
        <w:pStyle w:val="ManualNumPar1"/>
        <w:rPr>
          <w:noProof/>
        </w:rPr>
      </w:pPr>
      <w:r w:rsidRPr="000D0D06">
        <w:rPr>
          <w:noProof/>
        </w:rPr>
        <w:t>23.</w:t>
      </w:r>
      <w:r w:rsidRPr="000D0D06">
        <w:rPr>
          <w:noProof/>
        </w:rPr>
        <w:tab/>
        <w:t>O artigo 42.º passa a ter a seguinte redação:</w:t>
      </w:r>
    </w:p>
    <w:p w14:paraId="63357F31" w14:textId="77777777" w:rsidR="000A3742" w:rsidRPr="000D0D06" w:rsidRDefault="000A3742" w:rsidP="00A90D64">
      <w:pPr>
        <w:jc w:val="center"/>
        <w:rPr>
          <w:noProof/>
        </w:rPr>
      </w:pPr>
      <w:r w:rsidRPr="000D0D06">
        <w:rPr>
          <w:noProof/>
        </w:rPr>
        <w:t>«Artigo 42.º</w:t>
      </w:r>
    </w:p>
    <w:p w14:paraId="165D783C" w14:textId="77777777" w:rsidR="000A3742" w:rsidRPr="000D0D06" w:rsidRDefault="000A3742" w:rsidP="00A90D64">
      <w:pPr>
        <w:jc w:val="center"/>
        <w:rPr>
          <w:i/>
          <w:iCs/>
          <w:noProof/>
        </w:rPr>
      </w:pPr>
      <w:r w:rsidRPr="000D0D06">
        <w:rPr>
          <w:i/>
          <w:noProof/>
        </w:rPr>
        <w:t>Papel do Comité Europeu da Inovação de Dados</w:t>
      </w:r>
    </w:p>
    <w:p w14:paraId="1ADA4BD3" w14:textId="77777777" w:rsidR="000A3742" w:rsidRPr="000D0D06" w:rsidRDefault="001936FC" w:rsidP="001936FC">
      <w:pPr>
        <w:pStyle w:val="Point0"/>
        <w:rPr>
          <w:noProof/>
        </w:rPr>
      </w:pPr>
      <w:r w:rsidRPr="000D0D06">
        <w:rPr>
          <w:noProof/>
        </w:rPr>
        <w:t>1)</w:t>
      </w:r>
      <w:r w:rsidRPr="000D0D06">
        <w:rPr>
          <w:noProof/>
        </w:rPr>
        <w:tab/>
        <w:t>O Comité Europeu da Inovação de Dados apoia a aplicação coerente do presente regulamento:</w:t>
      </w:r>
    </w:p>
    <w:p w14:paraId="439B8FB4" w14:textId="77777777" w:rsidR="000A3742" w:rsidRPr="000D0D06" w:rsidRDefault="001936FC" w:rsidP="001936FC">
      <w:pPr>
        <w:pStyle w:val="Point1"/>
        <w:rPr>
          <w:noProof/>
        </w:rPr>
      </w:pPr>
      <w:r w:rsidRPr="000D0D06">
        <w:rPr>
          <w:noProof/>
        </w:rPr>
        <w:t>a)</w:t>
      </w:r>
      <w:r w:rsidRPr="000D0D06">
        <w:rPr>
          <w:noProof/>
        </w:rPr>
        <w:tab/>
        <w:t>Servindo de fórum para discussões estratégicas sobre políticas de dados, governação de dados, fluxos internacionais de dados e desenvolvimentos intersetoriais relevantes para a economia europeia dos dados;</w:t>
      </w:r>
    </w:p>
    <w:p w14:paraId="41E4D31E" w14:textId="77777777" w:rsidR="000A3742" w:rsidRPr="000D0D06" w:rsidRDefault="001936FC" w:rsidP="001936FC">
      <w:pPr>
        <w:pStyle w:val="Point1"/>
        <w:rPr>
          <w:noProof/>
        </w:rPr>
      </w:pPr>
      <w:r w:rsidRPr="000D0D06">
        <w:rPr>
          <w:noProof/>
        </w:rPr>
        <w:t>b)</w:t>
      </w:r>
      <w:r w:rsidRPr="000D0D06">
        <w:rPr>
          <w:noProof/>
        </w:rPr>
        <w:tab/>
        <w:t>Aconselhando e prestando assistência à Comissão no que diz respeito ao desenvolvimento de práticas coerentes das autoridades competentes para assegurar o cumprimento dos capítulos II, III, V, VII, VII-A e VII-C;</w:t>
      </w:r>
    </w:p>
    <w:p w14:paraId="028400DE" w14:textId="77777777" w:rsidR="000A3742" w:rsidRPr="000D0D06" w:rsidRDefault="001936FC" w:rsidP="001936FC">
      <w:pPr>
        <w:pStyle w:val="Point1"/>
        <w:rPr>
          <w:noProof/>
        </w:rPr>
      </w:pPr>
      <w:r w:rsidRPr="000D0D06">
        <w:rPr>
          <w:noProof/>
        </w:rPr>
        <w:t>c)</w:t>
      </w:r>
      <w:r w:rsidRPr="000D0D06">
        <w:rPr>
          <w:noProof/>
        </w:rPr>
        <w:tab/>
        <w:t>Facilitando a cooperação entre as autoridades competentes através do reforço das capacidades e do intercâmbio de informações;</w:t>
      </w:r>
    </w:p>
    <w:p w14:paraId="1D21E565" w14:textId="66095B46" w:rsidR="000A3742" w:rsidRPr="000D0D06" w:rsidRDefault="001936FC" w:rsidP="001936FC">
      <w:pPr>
        <w:pStyle w:val="Point1"/>
        <w:rPr>
          <w:noProof/>
        </w:rPr>
      </w:pPr>
      <w:r w:rsidRPr="000D0D06">
        <w:rPr>
          <w:noProof/>
        </w:rPr>
        <w:t>d)</w:t>
      </w:r>
      <w:r w:rsidRPr="000D0D06">
        <w:rPr>
          <w:noProof/>
        </w:rPr>
        <w:tab/>
        <w:t>Promovendo o intercâmbio de experiências e boas práticas entre os Estados</w:t>
      </w:r>
      <w:r w:rsidR="00C106FE">
        <w:rPr>
          <w:noProof/>
        </w:rPr>
        <w:noBreakHyphen/>
      </w:r>
      <w:r w:rsidRPr="000D0D06">
        <w:rPr>
          <w:noProof/>
        </w:rPr>
        <w:t>Membros no domínio da reutilização de informações do setor público, em colaboração com outros organismos de governação pertinentes.». </w:t>
      </w:r>
    </w:p>
    <w:p w14:paraId="386A15A2" w14:textId="77777777" w:rsidR="000A3742" w:rsidRPr="000D0D06" w:rsidRDefault="001936FC" w:rsidP="001936FC">
      <w:pPr>
        <w:pStyle w:val="ManualNumPar1"/>
        <w:rPr>
          <w:noProof/>
        </w:rPr>
      </w:pPr>
      <w:r w:rsidRPr="000D0D06">
        <w:rPr>
          <w:noProof/>
        </w:rPr>
        <w:t>24.</w:t>
      </w:r>
      <w:r w:rsidRPr="000D0D06">
        <w:rPr>
          <w:noProof/>
        </w:rPr>
        <w:tab/>
        <w:t>O artigo 45.º é alterado do seguinte modo:</w:t>
      </w:r>
    </w:p>
    <w:p w14:paraId="58CCAC56" w14:textId="77777777" w:rsidR="000A3742" w:rsidRPr="000D0D06" w:rsidRDefault="001936FC" w:rsidP="001936FC">
      <w:pPr>
        <w:pStyle w:val="Point1"/>
        <w:rPr>
          <w:noProof/>
        </w:rPr>
      </w:pPr>
      <w:r w:rsidRPr="000D0D06">
        <w:rPr>
          <w:noProof/>
        </w:rPr>
        <w:t>a)</w:t>
      </w:r>
      <w:r w:rsidRPr="000D0D06">
        <w:rPr>
          <w:noProof/>
        </w:rPr>
        <w:tab/>
        <w:t>O n.º 2 passa a ter a seguinte redação:</w:t>
      </w:r>
    </w:p>
    <w:p w14:paraId="3EFC39D5" w14:textId="77777777" w:rsidR="000A3742" w:rsidRPr="000D0D06" w:rsidRDefault="00367C12" w:rsidP="00665C74">
      <w:pPr>
        <w:pStyle w:val="Text2"/>
        <w:rPr>
          <w:noProof/>
        </w:rPr>
      </w:pPr>
      <w:r w:rsidRPr="000D0D06">
        <w:rPr>
          <w:noProof/>
        </w:rPr>
        <w:t>«2. O poder de adotar atos delegados referido no artigo 29.º, n.º 7, no artigo 32.º-U, n.º 2, e no artigo 33.º, n.º 2, é conferido à Comissão por tempo indeterminado.»;</w:t>
      </w:r>
    </w:p>
    <w:p w14:paraId="6D436B01" w14:textId="77777777" w:rsidR="000A3742" w:rsidRPr="000D0D06" w:rsidRDefault="001936FC" w:rsidP="001936FC">
      <w:pPr>
        <w:pStyle w:val="Point1"/>
        <w:rPr>
          <w:noProof/>
        </w:rPr>
      </w:pPr>
      <w:r w:rsidRPr="000D0D06">
        <w:rPr>
          <w:noProof/>
        </w:rPr>
        <w:t>b)</w:t>
      </w:r>
      <w:r w:rsidRPr="000D0D06">
        <w:rPr>
          <w:noProof/>
        </w:rPr>
        <w:tab/>
        <w:t>O n.º 3 passa a ter a seguinte redação:</w:t>
      </w:r>
    </w:p>
    <w:p w14:paraId="4E6D0245" w14:textId="77777777" w:rsidR="000A3742" w:rsidRPr="000D0D06" w:rsidRDefault="00367C12" w:rsidP="00665C74">
      <w:pPr>
        <w:pStyle w:val="Text2"/>
        <w:rPr>
          <w:noProof/>
        </w:rPr>
      </w:pPr>
      <w:r w:rsidRPr="000D0D06">
        <w:rPr>
          <w:noProof/>
        </w:rPr>
        <w:t xml:space="preserve">«3. A delegação de poderes referida no artigo 29.º, n.º 7, no artigo 32.º-U, n.º 2, e no artigo 33.º, n.º 2, pode ser revogada em qualquer momento pelo Parlamento Europeu ou pelo Conselho. A decisão de revogação põe termo à delegação dos poderes nela especificados. A decisão de revogação produz efeitos a partir do dia seguinte ao da sua publicação no </w:t>
      </w:r>
      <w:r w:rsidRPr="000D0D06">
        <w:rPr>
          <w:i/>
          <w:noProof/>
        </w:rPr>
        <w:t>Jornal Oficial da União Europeia</w:t>
      </w:r>
      <w:r w:rsidRPr="000D0D06">
        <w:rPr>
          <w:noProof/>
        </w:rPr>
        <w:t xml:space="preserve"> ou de uma data posterior nela especificada. A decisão de revogação não afeta os atos delegados já em vigor.»;</w:t>
      </w:r>
    </w:p>
    <w:p w14:paraId="46FCE31D" w14:textId="77777777" w:rsidR="000A3742" w:rsidRPr="000D0D06" w:rsidRDefault="001936FC" w:rsidP="001936FC">
      <w:pPr>
        <w:pStyle w:val="Point1"/>
        <w:rPr>
          <w:noProof/>
        </w:rPr>
      </w:pPr>
      <w:r w:rsidRPr="000D0D06">
        <w:rPr>
          <w:noProof/>
        </w:rPr>
        <w:t>c)</w:t>
      </w:r>
      <w:r w:rsidRPr="000D0D06">
        <w:rPr>
          <w:noProof/>
        </w:rPr>
        <w:tab/>
        <w:t>O n.º 6 passa a ter a seguinte redação:</w:t>
      </w:r>
    </w:p>
    <w:p w14:paraId="6EA1A567" w14:textId="77777777" w:rsidR="000A3742" w:rsidRPr="000D0D06" w:rsidRDefault="00367C12" w:rsidP="00665C74">
      <w:pPr>
        <w:pStyle w:val="Text2"/>
        <w:rPr>
          <w:noProof/>
        </w:rPr>
      </w:pPr>
      <w:r w:rsidRPr="000D0D06">
        <w:rPr>
          <w:noProof/>
        </w:rPr>
        <w:t>«6. Os atos delegados adotados nos termos do artigo 29.º, n.º 7, do artigo 32.º-U, n.º 2, e do artigo 33.º, n.º 2, só entram em vigor se não tiverem sido formuladas objeções pelo Parlamento Europeu ou pelo Conselho no prazo de três meses a contar da notificação do ato ao Parlamento Europeu e ao Conselho, ou se, antes do termo desse prazo, o Parlamento Europeu e o Conselho tiverem informado a Comissão de que não têm objeções a formular. O referido prazo é prorrogável por três meses por iniciativa do Parlamento Europeu ou do Conselho.». </w:t>
      </w:r>
    </w:p>
    <w:p w14:paraId="4A534067" w14:textId="77777777" w:rsidR="000A3742" w:rsidRPr="000D0D06" w:rsidRDefault="001936FC" w:rsidP="001936FC">
      <w:pPr>
        <w:pStyle w:val="ManualNumPar1"/>
        <w:rPr>
          <w:noProof/>
        </w:rPr>
      </w:pPr>
      <w:r w:rsidRPr="000D0D06">
        <w:rPr>
          <w:noProof/>
        </w:rPr>
        <w:t>25.</w:t>
      </w:r>
      <w:r w:rsidRPr="000D0D06">
        <w:rPr>
          <w:noProof/>
        </w:rPr>
        <w:tab/>
        <w:t>O artigo 46.º é alterado do seguinte modo:</w:t>
      </w:r>
    </w:p>
    <w:p w14:paraId="76DA7D1E" w14:textId="77777777" w:rsidR="000A3742" w:rsidRPr="000D0D06" w:rsidRDefault="001936FC" w:rsidP="001936FC">
      <w:pPr>
        <w:pStyle w:val="Point1"/>
        <w:rPr>
          <w:noProof/>
        </w:rPr>
      </w:pPr>
      <w:r w:rsidRPr="000D0D06">
        <w:rPr>
          <w:noProof/>
        </w:rPr>
        <w:t>a)</w:t>
      </w:r>
      <w:r w:rsidRPr="000D0D06">
        <w:rPr>
          <w:noProof/>
        </w:rPr>
        <w:tab/>
        <w:t xml:space="preserve">No n.º 1, a primeira frase passa a ter a seguinte redação: </w:t>
      </w:r>
    </w:p>
    <w:p w14:paraId="36FECF9A" w14:textId="77777777" w:rsidR="000A3742" w:rsidRPr="000D0D06" w:rsidRDefault="003C276D" w:rsidP="00665C74">
      <w:pPr>
        <w:pStyle w:val="Text2"/>
        <w:rPr>
          <w:noProof/>
        </w:rPr>
      </w:pPr>
      <w:r w:rsidRPr="000D0D06">
        <w:rPr>
          <w:noProof/>
        </w:rPr>
        <w:t>«A Comissão é assistida por um comité. Este comité é um comité na aceção do Regulamento (UE) n.º 182/2011.»;</w:t>
      </w:r>
    </w:p>
    <w:p w14:paraId="686F0968" w14:textId="0FFF782E" w:rsidR="000A3742" w:rsidRPr="000D0D06" w:rsidRDefault="001936FC" w:rsidP="001936FC">
      <w:pPr>
        <w:pStyle w:val="Point1"/>
        <w:rPr>
          <w:noProof/>
        </w:rPr>
      </w:pPr>
      <w:r w:rsidRPr="000D0D06">
        <w:rPr>
          <w:noProof/>
        </w:rPr>
        <w:t>b)</w:t>
      </w:r>
      <w:r w:rsidRPr="000D0D06">
        <w:rPr>
          <w:noProof/>
        </w:rPr>
        <w:tab/>
        <w:t>É inserido o seguinte n.º 1-A:</w:t>
      </w:r>
    </w:p>
    <w:p w14:paraId="06C8B90B" w14:textId="77777777" w:rsidR="000A3742" w:rsidRPr="000D0D06" w:rsidRDefault="00367C12" w:rsidP="00665C74">
      <w:pPr>
        <w:pStyle w:val="Text2"/>
        <w:rPr>
          <w:noProof/>
        </w:rPr>
      </w:pPr>
      <w:r w:rsidRPr="000D0D06">
        <w:rPr>
          <w:noProof/>
        </w:rPr>
        <w:t>«1-A. Caso se remeta para o presente número, aplica-se o artigo 4.º do Regulamento (UE) n.º 182/2011.».</w:t>
      </w:r>
    </w:p>
    <w:p w14:paraId="5D6FA1CD" w14:textId="77777777" w:rsidR="00730179" w:rsidRPr="000D0D06" w:rsidRDefault="001936FC" w:rsidP="001936FC">
      <w:pPr>
        <w:pStyle w:val="ManualNumPar1"/>
        <w:rPr>
          <w:noProof/>
        </w:rPr>
      </w:pPr>
      <w:r w:rsidRPr="000D0D06">
        <w:rPr>
          <w:noProof/>
        </w:rPr>
        <w:t>26.</w:t>
      </w:r>
      <w:r w:rsidRPr="000D0D06">
        <w:rPr>
          <w:noProof/>
        </w:rPr>
        <w:tab/>
        <w:t>O artigo 49.º é alterado do seguinte modo:</w:t>
      </w:r>
    </w:p>
    <w:p w14:paraId="1E9F2844" w14:textId="56B237D4" w:rsidR="0026290B" w:rsidRPr="000D0D06" w:rsidRDefault="001936FC" w:rsidP="001936FC">
      <w:pPr>
        <w:pStyle w:val="Point1"/>
        <w:rPr>
          <w:noProof/>
        </w:rPr>
      </w:pPr>
      <w:bookmarkStart w:id="9" w:name="_Hlk213576609"/>
      <w:r w:rsidRPr="000D0D06">
        <w:rPr>
          <w:noProof/>
        </w:rPr>
        <w:t>a)</w:t>
      </w:r>
      <w:r w:rsidRPr="000D0D06">
        <w:rPr>
          <w:noProof/>
        </w:rPr>
        <w:tab/>
        <w:t>O n.º 1 é alterado do seguinte modo:</w:t>
      </w:r>
    </w:p>
    <w:bookmarkEnd w:id="9"/>
    <w:p w14:paraId="5AD876AB" w14:textId="77777777" w:rsidR="005E3D71" w:rsidRPr="000D0D06" w:rsidRDefault="00931138" w:rsidP="00931138">
      <w:pPr>
        <w:pStyle w:val="Point2"/>
        <w:rPr>
          <w:noProof/>
        </w:rPr>
      </w:pPr>
      <w:r w:rsidRPr="000D0D06">
        <w:rPr>
          <w:noProof/>
        </w:rPr>
        <w:t>i)</w:t>
      </w:r>
      <w:r w:rsidRPr="000D0D06">
        <w:rPr>
          <w:noProof/>
        </w:rPr>
        <w:tab/>
        <w:t>o proémio passa a ter a seguinte redação:</w:t>
      </w:r>
    </w:p>
    <w:p w14:paraId="3D4D6047" w14:textId="0E14A5EC" w:rsidR="00367C12" w:rsidRPr="000D0D06" w:rsidRDefault="00367C12" w:rsidP="00665C74">
      <w:pPr>
        <w:pStyle w:val="Text3"/>
        <w:rPr>
          <w:noProof/>
        </w:rPr>
      </w:pPr>
      <w:r w:rsidRPr="000D0D06">
        <w:rPr>
          <w:noProof/>
        </w:rPr>
        <w:t>«1. Até 12 de setembro de 2028, a Comissão procede à avaliação dos capítulos II, III, IV, V, VI, VII e VIII e apresenta um relatório com as suas principais conclusões ao Parlamento Europeu e ao Conselho, bem como ao Comité Económico e Social Europeu. Essa avaliação deve incidir, em especial, nos seguintes aspetos:»,</w:t>
      </w:r>
    </w:p>
    <w:p w14:paraId="5C735BAF" w14:textId="77777777" w:rsidR="007A4EE6" w:rsidRPr="000D0D06" w:rsidRDefault="00931138" w:rsidP="00931138">
      <w:pPr>
        <w:pStyle w:val="Point2"/>
        <w:rPr>
          <w:noProof/>
        </w:rPr>
      </w:pPr>
      <w:r w:rsidRPr="000D0D06">
        <w:rPr>
          <w:noProof/>
        </w:rPr>
        <w:t>ii) a alínea m) passa a ter a seguinte redação:</w:t>
      </w:r>
    </w:p>
    <w:p w14:paraId="509124E3" w14:textId="77777777" w:rsidR="005B7242" w:rsidRPr="000D0D06" w:rsidRDefault="005B7242" w:rsidP="00665C74">
      <w:pPr>
        <w:pStyle w:val="Text3"/>
        <w:rPr>
          <w:noProof/>
        </w:rPr>
      </w:pPr>
      <w:r w:rsidRPr="000D0D06">
        <w:rPr>
          <w:noProof/>
        </w:rPr>
        <w:t>«m) O impacto do presente regulamento nas PME e nas pequenas empresas de média capitalização no que respeita à sua capacidade de inovação e à disponibilidade de serviços de tratamento de dados para utilizadores na União e ao encargo relacionado com o cumprimento de novas obrigações.»;</w:t>
      </w:r>
    </w:p>
    <w:p w14:paraId="6B40E9E9" w14:textId="492E0369" w:rsidR="00240F79" w:rsidRPr="000D0D06" w:rsidRDefault="001936FC" w:rsidP="001936FC">
      <w:pPr>
        <w:pStyle w:val="Point1"/>
        <w:rPr>
          <w:noProof/>
        </w:rPr>
      </w:pPr>
      <w:bookmarkStart w:id="10" w:name="_Hlk213576695"/>
      <w:r w:rsidRPr="000D0D06">
        <w:rPr>
          <w:noProof/>
        </w:rPr>
        <w:t>b)</w:t>
      </w:r>
      <w:r w:rsidRPr="000D0D06">
        <w:rPr>
          <w:noProof/>
        </w:rPr>
        <w:tab/>
        <w:t>É inserido o seguinte n.º 2-A:</w:t>
      </w:r>
    </w:p>
    <w:bookmarkEnd w:id="10"/>
    <w:p w14:paraId="345A7A7E" w14:textId="0545A139" w:rsidR="00367C12" w:rsidRPr="000D0D06" w:rsidRDefault="00367C12" w:rsidP="00665C74">
      <w:pPr>
        <w:pStyle w:val="Text2"/>
        <w:rPr>
          <w:noProof/>
        </w:rPr>
      </w:pPr>
      <w:r w:rsidRPr="000D0D06">
        <w:rPr>
          <w:noProof/>
        </w:rPr>
        <w:t>«2-A. Até [data = entrada em vigor mais cinco anos], a Comissão procede à avaliação dos capítulos VII-A, VII-B e VII-C do presente regulamento e apresenta um relatório com as suas principais conclusões ao Parlamento Europeu e ao Conselho, bem como ao Comité Económico e Social Europeu.</w:t>
      </w:r>
    </w:p>
    <w:p w14:paraId="0E1A0E84" w14:textId="5B46C586" w:rsidR="00367C12" w:rsidRPr="000D0D06" w:rsidRDefault="00367C12" w:rsidP="00665C74">
      <w:pPr>
        <w:pStyle w:val="Text2"/>
        <w:rPr>
          <w:noProof/>
        </w:rPr>
      </w:pPr>
      <w:r w:rsidRPr="000D0D06">
        <w:rPr>
          <w:noProof/>
        </w:rPr>
        <w:t>O relatório avalia, em particular:</w:t>
      </w:r>
    </w:p>
    <w:p w14:paraId="18AB9028" w14:textId="451479E6" w:rsidR="005E3D71" w:rsidRPr="000D0D06" w:rsidRDefault="001936FC" w:rsidP="001936FC">
      <w:pPr>
        <w:pStyle w:val="Point3"/>
        <w:rPr>
          <w:noProof/>
        </w:rPr>
      </w:pPr>
      <w:r w:rsidRPr="000D0D06">
        <w:rPr>
          <w:noProof/>
        </w:rPr>
        <w:t>a)</w:t>
      </w:r>
      <w:r w:rsidRPr="000D0D06">
        <w:rPr>
          <w:noProof/>
        </w:rPr>
        <w:tab/>
        <w:t>O estado dos registos de serviços de intermediação de dados e o tipo de serviços que oferecem;</w:t>
      </w:r>
    </w:p>
    <w:p w14:paraId="08C61CD6" w14:textId="77777777" w:rsidR="005E3D71" w:rsidRPr="000D0D06" w:rsidRDefault="001936FC" w:rsidP="001936FC">
      <w:pPr>
        <w:pStyle w:val="Point3"/>
        <w:rPr>
          <w:noProof/>
        </w:rPr>
      </w:pPr>
      <w:r w:rsidRPr="000D0D06">
        <w:rPr>
          <w:noProof/>
        </w:rPr>
        <w:t>b)</w:t>
      </w:r>
      <w:r w:rsidRPr="000D0D06">
        <w:rPr>
          <w:noProof/>
        </w:rPr>
        <w:tab/>
        <w:t>O tipo de organizações de altruísmo de dados registadas e uma síntese dos objetivos de interesse geral para os quais os dados são partilhados, com vista a estabelecer critérios claros a esse respeito;</w:t>
      </w:r>
    </w:p>
    <w:p w14:paraId="334CEA1A" w14:textId="77777777" w:rsidR="00824F03" w:rsidRPr="000D0D06" w:rsidRDefault="001936FC" w:rsidP="001936FC">
      <w:pPr>
        <w:pStyle w:val="Point3"/>
        <w:rPr>
          <w:noProof/>
        </w:rPr>
      </w:pPr>
      <w:r w:rsidRPr="000D0D06">
        <w:rPr>
          <w:noProof/>
        </w:rPr>
        <w:t>c)</w:t>
      </w:r>
      <w:r w:rsidRPr="000D0D06">
        <w:rPr>
          <w:noProof/>
        </w:rPr>
        <w:tab/>
        <w:t>O âmbito de aplicação e o impacto social e económico do capítulo VII-C, secção 2, inclusive;</w:t>
      </w:r>
    </w:p>
    <w:p w14:paraId="28BDAF4E" w14:textId="58A48C77" w:rsidR="00C56859" w:rsidRPr="000D0D06" w:rsidRDefault="001936FC" w:rsidP="001936FC">
      <w:pPr>
        <w:pStyle w:val="Point3"/>
        <w:rPr>
          <w:noProof/>
        </w:rPr>
      </w:pPr>
      <w:r w:rsidRPr="000D0D06">
        <w:rPr>
          <w:noProof/>
        </w:rPr>
        <w:t>d)</w:t>
      </w:r>
      <w:r w:rsidRPr="000D0D06">
        <w:rPr>
          <w:noProof/>
        </w:rPr>
        <w:tab/>
        <w:t>O nível do aumento da reutilização de documentos do setor público a que é aplicável o capítulo VII-C, secção 2, especialmente por parte das PME e das pequenas empresas de média capitalização;</w:t>
      </w:r>
    </w:p>
    <w:p w14:paraId="0FFAFE3C" w14:textId="3D954CB0" w:rsidR="00182C6F" w:rsidRPr="000D0D06" w:rsidRDefault="001936FC" w:rsidP="001936FC">
      <w:pPr>
        <w:pStyle w:val="Point3"/>
        <w:rPr>
          <w:noProof/>
        </w:rPr>
      </w:pPr>
      <w:r w:rsidRPr="000D0D06">
        <w:rPr>
          <w:noProof/>
        </w:rPr>
        <w:t>e)</w:t>
      </w:r>
      <w:r w:rsidRPr="000D0D06">
        <w:rPr>
          <w:noProof/>
        </w:rPr>
        <w:tab/>
        <w:t>O impacto dos conjuntos de dados de elevado valor;</w:t>
      </w:r>
    </w:p>
    <w:p w14:paraId="2AF7EE6F" w14:textId="23ABD780" w:rsidR="00C32ABA" w:rsidRPr="000D0D06" w:rsidRDefault="001936FC" w:rsidP="001936FC">
      <w:pPr>
        <w:pStyle w:val="Point3"/>
        <w:rPr>
          <w:noProof/>
        </w:rPr>
      </w:pPr>
      <w:r w:rsidRPr="000D0D06">
        <w:rPr>
          <w:noProof/>
        </w:rPr>
        <w:t>f)</w:t>
      </w:r>
      <w:r w:rsidRPr="000D0D06">
        <w:rPr>
          <w:noProof/>
        </w:rPr>
        <w:tab/>
        <w:t>A interação entre as regras de proteção de dados e as possibilidades de reutilização;</w:t>
      </w:r>
    </w:p>
    <w:p w14:paraId="0482D95E" w14:textId="77777777" w:rsidR="00CF7610" w:rsidRPr="000D0D06" w:rsidRDefault="001936FC" w:rsidP="001936FC">
      <w:pPr>
        <w:pStyle w:val="Point3"/>
        <w:rPr>
          <w:noProof/>
        </w:rPr>
      </w:pPr>
      <w:r w:rsidRPr="000D0D06">
        <w:rPr>
          <w:noProof/>
        </w:rPr>
        <w:t>g)</w:t>
      </w:r>
      <w:r w:rsidRPr="000D0D06">
        <w:rPr>
          <w:noProof/>
        </w:rPr>
        <w:tab/>
        <w:t>Os Estados-Membros transmitem à Comissão as informações necessárias para a elaboração desse relatório.»;</w:t>
      </w:r>
    </w:p>
    <w:p w14:paraId="2AD991BD" w14:textId="127721FE" w:rsidR="008E2AA9" w:rsidRPr="000D0D06" w:rsidRDefault="001936FC" w:rsidP="001936FC">
      <w:pPr>
        <w:pStyle w:val="Point1"/>
        <w:rPr>
          <w:noProof/>
        </w:rPr>
      </w:pPr>
      <w:r w:rsidRPr="000D0D06">
        <w:rPr>
          <w:noProof/>
        </w:rPr>
        <w:t>c)</w:t>
      </w:r>
      <w:r w:rsidRPr="000D0D06">
        <w:rPr>
          <w:noProof/>
        </w:rPr>
        <w:tab/>
        <w:t>O n.º 5 passa a ter a seguinte redação:</w:t>
      </w:r>
    </w:p>
    <w:p w14:paraId="77B8C80A" w14:textId="7F5FD49A" w:rsidR="00367C12" w:rsidRPr="000D0D06" w:rsidRDefault="00367C12" w:rsidP="60E008F6">
      <w:pPr>
        <w:ind w:left="720"/>
        <w:rPr>
          <w:noProof/>
        </w:rPr>
      </w:pPr>
      <w:r w:rsidRPr="000D0D06">
        <w:rPr>
          <w:noProof/>
        </w:rPr>
        <w:t>«5. Com base nos relatórios referidos nos n.</w:t>
      </w:r>
      <w:r w:rsidRPr="000D0D06">
        <w:rPr>
          <w:noProof/>
          <w:vertAlign w:val="superscript"/>
        </w:rPr>
        <w:t>os</w:t>
      </w:r>
      <w:r w:rsidRPr="000D0D06">
        <w:rPr>
          <w:noProof/>
        </w:rPr>
        <w:t> 1, 2 e 2-A, a Comissão pode, se for caso disso, apresentar uma proposta legislativa ao Parlamento Europeu e ao Conselho para alteração do presente regulamento.».</w:t>
      </w:r>
    </w:p>
    <w:p w14:paraId="06DF134F" w14:textId="77777777" w:rsidR="005E3D71" w:rsidRPr="000D0D06" w:rsidRDefault="001936FC" w:rsidP="001936FC">
      <w:pPr>
        <w:pStyle w:val="ManualNumPar1"/>
        <w:rPr>
          <w:noProof/>
        </w:rPr>
      </w:pPr>
      <w:r w:rsidRPr="000D0D06">
        <w:rPr>
          <w:noProof/>
        </w:rPr>
        <w:t>27.</w:t>
      </w:r>
      <w:r w:rsidRPr="000D0D06">
        <w:rPr>
          <w:noProof/>
        </w:rPr>
        <w:tab/>
        <w:t>É aditado o anexo I, como consta do anexo II do presente regulamento.</w:t>
      </w:r>
    </w:p>
    <w:p w14:paraId="36F471ED" w14:textId="77777777" w:rsidR="00FA7B47" w:rsidRPr="000D0D06" w:rsidRDefault="00FA7B47" w:rsidP="00405BC9">
      <w:pPr>
        <w:pStyle w:val="Titrearticle"/>
        <w:rPr>
          <w:noProof/>
        </w:rPr>
      </w:pPr>
      <w:r w:rsidRPr="000D0D06">
        <w:rPr>
          <w:noProof/>
        </w:rPr>
        <w:t>Artigo 2.º</w:t>
      </w:r>
    </w:p>
    <w:p w14:paraId="5AC35BBA" w14:textId="77777777" w:rsidR="004B0F85" w:rsidRPr="000D0D06" w:rsidRDefault="004B0F85" w:rsidP="00482892">
      <w:pPr>
        <w:jc w:val="center"/>
        <w:rPr>
          <w:i/>
          <w:noProof/>
        </w:rPr>
      </w:pPr>
      <w:r w:rsidRPr="000D0D06">
        <w:rPr>
          <w:i/>
          <w:noProof/>
        </w:rPr>
        <w:t>Alterações do Regulamento (UE) 2018/1724</w:t>
      </w:r>
    </w:p>
    <w:p w14:paraId="13A2C51E" w14:textId="77777777" w:rsidR="004B0F85" w:rsidRPr="000D0D06" w:rsidRDefault="004B0F85" w:rsidP="00482892">
      <w:pPr>
        <w:rPr>
          <w:noProof/>
        </w:rPr>
      </w:pPr>
      <w:r w:rsidRPr="000D0D06">
        <w:rPr>
          <w:noProof/>
        </w:rPr>
        <w:t>No quadro do anexo II do Regulamento (UE) 2018/1724, a rubrica «Criação, gestão e liquidação de uma empresa» passa a ter a seguinte redação:</w:t>
      </w:r>
    </w:p>
    <w:tbl>
      <w:tblPr>
        <w:tblW w:w="90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6"/>
        <w:gridCol w:w="5344"/>
        <w:gridCol w:w="2483"/>
      </w:tblGrid>
      <w:tr w:rsidR="004B0F85" w:rsidRPr="000D0D06" w14:paraId="1CD72730" w14:textId="77777777" w:rsidTr="00C106FE">
        <w:trPr>
          <w:trHeight w:val="300"/>
        </w:trPr>
        <w:tc>
          <w:tcPr>
            <w:tcW w:w="1246" w:type="dxa"/>
            <w:tcBorders>
              <w:top w:val="nil"/>
              <w:left w:val="nil"/>
              <w:bottom w:val="nil"/>
              <w:right w:val="nil"/>
            </w:tcBorders>
            <w:shd w:val="clear" w:color="auto" w:fill="E1F2FA"/>
            <w:hideMark/>
          </w:tcPr>
          <w:p w14:paraId="6670BB81" w14:textId="77777777" w:rsidR="004B0F85" w:rsidRPr="000D0D06" w:rsidRDefault="004B0F85">
            <w:pPr>
              <w:rPr>
                <w:noProof/>
              </w:rPr>
            </w:pPr>
            <w:r w:rsidRPr="000D0D06">
              <w:rPr>
                <w:noProof/>
              </w:rPr>
              <w:t>«Ocorrência </w:t>
            </w:r>
          </w:p>
        </w:tc>
        <w:tc>
          <w:tcPr>
            <w:tcW w:w="5344" w:type="dxa"/>
            <w:tcBorders>
              <w:top w:val="nil"/>
              <w:left w:val="nil"/>
              <w:bottom w:val="nil"/>
              <w:right w:val="nil"/>
            </w:tcBorders>
            <w:shd w:val="clear" w:color="auto" w:fill="E1F2FA"/>
            <w:hideMark/>
          </w:tcPr>
          <w:p w14:paraId="0DD63921" w14:textId="77777777" w:rsidR="004B0F85" w:rsidRPr="000D0D06" w:rsidRDefault="004B0F85">
            <w:pPr>
              <w:rPr>
                <w:noProof/>
              </w:rPr>
            </w:pPr>
            <w:r w:rsidRPr="000D0D06">
              <w:rPr>
                <w:noProof/>
              </w:rPr>
              <w:t>Procedimento </w:t>
            </w:r>
          </w:p>
        </w:tc>
        <w:tc>
          <w:tcPr>
            <w:tcW w:w="2483" w:type="dxa"/>
            <w:tcBorders>
              <w:top w:val="nil"/>
              <w:left w:val="nil"/>
              <w:bottom w:val="nil"/>
              <w:right w:val="nil"/>
            </w:tcBorders>
            <w:shd w:val="clear" w:color="auto" w:fill="E1F2FA"/>
            <w:hideMark/>
          </w:tcPr>
          <w:p w14:paraId="6E5A64BA" w14:textId="77777777" w:rsidR="004B0F85" w:rsidRPr="000D0D06" w:rsidRDefault="004B0F85" w:rsidP="00C106FE">
            <w:pPr>
              <w:ind w:left="130"/>
              <w:rPr>
                <w:noProof/>
              </w:rPr>
            </w:pPr>
            <w:r w:rsidRPr="000D0D06">
              <w:rPr>
                <w:noProof/>
              </w:rPr>
              <w:t>Resultado esperado, sujeito a uma avaliação do pedido pela autoridade competente, nos termos do direito nacional, se for caso disso </w:t>
            </w:r>
          </w:p>
        </w:tc>
      </w:tr>
      <w:tr w:rsidR="004B0F85" w:rsidRPr="000D0D06" w14:paraId="575937A2" w14:textId="77777777" w:rsidTr="00C106FE">
        <w:trPr>
          <w:trHeight w:val="300"/>
        </w:trPr>
        <w:tc>
          <w:tcPr>
            <w:tcW w:w="1246" w:type="dxa"/>
            <w:tcBorders>
              <w:top w:val="nil"/>
              <w:left w:val="nil"/>
              <w:bottom w:val="nil"/>
              <w:right w:val="nil"/>
            </w:tcBorders>
            <w:shd w:val="clear" w:color="auto" w:fill="E1F2FA"/>
            <w:hideMark/>
          </w:tcPr>
          <w:p w14:paraId="05071A68" w14:textId="51737288" w:rsidR="004B0F85" w:rsidRPr="000D0D06" w:rsidRDefault="004B0F85">
            <w:pPr>
              <w:rPr>
                <w:noProof/>
              </w:rPr>
            </w:pPr>
            <w:r w:rsidRPr="000D0D06">
              <w:rPr>
                <w:noProof/>
              </w:rPr>
              <w:t>Criação, gestão</w:t>
            </w:r>
            <w:r w:rsidR="00C106FE">
              <w:rPr>
                <w:noProof/>
              </w:rPr>
              <w:t> </w:t>
            </w:r>
            <w:r w:rsidRPr="000D0D06">
              <w:rPr>
                <w:noProof/>
              </w:rPr>
              <w:t>e liquidação de</w:t>
            </w:r>
            <w:r w:rsidR="00C106FE">
              <w:rPr>
                <w:noProof/>
              </w:rPr>
              <w:t> </w:t>
            </w:r>
            <w:r w:rsidRPr="000D0D06">
              <w:rPr>
                <w:noProof/>
              </w:rPr>
              <w:t>uma empresa </w:t>
            </w:r>
          </w:p>
        </w:tc>
        <w:tc>
          <w:tcPr>
            <w:tcW w:w="5344" w:type="dxa"/>
            <w:tcBorders>
              <w:top w:val="nil"/>
              <w:left w:val="nil"/>
              <w:bottom w:val="nil"/>
              <w:right w:val="nil"/>
            </w:tcBorders>
            <w:shd w:val="clear" w:color="auto" w:fill="E1F2FA"/>
            <w:hideMark/>
          </w:tcPr>
          <w:p w14:paraId="7C8CC392" w14:textId="32753386" w:rsidR="004B0F85" w:rsidRPr="000D0D06" w:rsidRDefault="004B0F85">
            <w:pPr>
              <w:rPr>
                <w:noProof/>
              </w:rPr>
            </w:pPr>
            <w:r w:rsidRPr="000D0D06">
              <w:rPr>
                <w:noProof/>
              </w:rPr>
              <w:t>Notificação da atividade económica, licenças de exercício de atividade, mudança de atividade</w:t>
            </w:r>
            <w:r w:rsidR="00C106FE">
              <w:rPr>
                <w:noProof/>
              </w:rPr>
              <w:t xml:space="preserve"> </w:t>
            </w:r>
            <w:r w:rsidRPr="000D0D06">
              <w:rPr>
                <w:noProof/>
              </w:rPr>
              <w:t>e cessação de atividade, que não envolvam procedimentos de insolvência ou liquidação, com exclusão do registo inicial de atividade no registo de empresas e com exclusão dos procedimentos relativos à constituição de sociedades ou ao subsequente registo por sociedades ou empresas na aceção do artigo 54.º, segundo parágrafo, do TFUE </w:t>
            </w:r>
          </w:p>
        </w:tc>
        <w:tc>
          <w:tcPr>
            <w:tcW w:w="2483" w:type="dxa"/>
            <w:tcBorders>
              <w:top w:val="nil"/>
              <w:left w:val="nil"/>
              <w:bottom w:val="nil"/>
              <w:right w:val="nil"/>
            </w:tcBorders>
            <w:shd w:val="clear" w:color="auto" w:fill="E1F2FA"/>
            <w:hideMark/>
          </w:tcPr>
          <w:p w14:paraId="3F37B64B" w14:textId="17A2FB7A" w:rsidR="004B0F85" w:rsidRPr="000D0D06" w:rsidRDefault="00C106FE" w:rsidP="00C106FE">
            <w:pPr>
              <w:ind w:left="130"/>
              <w:rPr>
                <w:noProof/>
              </w:rPr>
            </w:pPr>
            <w:r>
              <w:rPr>
                <w:noProof/>
              </w:rPr>
              <w:t xml:space="preserve"> </w:t>
            </w:r>
            <w:r w:rsidR="004B0F85" w:rsidRPr="000D0D06">
              <w:rPr>
                <w:noProof/>
              </w:rPr>
              <w:t>Confirmação da receção</w:t>
            </w:r>
            <w:r>
              <w:rPr>
                <w:noProof/>
              </w:rPr>
              <w:t xml:space="preserve"> </w:t>
            </w:r>
            <w:r w:rsidR="004B0F85" w:rsidRPr="000D0D06">
              <w:rPr>
                <w:noProof/>
              </w:rPr>
              <w:t>da notificação ou da mudança, ou do pedido da licença de atividade</w:t>
            </w:r>
          </w:p>
        </w:tc>
      </w:tr>
      <w:tr w:rsidR="004B0F85" w:rsidRPr="000D0D06" w14:paraId="73A11A5A" w14:textId="77777777" w:rsidTr="00C106FE">
        <w:trPr>
          <w:trHeight w:val="300"/>
        </w:trPr>
        <w:tc>
          <w:tcPr>
            <w:tcW w:w="1246" w:type="dxa"/>
            <w:vMerge w:val="restart"/>
            <w:tcBorders>
              <w:top w:val="nil"/>
              <w:left w:val="nil"/>
              <w:bottom w:val="nil"/>
              <w:right w:val="nil"/>
            </w:tcBorders>
            <w:shd w:val="clear" w:color="auto" w:fill="E1F2FA"/>
            <w:hideMark/>
          </w:tcPr>
          <w:p w14:paraId="14B81A45" w14:textId="77777777" w:rsidR="004B0F85" w:rsidRPr="000D0D06" w:rsidRDefault="004B0F85">
            <w:pPr>
              <w:rPr>
                <w:noProof/>
              </w:rPr>
            </w:pPr>
            <w:r w:rsidRPr="000D0D06">
              <w:rPr>
                <w:noProof/>
              </w:rPr>
              <w:t xml:space="preserve"> </w:t>
            </w:r>
          </w:p>
        </w:tc>
        <w:tc>
          <w:tcPr>
            <w:tcW w:w="5344" w:type="dxa"/>
            <w:tcBorders>
              <w:top w:val="nil"/>
              <w:left w:val="nil"/>
              <w:bottom w:val="nil"/>
              <w:right w:val="nil"/>
            </w:tcBorders>
            <w:shd w:val="clear" w:color="auto" w:fill="E1F2FA"/>
            <w:hideMark/>
          </w:tcPr>
          <w:p w14:paraId="75D4896D" w14:textId="77777777" w:rsidR="004B0F85" w:rsidRPr="000D0D06" w:rsidRDefault="004B0F85">
            <w:pPr>
              <w:rPr>
                <w:noProof/>
              </w:rPr>
            </w:pPr>
            <w:r w:rsidRPr="000D0D06">
              <w:rPr>
                <w:noProof/>
              </w:rPr>
              <w:t>Inscrição do empregador (pessoa singular) num regime de pensões e de seguros obrigatório </w:t>
            </w:r>
          </w:p>
        </w:tc>
        <w:tc>
          <w:tcPr>
            <w:tcW w:w="2483" w:type="dxa"/>
            <w:tcBorders>
              <w:top w:val="nil"/>
              <w:left w:val="nil"/>
              <w:bottom w:val="nil"/>
              <w:right w:val="nil"/>
            </w:tcBorders>
            <w:shd w:val="clear" w:color="auto" w:fill="E1F2FA"/>
            <w:hideMark/>
          </w:tcPr>
          <w:p w14:paraId="75A91BEC" w14:textId="77777777" w:rsidR="004B0F85" w:rsidRPr="000D0D06" w:rsidRDefault="004B0F85" w:rsidP="00C106FE">
            <w:pPr>
              <w:ind w:left="130"/>
              <w:rPr>
                <w:noProof/>
              </w:rPr>
            </w:pPr>
            <w:r w:rsidRPr="000D0D06">
              <w:rPr>
                <w:noProof/>
              </w:rPr>
              <w:t>Confirmação da inscrição ou número de inscrição na segurança social </w:t>
            </w:r>
          </w:p>
        </w:tc>
      </w:tr>
      <w:tr w:rsidR="004B0F85" w:rsidRPr="000D0D06" w14:paraId="7BC0A537" w14:textId="77777777" w:rsidTr="00C106FE">
        <w:trPr>
          <w:trHeight w:val="300"/>
        </w:trPr>
        <w:tc>
          <w:tcPr>
            <w:tcW w:w="0" w:type="auto"/>
            <w:vMerge/>
            <w:tcBorders>
              <w:top w:val="nil"/>
              <w:left w:val="nil"/>
              <w:bottom w:val="nil"/>
              <w:right w:val="nil"/>
            </w:tcBorders>
            <w:vAlign w:val="center"/>
            <w:hideMark/>
          </w:tcPr>
          <w:p w14:paraId="067CE503" w14:textId="77777777" w:rsidR="004B0F85" w:rsidRPr="000D0D06" w:rsidRDefault="004B0F85">
            <w:pPr>
              <w:rPr>
                <w:noProof/>
              </w:rPr>
            </w:pPr>
          </w:p>
        </w:tc>
        <w:tc>
          <w:tcPr>
            <w:tcW w:w="5344" w:type="dxa"/>
            <w:tcBorders>
              <w:top w:val="nil"/>
              <w:left w:val="nil"/>
              <w:bottom w:val="nil"/>
              <w:right w:val="nil"/>
            </w:tcBorders>
            <w:shd w:val="clear" w:color="auto" w:fill="E1F2FA"/>
            <w:hideMark/>
          </w:tcPr>
          <w:p w14:paraId="006A5060" w14:textId="77777777" w:rsidR="004B0F85" w:rsidRPr="000D0D06" w:rsidRDefault="004B0F85">
            <w:pPr>
              <w:rPr>
                <w:noProof/>
              </w:rPr>
            </w:pPr>
            <w:r w:rsidRPr="000D0D06">
              <w:rPr>
                <w:noProof/>
              </w:rPr>
              <w:t>Inscrição dos trabalhadores num regime de pensões e de seguros obrigatório </w:t>
            </w:r>
          </w:p>
        </w:tc>
        <w:tc>
          <w:tcPr>
            <w:tcW w:w="2483" w:type="dxa"/>
            <w:tcBorders>
              <w:top w:val="nil"/>
              <w:left w:val="nil"/>
              <w:bottom w:val="nil"/>
              <w:right w:val="nil"/>
            </w:tcBorders>
            <w:shd w:val="clear" w:color="auto" w:fill="E1F2FA"/>
            <w:hideMark/>
          </w:tcPr>
          <w:p w14:paraId="099A33C4" w14:textId="77777777" w:rsidR="004B0F85" w:rsidRPr="000D0D06" w:rsidRDefault="004B0F85" w:rsidP="00C106FE">
            <w:pPr>
              <w:ind w:left="130"/>
              <w:rPr>
                <w:noProof/>
              </w:rPr>
            </w:pPr>
            <w:r w:rsidRPr="000D0D06">
              <w:rPr>
                <w:noProof/>
              </w:rPr>
              <w:t>Confirmação da inscrição ou número de inscrição na segurança social </w:t>
            </w:r>
          </w:p>
        </w:tc>
      </w:tr>
      <w:tr w:rsidR="004B0F85" w:rsidRPr="000D0D06" w14:paraId="714DA2A5" w14:textId="77777777" w:rsidTr="00C106FE">
        <w:trPr>
          <w:trHeight w:val="300"/>
        </w:trPr>
        <w:tc>
          <w:tcPr>
            <w:tcW w:w="0" w:type="auto"/>
            <w:vMerge/>
            <w:tcBorders>
              <w:top w:val="nil"/>
              <w:left w:val="nil"/>
              <w:bottom w:val="nil"/>
              <w:right w:val="nil"/>
            </w:tcBorders>
            <w:vAlign w:val="center"/>
            <w:hideMark/>
          </w:tcPr>
          <w:p w14:paraId="288F3178" w14:textId="77777777" w:rsidR="004B0F85" w:rsidRPr="000D0D06" w:rsidRDefault="004B0F85">
            <w:pPr>
              <w:rPr>
                <w:noProof/>
              </w:rPr>
            </w:pPr>
          </w:p>
        </w:tc>
        <w:tc>
          <w:tcPr>
            <w:tcW w:w="5344" w:type="dxa"/>
            <w:tcBorders>
              <w:top w:val="nil"/>
              <w:left w:val="nil"/>
              <w:bottom w:val="nil"/>
              <w:right w:val="nil"/>
            </w:tcBorders>
            <w:shd w:val="clear" w:color="auto" w:fill="E1F2FA"/>
            <w:hideMark/>
          </w:tcPr>
          <w:p w14:paraId="18699BD8" w14:textId="77777777" w:rsidR="004B0F85" w:rsidRPr="000D0D06" w:rsidRDefault="004B0F85">
            <w:pPr>
              <w:rPr>
                <w:noProof/>
              </w:rPr>
            </w:pPr>
            <w:r w:rsidRPr="000D0D06">
              <w:rPr>
                <w:noProof/>
              </w:rPr>
              <w:t>Apresentar uma declaração de impostos da empresa </w:t>
            </w:r>
          </w:p>
        </w:tc>
        <w:tc>
          <w:tcPr>
            <w:tcW w:w="2483" w:type="dxa"/>
            <w:tcBorders>
              <w:top w:val="nil"/>
              <w:left w:val="nil"/>
              <w:bottom w:val="nil"/>
              <w:right w:val="nil"/>
            </w:tcBorders>
            <w:shd w:val="clear" w:color="auto" w:fill="E1F2FA"/>
            <w:hideMark/>
          </w:tcPr>
          <w:p w14:paraId="268C5961" w14:textId="77777777" w:rsidR="004B0F85" w:rsidRPr="000D0D06" w:rsidRDefault="004B0F85">
            <w:pPr>
              <w:rPr>
                <w:noProof/>
              </w:rPr>
            </w:pPr>
            <w:r w:rsidRPr="000D0D06">
              <w:rPr>
                <w:noProof/>
              </w:rPr>
              <w:t>Confirmação da receção da declaração </w:t>
            </w:r>
          </w:p>
        </w:tc>
      </w:tr>
      <w:tr w:rsidR="004B0F85" w:rsidRPr="000D0D06" w14:paraId="6AA7077E" w14:textId="77777777" w:rsidTr="00C106FE">
        <w:trPr>
          <w:trHeight w:val="300"/>
        </w:trPr>
        <w:tc>
          <w:tcPr>
            <w:tcW w:w="0" w:type="auto"/>
            <w:vMerge/>
            <w:tcBorders>
              <w:top w:val="nil"/>
              <w:left w:val="nil"/>
              <w:bottom w:val="nil"/>
              <w:right w:val="nil"/>
            </w:tcBorders>
            <w:vAlign w:val="center"/>
            <w:hideMark/>
          </w:tcPr>
          <w:p w14:paraId="4A658DED" w14:textId="77777777" w:rsidR="004B0F85" w:rsidRPr="000D0D06" w:rsidRDefault="004B0F85">
            <w:pPr>
              <w:rPr>
                <w:noProof/>
              </w:rPr>
            </w:pPr>
          </w:p>
        </w:tc>
        <w:tc>
          <w:tcPr>
            <w:tcW w:w="5344" w:type="dxa"/>
            <w:tcBorders>
              <w:top w:val="nil"/>
              <w:left w:val="nil"/>
              <w:bottom w:val="nil"/>
              <w:right w:val="nil"/>
            </w:tcBorders>
            <w:shd w:val="clear" w:color="auto" w:fill="E1F2FA"/>
            <w:hideMark/>
          </w:tcPr>
          <w:p w14:paraId="35028BD9" w14:textId="77777777" w:rsidR="004B0F85" w:rsidRPr="000D0D06" w:rsidRDefault="004B0F85">
            <w:pPr>
              <w:rPr>
                <w:noProof/>
              </w:rPr>
            </w:pPr>
            <w:r w:rsidRPr="000D0D06">
              <w:rPr>
                <w:noProof/>
              </w:rPr>
              <w:t>Notificação da cessação dos contratos de trabalho à segurança social, exceto no caso de procedimentos para a cessação coletiva de contratos de trabalho </w:t>
            </w:r>
          </w:p>
        </w:tc>
        <w:tc>
          <w:tcPr>
            <w:tcW w:w="2483" w:type="dxa"/>
            <w:tcBorders>
              <w:top w:val="nil"/>
              <w:left w:val="nil"/>
              <w:bottom w:val="nil"/>
              <w:right w:val="nil"/>
            </w:tcBorders>
            <w:shd w:val="clear" w:color="auto" w:fill="E1F2FA"/>
            <w:hideMark/>
          </w:tcPr>
          <w:p w14:paraId="3DBBDA00" w14:textId="77777777" w:rsidR="004B0F85" w:rsidRPr="000D0D06" w:rsidRDefault="004B0F85" w:rsidP="00C106FE">
            <w:pPr>
              <w:ind w:left="130"/>
              <w:rPr>
                <w:noProof/>
              </w:rPr>
            </w:pPr>
            <w:r w:rsidRPr="000D0D06">
              <w:rPr>
                <w:noProof/>
              </w:rPr>
              <w:t>Confirmação da receção da notificação </w:t>
            </w:r>
          </w:p>
        </w:tc>
      </w:tr>
      <w:tr w:rsidR="004B0F85" w:rsidRPr="000D0D06" w14:paraId="7667AEF8" w14:textId="77777777" w:rsidTr="00C106FE">
        <w:trPr>
          <w:trHeight w:val="300"/>
        </w:trPr>
        <w:tc>
          <w:tcPr>
            <w:tcW w:w="0" w:type="auto"/>
            <w:vMerge/>
            <w:tcBorders>
              <w:top w:val="nil"/>
              <w:left w:val="nil"/>
              <w:bottom w:val="nil"/>
              <w:right w:val="nil"/>
            </w:tcBorders>
            <w:vAlign w:val="center"/>
            <w:hideMark/>
          </w:tcPr>
          <w:p w14:paraId="24D75048" w14:textId="77777777" w:rsidR="004B0F85" w:rsidRPr="000D0D06" w:rsidRDefault="004B0F85">
            <w:pPr>
              <w:rPr>
                <w:noProof/>
              </w:rPr>
            </w:pPr>
          </w:p>
        </w:tc>
        <w:tc>
          <w:tcPr>
            <w:tcW w:w="5344" w:type="dxa"/>
            <w:tcBorders>
              <w:top w:val="nil"/>
              <w:left w:val="nil"/>
              <w:bottom w:val="nil"/>
              <w:right w:val="nil"/>
            </w:tcBorders>
            <w:shd w:val="clear" w:color="auto" w:fill="E1F2FA"/>
            <w:hideMark/>
          </w:tcPr>
          <w:p w14:paraId="732F9605" w14:textId="62963668" w:rsidR="004B0F85" w:rsidRPr="000D0D06" w:rsidRDefault="004B0F85">
            <w:pPr>
              <w:rPr>
                <w:noProof/>
              </w:rPr>
            </w:pPr>
            <w:r w:rsidRPr="000D0D06">
              <w:rPr>
                <w:noProof/>
              </w:rPr>
              <w:t>Pagamento das contribuições sociais dos trabalhadores</w:t>
            </w:r>
          </w:p>
        </w:tc>
        <w:tc>
          <w:tcPr>
            <w:tcW w:w="2483" w:type="dxa"/>
            <w:tcBorders>
              <w:top w:val="nil"/>
              <w:left w:val="nil"/>
              <w:bottom w:val="nil"/>
              <w:right w:val="nil"/>
            </w:tcBorders>
            <w:shd w:val="clear" w:color="auto" w:fill="E1F2FA"/>
            <w:hideMark/>
          </w:tcPr>
          <w:p w14:paraId="039B430B" w14:textId="77777777" w:rsidR="004B0F85" w:rsidRPr="000D0D06" w:rsidRDefault="004B0F85" w:rsidP="00C106FE">
            <w:pPr>
              <w:ind w:left="130"/>
              <w:rPr>
                <w:noProof/>
              </w:rPr>
            </w:pPr>
            <w:r w:rsidRPr="000D0D06">
              <w:rPr>
                <w:noProof/>
              </w:rPr>
              <w:t>Recibo ou outra forma de confirmação do pagamento das contribuições sociais dos trabalhadores </w:t>
            </w:r>
          </w:p>
        </w:tc>
      </w:tr>
      <w:tr w:rsidR="004B0F85" w:rsidRPr="000D0D06" w14:paraId="7E9827E2" w14:textId="77777777" w:rsidTr="00C106FE">
        <w:trPr>
          <w:trHeight w:val="300"/>
        </w:trPr>
        <w:tc>
          <w:tcPr>
            <w:tcW w:w="0" w:type="auto"/>
            <w:vMerge/>
            <w:tcBorders>
              <w:top w:val="nil"/>
              <w:left w:val="nil"/>
              <w:bottom w:val="nil"/>
              <w:right w:val="nil"/>
            </w:tcBorders>
            <w:vAlign w:val="center"/>
            <w:hideMark/>
          </w:tcPr>
          <w:p w14:paraId="02B06638" w14:textId="77777777" w:rsidR="004B0F85" w:rsidRPr="000D0D06" w:rsidRDefault="004B0F85">
            <w:pPr>
              <w:rPr>
                <w:noProof/>
              </w:rPr>
            </w:pPr>
          </w:p>
        </w:tc>
        <w:tc>
          <w:tcPr>
            <w:tcW w:w="5344" w:type="dxa"/>
            <w:tcBorders>
              <w:top w:val="nil"/>
              <w:left w:val="nil"/>
              <w:bottom w:val="nil"/>
              <w:right w:val="nil"/>
            </w:tcBorders>
            <w:shd w:val="clear" w:color="auto" w:fill="E1F2FA"/>
            <w:hideMark/>
          </w:tcPr>
          <w:p w14:paraId="444E2B37" w14:textId="77777777" w:rsidR="004B0F85" w:rsidRPr="000D0D06" w:rsidRDefault="004B0F85">
            <w:pPr>
              <w:rPr>
                <w:noProof/>
              </w:rPr>
            </w:pPr>
            <w:r w:rsidRPr="000D0D06">
              <w:rPr>
                <w:noProof/>
              </w:rPr>
              <w:t>Registo como prestador de serviços de intermediação de dados </w:t>
            </w:r>
          </w:p>
        </w:tc>
        <w:tc>
          <w:tcPr>
            <w:tcW w:w="2483" w:type="dxa"/>
            <w:tcBorders>
              <w:top w:val="nil"/>
              <w:left w:val="nil"/>
              <w:bottom w:val="nil"/>
              <w:right w:val="nil"/>
            </w:tcBorders>
            <w:shd w:val="clear" w:color="auto" w:fill="E1F2FA"/>
            <w:hideMark/>
          </w:tcPr>
          <w:p w14:paraId="05DCB1A8" w14:textId="77777777" w:rsidR="004B0F85" w:rsidRPr="000D0D06" w:rsidRDefault="004B0F85" w:rsidP="00C106FE">
            <w:pPr>
              <w:ind w:left="130"/>
              <w:rPr>
                <w:noProof/>
              </w:rPr>
            </w:pPr>
            <w:r w:rsidRPr="000D0D06">
              <w:rPr>
                <w:noProof/>
              </w:rPr>
              <w:t>Confirmação do registo </w:t>
            </w:r>
          </w:p>
        </w:tc>
      </w:tr>
      <w:tr w:rsidR="004B0F85" w:rsidRPr="000D0D06" w14:paraId="5348150C" w14:textId="77777777" w:rsidTr="00C106FE">
        <w:trPr>
          <w:trHeight w:val="300"/>
        </w:trPr>
        <w:tc>
          <w:tcPr>
            <w:tcW w:w="0" w:type="auto"/>
            <w:vMerge/>
            <w:tcBorders>
              <w:top w:val="nil"/>
              <w:left w:val="nil"/>
              <w:bottom w:val="nil"/>
              <w:right w:val="nil"/>
            </w:tcBorders>
            <w:vAlign w:val="center"/>
            <w:hideMark/>
          </w:tcPr>
          <w:p w14:paraId="2E3F0F99" w14:textId="77777777" w:rsidR="004B0F85" w:rsidRPr="000D0D06" w:rsidRDefault="004B0F85">
            <w:pPr>
              <w:rPr>
                <w:noProof/>
              </w:rPr>
            </w:pPr>
          </w:p>
        </w:tc>
        <w:tc>
          <w:tcPr>
            <w:tcW w:w="5344" w:type="dxa"/>
            <w:tcBorders>
              <w:top w:val="nil"/>
              <w:left w:val="nil"/>
              <w:bottom w:val="nil"/>
              <w:right w:val="nil"/>
            </w:tcBorders>
            <w:shd w:val="clear" w:color="auto" w:fill="E1F2FA"/>
            <w:hideMark/>
          </w:tcPr>
          <w:p w14:paraId="44463C38" w14:textId="77777777" w:rsidR="004B0F85" w:rsidRPr="000D0D06" w:rsidRDefault="004B0F85">
            <w:pPr>
              <w:rPr>
                <w:noProof/>
              </w:rPr>
            </w:pPr>
            <w:r w:rsidRPr="000D0D06">
              <w:rPr>
                <w:noProof/>
              </w:rPr>
              <w:t>Registo como organização de altruísmo de dados reconhecida na União </w:t>
            </w:r>
          </w:p>
        </w:tc>
        <w:tc>
          <w:tcPr>
            <w:tcW w:w="2483" w:type="dxa"/>
            <w:tcBorders>
              <w:top w:val="nil"/>
              <w:left w:val="nil"/>
              <w:bottom w:val="nil"/>
              <w:right w:val="nil"/>
            </w:tcBorders>
            <w:shd w:val="clear" w:color="auto" w:fill="E1F2FA"/>
            <w:hideMark/>
          </w:tcPr>
          <w:p w14:paraId="55810FCD" w14:textId="77777777" w:rsidR="004B0F85" w:rsidRPr="000D0D06" w:rsidRDefault="004B0F85" w:rsidP="00C106FE">
            <w:pPr>
              <w:ind w:left="130"/>
              <w:rPr>
                <w:noProof/>
              </w:rPr>
            </w:pPr>
            <w:r w:rsidRPr="000D0D06">
              <w:rPr>
                <w:noProof/>
              </w:rPr>
              <w:t>Confirmação do registo». </w:t>
            </w:r>
          </w:p>
        </w:tc>
      </w:tr>
    </w:tbl>
    <w:p w14:paraId="0F5C4494" w14:textId="77777777" w:rsidR="00367C12" w:rsidRPr="000D0D06" w:rsidRDefault="00367C12" w:rsidP="00367C12">
      <w:pPr>
        <w:pStyle w:val="Titrearticle"/>
        <w:rPr>
          <w:noProof/>
        </w:rPr>
      </w:pPr>
      <w:r w:rsidRPr="000D0D06">
        <w:rPr>
          <w:noProof/>
        </w:rPr>
        <w:t>Artigo 3.º</w:t>
      </w:r>
    </w:p>
    <w:p w14:paraId="61BFA5B9" w14:textId="77777777" w:rsidR="00367C12" w:rsidRPr="000D0D06" w:rsidRDefault="00367C12" w:rsidP="00367C12">
      <w:pPr>
        <w:jc w:val="center"/>
        <w:rPr>
          <w:i/>
          <w:iCs/>
          <w:noProof/>
        </w:rPr>
      </w:pPr>
      <w:r w:rsidRPr="000D0D06">
        <w:rPr>
          <w:i/>
          <w:noProof/>
        </w:rPr>
        <w:t>Alterações do Regulamento (UE) 2016/679 (RGPD)</w:t>
      </w:r>
    </w:p>
    <w:p w14:paraId="1045A0BF" w14:textId="37B231BD" w:rsidR="5B28FEAD" w:rsidRPr="000D0D06" w:rsidRDefault="00923F85" w:rsidP="6E704532">
      <w:pPr>
        <w:rPr>
          <w:noProof/>
        </w:rPr>
      </w:pPr>
      <w:r w:rsidRPr="000D0D06">
        <w:rPr>
          <w:noProof/>
        </w:rPr>
        <w:t>O Regulamento (UE) 2016/679 é alterado do seguinte modo:</w:t>
      </w:r>
    </w:p>
    <w:p w14:paraId="5A348080" w14:textId="77777777" w:rsidR="00DD593B" w:rsidRPr="000D0D06" w:rsidRDefault="001936FC" w:rsidP="001936FC">
      <w:pPr>
        <w:pStyle w:val="ManualNumPar1"/>
        <w:rPr>
          <w:noProof/>
        </w:rPr>
      </w:pPr>
      <w:r w:rsidRPr="000D0D06">
        <w:rPr>
          <w:noProof/>
        </w:rPr>
        <w:t>1.</w:t>
      </w:r>
      <w:r w:rsidRPr="000D0D06">
        <w:rPr>
          <w:noProof/>
        </w:rPr>
        <w:tab/>
        <w:t xml:space="preserve"> O artigo 4.º é alterado do seguinte modo:</w:t>
      </w:r>
    </w:p>
    <w:p w14:paraId="2B32826C" w14:textId="77777777" w:rsidR="00112F49" w:rsidRPr="000D0D06" w:rsidRDefault="00925FA1" w:rsidP="0014764C">
      <w:pPr>
        <w:pStyle w:val="LegalNumPar"/>
        <w:numPr>
          <w:ilvl w:val="0"/>
          <w:numId w:val="26"/>
        </w:numPr>
        <w:spacing w:before="0"/>
        <w:rPr>
          <w:noProof/>
        </w:rPr>
      </w:pPr>
      <w:r w:rsidRPr="000D0D06">
        <w:rPr>
          <w:noProof/>
        </w:rPr>
        <w:t>Ao ponto 1 são aditadas as frases seguintes:</w:t>
      </w:r>
    </w:p>
    <w:p w14:paraId="4BC22D7E" w14:textId="07CE596E" w:rsidR="00F10D2C" w:rsidRPr="000D0D06" w:rsidRDefault="00B95476" w:rsidP="00665C74">
      <w:pPr>
        <w:pStyle w:val="Text2"/>
        <w:rPr>
          <w:noProof/>
        </w:rPr>
      </w:pPr>
      <w:r w:rsidRPr="000D0D06">
        <w:rPr>
          <w:noProof/>
        </w:rPr>
        <w:t>«As informações relativas a uma pessoa singular não são necessariamente dados pessoais para qualquer outra pessoa ou entidade pelo simples facto de uma entidade poder identificar essa pessoa singular. As informações não são pessoais para uma determinada entidade se essa entidade não conseguir identificar a pessoa singular a quem dizem respeito, tendo em conta os meios que apresentem uma probabilidade razoável de ser utilizados por essa entidade. Essas informações não se tornam pessoais para essa entidade pelo simples facto de um potencial destinatário subsequente dispor de meios que apresentem uma probabilidade razoável de ser utilizados para identificar a pessoa singular a quem as informações dizem respeito.»;</w:t>
      </w:r>
    </w:p>
    <w:p w14:paraId="735826D1" w14:textId="4A2AE019" w:rsidR="5B28FEAD" w:rsidRPr="000D0D06" w:rsidRDefault="00165F76" w:rsidP="0014764C">
      <w:pPr>
        <w:pStyle w:val="LegalNumPar"/>
        <w:numPr>
          <w:ilvl w:val="0"/>
          <w:numId w:val="26"/>
        </w:numPr>
        <w:spacing w:before="0"/>
        <w:rPr>
          <w:noProof/>
        </w:rPr>
      </w:pPr>
      <w:r w:rsidRPr="000D0D06">
        <w:rPr>
          <w:noProof/>
        </w:rPr>
        <w:t>São aditados os seguintes pontos:</w:t>
      </w:r>
    </w:p>
    <w:p w14:paraId="17D61D49" w14:textId="69E40103" w:rsidR="5B28FEAD" w:rsidRPr="000D0D06" w:rsidRDefault="00CA1869" w:rsidP="00665C74">
      <w:pPr>
        <w:pStyle w:val="Text2"/>
        <w:rPr>
          <w:noProof/>
        </w:rPr>
      </w:pPr>
      <w:r w:rsidRPr="000D0D06">
        <w:rPr>
          <w:noProof/>
        </w:rPr>
        <w:t>«32) “Equipamento terminal”, um equipamento terminal na aceção do artigo 1.º, n.º 1, da Diretiva 2008/63/CE;</w:t>
      </w:r>
    </w:p>
    <w:p w14:paraId="0C2E28A7" w14:textId="28F4B3AA" w:rsidR="5B28FEAD" w:rsidRPr="000D0D06" w:rsidRDefault="5B28FEAD" w:rsidP="00665C74">
      <w:pPr>
        <w:pStyle w:val="Text2"/>
        <w:rPr>
          <w:noProof/>
        </w:rPr>
      </w:pPr>
      <w:r w:rsidRPr="000D0D06">
        <w:rPr>
          <w:noProof/>
        </w:rPr>
        <w:t>33) “Redes de comunicações eletrónicas”, redes na aceção do artigo 2.º, ponto 1, da Diretiva (UE) 2018/1972;</w:t>
      </w:r>
    </w:p>
    <w:p w14:paraId="61DA4BCF" w14:textId="77777777" w:rsidR="004F52CC" w:rsidRPr="000D0D06" w:rsidRDefault="5B28FEAD" w:rsidP="00665C74">
      <w:pPr>
        <w:pStyle w:val="Text2"/>
        <w:rPr>
          <w:noProof/>
        </w:rPr>
      </w:pPr>
      <w:r w:rsidRPr="000D0D06">
        <w:rPr>
          <w:noProof/>
        </w:rPr>
        <w:t xml:space="preserve">34) “Navegador Web”, um navegador Web na aceção do artigo 2.º, ponto 11, do Regulamento (UE) 2022/1925; </w:t>
      </w:r>
    </w:p>
    <w:p w14:paraId="0E9B266F" w14:textId="77777777" w:rsidR="006B5773" w:rsidRPr="000D0D06" w:rsidRDefault="00E455B0" w:rsidP="00665C74">
      <w:pPr>
        <w:pStyle w:val="Text2"/>
        <w:rPr>
          <w:noProof/>
          <w:szCs w:val="24"/>
        </w:rPr>
      </w:pPr>
      <w:r w:rsidRPr="000D0D06">
        <w:rPr>
          <w:noProof/>
        </w:rPr>
        <w:t>35) “Serviço de comunicação social”, um serviço de comunicação social na aceção do artigo 2.º, ponto 1, do Regulamento (UE) 2024/1083;</w:t>
      </w:r>
    </w:p>
    <w:p w14:paraId="711E28D1" w14:textId="77777777" w:rsidR="006321A7" w:rsidRPr="000D0D06" w:rsidRDefault="00C374CD" w:rsidP="00665C74">
      <w:pPr>
        <w:pStyle w:val="Text2"/>
        <w:rPr>
          <w:noProof/>
        </w:rPr>
      </w:pPr>
      <w:r w:rsidRPr="000D0D06">
        <w:rPr>
          <w:noProof/>
        </w:rPr>
        <w:t>36) “Prestador de serviços de comunicação social”, um prestador de serviços de comunicação social na aceção do artigo 2.º, ponto 2, do Regulamento (UE) 2024/1083;</w:t>
      </w:r>
    </w:p>
    <w:p w14:paraId="2D10D87B" w14:textId="77777777" w:rsidR="6DD8809A" w:rsidRPr="000D0D06" w:rsidRDefault="6DD8809A" w:rsidP="00665C74">
      <w:pPr>
        <w:pStyle w:val="Text2"/>
        <w:rPr>
          <w:noProof/>
        </w:rPr>
      </w:pPr>
      <w:r w:rsidRPr="000D0D06">
        <w:rPr>
          <w:noProof/>
        </w:rPr>
        <w:t>37) “Interface em linha”, uma interface em linha na aceção do artigo 3.º, alínea m), do Regulamento (UE) 2022/2065;</w:t>
      </w:r>
    </w:p>
    <w:p w14:paraId="7A4DB894" w14:textId="58E00001" w:rsidR="006D61A6" w:rsidRPr="000D0D06" w:rsidRDefault="006D61A6" w:rsidP="00665C74">
      <w:pPr>
        <w:pStyle w:val="Text2"/>
        <w:rPr>
          <w:noProof/>
        </w:rPr>
      </w:pPr>
      <w:r w:rsidRPr="000D0D06">
        <w:rPr>
          <w:noProof/>
        </w:rPr>
        <w:t>38) “Investigação científica”, qualquer investigação que também possa apoiar a inovação, como o desenvolvimento tecnológico e a demonstração. Estas ações devem contribuir para os conhecimentos científicos existentes ou aplicar os conhecimentos existentes de formas inovadoras, ser realizadas com o objetivo de contribuir para o aumento dos conhecimentos gerais e do bem-estar da sociedade e respeitar os padrões éticos na área de investigação em causa. Tal não exclui a possibilidade de a investigação visar igualmente a promoção de um interesse comercial.».</w:t>
      </w:r>
    </w:p>
    <w:p w14:paraId="12AEF410" w14:textId="77777777" w:rsidR="00DB77AC" w:rsidRPr="000D0D06" w:rsidRDefault="001936FC" w:rsidP="001936FC">
      <w:pPr>
        <w:pStyle w:val="ManualNumPar1"/>
        <w:rPr>
          <w:noProof/>
        </w:rPr>
      </w:pPr>
      <w:r w:rsidRPr="000D0D06">
        <w:rPr>
          <w:noProof/>
        </w:rPr>
        <w:t>2.</w:t>
      </w:r>
      <w:r w:rsidRPr="000D0D06">
        <w:rPr>
          <w:noProof/>
        </w:rPr>
        <w:tab/>
        <w:t xml:space="preserve">No artigo 5.º, n.º 1, a alínea b) passa a ter a seguinte redação: </w:t>
      </w:r>
    </w:p>
    <w:p w14:paraId="5CD5CBAC" w14:textId="77777777" w:rsidR="00DB77AC" w:rsidRPr="000D0D06" w:rsidRDefault="00387273" w:rsidP="00665C74">
      <w:pPr>
        <w:pStyle w:val="Text2"/>
        <w:rPr>
          <w:noProof/>
        </w:rPr>
      </w:pPr>
      <w:r w:rsidRPr="000D0D06">
        <w:rPr>
          <w:noProof/>
        </w:rPr>
        <w:t>«Recolhidos para finalidades determinadas, explícitas e legítimas e não podendo ser tratados posteriormente de uma forma incompatível com essas finalidades; o tratamento posterior para fins de arquivo de interesse público, ou para fins de investigação científica ou histórica ou para fins estatísticos, é considerado compatível com as finalidades iniciais, em conformidade com o artigo 89.º, n.º 1, independentemente das condições previstas no artigo 6.º, n.º 4 do presente regulamento (“limitação das finalidades”);».</w:t>
      </w:r>
    </w:p>
    <w:p w14:paraId="10F378BA" w14:textId="77777777" w:rsidR="00D440E6" w:rsidRPr="000D0D06" w:rsidRDefault="001936FC" w:rsidP="001936FC">
      <w:pPr>
        <w:pStyle w:val="ManualNumPar1"/>
        <w:rPr>
          <w:noProof/>
        </w:rPr>
      </w:pPr>
      <w:r w:rsidRPr="000D0D06">
        <w:rPr>
          <w:noProof/>
        </w:rPr>
        <w:t>3.</w:t>
      </w:r>
      <w:r w:rsidRPr="000D0D06">
        <w:rPr>
          <w:noProof/>
        </w:rPr>
        <w:tab/>
        <w:t>O artigo 9.º é alterado do seguinte modo:</w:t>
      </w:r>
    </w:p>
    <w:p w14:paraId="676B38FB" w14:textId="77777777" w:rsidR="00D5130E" w:rsidRPr="000D0D06" w:rsidRDefault="000C3620" w:rsidP="0014764C">
      <w:pPr>
        <w:pStyle w:val="LegalNumPar"/>
        <w:numPr>
          <w:ilvl w:val="0"/>
          <w:numId w:val="41"/>
        </w:numPr>
        <w:spacing w:before="0"/>
        <w:rPr>
          <w:noProof/>
        </w:rPr>
      </w:pPr>
      <w:r w:rsidRPr="000D0D06">
        <w:rPr>
          <w:noProof/>
        </w:rPr>
        <w:t>Ao n.º 2 são aditadas as seguintes alíneas:</w:t>
      </w:r>
    </w:p>
    <w:p w14:paraId="1775E4FB" w14:textId="2FC6610B" w:rsidR="000C3620" w:rsidRPr="000D0D06" w:rsidRDefault="008A7348" w:rsidP="00665C74">
      <w:pPr>
        <w:pStyle w:val="Text2"/>
        <w:rPr>
          <w:noProof/>
        </w:rPr>
      </w:pPr>
      <w:r w:rsidRPr="000D0D06">
        <w:rPr>
          <w:noProof/>
        </w:rPr>
        <w:t>«k) Se o tratamento for efetuado no contexto do desenvolvimento e do funcionamento de um sistema de IA na aceção do artigo 3.º, ponto 1, do Regulamento (UE) 2024/1689, ou de um modelo de IA, sob reserva das condições a que se refere o n.º 5;</w:t>
      </w:r>
    </w:p>
    <w:p w14:paraId="20DE24F6" w14:textId="1A6C1527" w:rsidR="003E075C" w:rsidRPr="000D0D06" w:rsidRDefault="005B06AC" w:rsidP="00665C74">
      <w:pPr>
        <w:pStyle w:val="Text2"/>
        <w:rPr>
          <w:noProof/>
        </w:rPr>
      </w:pPr>
      <w:r w:rsidRPr="000D0D06">
        <w:rPr>
          <w:noProof/>
        </w:rPr>
        <w:t>l) Se o tratamento de dados biométricos for necessário para efeitos de confirmação da identidade de um titular dos dados (verificação), caso os dados biométricos ou os meios necessários para a verificação estejam sob o controlo exclusivo do titular dos dados.»;</w:t>
      </w:r>
    </w:p>
    <w:p w14:paraId="053CB88E" w14:textId="77777777" w:rsidR="00537009" w:rsidRPr="000D0D06" w:rsidRDefault="000E7928" w:rsidP="0014764C">
      <w:pPr>
        <w:pStyle w:val="LegalNumPar"/>
        <w:numPr>
          <w:ilvl w:val="0"/>
          <w:numId w:val="41"/>
        </w:numPr>
        <w:spacing w:before="0"/>
        <w:rPr>
          <w:noProof/>
        </w:rPr>
      </w:pPr>
      <w:r w:rsidRPr="000D0D06">
        <w:rPr>
          <w:noProof/>
        </w:rPr>
        <w:t>É aditado o seguinte número:</w:t>
      </w:r>
    </w:p>
    <w:p w14:paraId="0580C222" w14:textId="29AE3DE2" w:rsidR="000E7928" w:rsidRPr="000D0D06" w:rsidRDefault="00662010" w:rsidP="00665C74">
      <w:pPr>
        <w:pStyle w:val="Text2"/>
        <w:rPr>
          <w:noProof/>
        </w:rPr>
      </w:pPr>
      <w:r w:rsidRPr="000D0D06">
        <w:rPr>
          <w:noProof/>
        </w:rPr>
        <w:t>«5. Para o tratamento a que se refere o n.º 2, alínea k), devem ser aplicadas medidas organizativas e técnicas adequadas para impedir a recolha e outras formas de tratamento de categorias especiais de dados pessoais. Se, apesar da aplicação dessas medidas, o responsável pelo tratamento identificar categorias especiais de dados pessoais nos conjuntos de dados utilizados para treino, testagem ou validação ou no sistema de IA ou no modelo de IA, deve suprimir esses dados. Caso a supressão desses dados exija um esforço desproporcionado, o responsável pelo tratamento deve, em qualquer caso, proteger eficazmente, sem demora injustificada, esses dados de serem utilizados para produzir resultados, de serem divulgados ou de outro modo disponibilizados a terceiros.».</w:t>
      </w:r>
    </w:p>
    <w:p w14:paraId="37A43BB6" w14:textId="77777777" w:rsidR="00BA0D66" w:rsidRPr="000D0D06" w:rsidRDefault="001936FC" w:rsidP="001936FC">
      <w:pPr>
        <w:pStyle w:val="ManualNumPar1"/>
        <w:rPr>
          <w:noProof/>
        </w:rPr>
      </w:pPr>
      <w:r w:rsidRPr="000D0D06">
        <w:rPr>
          <w:noProof/>
        </w:rPr>
        <w:t>4.</w:t>
      </w:r>
      <w:r w:rsidRPr="000D0D06">
        <w:rPr>
          <w:noProof/>
        </w:rPr>
        <w:tab/>
        <w:t>No artigo 12.º, o n.º 5 passa a ter a seguinte redação:</w:t>
      </w:r>
    </w:p>
    <w:p w14:paraId="32939926" w14:textId="64EA35F2" w:rsidR="007445B3" w:rsidRPr="000D0D06" w:rsidRDefault="00DA7F82" w:rsidP="00665C74">
      <w:pPr>
        <w:pStyle w:val="Text2"/>
        <w:rPr>
          <w:noProof/>
        </w:rPr>
      </w:pPr>
      <w:r w:rsidRPr="000D0D06">
        <w:rPr>
          <w:noProof/>
        </w:rPr>
        <w:t>«5. As informações fornecidas nos termos dos artigos 13.º e 14.º e quaisquer comunicações e medidas tomadas nos termos dos artigos 15.º a 22.º e do artigo 34.º são fornecidas a título gratuito. Se os pedidos de um titular dos dados forem manifestamente infundados ou excessivos, nomeadamente devido ao seu caráter recorrente, ou ainda, no caso dos pedidos apresentados ao abrigo do artigo 15.º, porque o titular dos dados utiliza de forma abusiva os direitos conferidos pelo presente regulamento para outros fins que não a proteção dos seus dados, o responsável pelo tratamento pode:</w:t>
      </w:r>
    </w:p>
    <w:p w14:paraId="63670D16" w14:textId="77777777" w:rsidR="007445B3" w:rsidRPr="000D0D06" w:rsidRDefault="001936FC" w:rsidP="001936FC">
      <w:pPr>
        <w:pStyle w:val="Point2"/>
        <w:rPr>
          <w:noProof/>
        </w:rPr>
      </w:pPr>
      <w:r w:rsidRPr="000D0D06">
        <w:rPr>
          <w:noProof/>
        </w:rPr>
        <w:t>a)</w:t>
      </w:r>
      <w:r w:rsidRPr="000D0D06">
        <w:rPr>
          <w:noProof/>
        </w:rPr>
        <w:tab/>
        <w:t>Exigir o pagamento de uma taxa razoável tendo em conta os custos administrativos do fornecimento das informações ou da comunicação, ou de tomada das medidas solicitadas; ou</w:t>
      </w:r>
    </w:p>
    <w:p w14:paraId="036DED5F" w14:textId="77777777" w:rsidR="007445B3" w:rsidRPr="000D0D06" w:rsidRDefault="001936FC" w:rsidP="001936FC">
      <w:pPr>
        <w:pStyle w:val="Point2"/>
        <w:rPr>
          <w:noProof/>
        </w:rPr>
      </w:pPr>
      <w:r w:rsidRPr="000D0D06">
        <w:rPr>
          <w:noProof/>
        </w:rPr>
        <w:t>b)</w:t>
      </w:r>
      <w:r w:rsidRPr="000D0D06">
        <w:rPr>
          <w:noProof/>
        </w:rPr>
        <w:tab/>
        <w:t>Recusar-se a dar seguimento ao pedido.</w:t>
      </w:r>
    </w:p>
    <w:p w14:paraId="2B3809F7" w14:textId="0824717D" w:rsidR="007445B3" w:rsidRPr="000D0D06" w:rsidRDefault="007445B3" w:rsidP="00665C74">
      <w:pPr>
        <w:pStyle w:val="Text2"/>
        <w:rPr>
          <w:noProof/>
        </w:rPr>
      </w:pPr>
      <w:r w:rsidRPr="000D0D06">
        <w:rPr>
          <w:noProof/>
        </w:rPr>
        <w:t>Cabe ao responsável pelo tratamento demonstrar que o pedido é manifestamente infundado ou que existem motivos razoáveis para considerar que é excessivo.».</w:t>
      </w:r>
    </w:p>
    <w:p w14:paraId="1FE301E7" w14:textId="77777777" w:rsidR="002C1935" w:rsidRPr="000D0D06" w:rsidRDefault="001936FC" w:rsidP="001936FC">
      <w:pPr>
        <w:pStyle w:val="ManualNumPar1"/>
        <w:rPr>
          <w:noProof/>
        </w:rPr>
      </w:pPr>
      <w:r w:rsidRPr="000D0D06">
        <w:rPr>
          <w:noProof/>
        </w:rPr>
        <w:t>5.</w:t>
      </w:r>
      <w:r w:rsidRPr="000D0D06">
        <w:rPr>
          <w:noProof/>
        </w:rPr>
        <w:tab/>
        <w:t>No artigo 13.º, o n.º 4 passa a ter a seguinte redação:</w:t>
      </w:r>
    </w:p>
    <w:p w14:paraId="62CCC518" w14:textId="79228373" w:rsidR="00027960" w:rsidRPr="000D0D06" w:rsidRDefault="00417BEF" w:rsidP="00665C74">
      <w:pPr>
        <w:pStyle w:val="Text2"/>
        <w:rPr>
          <w:noProof/>
        </w:rPr>
      </w:pPr>
      <w:r w:rsidRPr="000D0D06">
        <w:rPr>
          <w:noProof/>
        </w:rPr>
        <w:t>«4. Os n.</w:t>
      </w:r>
      <w:r w:rsidRPr="000D0D06">
        <w:rPr>
          <w:noProof/>
          <w:vertAlign w:val="superscript"/>
        </w:rPr>
        <w:t>os</w:t>
      </w:r>
      <w:r w:rsidRPr="000D0D06">
        <w:rPr>
          <w:noProof/>
        </w:rPr>
        <w:t> 1, 2 e 3 não são aplicáveis se os dados pessoais tiverem sido recolhidos no contexto de uma relação clara e circunscrita entre os titulares dos dados e um responsável pelo tratamento que exerça uma atividade que não implique a utilização intensiva de dados e se existirem motivos razoáveis para presumir que o titular dos dados já dispõe das informações a que se refere o n.º 1, alíneas a) e c), a menos que o responsável pelo tratamento transmita os dados a outros destinatários ou categorias de destinatários, transfira os dados para um país terceiro, tome decisões automatizadas, incluindo a definição de perfis, a que se refere o artigo 22.º, n.º 1, ou o tratamento seja suscetível de implicar um elevado risco para os direitos e liberdades dos titulares dos dados na aceção do artigo 35.º.».</w:t>
      </w:r>
    </w:p>
    <w:p w14:paraId="64B2232D" w14:textId="3F7440BA" w:rsidR="004636AD" w:rsidRPr="000D0D06" w:rsidRDefault="001936FC" w:rsidP="001936FC">
      <w:pPr>
        <w:pStyle w:val="ManualNumPar1"/>
        <w:rPr>
          <w:noProof/>
        </w:rPr>
      </w:pPr>
      <w:r w:rsidRPr="000D0D06">
        <w:rPr>
          <w:noProof/>
        </w:rPr>
        <w:t>6.</w:t>
      </w:r>
      <w:r w:rsidRPr="000D0D06">
        <w:rPr>
          <w:noProof/>
        </w:rPr>
        <w:tab/>
        <w:t>Ao artigo 13.º é aditado o n.º 5, com a seguinte redação:</w:t>
      </w:r>
    </w:p>
    <w:p w14:paraId="20FC600C" w14:textId="31DA8363" w:rsidR="004636AD" w:rsidRPr="000D0D06" w:rsidRDefault="00387273" w:rsidP="00665C74">
      <w:pPr>
        <w:pStyle w:val="Text2"/>
        <w:rPr>
          <w:noProof/>
        </w:rPr>
      </w:pPr>
      <w:r w:rsidRPr="000D0D06">
        <w:rPr>
          <w:noProof/>
        </w:rPr>
        <w:t>«5. Quando o tratamento é efetuado para fins de investigação científica e a prestação das informações a que se referem os n.</w:t>
      </w:r>
      <w:r w:rsidRPr="000D0D06">
        <w:rPr>
          <w:noProof/>
          <w:vertAlign w:val="superscript"/>
        </w:rPr>
        <w:t>os</w:t>
      </w:r>
      <w:r w:rsidRPr="000D0D06">
        <w:rPr>
          <w:noProof/>
        </w:rPr>
        <w:t> 1, 2 e 3 se revelar impossível ou implicar um esforço desproporcionado, sob reserva das condições e garantias previstas no artigo 89.º, n.º 1, ou na medida em que a obrigação referida no n.º 1 do presente artigo seja suscetível de tornar impossível ou prejudicar gravemente a consecução dos objetivos desse tratamento, o responsável pelo tratamento não tem de fornecer as informações a que se referem os n.</w:t>
      </w:r>
      <w:r w:rsidRPr="000D0D06">
        <w:rPr>
          <w:noProof/>
          <w:vertAlign w:val="superscript"/>
        </w:rPr>
        <w:t>os</w:t>
      </w:r>
      <w:r w:rsidRPr="000D0D06">
        <w:rPr>
          <w:noProof/>
        </w:rPr>
        <w:t> 1, 2 e 3. Nesses casos, o responsável pelo tratamento toma as medidas adequadas para defender os direitos, liberdades e interesses legítimos do titular dos dados, inclusive através da divulgação da informação ao público.».</w:t>
      </w:r>
    </w:p>
    <w:p w14:paraId="0CFD7904" w14:textId="77777777" w:rsidR="00C8229C" w:rsidRPr="000D0D06" w:rsidRDefault="001936FC" w:rsidP="001936FC">
      <w:pPr>
        <w:pStyle w:val="ManualNumPar1"/>
        <w:rPr>
          <w:noProof/>
        </w:rPr>
      </w:pPr>
      <w:r w:rsidRPr="000D0D06">
        <w:rPr>
          <w:noProof/>
        </w:rPr>
        <w:t>7.</w:t>
      </w:r>
      <w:r w:rsidRPr="000D0D06">
        <w:rPr>
          <w:noProof/>
        </w:rPr>
        <w:tab/>
        <w:t>No artigo 22.º, os n.</w:t>
      </w:r>
      <w:r w:rsidRPr="000D0D06">
        <w:rPr>
          <w:noProof/>
          <w:vertAlign w:val="superscript"/>
        </w:rPr>
        <w:t>os</w:t>
      </w:r>
      <w:r w:rsidRPr="000D0D06">
        <w:rPr>
          <w:noProof/>
        </w:rPr>
        <w:t> 1 e 2 passam a ter a seguinte redação:</w:t>
      </w:r>
    </w:p>
    <w:p w14:paraId="73183AF5" w14:textId="77777777" w:rsidR="004F586C" w:rsidRPr="000D0D06" w:rsidRDefault="004F586C" w:rsidP="00665C74">
      <w:pPr>
        <w:pStyle w:val="Text2"/>
        <w:rPr>
          <w:noProof/>
        </w:rPr>
      </w:pPr>
      <w:r w:rsidRPr="000D0D06">
        <w:rPr>
          <w:noProof/>
        </w:rPr>
        <w:t>«1. Uma decisão que produza efeitos jurídicos em relação a um titular dos dados ou que o afete significativamente de forma similar só pode basear-se exclusivamente no tratamento automatizado, incluindo a definição de perfis, se essa decisão:</w:t>
      </w:r>
    </w:p>
    <w:p w14:paraId="039AC52A" w14:textId="69E3E4F4" w:rsidR="004F586C" w:rsidRPr="000D0D06" w:rsidRDefault="001936FC" w:rsidP="001936FC">
      <w:pPr>
        <w:pStyle w:val="Point2"/>
        <w:rPr>
          <w:noProof/>
        </w:rPr>
      </w:pPr>
      <w:r w:rsidRPr="000D0D06">
        <w:rPr>
          <w:noProof/>
        </w:rPr>
        <w:t>a)</w:t>
      </w:r>
      <w:r w:rsidRPr="000D0D06">
        <w:rPr>
          <w:noProof/>
        </w:rPr>
        <w:tab/>
        <w:t>For necessária para a celebração ou execução de um contrato entre o titular dos dados e um responsável pelo tratamento, independentemente de a decisão poder ser tomada por meios não exclusivamente automatizados;</w:t>
      </w:r>
    </w:p>
    <w:p w14:paraId="638A8EFC" w14:textId="66D3461F" w:rsidR="004F586C" w:rsidRPr="000D0D06" w:rsidRDefault="001936FC" w:rsidP="001936FC">
      <w:pPr>
        <w:pStyle w:val="Point2"/>
        <w:rPr>
          <w:noProof/>
        </w:rPr>
      </w:pPr>
      <w:r w:rsidRPr="000D0D06">
        <w:rPr>
          <w:noProof/>
        </w:rPr>
        <w:t>b)</w:t>
      </w:r>
      <w:r w:rsidRPr="000D0D06">
        <w:rPr>
          <w:noProof/>
        </w:rPr>
        <w:tab/>
        <w:t>For autorizada pelo direito da União ou do Estado-Membro a que o responsável pelo tratamento estiver sujeito, e no qual estejam igualmente previstas medidas adequadas para salvaguardar os direitos e liberdades e os legítimos interesses do titular dos dados; ou</w:t>
      </w:r>
    </w:p>
    <w:p w14:paraId="559C3243" w14:textId="77777777" w:rsidR="00C5016F" w:rsidRPr="000D0D06" w:rsidRDefault="001936FC" w:rsidP="001936FC">
      <w:pPr>
        <w:pStyle w:val="Point2"/>
        <w:rPr>
          <w:noProof/>
        </w:rPr>
      </w:pPr>
      <w:r w:rsidRPr="000D0D06">
        <w:rPr>
          <w:noProof/>
        </w:rPr>
        <w:t>c)</w:t>
      </w:r>
      <w:r w:rsidRPr="000D0D06">
        <w:rPr>
          <w:noProof/>
        </w:rPr>
        <w:tab/>
        <w:t>Se basear no consentimento explícito do titular dos dados.».</w:t>
      </w:r>
    </w:p>
    <w:p w14:paraId="64411093" w14:textId="77777777" w:rsidR="00896763" w:rsidRPr="000D0D06" w:rsidRDefault="001936FC" w:rsidP="001936FC">
      <w:pPr>
        <w:pStyle w:val="ManualNumPar1"/>
        <w:rPr>
          <w:noProof/>
        </w:rPr>
      </w:pPr>
      <w:r w:rsidRPr="000D0D06">
        <w:rPr>
          <w:noProof/>
        </w:rPr>
        <w:t>8.</w:t>
      </w:r>
      <w:r w:rsidRPr="000D0D06">
        <w:rPr>
          <w:noProof/>
        </w:rPr>
        <w:tab/>
        <w:t>O artigo 33.º é alterado do seguinte modo:</w:t>
      </w:r>
    </w:p>
    <w:p w14:paraId="2F25C83F" w14:textId="77777777" w:rsidR="009544AB" w:rsidRPr="000D0D06" w:rsidRDefault="170B3677" w:rsidP="0014764C">
      <w:pPr>
        <w:pStyle w:val="LegalNumPar"/>
        <w:numPr>
          <w:ilvl w:val="0"/>
          <w:numId w:val="42"/>
        </w:numPr>
        <w:spacing w:before="0"/>
        <w:rPr>
          <w:noProof/>
        </w:rPr>
      </w:pPr>
      <w:r w:rsidRPr="000D0D06">
        <w:rPr>
          <w:noProof/>
        </w:rPr>
        <w:t>O n.º 1 passa a ter a seguinte redação:</w:t>
      </w:r>
    </w:p>
    <w:p w14:paraId="577FE17E" w14:textId="26EF2A2F" w:rsidR="00896763" w:rsidRPr="000D0D06" w:rsidRDefault="253B334D" w:rsidP="00665C74">
      <w:pPr>
        <w:pStyle w:val="Text2"/>
        <w:rPr>
          <w:noProof/>
        </w:rPr>
      </w:pPr>
      <w:r w:rsidRPr="000D0D06">
        <w:rPr>
          <w:noProof/>
        </w:rPr>
        <w:t>«1. No caso de uma violação de dados pessoais suscetível de implicar um elevado risco para os direitos e liberdades das pessoas singulares, o responsável pelo tratamento notifica a autoridade de controlo competente da violação de dados pessoais, sem demora injustificada e, sempre que possível, no prazo máximo de 96 horas após ter tomado conhecimento da mesma, através do ponto de entrada único criado nos termos do artigo 23.º-A da Diretiva (UE) 2022/2555, em conformidade com os artigos 55.º e 56.º. Se a notificação à autoridade de controlo não for transmitida no prazo de 96 horas, é acompanhada dos motivos do atraso.»;</w:t>
      </w:r>
    </w:p>
    <w:p w14:paraId="5FFA78FC" w14:textId="77777777" w:rsidR="008526B9" w:rsidRPr="000D0D06" w:rsidRDefault="00F80A22" w:rsidP="0014764C">
      <w:pPr>
        <w:pStyle w:val="LegalNumPar"/>
        <w:numPr>
          <w:ilvl w:val="0"/>
          <w:numId w:val="42"/>
        </w:numPr>
        <w:spacing w:before="0"/>
        <w:rPr>
          <w:noProof/>
        </w:rPr>
      </w:pPr>
      <w:r w:rsidRPr="000D0D06">
        <w:rPr>
          <w:noProof/>
        </w:rPr>
        <w:t>É aditado o seguinte número:</w:t>
      </w:r>
    </w:p>
    <w:p w14:paraId="27005010" w14:textId="2014E02B" w:rsidR="008526B9" w:rsidRPr="000D0D06" w:rsidRDefault="008526B9" w:rsidP="00665C74">
      <w:pPr>
        <w:pStyle w:val="Text2"/>
        <w:rPr>
          <w:noProof/>
        </w:rPr>
      </w:pPr>
      <w:r w:rsidRPr="000D0D06">
        <w:rPr>
          <w:noProof/>
        </w:rPr>
        <w:t>«1-A. Até à criação do ponto de entrada único nos termos do artigo 23.º-A da Diretiva (UE) 2022/2555, os responsáveis pelo tratamento continuam a notificar diretamente a autoridade de controlo competente das violações de dados pessoais, em conformidade com os artigos 55.º e 56.º.»;</w:t>
      </w:r>
    </w:p>
    <w:p w14:paraId="520C3A99" w14:textId="77777777" w:rsidR="00632D79" w:rsidRPr="000D0D06" w:rsidRDefault="36E99A8D" w:rsidP="0014764C">
      <w:pPr>
        <w:pStyle w:val="LegalNumPar"/>
        <w:numPr>
          <w:ilvl w:val="0"/>
          <w:numId w:val="42"/>
        </w:numPr>
        <w:spacing w:before="0"/>
        <w:rPr>
          <w:noProof/>
        </w:rPr>
      </w:pPr>
      <w:r w:rsidRPr="000D0D06">
        <w:rPr>
          <w:noProof/>
        </w:rPr>
        <w:t>São aditados os seguintes números:</w:t>
      </w:r>
    </w:p>
    <w:p w14:paraId="3A30CFAE" w14:textId="064BF376" w:rsidR="00632D79" w:rsidRPr="000D0D06" w:rsidRDefault="36E99A8D" w:rsidP="00665C74">
      <w:pPr>
        <w:pStyle w:val="Text2"/>
        <w:rPr>
          <w:noProof/>
        </w:rPr>
      </w:pPr>
      <w:r w:rsidRPr="000D0D06">
        <w:rPr>
          <w:noProof/>
        </w:rPr>
        <w:t>«6. O Comité elabora e transmite à Comissão uma proposta de modelo comum para a notificação de uma violação de dados pessoais à autoridade de controlo competente a que se refere o n.º 1, bem como uma proposta de lista das circunstâncias em que uma violação de dados pessoais seja suscetível de implicar um elevado risco para os direitos e liberdades de uma pessoa singular. As propostas devem ser apresentadas à Comissão no prazo de [Serviço das Publicações: inserir a data = nove meses a contar da data de entrada em aplicação do presente regulamento]. Após a devida consideração, a Comissão revê-as, se necessário, e fica habilitada a adotá-las por meio de um ato de execução, de acordo com o procedimento de exame previsto no artigo 93.º, n.º 2.</w:t>
      </w:r>
    </w:p>
    <w:p w14:paraId="7D9C26B7" w14:textId="460685AE" w:rsidR="00632D79" w:rsidRPr="000D0D06" w:rsidRDefault="36E99A8D" w:rsidP="00665C74">
      <w:pPr>
        <w:pStyle w:val="Text2"/>
        <w:rPr>
          <w:noProof/>
        </w:rPr>
      </w:pPr>
      <w:r w:rsidRPr="000D0D06">
        <w:rPr>
          <w:noProof/>
        </w:rPr>
        <w:t>7. O modelo e a lista a que se refere o n.º 6 devem ser revistos pelo menos de três em três anos e atualizados se necessário. O Comité apresenta atempadamente à Comissão a sua avaliação e eventuais propostas de atualização. Após a devida consideração das propostas, a Comissão revê-as e fica habilitada a adotar quaisquer atualizações, de acordo com o procedimento previsto no n.º 6.».</w:t>
      </w:r>
    </w:p>
    <w:p w14:paraId="6A8638E2" w14:textId="77777777" w:rsidR="00F17E62" w:rsidRPr="000D0D06" w:rsidRDefault="001936FC" w:rsidP="001936FC">
      <w:pPr>
        <w:pStyle w:val="ManualNumPar1"/>
        <w:rPr>
          <w:noProof/>
        </w:rPr>
      </w:pPr>
      <w:r w:rsidRPr="000D0D06">
        <w:rPr>
          <w:noProof/>
        </w:rPr>
        <w:t>9.</w:t>
      </w:r>
      <w:r w:rsidRPr="000D0D06">
        <w:rPr>
          <w:noProof/>
        </w:rPr>
        <w:tab/>
        <w:t>O artigo 35.º é alterado do seguinte modo:</w:t>
      </w:r>
    </w:p>
    <w:p w14:paraId="3A41206D" w14:textId="77777777" w:rsidR="004C4CE7" w:rsidRPr="000D0D06" w:rsidRDefault="00BF2640" w:rsidP="0014764C">
      <w:pPr>
        <w:pStyle w:val="LegalNumPar"/>
        <w:numPr>
          <w:ilvl w:val="0"/>
          <w:numId w:val="43"/>
        </w:numPr>
        <w:spacing w:before="0"/>
        <w:rPr>
          <w:noProof/>
        </w:rPr>
      </w:pPr>
      <w:r w:rsidRPr="000D0D06">
        <w:rPr>
          <w:noProof/>
        </w:rPr>
        <w:t>Os n.</w:t>
      </w:r>
      <w:r w:rsidRPr="000D0D06">
        <w:rPr>
          <w:noProof/>
          <w:vertAlign w:val="superscript"/>
        </w:rPr>
        <w:t>os</w:t>
      </w:r>
      <w:r w:rsidRPr="000D0D06">
        <w:rPr>
          <w:noProof/>
        </w:rPr>
        <w:t> 4, 5 e 6 passam a ter a seguinte redação:</w:t>
      </w:r>
    </w:p>
    <w:p w14:paraId="6F85C5C5" w14:textId="5235F92A" w:rsidR="004C4CE7" w:rsidRPr="000D0D06" w:rsidRDefault="004C4CE7" w:rsidP="00665C74">
      <w:pPr>
        <w:pStyle w:val="Text2"/>
        <w:rPr>
          <w:noProof/>
        </w:rPr>
      </w:pPr>
      <w:r w:rsidRPr="000D0D06">
        <w:rPr>
          <w:noProof/>
        </w:rPr>
        <w:t>«4. O Comité elabora e transmite à Comissão uma proposta de lista dos tipos de operações de tratamento sujeitos ao requisito de avaliação de impacto sobre a proteção de dados, nos termos do n.º 1.</w:t>
      </w:r>
    </w:p>
    <w:p w14:paraId="7A00FE0A" w14:textId="7BA49B4B" w:rsidR="004C4CE7" w:rsidRPr="000D0D06" w:rsidRDefault="004C4CE7" w:rsidP="00665C74">
      <w:pPr>
        <w:pStyle w:val="Text2"/>
        <w:rPr>
          <w:noProof/>
        </w:rPr>
      </w:pPr>
      <w:r w:rsidRPr="000D0D06">
        <w:rPr>
          <w:noProof/>
        </w:rPr>
        <w:t xml:space="preserve">5. O Comité elabora e transmite à Comissão uma proposta de lista dos tipos de operações de tratamento </w:t>
      </w:r>
      <w:bookmarkStart w:id="11" w:name="_Hlk210212731"/>
      <w:r w:rsidRPr="000D0D06">
        <w:rPr>
          <w:noProof/>
        </w:rPr>
        <w:t>em relação aos quais não é obrigatória uma avaliação de impacto sobre a proteção de dados</w:t>
      </w:r>
      <w:bookmarkEnd w:id="11"/>
      <w:r w:rsidRPr="000D0D06">
        <w:rPr>
          <w:noProof/>
        </w:rPr>
        <w:t>.</w:t>
      </w:r>
    </w:p>
    <w:p w14:paraId="131EBFFE" w14:textId="74E680AF" w:rsidR="004C4CE7" w:rsidRPr="000D0D06" w:rsidRDefault="004C4CE7" w:rsidP="00665C74">
      <w:pPr>
        <w:pStyle w:val="Text2"/>
        <w:rPr>
          <w:noProof/>
        </w:rPr>
      </w:pPr>
      <w:r w:rsidRPr="000D0D06">
        <w:rPr>
          <w:noProof/>
        </w:rPr>
        <w:t xml:space="preserve">6. O Comité </w:t>
      </w:r>
      <w:bookmarkStart w:id="12" w:name="_Hlk210212776"/>
      <w:r w:rsidRPr="000D0D06">
        <w:rPr>
          <w:noProof/>
        </w:rPr>
        <w:t>elabora e transmite à Comissão uma proposta de modelo comum e de metodologia comum para a realização de avaliações de impacto sobre a proteção de dados</w:t>
      </w:r>
      <w:bookmarkEnd w:id="12"/>
      <w:r w:rsidRPr="000D0D06">
        <w:rPr>
          <w:noProof/>
        </w:rPr>
        <w:t>.»;</w:t>
      </w:r>
    </w:p>
    <w:p w14:paraId="1DB83E94" w14:textId="77777777" w:rsidR="00135BE3" w:rsidRPr="000D0D06" w:rsidRDefault="00BF2640" w:rsidP="0014764C">
      <w:pPr>
        <w:pStyle w:val="LegalNumPar"/>
        <w:numPr>
          <w:ilvl w:val="0"/>
          <w:numId w:val="43"/>
        </w:numPr>
        <w:spacing w:before="0"/>
        <w:rPr>
          <w:noProof/>
        </w:rPr>
      </w:pPr>
      <w:r w:rsidRPr="000D0D06">
        <w:rPr>
          <w:noProof/>
        </w:rPr>
        <w:t>São inseridos os seguintes números:</w:t>
      </w:r>
    </w:p>
    <w:p w14:paraId="40457C4C" w14:textId="49E39DE7" w:rsidR="0027575D" w:rsidRPr="000D0D06" w:rsidRDefault="0027575D" w:rsidP="00665C74">
      <w:pPr>
        <w:pStyle w:val="Text2"/>
        <w:rPr>
          <w:noProof/>
        </w:rPr>
      </w:pPr>
      <w:r w:rsidRPr="000D0D06">
        <w:rPr>
          <w:noProof/>
        </w:rPr>
        <w:t>«6-A. As propostas de listas a que se referem os n.</w:t>
      </w:r>
      <w:r w:rsidRPr="000D0D06">
        <w:rPr>
          <w:noProof/>
          <w:vertAlign w:val="superscript"/>
        </w:rPr>
        <w:t>os</w:t>
      </w:r>
      <w:r w:rsidRPr="000D0D06">
        <w:rPr>
          <w:noProof/>
        </w:rPr>
        <w:t> 4 e 5 e de modelo e metodologia a que se refere o n.º 6 devem ser apresentadas à Comissão no prazo de [Serviço das Publicações: inserir a data = nove meses a contar da data de entrada em aplicação do presente regulamento]. Após a devida consideração, a Comissão revê-as, se necessário, e fica habilitada a adotá-las por meio de um ato de execução, de acordo com o procedimento de exame previsto no artigo 93.º, n.º 2.</w:t>
      </w:r>
    </w:p>
    <w:p w14:paraId="44BE42DB" w14:textId="377F385D" w:rsidR="004E7DE6" w:rsidRPr="000D0D06" w:rsidRDefault="0027575D" w:rsidP="00665C74">
      <w:pPr>
        <w:pStyle w:val="Text2"/>
        <w:rPr>
          <w:noProof/>
        </w:rPr>
      </w:pPr>
      <w:r w:rsidRPr="000D0D06">
        <w:rPr>
          <w:noProof/>
        </w:rPr>
        <w:t>6-B. As listas, o modelo e a metodologia a que se refere o n.º 6-A devem ser revistos pelo menos de três em três anos e atualizados se necessário. O Comité apresenta atempadamente à Comissão a sua avaliação e eventuais propostas de atualização. Após a devida consideração das propostas, a Comissão revê-as e fica habilitada a adotar quaisquer atualizações, de acordo com o procedimento previsto no n.º 6-A.</w:t>
      </w:r>
    </w:p>
    <w:p w14:paraId="52179DD4" w14:textId="26A218B6" w:rsidR="00BD4902" w:rsidRPr="000D0D06" w:rsidRDefault="004E7DE6" w:rsidP="00665C74">
      <w:pPr>
        <w:pStyle w:val="Text2"/>
        <w:rPr>
          <w:noProof/>
        </w:rPr>
      </w:pPr>
      <w:r w:rsidRPr="000D0D06">
        <w:rPr>
          <w:noProof/>
        </w:rPr>
        <w:t>6-C. As listas dos tipos de operações de tratamento sujeitos ao requisito de avaliação de impacto sobre a proteção de dados e dos tipos de operações de tratamento em relação aos quais não é obrigatória uma avaliação de impacto sobre a proteção de dados criadas e tornadas públicas pelas autoridades de controlo permanecem válidas até que a Comissão adote o ato de execução a que se refere o n.º 6-A.».</w:t>
      </w:r>
    </w:p>
    <w:p w14:paraId="6F0EB8C9" w14:textId="3C2D8926" w:rsidR="00054AFF" w:rsidRPr="000D0D06" w:rsidRDefault="001936FC" w:rsidP="001936FC">
      <w:pPr>
        <w:pStyle w:val="ManualNumPar1"/>
        <w:rPr>
          <w:noProof/>
        </w:rPr>
      </w:pPr>
      <w:r w:rsidRPr="000D0D06">
        <w:rPr>
          <w:noProof/>
        </w:rPr>
        <w:t>10.</w:t>
      </w:r>
      <w:r w:rsidRPr="000D0D06">
        <w:rPr>
          <w:noProof/>
        </w:rPr>
        <w:tab/>
        <w:t>É aditado o seguinte artigo:</w:t>
      </w:r>
    </w:p>
    <w:p w14:paraId="22D3F101" w14:textId="77777777" w:rsidR="00CA1869" w:rsidRPr="000D0D06" w:rsidRDefault="00054AFF" w:rsidP="00665C74">
      <w:pPr>
        <w:jc w:val="center"/>
        <w:rPr>
          <w:noProof/>
        </w:rPr>
      </w:pPr>
      <w:r w:rsidRPr="000D0D06">
        <w:rPr>
          <w:noProof/>
        </w:rPr>
        <w:t>«Artigo 41.º‑A</w:t>
      </w:r>
    </w:p>
    <w:p w14:paraId="37D1821D" w14:textId="39F355AA" w:rsidR="00C60223" w:rsidRPr="000D0D06" w:rsidRDefault="001936FC" w:rsidP="001936FC">
      <w:pPr>
        <w:pStyle w:val="Point0"/>
        <w:rPr>
          <w:noProof/>
        </w:rPr>
      </w:pPr>
      <w:bookmarkStart w:id="13" w:name="_Hlk212645020"/>
      <w:r w:rsidRPr="000D0D06">
        <w:rPr>
          <w:noProof/>
        </w:rPr>
        <w:t>1)</w:t>
      </w:r>
      <w:r w:rsidRPr="000D0D06">
        <w:rPr>
          <w:noProof/>
        </w:rPr>
        <w:tab/>
        <w:t>A Comissão pode adotar atos de execução com vista a especificar os meios e os critérios para determinar se os dados resultantes da pseudonimização deixaram de constituir dados pessoais para determinadas entidades.</w:t>
      </w:r>
    </w:p>
    <w:p w14:paraId="7B7968B3" w14:textId="38F1661A" w:rsidR="00C60223" w:rsidRPr="000D0D06" w:rsidRDefault="001936FC" w:rsidP="001936FC">
      <w:pPr>
        <w:pStyle w:val="Point0"/>
        <w:rPr>
          <w:noProof/>
        </w:rPr>
      </w:pPr>
      <w:r w:rsidRPr="000D0D06">
        <w:rPr>
          <w:noProof/>
        </w:rPr>
        <w:t>2)</w:t>
      </w:r>
      <w:r w:rsidRPr="000D0D06">
        <w:rPr>
          <w:noProof/>
        </w:rPr>
        <w:tab/>
        <w:t>Para efeitos do n.º 1, a Comissão:</w:t>
      </w:r>
    </w:p>
    <w:p w14:paraId="7BB296E1" w14:textId="472A32F3" w:rsidR="00C60223" w:rsidRPr="000D0D06" w:rsidRDefault="001936FC" w:rsidP="001936FC">
      <w:pPr>
        <w:pStyle w:val="Point1"/>
        <w:rPr>
          <w:noProof/>
        </w:rPr>
      </w:pPr>
      <w:r w:rsidRPr="000D0D06">
        <w:rPr>
          <w:noProof/>
        </w:rPr>
        <w:t>a)</w:t>
      </w:r>
      <w:r w:rsidRPr="000D0D06">
        <w:rPr>
          <w:noProof/>
        </w:rPr>
        <w:tab/>
        <w:t>Avalia o estado da arte das técnicas disponíveis;</w:t>
      </w:r>
    </w:p>
    <w:p w14:paraId="0D533FAF" w14:textId="77777777" w:rsidR="00C60223" w:rsidRPr="000D0D06" w:rsidRDefault="001936FC" w:rsidP="001936FC">
      <w:pPr>
        <w:pStyle w:val="Point1"/>
        <w:rPr>
          <w:noProof/>
        </w:rPr>
      </w:pPr>
      <w:r w:rsidRPr="000D0D06">
        <w:rPr>
          <w:noProof/>
        </w:rPr>
        <w:t>b)</w:t>
      </w:r>
      <w:r w:rsidRPr="000D0D06">
        <w:rPr>
          <w:noProof/>
        </w:rPr>
        <w:tab/>
        <w:t>Desenvolve critérios e/ou categorias para que os responsáveis pelo tratamento e os destinatários avaliem os riscos de reidentificação em relação aos destinatários típicos dos dados.</w:t>
      </w:r>
    </w:p>
    <w:p w14:paraId="4DBEDF7C" w14:textId="77777777" w:rsidR="00C60223" w:rsidRPr="000D0D06" w:rsidRDefault="001936FC" w:rsidP="001936FC">
      <w:pPr>
        <w:pStyle w:val="Point0"/>
        <w:rPr>
          <w:noProof/>
        </w:rPr>
      </w:pPr>
      <w:r w:rsidRPr="000D0D06">
        <w:rPr>
          <w:noProof/>
        </w:rPr>
        <w:t>3)</w:t>
      </w:r>
      <w:r w:rsidRPr="000D0D06">
        <w:rPr>
          <w:noProof/>
        </w:rPr>
        <w:tab/>
        <w:t>A aplicação dos meios e critérios descritos num ato de execução pode ser utilizada como elemento para demonstrar que os dados não podem conduzir à reidentificação dos titulares dos dados.</w:t>
      </w:r>
    </w:p>
    <w:p w14:paraId="2E9079C1" w14:textId="5198DA82" w:rsidR="00CC4E24" w:rsidRPr="000D0D06" w:rsidRDefault="001936FC" w:rsidP="001936FC">
      <w:pPr>
        <w:pStyle w:val="Point0"/>
        <w:rPr>
          <w:noProof/>
        </w:rPr>
      </w:pPr>
      <w:r w:rsidRPr="000D0D06">
        <w:rPr>
          <w:noProof/>
        </w:rPr>
        <w:t>4)</w:t>
      </w:r>
      <w:r w:rsidRPr="000D0D06">
        <w:rPr>
          <w:noProof/>
        </w:rPr>
        <w:tab/>
        <w:t>A Comissão envolve estreitamente o CEPD na elaboração dos atos de execução. O CEPD emite um parecer sobre os projetos de atos de execução no prazo de oito semanas a contar da receção do projeto da Comissão.</w:t>
      </w:r>
    </w:p>
    <w:p w14:paraId="779BB58E" w14:textId="77777777" w:rsidR="00CC4E24" w:rsidRPr="000D0D06" w:rsidRDefault="001936FC" w:rsidP="001936FC">
      <w:pPr>
        <w:pStyle w:val="Point0"/>
        <w:rPr>
          <w:noProof/>
        </w:rPr>
      </w:pPr>
      <w:r w:rsidRPr="000D0D06">
        <w:rPr>
          <w:noProof/>
        </w:rPr>
        <w:t>5)</w:t>
      </w:r>
      <w:r w:rsidRPr="000D0D06">
        <w:rPr>
          <w:noProof/>
        </w:rPr>
        <w:tab/>
        <w:t>Os atos de execução são adotados pelo procedimento de exame a que se refere o artigo 93.º, n.º 3.».</w:t>
      </w:r>
    </w:p>
    <w:bookmarkEnd w:id="13"/>
    <w:p w14:paraId="2B90FDA0" w14:textId="77777777" w:rsidR="00BC7E90" w:rsidRPr="000D0D06" w:rsidRDefault="001936FC" w:rsidP="001936FC">
      <w:pPr>
        <w:pStyle w:val="ManualNumPar1"/>
        <w:rPr>
          <w:noProof/>
        </w:rPr>
      </w:pPr>
      <w:r w:rsidRPr="000D0D06">
        <w:rPr>
          <w:noProof/>
        </w:rPr>
        <w:t>11.</w:t>
      </w:r>
      <w:r w:rsidRPr="000D0D06">
        <w:rPr>
          <w:noProof/>
        </w:rPr>
        <w:tab/>
        <w:t>O artigo 57.º, n.º 1, é alterado do seguinte modo:</w:t>
      </w:r>
    </w:p>
    <w:p w14:paraId="745EB279" w14:textId="77777777" w:rsidR="00112643" w:rsidRPr="000D0D06" w:rsidRDefault="0014711E" w:rsidP="0014764C">
      <w:pPr>
        <w:pStyle w:val="LegalNumPar"/>
        <w:numPr>
          <w:ilvl w:val="0"/>
          <w:numId w:val="28"/>
        </w:numPr>
        <w:spacing w:before="0"/>
        <w:rPr>
          <w:noProof/>
        </w:rPr>
      </w:pPr>
      <w:r w:rsidRPr="000D0D06">
        <w:rPr>
          <w:noProof/>
        </w:rPr>
        <w:t>É suprimida a alínea k).</w:t>
      </w:r>
    </w:p>
    <w:p w14:paraId="6FF1B381" w14:textId="1FE6B469" w:rsidR="00F10EAD" w:rsidRPr="000D0D06" w:rsidRDefault="001936FC" w:rsidP="001936FC">
      <w:pPr>
        <w:pStyle w:val="ManualNumPar1"/>
        <w:rPr>
          <w:noProof/>
        </w:rPr>
      </w:pPr>
      <w:r w:rsidRPr="000D0D06">
        <w:rPr>
          <w:noProof/>
        </w:rPr>
        <w:t>12.</w:t>
      </w:r>
      <w:r w:rsidRPr="000D0D06">
        <w:rPr>
          <w:noProof/>
        </w:rPr>
        <w:tab/>
        <w:t>No artigo 64.º, n.º 1, é suprimida a alínea a).</w:t>
      </w:r>
    </w:p>
    <w:p w14:paraId="26805D44" w14:textId="5AC04C7D" w:rsidR="0031108E" w:rsidRPr="000D0D06" w:rsidRDefault="001936FC" w:rsidP="001936FC">
      <w:pPr>
        <w:pStyle w:val="ManualNumPar1"/>
        <w:rPr>
          <w:noProof/>
        </w:rPr>
      </w:pPr>
      <w:r w:rsidRPr="000D0D06">
        <w:rPr>
          <w:noProof/>
        </w:rPr>
        <w:t>13.</w:t>
      </w:r>
      <w:r w:rsidRPr="000D0D06">
        <w:rPr>
          <w:noProof/>
        </w:rPr>
        <w:tab/>
        <w:t>No artigo 70.º, n.º 1, é suprimida a alínea h).</w:t>
      </w:r>
    </w:p>
    <w:p w14:paraId="2586C7DB" w14:textId="77777777" w:rsidR="007F4FA7" w:rsidRPr="000D0D06" w:rsidRDefault="001936FC" w:rsidP="001936FC">
      <w:pPr>
        <w:pStyle w:val="ManualNumPar1"/>
        <w:rPr>
          <w:noProof/>
        </w:rPr>
      </w:pPr>
      <w:r w:rsidRPr="000D0D06">
        <w:rPr>
          <w:noProof/>
        </w:rPr>
        <w:t>14.</w:t>
      </w:r>
      <w:r w:rsidRPr="000D0D06">
        <w:rPr>
          <w:noProof/>
        </w:rPr>
        <w:tab/>
        <w:t>No artigo 70.º, n.º 1, são inseridas as seguintes alíneas:</w:t>
      </w:r>
    </w:p>
    <w:p w14:paraId="3EADE158" w14:textId="4B78E9F3" w:rsidR="00BE3603" w:rsidRPr="000D0D06" w:rsidRDefault="000D00BA" w:rsidP="00665C74">
      <w:pPr>
        <w:pStyle w:val="Text1"/>
        <w:rPr>
          <w:noProof/>
        </w:rPr>
      </w:pPr>
      <w:r w:rsidRPr="000D0D06">
        <w:rPr>
          <w:noProof/>
        </w:rPr>
        <w:t>«h-A) Elabora e transmite à Comissão uma proposta de lista dos tipos de operações de tratamento sujeitos ao requisito de avaliação de impacto sobre a proteção de dados e em relação aos quais não é obrigatória uma avaliação de impacto sobre a proteção de dados, nos termos do artigo 35.º;</w:t>
      </w:r>
    </w:p>
    <w:p w14:paraId="2FAABD12" w14:textId="78B3E4D8" w:rsidR="00BE3603" w:rsidRPr="000D0D06" w:rsidRDefault="00BE3603" w:rsidP="00665C74">
      <w:pPr>
        <w:pStyle w:val="Text1"/>
        <w:rPr>
          <w:noProof/>
        </w:rPr>
      </w:pPr>
      <w:r w:rsidRPr="000D0D06">
        <w:rPr>
          <w:noProof/>
        </w:rPr>
        <w:t>h-B) Elabora e transmite à Comissão uma proposta de modelo comum e de metodologia comum para a realização de avaliações de impacto sobre a proteção de dados, nos termos do artigo 35.º;</w:t>
      </w:r>
    </w:p>
    <w:p w14:paraId="442415AF" w14:textId="67589FF5" w:rsidR="00BE3603" w:rsidRPr="000D0D06" w:rsidRDefault="00BE3603" w:rsidP="00665C74">
      <w:pPr>
        <w:pStyle w:val="Text1"/>
        <w:rPr>
          <w:noProof/>
          <w:color w:val="000000" w:themeColor="text1"/>
          <w:szCs w:val="24"/>
        </w:rPr>
      </w:pPr>
      <w:r w:rsidRPr="000D0D06">
        <w:rPr>
          <w:noProof/>
          <w:color w:val="000000" w:themeColor="text1"/>
        </w:rPr>
        <w:t xml:space="preserve">h-C) Elabora e transmite à Comissão uma proposta de modelo comum </w:t>
      </w:r>
      <w:r w:rsidRPr="000D0D06">
        <w:rPr>
          <w:noProof/>
        </w:rPr>
        <w:t>para a notificação de uma violação de dados pessoais à autoridade de controlo competente, bem como uma proposta de lista das circunstâncias em que uma violação de dados pessoais seja suscetível de implicar um elevado risco para os direitos e liberdades de uma pessoa singular,</w:t>
      </w:r>
      <w:r w:rsidRPr="000D0D06">
        <w:rPr>
          <w:noProof/>
          <w:color w:val="000000" w:themeColor="text1"/>
        </w:rPr>
        <w:t xml:space="preserve"> nos termos do artigo 33.º;»</w:t>
      </w:r>
      <w:r w:rsidRPr="000D0D06">
        <w:rPr>
          <w:noProof/>
        </w:rPr>
        <w:t>.</w:t>
      </w:r>
    </w:p>
    <w:p w14:paraId="3760B29E" w14:textId="77777777" w:rsidR="009A79D3" w:rsidRPr="000D0D06" w:rsidRDefault="001936FC" w:rsidP="001936FC">
      <w:pPr>
        <w:pStyle w:val="ManualNumPar1"/>
        <w:rPr>
          <w:noProof/>
        </w:rPr>
      </w:pPr>
      <w:r w:rsidRPr="000D0D06">
        <w:rPr>
          <w:noProof/>
        </w:rPr>
        <w:t>15.</w:t>
      </w:r>
      <w:r w:rsidRPr="000D0D06">
        <w:rPr>
          <w:noProof/>
        </w:rPr>
        <w:tab/>
        <w:t xml:space="preserve">Após o artigo 88.º, são aditados os seguintes artigos: </w:t>
      </w:r>
    </w:p>
    <w:p w14:paraId="13B11B49" w14:textId="77777777" w:rsidR="007969C9" w:rsidRPr="000D0D06" w:rsidRDefault="008C2925" w:rsidP="008D6372">
      <w:pPr>
        <w:ind w:left="360"/>
        <w:jc w:val="center"/>
        <w:rPr>
          <w:rFonts w:eastAsia="Times New Roman"/>
          <w:noProof/>
          <w:color w:val="000000" w:themeColor="text1"/>
        </w:rPr>
      </w:pPr>
      <w:bookmarkStart w:id="14" w:name="_Hlk213767698"/>
      <w:r w:rsidRPr="000D0D06">
        <w:rPr>
          <w:noProof/>
          <w:color w:val="000000" w:themeColor="text1"/>
        </w:rPr>
        <w:t>«Artigo 88.º‑A</w:t>
      </w:r>
    </w:p>
    <w:p w14:paraId="0C7088BA" w14:textId="77777777" w:rsidR="00BE2E6E" w:rsidRPr="000D0D06" w:rsidRDefault="00BE2E6E" w:rsidP="00405BC9">
      <w:pPr>
        <w:jc w:val="center"/>
        <w:rPr>
          <w:i/>
          <w:iCs/>
          <w:noProof/>
        </w:rPr>
      </w:pPr>
      <w:r w:rsidRPr="000D0D06">
        <w:rPr>
          <w:i/>
          <w:noProof/>
        </w:rPr>
        <w:t>Tratamento de dados pessoais no equipamento terminal de pessoas singulares</w:t>
      </w:r>
    </w:p>
    <w:p w14:paraId="543A0CCE" w14:textId="77777777" w:rsidR="00845677" w:rsidRPr="000D0D06" w:rsidRDefault="00845677" w:rsidP="000F0A2E">
      <w:pPr>
        <w:jc w:val="left"/>
        <w:rPr>
          <w:noProof/>
          <w:color w:val="000000"/>
        </w:rPr>
      </w:pPr>
    </w:p>
    <w:p w14:paraId="520A0E61" w14:textId="1E4342C9" w:rsidR="00520BA0" w:rsidRPr="000D0D06" w:rsidRDefault="001936FC" w:rsidP="001936FC">
      <w:pPr>
        <w:pStyle w:val="Point0"/>
        <w:rPr>
          <w:noProof/>
        </w:rPr>
      </w:pPr>
      <w:r w:rsidRPr="000D0D06">
        <w:rPr>
          <w:noProof/>
        </w:rPr>
        <w:t>1)</w:t>
      </w:r>
      <w:r w:rsidRPr="000D0D06">
        <w:rPr>
          <w:noProof/>
        </w:rPr>
        <w:tab/>
        <w:t>O armazenamento de dados pessoais, ou a possibilidade de acesso a dados pessoais já armazenados, no equipamento terminal de uma pessoa singular só é permitido se essa pessoa tiver dado o seu consentimento, em conformidade com o presente regulamento.</w:t>
      </w:r>
    </w:p>
    <w:p w14:paraId="66D68D61" w14:textId="5077D6C0" w:rsidR="00520BA0" w:rsidRPr="000D0D06" w:rsidRDefault="001936FC" w:rsidP="001936FC">
      <w:pPr>
        <w:pStyle w:val="Point0"/>
        <w:rPr>
          <w:noProof/>
        </w:rPr>
      </w:pPr>
      <w:r w:rsidRPr="000D0D06">
        <w:rPr>
          <w:noProof/>
        </w:rPr>
        <w:t>2)</w:t>
      </w:r>
      <w:r w:rsidRPr="000D0D06">
        <w:rPr>
          <w:noProof/>
        </w:rPr>
        <w:tab/>
        <w:t>O disposto no n.º 1 não obsta ao armazenamento de dados pessoais, ou à possibilidade de acesso a dados pessoais já armazenados, no equipamento terminal de uma pessoa singular, em conformidade com o direito da União ou dos Estados</w:t>
      </w:r>
      <w:r w:rsidR="00C106FE">
        <w:rPr>
          <w:noProof/>
        </w:rPr>
        <w:noBreakHyphen/>
      </w:r>
      <w:r w:rsidRPr="000D0D06">
        <w:rPr>
          <w:noProof/>
        </w:rPr>
        <w:t>Membros, na aceção do artigo 6.º e nas condições do mesmo, a fim de salvaguardar os objetivos a que se refere o artigo 23.º, n.º 1.</w:t>
      </w:r>
    </w:p>
    <w:p w14:paraId="4FFAC2E4" w14:textId="570B19D5" w:rsidR="00BE2E6E" w:rsidRPr="000D0D06" w:rsidRDefault="001936FC" w:rsidP="001936FC">
      <w:pPr>
        <w:pStyle w:val="Point0"/>
        <w:rPr>
          <w:rFonts w:eastAsiaTheme="majorEastAsia"/>
          <w:noProof/>
          <w:color w:val="000000"/>
        </w:rPr>
      </w:pPr>
      <w:r w:rsidRPr="000D0D06">
        <w:rPr>
          <w:noProof/>
        </w:rPr>
        <w:t>3)</w:t>
      </w:r>
      <w:r w:rsidRPr="000D0D06">
        <w:rPr>
          <w:noProof/>
        </w:rPr>
        <w:tab/>
        <w:t xml:space="preserve">O armazenamento de dados pessoais, ou a possibilidade de acesso a dados pessoais já armazenados, no equipamento terminal de uma pessoa singular sem o seu consentimento, bem como o tratamento subsequente, </w:t>
      </w:r>
      <w:r w:rsidRPr="000D0D06">
        <w:rPr>
          <w:noProof/>
          <w:color w:val="000000"/>
        </w:rPr>
        <w:t>são lícitos na medida em que sejam necessários para:</w:t>
      </w:r>
    </w:p>
    <w:p w14:paraId="621379F2" w14:textId="5FEADFC3" w:rsidR="00BE2E6E" w:rsidRPr="000D0D06" w:rsidRDefault="001936FC" w:rsidP="001936FC">
      <w:pPr>
        <w:pStyle w:val="Point1"/>
        <w:rPr>
          <w:noProof/>
        </w:rPr>
      </w:pPr>
      <w:r w:rsidRPr="000D0D06">
        <w:rPr>
          <w:noProof/>
        </w:rPr>
        <w:t>a)</w:t>
      </w:r>
      <w:r w:rsidRPr="000D0D06">
        <w:rPr>
          <w:noProof/>
        </w:rPr>
        <w:tab/>
        <w:t>Efetuar a transmissão de uma comunicação eletrónica através de uma rede de comunicações eletrónicas;</w:t>
      </w:r>
    </w:p>
    <w:p w14:paraId="203A1FF1" w14:textId="77777777" w:rsidR="00BE2E6E" w:rsidRPr="000D0D06" w:rsidRDefault="001936FC" w:rsidP="001936FC">
      <w:pPr>
        <w:pStyle w:val="Point1"/>
        <w:rPr>
          <w:noProof/>
        </w:rPr>
      </w:pPr>
      <w:r w:rsidRPr="000D0D06">
        <w:rPr>
          <w:noProof/>
        </w:rPr>
        <w:t>b)</w:t>
      </w:r>
      <w:r w:rsidRPr="000D0D06">
        <w:rPr>
          <w:noProof/>
        </w:rPr>
        <w:tab/>
        <w:t>Prestar um serviço explicitamente solicitado pelo titular dos dados;</w:t>
      </w:r>
    </w:p>
    <w:p w14:paraId="70E83105" w14:textId="1F9E2E65" w:rsidR="00BE2E6E" w:rsidRPr="000D0D06" w:rsidRDefault="001936FC" w:rsidP="001936FC">
      <w:pPr>
        <w:pStyle w:val="Point1"/>
        <w:rPr>
          <w:noProof/>
        </w:rPr>
      </w:pPr>
      <w:r w:rsidRPr="000D0D06">
        <w:rPr>
          <w:noProof/>
        </w:rPr>
        <w:t>c)</w:t>
      </w:r>
      <w:r w:rsidRPr="000D0D06">
        <w:rPr>
          <w:noProof/>
        </w:rPr>
        <w:tab/>
        <w:t xml:space="preserve">Criar informações agregadas sobre a utilização de um serviço em linha para medir o público desse serviço, caso essa ação seja levada a cabo pelo responsável pelo tratamento desse serviço em linha exclusivamente para seu próprio uso; </w:t>
      </w:r>
    </w:p>
    <w:p w14:paraId="16AD902B" w14:textId="20766DB3" w:rsidR="00BE2E6E" w:rsidRPr="000D0D06" w:rsidRDefault="001936FC" w:rsidP="001936FC">
      <w:pPr>
        <w:pStyle w:val="Point1"/>
        <w:rPr>
          <w:noProof/>
        </w:rPr>
      </w:pPr>
      <w:r w:rsidRPr="000D0D06">
        <w:rPr>
          <w:noProof/>
        </w:rPr>
        <w:t>d)</w:t>
      </w:r>
      <w:r w:rsidRPr="000D0D06">
        <w:rPr>
          <w:noProof/>
        </w:rPr>
        <w:tab/>
        <w:t>Manter ou restabelecer a segurança de um serviço prestado pelo responsável pelo tratamento e solicitado pelo titular dos dados ou do equipamento terminal utilizado para a prestação desse serviço.</w:t>
      </w:r>
    </w:p>
    <w:p w14:paraId="1B808522" w14:textId="7A5B3FB8" w:rsidR="00BE2E6E" w:rsidRPr="000D0D06" w:rsidRDefault="001936FC" w:rsidP="001936FC">
      <w:pPr>
        <w:pStyle w:val="Point0"/>
        <w:rPr>
          <w:noProof/>
        </w:rPr>
      </w:pPr>
      <w:r w:rsidRPr="000D0D06">
        <w:rPr>
          <w:noProof/>
        </w:rPr>
        <w:t>4)</w:t>
      </w:r>
      <w:r w:rsidRPr="000D0D06">
        <w:rPr>
          <w:noProof/>
        </w:rPr>
        <w:tab/>
        <w:t>Caso o armazenamento de dados pessoais, ou a possibilidade de acesso a dados pessoais já armazenados, no equipamento terminal de uma pessoa singular se baseie no consentimento, é aplicável o seguinte:</w:t>
      </w:r>
    </w:p>
    <w:p w14:paraId="2C803614" w14:textId="19A871ED" w:rsidR="00BE2E6E" w:rsidRPr="000D0D06" w:rsidRDefault="001936FC" w:rsidP="001936FC">
      <w:pPr>
        <w:pStyle w:val="Point1"/>
        <w:rPr>
          <w:noProof/>
        </w:rPr>
      </w:pPr>
      <w:r w:rsidRPr="000D0D06">
        <w:rPr>
          <w:noProof/>
        </w:rPr>
        <w:t>a)</w:t>
      </w:r>
      <w:r w:rsidRPr="000D0D06">
        <w:rPr>
          <w:noProof/>
        </w:rPr>
        <w:tab/>
        <w:t>O titular dos dados deve poder recusar os pedidos de consentimento de forma fácil e inteligível, através de um botão de clique único ou de um meio equivalente;</w:t>
      </w:r>
    </w:p>
    <w:p w14:paraId="4DA7771B" w14:textId="6E276324" w:rsidR="00BE2E6E" w:rsidRPr="000D0D06" w:rsidRDefault="001936FC" w:rsidP="001936FC">
      <w:pPr>
        <w:pStyle w:val="Point1"/>
        <w:rPr>
          <w:noProof/>
        </w:rPr>
      </w:pPr>
      <w:r w:rsidRPr="000D0D06">
        <w:rPr>
          <w:noProof/>
        </w:rPr>
        <w:t>b)</w:t>
      </w:r>
      <w:r w:rsidRPr="000D0D06">
        <w:rPr>
          <w:noProof/>
        </w:rPr>
        <w:tab/>
        <w:t>Se o titular dos dados der o seu consentimento, o responsável pelo tratamento não pode apresentar um novo pedido de consentimento para a mesma finalidade durante o período em que possa licitamente invocar o consentimento do titular dos dados;</w:t>
      </w:r>
    </w:p>
    <w:p w14:paraId="2C91187B" w14:textId="77777777" w:rsidR="00BE2E6E" w:rsidRPr="000D0D06" w:rsidRDefault="001936FC" w:rsidP="001936FC">
      <w:pPr>
        <w:pStyle w:val="Point1"/>
        <w:rPr>
          <w:noProof/>
        </w:rPr>
      </w:pPr>
      <w:r w:rsidRPr="000D0D06">
        <w:rPr>
          <w:noProof/>
        </w:rPr>
        <w:t>c)</w:t>
      </w:r>
      <w:r w:rsidRPr="000D0D06">
        <w:rPr>
          <w:noProof/>
        </w:rPr>
        <w:tab/>
        <w:t>Se o titular dos dados recusar um pedido de consentimento, o responsável pelo tratamento não pode apresentar um novo pedido de consentimento para a mesma finalidade durante um período mínimo de seis meses.</w:t>
      </w:r>
    </w:p>
    <w:p w14:paraId="55650012" w14:textId="686CE535" w:rsidR="00A12BE5" w:rsidRPr="000D0D06" w:rsidRDefault="00A12BE5" w:rsidP="00E743AD">
      <w:pPr>
        <w:pStyle w:val="Text1"/>
        <w:rPr>
          <w:noProof/>
          <w:color w:val="000000"/>
        </w:rPr>
      </w:pPr>
      <w:r w:rsidRPr="000D0D06">
        <w:rPr>
          <w:noProof/>
        </w:rPr>
        <w:t>O presente número também é aplicável ao tratamento subsequente de dados pessoais com base no consentimento.</w:t>
      </w:r>
    </w:p>
    <w:p w14:paraId="1EC0A721" w14:textId="7813584E" w:rsidR="006D3029" w:rsidRPr="000D0D06" w:rsidRDefault="001936FC" w:rsidP="001936FC">
      <w:pPr>
        <w:pStyle w:val="Point0"/>
        <w:rPr>
          <w:rFonts w:eastAsiaTheme="minorEastAsia"/>
          <w:noProof/>
        </w:rPr>
      </w:pPr>
      <w:r w:rsidRPr="000D0D06">
        <w:rPr>
          <w:noProof/>
        </w:rPr>
        <w:t>5)</w:t>
      </w:r>
      <w:r w:rsidRPr="000D0D06">
        <w:rPr>
          <w:noProof/>
        </w:rPr>
        <w:tab/>
        <w:t>O presente artigo é aplicável a partir de [OP: inserir a data = 6 meses após a data de entrada em vigor do presente regulamento].</w:t>
      </w:r>
    </w:p>
    <w:p w14:paraId="5FD868BD" w14:textId="77777777" w:rsidR="00401362" w:rsidRPr="000D0D06" w:rsidRDefault="00401362" w:rsidP="008D6372">
      <w:pPr>
        <w:ind w:left="360"/>
        <w:jc w:val="center"/>
        <w:rPr>
          <w:rFonts w:eastAsia="Times New Roman"/>
          <w:noProof/>
          <w:color w:val="000000" w:themeColor="text1"/>
        </w:rPr>
      </w:pPr>
    </w:p>
    <w:p w14:paraId="0C370D01" w14:textId="77777777" w:rsidR="00C90992" w:rsidRPr="000D0D06" w:rsidRDefault="00990C4B" w:rsidP="008D6372">
      <w:pPr>
        <w:ind w:left="360"/>
        <w:jc w:val="center"/>
        <w:rPr>
          <w:rFonts w:eastAsia="Times New Roman"/>
          <w:noProof/>
          <w:color w:val="000000" w:themeColor="text1"/>
        </w:rPr>
      </w:pPr>
      <w:r w:rsidRPr="000D0D06">
        <w:rPr>
          <w:noProof/>
          <w:color w:val="000000" w:themeColor="text1"/>
        </w:rPr>
        <w:t>Artigo 88.º-B</w:t>
      </w:r>
    </w:p>
    <w:p w14:paraId="36FA99E2" w14:textId="77777777" w:rsidR="00990C4B" w:rsidRPr="000D0D06" w:rsidRDefault="00B25DB2" w:rsidP="008D6372">
      <w:pPr>
        <w:ind w:left="360"/>
        <w:jc w:val="center"/>
        <w:rPr>
          <w:rFonts w:eastAsia="Times New Roman"/>
          <w:i/>
          <w:iCs/>
          <w:noProof/>
          <w:color w:val="000000" w:themeColor="text1"/>
        </w:rPr>
      </w:pPr>
      <w:r w:rsidRPr="000D0D06">
        <w:rPr>
          <w:i/>
          <w:noProof/>
          <w:color w:val="000000" w:themeColor="text1"/>
        </w:rPr>
        <w:t>Indicações automatizadas e legíveis por máquina das escolhas do titular dos dados no que diz respeito ao tratamento de dados pessoais no equipamento terminal de pessoas singulares</w:t>
      </w:r>
    </w:p>
    <w:p w14:paraId="46EE479F" w14:textId="77777777" w:rsidR="00D218A6" w:rsidRPr="000D0D06" w:rsidRDefault="001936FC" w:rsidP="001936FC">
      <w:pPr>
        <w:pStyle w:val="Point0"/>
        <w:rPr>
          <w:noProof/>
        </w:rPr>
      </w:pPr>
      <w:bookmarkStart w:id="15" w:name="_Hlk212134225"/>
      <w:r w:rsidRPr="000D0D06">
        <w:rPr>
          <w:noProof/>
        </w:rPr>
        <w:t>1)</w:t>
      </w:r>
      <w:r w:rsidRPr="000D0D06">
        <w:rPr>
          <w:noProof/>
        </w:rPr>
        <w:tab/>
        <w:t>Os responsáveis pelo tratamento devem assegurar que as suas interfaces em linha permitam aos titulares dos dados:</w:t>
      </w:r>
    </w:p>
    <w:p w14:paraId="3E3E7468" w14:textId="192FAED6" w:rsidR="00D218A6" w:rsidRPr="000D0D06" w:rsidRDefault="001936FC" w:rsidP="001936FC">
      <w:pPr>
        <w:pStyle w:val="Point1"/>
        <w:rPr>
          <w:rFonts w:eastAsia="Times New Roman"/>
          <w:noProof/>
        </w:rPr>
      </w:pPr>
      <w:r w:rsidRPr="000D0D06">
        <w:rPr>
          <w:noProof/>
        </w:rPr>
        <w:t>a)</w:t>
      </w:r>
      <w:r w:rsidRPr="000D0D06">
        <w:rPr>
          <w:noProof/>
        </w:rPr>
        <w:tab/>
      </w:r>
      <w:r w:rsidRPr="000D0D06">
        <w:rPr>
          <w:rStyle w:val="normaltextrun"/>
          <w:noProof/>
          <w:color w:val="000000" w:themeColor="text1"/>
        </w:rPr>
        <w:t xml:space="preserve">Dar o seu consentimento </w:t>
      </w:r>
      <w:r w:rsidRPr="000D0D06">
        <w:rPr>
          <w:rStyle w:val="normaltextrun"/>
          <w:noProof/>
        </w:rPr>
        <w:t xml:space="preserve">através de meios automatizados </w:t>
      </w:r>
      <w:r w:rsidRPr="000D0D06">
        <w:rPr>
          <w:rStyle w:val="normaltextrun"/>
          <w:noProof/>
          <w:color w:val="000000" w:themeColor="text1"/>
        </w:rPr>
        <w:t>e legíveis por máquina, desde que sejam cumpridas as condições de consentimento estabelecidas no presente regulamento;</w:t>
      </w:r>
    </w:p>
    <w:p w14:paraId="7D0484DB" w14:textId="77777777" w:rsidR="00D218A6" w:rsidRPr="000D0D06" w:rsidRDefault="001936FC" w:rsidP="001936FC">
      <w:pPr>
        <w:pStyle w:val="Point1"/>
        <w:rPr>
          <w:rFonts w:eastAsia="Times New Roman"/>
          <w:noProof/>
          <w:color w:val="000000" w:themeColor="text1"/>
        </w:rPr>
      </w:pPr>
      <w:r w:rsidRPr="000D0D06">
        <w:rPr>
          <w:noProof/>
        </w:rPr>
        <w:t>b)</w:t>
      </w:r>
      <w:r w:rsidRPr="000D0D06">
        <w:rPr>
          <w:noProof/>
        </w:rPr>
        <w:tab/>
      </w:r>
      <w:r w:rsidRPr="000D0D06">
        <w:rPr>
          <w:rStyle w:val="normaltextrun"/>
          <w:noProof/>
          <w:color w:val="000000" w:themeColor="text1"/>
        </w:rPr>
        <w:t>Recusar um pedido de consentimento</w:t>
      </w:r>
      <w:r w:rsidRPr="000D0D06">
        <w:rPr>
          <w:rStyle w:val="normaltextrun"/>
          <w:noProof/>
        </w:rPr>
        <w:t xml:space="preserve"> e exercer o direito de oposição nos termos do artigo 21.º, n.º 2, através de meios automatizados </w:t>
      </w:r>
      <w:r w:rsidRPr="000D0D06">
        <w:rPr>
          <w:rStyle w:val="normaltextrun"/>
          <w:noProof/>
          <w:color w:val="000000" w:themeColor="text1"/>
        </w:rPr>
        <w:t>e legíveis por máquina</w:t>
      </w:r>
      <w:r w:rsidRPr="000D0D06">
        <w:rPr>
          <w:noProof/>
          <w:color w:val="000000" w:themeColor="text1"/>
        </w:rPr>
        <w:t>.</w:t>
      </w:r>
    </w:p>
    <w:p w14:paraId="3169C5E9" w14:textId="34A20529" w:rsidR="00D218A6" w:rsidRPr="000D0D06" w:rsidRDefault="001936FC" w:rsidP="001936FC">
      <w:pPr>
        <w:pStyle w:val="Point0"/>
        <w:rPr>
          <w:noProof/>
        </w:rPr>
      </w:pPr>
      <w:r w:rsidRPr="000D0D06">
        <w:rPr>
          <w:noProof/>
        </w:rPr>
        <w:t>2)</w:t>
      </w:r>
      <w:r w:rsidRPr="000D0D06">
        <w:rPr>
          <w:noProof/>
        </w:rPr>
        <w:tab/>
        <w:t>Os responsáveis pelo tratamento devem respeitar as escolhas feitas pelos titulares dos dados, em conformidade com o n.º 1.</w:t>
      </w:r>
    </w:p>
    <w:p w14:paraId="41DA5B54" w14:textId="5552FD04" w:rsidR="00D218A6" w:rsidRPr="000D0D06" w:rsidRDefault="001936FC" w:rsidP="001936FC">
      <w:pPr>
        <w:pStyle w:val="Point0"/>
        <w:rPr>
          <w:noProof/>
        </w:rPr>
      </w:pPr>
      <w:r w:rsidRPr="000D0D06">
        <w:rPr>
          <w:noProof/>
        </w:rPr>
        <w:t>3)</w:t>
      </w:r>
      <w:r w:rsidRPr="000D0D06">
        <w:rPr>
          <w:noProof/>
        </w:rPr>
        <w:tab/>
        <w:t>Os n.</w:t>
      </w:r>
      <w:r w:rsidRPr="000D0D06">
        <w:rPr>
          <w:noProof/>
          <w:vertAlign w:val="superscript"/>
        </w:rPr>
        <w:t>os</w:t>
      </w:r>
      <w:r w:rsidRPr="000D0D06">
        <w:rPr>
          <w:noProof/>
        </w:rPr>
        <w:t> 1 e 2 não são aplicáveis aos responsáveis pelo tratamento que sejam prestadores de serviços de comunicação social, sempre que prestem um serviço de comunicação social.</w:t>
      </w:r>
    </w:p>
    <w:p w14:paraId="70EE7DA1" w14:textId="77777777" w:rsidR="00D218A6" w:rsidRPr="000D0D06" w:rsidRDefault="001936FC" w:rsidP="001936FC">
      <w:pPr>
        <w:pStyle w:val="Point0"/>
        <w:rPr>
          <w:noProof/>
        </w:rPr>
      </w:pPr>
      <w:r w:rsidRPr="000D0D06">
        <w:rPr>
          <w:noProof/>
        </w:rPr>
        <w:t>4)</w:t>
      </w:r>
      <w:r w:rsidRPr="000D0D06">
        <w:rPr>
          <w:noProof/>
        </w:rPr>
        <w:tab/>
        <w:t>A Comissão solicita, em conformidade com o artigo 10.º, n.º 1, do Regulamento (UE) n.º 1025/2012, a uma ou mais organizações europeias de normalização que elaborem projetos de normas para a interpretação das indicações legíveis por máquina das escolhas dos titulares dos dados.</w:t>
      </w:r>
    </w:p>
    <w:p w14:paraId="08567AB5" w14:textId="77777777" w:rsidR="00D218A6" w:rsidRPr="000D0D06" w:rsidRDefault="00D218A6" w:rsidP="00E02128">
      <w:pPr>
        <w:pStyle w:val="Text1"/>
        <w:rPr>
          <w:noProof/>
        </w:rPr>
      </w:pPr>
      <w:r w:rsidRPr="000D0D06">
        <w:rPr>
          <w:noProof/>
        </w:rPr>
        <w:t xml:space="preserve">Presume-se que as interfaces em linha dos responsáveis pelo tratamento conformes com as normas harmonizadas, ou partes destas, cujas referências tenham sido publicadas no </w:t>
      </w:r>
      <w:r w:rsidRPr="000D0D06">
        <w:rPr>
          <w:i/>
          <w:iCs/>
          <w:noProof/>
        </w:rPr>
        <w:t>Jornal Oficial da União Europeia</w:t>
      </w:r>
      <w:r w:rsidRPr="000D0D06">
        <w:rPr>
          <w:noProof/>
        </w:rPr>
        <w:t>, são conformes com os requisitos abrangidos pelas referidas normas, ou partes destas, estabelecidos no n.º 1.</w:t>
      </w:r>
    </w:p>
    <w:p w14:paraId="78AE36E9" w14:textId="77777777" w:rsidR="00D218A6" w:rsidRPr="000D0D06" w:rsidRDefault="001936FC" w:rsidP="001936FC">
      <w:pPr>
        <w:pStyle w:val="Point0"/>
        <w:rPr>
          <w:noProof/>
        </w:rPr>
      </w:pPr>
      <w:r w:rsidRPr="000D0D06">
        <w:rPr>
          <w:noProof/>
        </w:rPr>
        <w:t>5)</w:t>
      </w:r>
      <w:r w:rsidRPr="000D0D06">
        <w:rPr>
          <w:noProof/>
        </w:rPr>
        <w:tab/>
        <w:t>Os n.</w:t>
      </w:r>
      <w:r w:rsidRPr="000D0D06">
        <w:rPr>
          <w:noProof/>
          <w:vertAlign w:val="superscript"/>
        </w:rPr>
        <w:t>os</w:t>
      </w:r>
      <w:r w:rsidRPr="000D0D06">
        <w:rPr>
          <w:noProof/>
        </w:rPr>
        <w:t> 1 e 2 são aplicáveis a partir de [OP: inserir a data = 24 meses após a data de entrada em vigor do presente regulamento].</w:t>
      </w:r>
    </w:p>
    <w:p w14:paraId="4E7D7B96" w14:textId="6BC161E9" w:rsidR="00D218A6" w:rsidRPr="000D0D06" w:rsidRDefault="001936FC" w:rsidP="001936FC">
      <w:pPr>
        <w:pStyle w:val="Point0"/>
        <w:rPr>
          <w:noProof/>
        </w:rPr>
      </w:pPr>
      <w:r w:rsidRPr="000D0D06">
        <w:rPr>
          <w:noProof/>
        </w:rPr>
        <w:t>6)</w:t>
      </w:r>
      <w:r w:rsidRPr="000D0D06">
        <w:rPr>
          <w:noProof/>
        </w:rPr>
        <w:tab/>
        <w:t>Os fornecedores de navegadores Web que não sejam PME disponibilizam os meios técnicos para permitir aos titulares dos dados dar o seu consentimento e recusar um pedido de consentimento, bem como exercer o seu direito de oposição nos termos do artigo 21.º, n.º 2, através dos meios automatizados e legíveis por máquina a que se refere o n.º 1 do presente artigo, conforme aplicável nos termos dos n.</w:t>
      </w:r>
      <w:r w:rsidRPr="000D0D06">
        <w:rPr>
          <w:noProof/>
          <w:vertAlign w:val="superscript"/>
        </w:rPr>
        <w:t>os</w:t>
      </w:r>
      <w:r w:rsidRPr="000D0D06">
        <w:rPr>
          <w:noProof/>
        </w:rPr>
        <w:t> 2 a 5 do presente artigo.</w:t>
      </w:r>
    </w:p>
    <w:p w14:paraId="3EFAF58B" w14:textId="74D61137" w:rsidR="00D218A6" w:rsidRPr="000D0D06" w:rsidRDefault="001936FC" w:rsidP="001936FC">
      <w:pPr>
        <w:pStyle w:val="Point0"/>
        <w:rPr>
          <w:noProof/>
        </w:rPr>
      </w:pPr>
      <w:r w:rsidRPr="000D0D06">
        <w:rPr>
          <w:noProof/>
        </w:rPr>
        <w:t>7)</w:t>
      </w:r>
      <w:r w:rsidRPr="000D0D06">
        <w:rPr>
          <w:noProof/>
        </w:rPr>
        <w:tab/>
        <w:t>O n.º 6 é aplicável a partir de [OP: inserir a data = 48 meses após a data de entrada em vigor do presente regulamento].</w:t>
      </w:r>
    </w:p>
    <w:bookmarkEnd w:id="14"/>
    <w:bookmarkEnd w:id="15"/>
    <w:p w14:paraId="3CAABD59" w14:textId="77777777" w:rsidR="00355D64" w:rsidRPr="000D0D06" w:rsidRDefault="00355D64" w:rsidP="00EA0957">
      <w:pPr>
        <w:ind w:left="360"/>
        <w:jc w:val="center"/>
        <w:rPr>
          <w:rFonts w:eastAsia="Times New Roman"/>
          <w:noProof/>
          <w:color w:val="000000" w:themeColor="text1"/>
        </w:rPr>
      </w:pPr>
    </w:p>
    <w:p w14:paraId="7D2ECFBA" w14:textId="77777777" w:rsidR="00EA0957" w:rsidRPr="000D0D06" w:rsidRDefault="00EA0957" w:rsidP="00EA0957">
      <w:pPr>
        <w:ind w:left="360"/>
        <w:jc w:val="center"/>
        <w:rPr>
          <w:rFonts w:eastAsia="Times New Roman"/>
          <w:noProof/>
          <w:color w:val="000000" w:themeColor="text1"/>
        </w:rPr>
      </w:pPr>
      <w:r w:rsidRPr="000D0D06">
        <w:rPr>
          <w:noProof/>
          <w:color w:val="000000" w:themeColor="text1"/>
        </w:rPr>
        <w:t>Artigo 88.º-C</w:t>
      </w:r>
    </w:p>
    <w:p w14:paraId="07E40EF4" w14:textId="77777777" w:rsidR="00EA0957" w:rsidRPr="000D0D06" w:rsidRDefault="00160C10" w:rsidP="00EA0957">
      <w:pPr>
        <w:ind w:left="360"/>
        <w:jc w:val="center"/>
        <w:rPr>
          <w:i/>
          <w:iCs/>
          <w:strike/>
          <w:noProof/>
        </w:rPr>
      </w:pPr>
      <w:r w:rsidRPr="000D0D06">
        <w:rPr>
          <w:i/>
          <w:noProof/>
          <w:color w:val="000000" w:themeColor="text1"/>
        </w:rPr>
        <w:t>Tratamento no contexto do desenvolvimento e do funcionamento da IA</w:t>
      </w:r>
    </w:p>
    <w:p w14:paraId="531E6E32" w14:textId="2CB87199" w:rsidR="00E271A5" w:rsidRPr="000D0D06" w:rsidRDefault="00E271A5" w:rsidP="00E271A5">
      <w:pPr>
        <w:spacing w:after="0" w:line="276" w:lineRule="auto"/>
        <w:rPr>
          <w:rFonts w:eastAsia="Times New Roman"/>
          <w:noProof/>
        </w:rPr>
      </w:pPr>
      <w:r w:rsidRPr="000D0D06">
        <w:rPr>
          <w:noProof/>
        </w:rPr>
        <w:t>Sempre que o tratamento de dados pessoais seja necessário para efeito dos interesses do responsável pelo tratamento no contexto do desenvolvimento e funcionamento de um sistema de IA na aceção no artigo 3.º, ponto 1, do Regulamento (UE) 2024/1689, ou de um modelo de IA, esse tratamento pode ser prosseguido para efeitos dos interesses legítimos, na aceção do artigo 6.º, n.º 1, alínea f), do Regulamento (UE) 2016/679, quando aplicável, exceto se outra legislação da União ou nacional exigir explicitamente o consentimento e se prevalecerem sobre esses interesses os interesses ou os direitos e liberdades fundamentais do titular dos dados que exijam a proteção dos dados pessoais, em especial se o titular dos dados for uma criança.</w:t>
      </w:r>
    </w:p>
    <w:p w14:paraId="51765FE9" w14:textId="1778845B" w:rsidR="00CD30FC" w:rsidRPr="000D0D06" w:rsidRDefault="00E271A5" w:rsidP="00E271A5">
      <w:pPr>
        <w:spacing w:after="0" w:line="276" w:lineRule="auto"/>
        <w:rPr>
          <w:rFonts w:eastAsia="Times New Roman"/>
          <w:noProof/>
        </w:rPr>
      </w:pPr>
      <w:r w:rsidRPr="000D0D06">
        <w:rPr>
          <w:noProof/>
        </w:rPr>
        <w:t>Qualquer tratamento deste tipo deve estar sujeito a medidas organizativas e técnicas e a garantias adequadas para defender os direitos e liberdades do titular dos dados, como assegurar o respeito da minimização dos dados durante a fase de seleção das fontes e o treino e testagem de um sistema de IA ou modelo de IA, proteger contra a não divulgação de dados conservados de forma residual no sistema de IA ou no modelo de IA, a fim de garantir uma maior transparência para os titulares dos dados e de lhes proporcionar um direito incondicional de se oporem ao tratamento dos seus dados pessoais.».</w:t>
      </w:r>
    </w:p>
    <w:p w14:paraId="454A4F20" w14:textId="77777777" w:rsidR="00EA0957" w:rsidRPr="000D0D06" w:rsidRDefault="0C9958A6" w:rsidP="00405BC9">
      <w:pPr>
        <w:pStyle w:val="Titrearticle"/>
        <w:rPr>
          <w:rFonts w:eastAsia="Times New Roman"/>
          <w:noProof/>
          <w:color w:val="000000" w:themeColor="text1"/>
        </w:rPr>
      </w:pPr>
      <w:r w:rsidRPr="000D0D06">
        <w:rPr>
          <w:noProof/>
        </w:rPr>
        <w:t>Artigo 4.º</w:t>
      </w:r>
    </w:p>
    <w:p w14:paraId="4ECA6487" w14:textId="77777777" w:rsidR="00EA0957" w:rsidRPr="000D0D06" w:rsidRDefault="4918F68B" w:rsidP="7DB20B2D">
      <w:pPr>
        <w:spacing w:after="0" w:line="276" w:lineRule="auto"/>
        <w:ind w:left="360"/>
        <w:jc w:val="center"/>
        <w:rPr>
          <w:rFonts w:eastAsia="Times New Roman"/>
          <w:noProof/>
        </w:rPr>
      </w:pPr>
      <w:r w:rsidRPr="000D0D06">
        <w:rPr>
          <w:i/>
          <w:noProof/>
        </w:rPr>
        <w:t>Alterações do Regulamento (UE) 2018/1725 (RPDUE)</w:t>
      </w:r>
    </w:p>
    <w:p w14:paraId="457F6A15" w14:textId="77777777" w:rsidR="15B97878" w:rsidRPr="000D0D06" w:rsidRDefault="3B8DB1BC" w:rsidP="5EE1C1FF">
      <w:pPr>
        <w:rPr>
          <w:rFonts w:eastAsia="Calibri"/>
          <w:noProof/>
          <w:szCs w:val="24"/>
        </w:rPr>
      </w:pPr>
      <w:r w:rsidRPr="000D0D06">
        <w:rPr>
          <w:noProof/>
        </w:rPr>
        <w:t>O Regulamento (UE) 2018/1725 é alterado do seguinte modo:</w:t>
      </w:r>
    </w:p>
    <w:p w14:paraId="441575B4" w14:textId="77777777" w:rsidR="5EE1C1FF" w:rsidRPr="000D0D06" w:rsidRDefault="001936FC" w:rsidP="001936FC">
      <w:pPr>
        <w:pStyle w:val="ManualNumPar1"/>
        <w:rPr>
          <w:noProof/>
        </w:rPr>
      </w:pPr>
      <w:r w:rsidRPr="000D0D06">
        <w:rPr>
          <w:noProof/>
        </w:rPr>
        <w:t>1.</w:t>
      </w:r>
      <w:r w:rsidRPr="000D0D06">
        <w:rPr>
          <w:noProof/>
        </w:rPr>
        <w:tab/>
        <w:t>O artigo 3.º é alterado do seguinte modo:</w:t>
      </w:r>
    </w:p>
    <w:p w14:paraId="06515E93" w14:textId="77777777" w:rsidR="5EE1C1FF" w:rsidRPr="000D0D06" w:rsidRDefault="00D917CE" w:rsidP="0014764C">
      <w:pPr>
        <w:pStyle w:val="LegalNumPar"/>
        <w:numPr>
          <w:ilvl w:val="0"/>
          <w:numId w:val="38"/>
        </w:numPr>
        <w:spacing w:before="0"/>
        <w:ind w:left="1353"/>
        <w:rPr>
          <w:noProof/>
        </w:rPr>
      </w:pPr>
      <w:r w:rsidRPr="000D0D06">
        <w:rPr>
          <w:noProof/>
        </w:rPr>
        <w:t xml:space="preserve">Ao ponto 1 são aditadas as frases seguintes: </w:t>
      </w:r>
    </w:p>
    <w:p w14:paraId="7AA5DB41" w14:textId="0E549DF7" w:rsidR="5EE1C1FF" w:rsidRPr="000D0D06" w:rsidRDefault="43CFE638" w:rsidP="00665C74">
      <w:pPr>
        <w:pStyle w:val="Text2"/>
        <w:rPr>
          <w:noProof/>
        </w:rPr>
      </w:pPr>
      <w:r w:rsidRPr="000D0D06">
        <w:rPr>
          <w:noProof/>
        </w:rPr>
        <w:t>«As informações relativas a uma pessoa singular não são necessariamente dados pessoais para qualquer outra pessoa ou entidade pelo simples facto de uma entidade poder identificar essa pessoa singular. As informações não são pessoais para uma determinada entidade se essa entidade não conseguir identificar a pessoa singular a quem dizem respeito, tendo em conta os meios que apresentem uma probabilidade razoável de ser utilizados por essa entidade. Essas informações não se tornam pessoais para essa entidade pelo simples facto de um potencial destinatário subsequente dispor de meios que apresentem uma probabilidade razoável de ser utilizados para identificar a pessoa singular a quem as informações dizem respeito.»;</w:t>
      </w:r>
    </w:p>
    <w:p w14:paraId="47D9531C" w14:textId="77777777" w:rsidR="15B97878" w:rsidRPr="000D0D06" w:rsidRDefault="06FB76DF" w:rsidP="0014764C">
      <w:pPr>
        <w:pStyle w:val="LegalNumPar"/>
        <w:numPr>
          <w:ilvl w:val="0"/>
          <w:numId w:val="38"/>
        </w:numPr>
        <w:spacing w:before="0"/>
        <w:ind w:left="1353"/>
        <w:rPr>
          <w:rFonts w:asciiTheme="minorHAnsi" w:eastAsiaTheme="minorEastAsia" w:hAnsiTheme="minorHAnsi" w:cstheme="minorBidi"/>
          <w:noProof/>
        </w:rPr>
      </w:pPr>
      <w:r w:rsidRPr="000D0D06">
        <w:rPr>
          <w:noProof/>
        </w:rPr>
        <w:t>O ponto 25 passa a ter a seguinte redação:</w:t>
      </w:r>
    </w:p>
    <w:p w14:paraId="775634CE" w14:textId="5F3CB650" w:rsidR="00EA0957" w:rsidRPr="000D0D06" w:rsidRDefault="06FB76DF" w:rsidP="00665C74">
      <w:pPr>
        <w:pStyle w:val="Text2"/>
        <w:rPr>
          <w:noProof/>
        </w:rPr>
      </w:pPr>
      <w:r w:rsidRPr="000D0D06">
        <w:rPr>
          <w:noProof/>
        </w:rPr>
        <w:t>«25) “Redes de comunicações eletrónicas”, redes na aceção do artigo 2.º, ponto 1, da Diretiva (UE) 2018/1972;»;</w:t>
      </w:r>
    </w:p>
    <w:p w14:paraId="4134C8A8" w14:textId="77777777" w:rsidR="32FAABF3" w:rsidRPr="000D0D06" w:rsidRDefault="00FB3403" w:rsidP="0014764C">
      <w:pPr>
        <w:pStyle w:val="LegalNumPar"/>
        <w:numPr>
          <w:ilvl w:val="0"/>
          <w:numId w:val="38"/>
        </w:numPr>
        <w:spacing w:before="0"/>
        <w:ind w:left="1353"/>
        <w:rPr>
          <w:noProof/>
        </w:rPr>
      </w:pPr>
      <w:r w:rsidRPr="000D0D06">
        <w:rPr>
          <w:noProof/>
        </w:rPr>
        <w:t>São aditados os seguintes pontos:</w:t>
      </w:r>
    </w:p>
    <w:p w14:paraId="2102BEC2" w14:textId="372B13FF" w:rsidR="32FAABF3" w:rsidRPr="000D0D06" w:rsidRDefault="32FAABF3" w:rsidP="00665C74">
      <w:pPr>
        <w:pStyle w:val="Text2"/>
        <w:rPr>
          <w:noProof/>
        </w:rPr>
      </w:pPr>
      <w:r w:rsidRPr="000D0D06">
        <w:rPr>
          <w:noProof/>
        </w:rPr>
        <w:t>«27) “Aplicação móvel”, uma aplicação móvel na aceção do artigo 3.º, ponto 2, da Diretiva (UE) 2016/2102;</w:t>
      </w:r>
    </w:p>
    <w:p w14:paraId="015CD745" w14:textId="77777777" w:rsidR="00F02E15" w:rsidRPr="000D0D06" w:rsidRDefault="00F02E15" w:rsidP="00665C74">
      <w:pPr>
        <w:pStyle w:val="Text2"/>
        <w:rPr>
          <w:noProof/>
        </w:rPr>
      </w:pPr>
      <w:r w:rsidRPr="000D0D06">
        <w:rPr>
          <w:noProof/>
        </w:rPr>
        <w:t>28) “Interface em linha”, uma interface em linha na aceção do artigo 3.º, alínea m), do Regulamento (UE) 2022/2065;</w:t>
      </w:r>
    </w:p>
    <w:p w14:paraId="61BB2DC8" w14:textId="00738044" w:rsidR="007735DD" w:rsidRPr="000D0D06" w:rsidRDefault="009D3A2B" w:rsidP="00665C74">
      <w:pPr>
        <w:pStyle w:val="Text2"/>
        <w:rPr>
          <w:noProof/>
        </w:rPr>
      </w:pPr>
      <w:r w:rsidRPr="000D0D06">
        <w:rPr>
          <w:noProof/>
        </w:rPr>
        <w:t>29) “Investigação científica”, qualquer investigação que também possa apoiar a inovação, como o desenvolvimento tecnológico e a demonstração. Estas ações devem contribuir para os conhecimentos científicos existentes ou aplicar os conhecimentos existentes de formas inovadoras, ser realizadas com o objetivo de contribuir para o aumento dos conhecimentos gerais e do bem-estar da sociedade e respeitar os padrões éticos na área de investigação em causa. Tal não exclui a possibilidade de a investigação visar igualmente a promoção de um interesse comercial.».</w:t>
      </w:r>
    </w:p>
    <w:p w14:paraId="64D848F1" w14:textId="77777777" w:rsidR="007735DD" w:rsidRPr="000D0D06" w:rsidRDefault="001936FC" w:rsidP="001936FC">
      <w:pPr>
        <w:pStyle w:val="ManualNumPar1"/>
        <w:rPr>
          <w:noProof/>
        </w:rPr>
      </w:pPr>
      <w:r w:rsidRPr="000D0D06">
        <w:rPr>
          <w:noProof/>
        </w:rPr>
        <w:t>2.</w:t>
      </w:r>
      <w:r w:rsidRPr="000D0D06">
        <w:rPr>
          <w:noProof/>
        </w:rPr>
        <w:tab/>
        <w:t xml:space="preserve">No artigo 4.º, n.º 1, a alínea b) passa a ter a seguinte redação: </w:t>
      </w:r>
    </w:p>
    <w:p w14:paraId="58733172" w14:textId="77777777" w:rsidR="009D3A2B" w:rsidRPr="000D0D06" w:rsidRDefault="00802070" w:rsidP="00665C74">
      <w:pPr>
        <w:pStyle w:val="Text2"/>
        <w:rPr>
          <w:noProof/>
        </w:rPr>
      </w:pPr>
      <w:r w:rsidRPr="000D0D06">
        <w:rPr>
          <w:noProof/>
        </w:rPr>
        <w:t>«b) Recolhidos para finalidades determinadas, explícitas e legítimas, e não podem ser tratados posteriormente de uma forma incompatível com essas finalidades; o tratamento posterior para fins de arquivo de interesse público, ou para fins de investigação científica ou histórica ou para fins estatísticos, é considerado compatível com as finalidades iniciais, em conformidade com o artigo 13.º, independentemente das condições previstas no artigo 6.º do presente regulamento (“limitação das finalidades”);».</w:t>
      </w:r>
    </w:p>
    <w:p w14:paraId="563CD1D5" w14:textId="77777777" w:rsidR="4F5146A1" w:rsidRPr="000D0D06" w:rsidRDefault="001936FC" w:rsidP="001936FC">
      <w:pPr>
        <w:pStyle w:val="ManualNumPar1"/>
        <w:rPr>
          <w:noProof/>
        </w:rPr>
      </w:pPr>
      <w:r w:rsidRPr="000D0D06">
        <w:rPr>
          <w:noProof/>
        </w:rPr>
        <w:t>3.</w:t>
      </w:r>
      <w:r w:rsidRPr="000D0D06">
        <w:rPr>
          <w:noProof/>
        </w:rPr>
        <w:tab/>
        <w:t>O artigo 10.º é alterado do seguinte modo:</w:t>
      </w:r>
    </w:p>
    <w:p w14:paraId="764AB609" w14:textId="77777777" w:rsidR="2D9274CA" w:rsidRPr="000D0D06" w:rsidRDefault="005D1F61" w:rsidP="0014764C">
      <w:pPr>
        <w:pStyle w:val="LegalNumPar"/>
        <w:numPr>
          <w:ilvl w:val="0"/>
          <w:numId w:val="39"/>
        </w:numPr>
        <w:spacing w:before="0"/>
        <w:ind w:left="1353"/>
        <w:rPr>
          <w:rFonts w:eastAsia="Calibri"/>
          <w:noProof/>
        </w:rPr>
      </w:pPr>
      <w:r w:rsidRPr="000D0D06">
        <w:rPr>
          <w:noProof/>
        </w:rPr>
        <w:t>Ao n.º 2 são aditadas as seguintes alíneas:</w:t>
      </w:r>
    </w:p>
    <w:p w14:paraId="2B36796C" w14:textId="4CA72E5E" w:rsidR="27A241E8" w:rsidRPr="000D0D06" w:rsidRDefault="27A241E8" w:rsidP="00665C74">
      <w:pPr>
        <w:pStyle w:val="Text2"/>
        <w:rPr>
          <w:noProof/>
        </w:rPr>
      </w:pPr>
      <w:r w:rsidRPr="000D0D06">
        <w:rPr>
          <w:noProof/>
        </w:rPr>
        <w:t xml:space="preserve">«k) O tratamento é efetuado no contexto do desenvolvimento e do funcionamento de um sistema de IA na aceção do artigo 3.º, ponto 1, do Regulamento (UE) 2024/1689, ou de um modelo de IA, sob reserva das condições a que se refere o n.º 4; </w:t>
      </w:r>
      <w:r w:rsidRPr="000D0D06">
        <w:rPr>
          <w:strike/>
          <w:noProof/>
          <w:color w:val="FF0000"/>
        </w:rPr>
        <w:t>.</w:t>
      </w:r>
    </w:p>
    <w:p w14:paraId="63DCEB57" w14:textId="44AAACBB" w:rsidR="5A6A20CD" w:rsidRPr="000D0D06" w:rsidRDefault="33D0666B" w:rsidP="00665C74">
      <w:pPr>
        <w:pStyle w:val="Text2"/>
        <w:rPr>
          <w:noProof/>
        </w:rPr>
      </w:pPr>
      <w:r w:rsidRPr="000D0D06">
        <w:rPr>
          <w:noProof/>
        </w:rPr>
        <w:t>l) O tratamento de dados biométricos é necessário para efeitos de confirmação da identidade de um titular dos dados (verificação), caso os dados biométricos ou os meios necessários para a verificação estejam sob o controlo exclusivo do titular dos dados.»;</w:t>
      </w:r>
    </w:p>
    <w:p w14:paraId="2D3D50E8" w14:textId="77777777" w:rsidR="4B31B772" w:rsidRPr="000D0D06" w:rsidRDefault="005D1F61" w:rsidP="0014764C">
      <w:pPr>
        <w:pStyle w:val="LegalNumPar"/>
        <w:numPr>
          <w:ilvl w:val="0"/>
          <w:numId w:val="39"/>
        </w:numPr>
        <w:spacing w:before="0"/>
        <w:ind w:left="1353"/>
        <w:rPr>
          <w:rFonts w:eastAsia="Calibri"/>
          <w:noProof/>
        </w:rPr>
      </w:pPr>
      <w:r w:rsidRPr="000D0D06">
        <w:rPr>
          <w:noProof/>
        </w:rPr>
        <w:t>É aditado o seguinte n.º 4:</w:t>
      </w:r>
    </w:p>
    <w:p w14:paraId="2455A821" w14:textId="62B160F1" w:rsidR="4B31B772" w:rsidRPr="000D0D06" w:rsidRDefault="4B31B772" w:rsidP="00665C74">
      <w:pPr>
        <w:pStyle w:val="Text2"/>
        <w:rPr>
          <w:noProof/>
        </w:rPr>
      </w:pPr>
      <w:r w:rsidRPr="000D0D06">
        <w:rPr>
          <w:rFonts w:asciiTheme="minorHAnsi" w:hAnsiTheme="minorHAnsi"/>
          <w:noProof/>
        </w:rPr>
        <w:t xml:space="preserve">«4. </w:t>
      </w:r>
      <w:r w:rsidRPr="000D0D06">
        <w:rPr>
          <w:noProof/>
        </w:rPr>
        <w:t>Para o tratamento a que se refere o n.º 2, alínea k), devem ser aplicadas medidas organizativas e técnicas adequadas para impedir a recolha e outras formas de tratamento de categorias especiais de dados pessoais. Se, apesar da aplicação dessas medidas, o responsável pelo tratamento identificar categorias especiais de dados pessoais nos conjuntos de dados utilizados para treino, testagem ou validação ou no sistema de IA ou no modelo de IA, deve suprimir esses dados. Caso a supressão desses dados exija um esforço desproporcionado, o responsável pelo tratamento deve, em qualquer caso, proteger eficazmente, sem demora injustificada, esses dados de serem utilizados para produzir resultados, de serem divulgados ou de outro modo disponibilizados a terceiros.».</w:t>
      </w:r>
    </w:p>
    <w:p w14:paraId="051FB749" w14:textId="77777777" w:rsidR="0E15E977" w:rsidRPr="000D0D06" w:rsidRDefault="001936FC" w:rsidP="001936FC">
      <w:pPr>
        <w:pStyle w:val="ManualNumPar1"/>
        <w:rPr>
          <w:noProof/>
        </w:rPr>
      </w:pPr>
      <w:r w:rsidRPr="000D0D06">
        <w:rPr>
          <w:noProof/>
        </w:rPr>
        <w:t>4.</w:t>
      </w:r>
      <w:r w:rsidRPr="000D0D06">
        <w:rPr>
          <w:noProof/>
        </w:rPr>
        <w:tab/>
        <w:t>No artigo 14.º, o n.º 5 passa a ter a seguinte redação:</w:t>
      </w:r>
    </w:p>
    <w:p w14:paraId="2CC70EF6" w14:textId="17E47C00" w:rsidR="0E15E977" w:rsidRPr="000D0D06" w:rsidRDefault="0E15E977" w:rsidP="00665C74">
      <w:pPr>
        <w:pStyle w:val="Text2"/>
        <w:rPr>
          <w:noProof/>
        </w:rPr>
      </w:pPr>
      <w:r w:rsidRPr="000D0D06">
        <w:rPr>
          <w:noProof/>
        </w:rPr>
        <w:t>«5. As informações prestadas nos termos dos artigos 15.º e 16.º e as comunicações e as medidas tomadas nos termos dos artigos 17.º a 24.º e do artigo 35.º são fornecidas gratuitamente. Se os pedidos de um titular dos dados forem manifestamente infundados ou excessivos, nomeadamente devido ao seu caráter recorrente, ou ainda, no caso dos pedidos apresentados ao abrigo do artigo 17.º, porque o titular dos dados utiliza de forma abusiva os direitos conferidos pelo presente regulamento para outros fins que não a proteção dos seus dados, o responsável pelo tratamento pode recusar-se a dar seguimento ao pedido. Cabe ao responsável pelo tratamento demonstrar que o pedido é manifestamente infundado ou que existem motivos razoáveis para considerar que é excessivo.».</w:t>
      </w:r>
    </w:p>
    <w:p w14:paraId="6B95C9FB" w14:textId="77777777" w:rsidR="40A3DE6F" w:rsidRPr="000D0D06" w:rsidRDefault="001936FC" w:rsidP="001936FC">
      <w:pPr>
        <w:pStyle w:val="ManualNumPar1"/>
        <w:rPr>
          <w:noProof/>
        </w:rPr>
      </w:pPr>
      <w:r w:rsidRPr="000D0D06">
        <w:rPr>
          <w:noProof/>
        </w:rPr>
        <w:t>5.</w:t>
      </w:r>
      <w:r w:rsidRPr="000D0D06">
        <w:rPr>
          <w:noProof/>
        </w:rPr>
        <w:tab/>
        <w:t>Ao artigo 15.º é aditado o n.º 5, com a seguinte redação:</w:t>
      </w:r>
    </w:p>
    <w:p w14:paraId="6C72A17C" w14:textId="49E5F579" w:rsidR="40A3DE6F" w:rsidRPr="000D0D06" w:rsidRDefault="40A3DE6F" w:rsidP="00665C74">
      <w:pPr>
        <w:pStyle w:val="Text2"/>
        <w:rPr>
          <w:noProof/>
        </w:rPr>
      </w:pPr>
      <w:r w:rsidRPr="000D0D06">
        <w:rPr>
          <w:noProof/>
        </w:rPr>
        <w:t>«5. Quando o tratamento é efetuado para fins de investigação científica e a prestação das informações a que se referem os n.</w:t>
      </w:r>
      <w:r w:rsidRPr="000D0D06">
        <w:rPr>
          <w:noProof/>
          <w:vertAlign w:val="superscript"/>
        </w:rPr>
        <w:t>os</w:t>
      </w:r>
      <w:r w:rsidRPr="000D0D06">
        <w:rPr>
          <w:noProof/>
        </w:rPr>
        <w:t> 1, 2 e 3 se revelar impossível ou implicar um esforço desproporcionado, sob reserva das condições e garantias previstas no artigo 13.º, ou na medida em que a obrigação referida no n.º 1 do presente artigo seja suscetível de tornar impossível ou prejudicar gravemente a consecução dos objetivos desse tratamento, o responsável pelo tratamento não tem de fornecer as informações a que se referem os n.</w:t>
      </w:r>
      <w:r w:rsidRPr="000D0D06">
        <w:rPr>
          <w:noProof/>
          <w:vertAlign w:val="superscript"/>
        </w:rPr>
        <w:t>os</w:t>
      </w:r>
      <w:r w:rsidRPr="000D0D06">
        <w:rPr>
          <w:noProof/>
        </w:rPr>
        <w:t> 1, 2 e 3. Nesses casos, o responsável pelo tratamento toma as medidas adequadas para defender os direitos, liberdades e interesses legítimos do titular dos dados, inclusive através da divulgação da informação ao público.».</w:t>
      </w:r>
    </w:p>
    <w:p w14:paraId="04AA0344" w14:textId="77777777" w:rsidR="0E15E977" w:rsidRPr="000D0D06" w:rsidRDefault="001936FC" w:rsidP="001936FC">
      <w:pPr>
        <w:pStyle w:val="ManualNumPar1"/>
        <w:rPr>
          <w:noProof/>
        </w:rPr>
      </w:pPr>
      <w:r w:rsidRPr="000D0D06">
        <w:rPr>
          <w:noProof/>
        </w:rPr>
        <w:t>6.</w:t>
      </w:r>
      <w:r w:rsidRPr="000D0D06">
        <w:rPr>
          <w:noProof/>
        </w:rPr>
        <w:tab/>
        <w:t>No artigo 24.º, os n.</w:t>
      </w:r>
      <w:r w:rsidRPr="000D0D06">
        <w:rPr>
          <w:noProof/>
          <w:vertAlign w:val="superscript"/>
        </w:rPr>
        <w:t>os</w:t>
      </w:r>
      <w:r w:rsidRPr="000D0D06">
        <w:rPr>
          <w:noProof/>
        </w:rPr>
        <w:t> 1 e 2 passam a ter a seguinte redação:</w:t>
      </w:r>
    </w:p>
    <w:p w14:paraId="094C0CDE" w14:textId="77777777" w:rsidR="0E15E977" w:rsidRPr="000D0D06" w:rsidRDefault="018A11BA" w:rsidP="00665C74">
      <w:pPr>
        <w:pStyle w:val="Text2"/>
        <w:rPr>
          <w:noProof/>
        </w:rPr>
      </w:pPr>
      <w:r w:rsidRPr="000D0D06">
        <w:rPr>
          <w:noProof/>
        </w:rPr>
        <w:t>«1. Uma decisão que produza efeitos jurídicos em relação a um titular dos dados ou que o afete significativamente de forma similar só pode basear-se exclusivamente no tratamento automatizado, incluindo a definição de perfis, se essa decisão:</w:t>
      </w:r>
    </w:p>
    <w:p w14:paraId="459646DD" w14:textId="77777777" w:rsidR="0E15E977" w:rsidRPr="000D0D06" w:rsidRDefault="001936FC" w:rsidP="001936FC">
      <w:pPr>
        <w:pStyle w:val="Point2"/>
        <w:rPr>
          <w:noProof/>
        </w:rPr>
      </w:pPr>
      <w:r w:rsidRPr="000D0D06">
        <w:rPr>
          <w:noProof/>
        </w:rPr>
        <w:t>a)</w:t>
      </w:r>
      <w:r w:rsidRPr="000D0D06">
        <w:rPr>
          <w:noProof/>
        </w:rPr>
        <w:tab/>
        <w:t>For necessária para a celebração ou execução de um contrato entre o titular dos dados e um responsável pelo tratamento, independentemente de a decisão poder ser tomada por meios não exclusivamente automatizados;</w:t>
      </w:r>
    </w:p>
    <w:p w14:paraId="31295830" w14:textId="77777777" w:rsidR="0E15E977" w:rsidRPr="000D0D06" w:rsidRDefault="001936FC" w:rsidP="001936FC">
      <w:pPr>
        <w:pStyle w:val="Point2"/>
        <w:rPr>
          <w:noProof/>
        </w:rPr>
      </w:pPr>
      <w:r w:rsidRPr="000D0D06">
        <w:rPr>
          <w:noProof/>
        </w:rPr>
        <w:t>b)</w:t>
      </w:r>
      <w:r w:rsidRPr="000D0D06">
        <w:rPr>
          <w:noProof/>
        </w:rPr>
        <w:tab/>
        <w:t>For autorizada pelo direito da União a que o responsável pelo tratamento estiver sujeito, e no qual estejam igualmente previstas medidas adequadas para salvaguardar os direitos e liberdades e os legítimos interesses do titular dos dados; ou</w:t>
      </w:r>
    </w:p>
    <w:p w14:paraId="1A29035B" w14:textId="77777777" w:rsidR="0E15E977" w:rsidRPr="000D0D06" w:rsidRDefault="001936FC" w:rsidP="001936FC">
      <w:pPr>
        <w:pStyle w:val="Point2"/>
        <w:rPr>
          <w:noProof/>
        </w:rPr>
      </w:pPr>
      <w:r w:rsidRPr="000D0D06">
        <w:rPr>
          <w:noProof/>
        </w:rPr>
        <w:t>c)</w:t>
      </w:r>
      <w:r w:rsidRPr="000D0D06">
        <w:rPr>
          <w:noProof/>
        </w:rPr>
        <w:tab/>
        <w:t>Se basear no consentimento explícito do titular dos dados.».</w:t>
      </w:r>
    </w:p>
    <w:p w14:paraId="32726C56" w14:textId="77777777" w:rsidR="26595ED0" w:rsidRPr="000D0D06" w:rsidRDefault="001936FC" w:rsidP="001936FC">
      <w:pPr>
        <w:pStyle w:val="ManualNumPar1"/>
        <w:rPr>
          <w:noProof/>
        </w:rPr>
      </w:pPr>
      <w:r w:rsidRPr="000D0D06">
        <w:rPr>
          <w:noProof/>
        </w:rPr>
        <w:t>7.</w:t>
      </w:r>
      <w:r w:rsidRPr="000D0D06">
        <w:rPr>
          <w:noProof/>
        </w:rPr>
        <w:tab/>
        <w:t>No artigo 34.º, o n.º 1 passa a ter a seguinte redação:</w:t>
      </w:r>
    </w:p>
    <w:p w14:paraId="6AB2F482" w14:textId="16070C29" w:rsidR="6E7A05F5" w:rsidRPr="000D0D06" w:rsidRDefault="744F5B97" w:rsidP="00665C74">
      <w:pPr>
        <w:pStyle w:val="Text2"/>
        <w:rPr>
          <w:noProof/>
          <w:u w:val="single"/>
        </w:rPr>
      </w:pPr>
      <w:r w:rsidRPr="000D0D06">
        <w:rPr>
          <w:noProof/>
        </w:rPr>
        <w:t>«1. No caso de uma violação de dados pessoais suscetível de implicar um elevado risco para os direitos e liberdades das pessoas singulares, o responsável pelo tratamento notifica a Autoridade Europeia para a Proteção de Dados da violação de dados pessoais, sem demora injustificada e, sempre que possível, no prazo máximo de 96 horas após ter tomado conhecimento da mesma. Se não for transmitida no prazo de 96 horas, a notificação à Autoridade Europeia para a Proteção de Dados deve ser acompanhada dos motivos do atraso.».</w:t>
      </w:r>
    </w:p>
    <w:p w14:paraId="6E5B1430" w14:textId="77777777" w:rsidR="5C02E6C4" w:rsidRPr="000D0D06" w:rsidRDefault="001936FC" w:rsidP="001936FC">
      <w:pPr>
        <w:pStyle w:val="ManualNumPar1"/>
        <w:rPr>
          <w:noProof/>
        </w:rPr>
      </w:pPr>
      <w:r w:rsidRPr="000D0D06">
        <w:rPr>
          <w:noProof/>
        </w:rPr>
        <w:t>8.</w:t>
      </w:r>
      <w:r w:rsidRPr="000D0D06">
        <w:rPr>
          <w:noProof/>
        </w:rPr>
        <w:tab/>
        <w:t>Ao artigo 37.º são aditados os seguintes números:</w:t>
      </w:r>
    </w:p>
    <w:p w14:paraId="37226408" w14:textId="77777777" w:rsidR="00EE4FA3" w:rsidRPr="000D0D06" w:rsidRDefault="00C50EDD" w:rsidP="00665C74">
      <w:pPr>
        <w:pStyle w:val="Text2"/>
        <w:rPr>
          <w:noProof/>
        </w:rPr>
      </w:pPr>
      <w:r w:rsidRPr="000D0D06">
        <w:rPr>
          <w:noProof/>
        </w:rPr>
        <w:t xml:space="preserve">«2) O armazenamento de dados pessoais, ou a possibilidade de acesso a dados pessoais já armazenados, no equipamento terminal de uma pessoa singular só é permitido se essa pessoa tiver dado o seu consentimento, em conformidade com o presente regulamento. </w:t>
      </w:r>
    </w:p>
    <w:p w14:paraId="3D6464A4" w14:textId="77777777" w:rsidR="00EE4FA3" w:rsidRPr="000D0D06" w:rsidRDefault="00F25E8A" w:rsidP="00665C74">
      <w:pPr>
        <w:pStyle w:val="Text2"/>
        <w:rPr>
          <w:noProof/>
        </w:rPr>
      </w:pPr>
      <w:r w:rsidRPr="000D0D06">
        <w:rPr>
          <w:noProof/>
        </w:rPr>
        <w:t xml:space="preserve">3) O disposto no n.º 1 não obsta ao armazenamento de dados pessoais, ou à possibilidade de acesso a dados pessoais já armazenados, no equipamento terminal de uma pessoa singular, em conformidade com o direito da União, na aceção do artigo 5.º e nas condições do mesmo, a fim de salvaguardar os objetivos a que se refere o artigo 25.º, n.º 1. </w:t>
      </w:r>
    </w:p>
    <w:p w14:paraId="4F75CA55" w14:textId="276A3545" w:rsidR="00EE4FA3" w:rsidRPr="000D0D06" w:rsidRDefault="29AEE682" w:rsidP="00665C74">
      <w:pPr>
        <w:pStyle w:val="Text2"/>
        <w:rPr>
          <w:noProof/>
        </w:rPr>
      </w:pPr>
      <w:r w:rsidRPr="000D0D06">
        <w:rPr>
          <w:noProof/>
        </w:rPr>
        <w:t xml:space="preserve">4) O armazenamento de dados pessoais, ou a possibilidade de acesso a dados pessoais já armazenados, no equipamento terminal de uma pessoa singular sem o seu consentimento, bem como o tratamento subsequente, são lícitos na medida em que sejam necessários para: </w:t>
      </w:r>
    </w:p>
    <w:p w14:paraId="74E00826" w14:textId="77777777" w:rsidR="00EE4FA3" w:rsidRPr="000D0D06" w:rsidRDefault="00EE4FA3" w:rsidP="00665C74">
      <w:pPr>
        <w:pStyle w:val="Text3"/>
        <w:rPr>
          <w:noProof/>
        </w:rPr>
      </w:pPr>
      <w:r w:rsidRPr="000D0D06">
        <w:rPr>
          <w:noProof/>
        </w:rPr>
        <w:t>a)</w:t>
      </w:r>
      <w:r w:rsidRPr="000D0D06">
        <w:rPr>
          <w:noProof/>
          <w:sz w:val="14"/>
        </w:rPr>
        <w:t xml:space="preserve"> </w:t>
      </w:r>
      <w:r w:rsidRPr="000D0D06">
        <w:rPr>
          <w:noProof/>
        </w:rPr>
        <w:t>Efetuar a transmissão de uma comunicação eletrónica através de uma rede de comunicações eletrónicas; </w:t>
      </w:r>
    </w:p>
    <w:p w14:paraId="51A5A1E0" w14:textId="77777777" w:rsidR="00EE4FA3" w:rsidRPr="000D0D06" w:rsidRDefault="00EE4FA3" w:rsidP="00665C74">
      <w:pPr>
        <w:pStyle w:val="Text3"/>
        <w:rPr>
          <w:noProof/>
        </w:rPr>
      </w:pPr>
      <w:r w:rsidRPr="000D0D06">
        <w:rPr>
          <w:noProof/>
        </w:rPr>
        <w:t>b)</w:t>
      </w:r>
      <w:r w:rsidRPr="000D0D06">
        <w:rPr>
          <w:noProof/>
          <w:sz w:val="14"/>
        </w:rPr>
        <w:t xml:space="preserve"> </w:t>
      </w:r>
      <w:r w:rsidRPr="000D0D06">
        <w:rPr>
          <w:noProof/>
        </w:rPr>
        <w:t>Prestar um serviço explicitamente solicitado pelo titular dos dados;</w:t>
      </w:r>
    </w:p>
    <w:p w14:paraId="5A3FE2D1" w14:textId="308A70A2" w:rsidR="00EE4FA3" w:rsidRPr="000D0D06" w:rsidRDefault="00EE4FA3" w:rsidP="00665C74">
      <w:pPr>
        <w:pStyle w:val="Text3"/>
        <w:rPr>
          <w:noProof/>
        </w:rPr>
      </w:pPr>
      <w:r w:rsidRPr="000D0D06">
        <w:rPr>
          <w:noProof/>
        </w:rPr>
        <w:t>c)</w:t>
      </w:r>
      <w:r w:rsidRPr="000D0D06">
        <w:rPr>
          <w:noProof/>
          <w:sz w:val="14"/>
        </w:rPr>
        <w:t xml:space="preserve"> </w:t>
      </w:r>
      <w:r w:rsidRPr="000D0D06">
        <w:rPr>
          <w:noProof/>
        </w:rPr>
        <w:t xml:space="preserve">Criar informações agregadas sobre a utilização de um serviço em linha para medir o público desse serviço, caso essa ação seja levada a cabo pelo responsável pelo tratamento desse serviço em linha exclusivamente para seu próprio uso; </w:t>
      </w:r>
    </w:p>
    <w:p w14:paraId="5FED60F6" w14:textId="77777777" w:rsidR="00EE4FA3" w:rsidRPr="000D0D06" w:rsidRDefault="00EE4FA3" w:rsidP="00665C74">
      <w:pPr>
        <w:pStyle w:val="Text3"/>
        <w:rPr>
          <w:noProof/>
        </w:rPr>
      </w:pPr>
      <w:r w:rsidRPr="000D0D06">
        <w:rPr>
          <w:noProof/>
        </w:rPr>
        <w:t>d)</w:t>
      </w:r>
      <w:r w:rsidRPr="000D0D06">
        <w:rPr>
          <w:noProof/>
          <w:sz w:val="14"/>
        </w:rPr>
        <w:t xml:space="preserve"> </w:t>
      </w:r>
      <w:r w:rsidRPr="000D0D06">
        <w:rPr>
          <w:noProof/>
        </w:rPr>
        <w:t>Manter ou restabelecer a segurança de um serviço prestado pelo responsável pelo tratamento e solicitado pelo titular dos dados ou do equipamento terminal utilizado para a prestação desse serviço. </w:t>
      </w:r>
    </w:p>
    <w:p w14:paraId="30ADB2EE" w14:textId="4A0FC527" w:rsidR="00EE4FA3" w:rsidRPr="000D0D06" w:rsidRDefault="0E4E630A" w:rsidP="00665C74">
      <w:pPr>
        <w:pStyle w:val="Text2"/>
        <w:rPr>
          <w:noProof/>
        </w:rPr>
      </w:pPr>
      <w:r w:rsidRPr="000D0D06">
        <w:rPr>
          <w:noProof/>
        </w:rPr>
        <w:t xml:space="preserve">5) Caso o armazenamento de dados pessoais, ou a possibilidade de acesso a dados pessoais já armazenados, no equipamento terminal de uma pessoa singular se baseie no consentimento, é aplicável o seguinte: </w:t>
      </w:r>
    </w:p>
    <w:p w14:paraId="12B62E14" w14:textId="77777777" w:rsidR="00EE4FA3" w:rsidRPr="000D0D06" w:rsidRDefault="00EE4FA3" w:rsidP="00665C74">
      <w:pPr>
        <w:pStyle w:val="Text3"/>
        <w:rPr>
          <w:noProof/>
        </w:rPr>
      </w:pPr>
      <w:r w:rsidRPr="000D0D06">
        <w:rPr>
          <w:noProof/>
        </w:rPr>
        <w:t>a)</w:t>
      </w:r>
      <w:r w:rsidRPr="000D0D06">
        <w:rPr>
          <w:noProof/>
          <w:sz w:val="14"/>
        </w:rPr>
        <w:t xml:space="preserve"> </w:t>
      </w:r>
      <w:r w:rsidRPr="000D0D06">
        <w:rPr>
          <w:noProof/>
        </w:rPr>
        <w:t>O titular dos dados deve poder recusar os pedidos de consentimento de forma fácil e inteligível, através de um botão de clique único ou de um meio equivalente; </w:t>
      </w:r>
    </w:p>
    <w:p w14:paraId="72127208" w14:textId="77777777" w:rsidR="00EE4FA3" w:rsidRPr="000D0D06" w:rsidRDefault="00EE4FA3" w:rsidP="00665C74">
      <w:pPr>
        <w:pStyle w:val="Text3"/>
        <w:rPr>
          <w:noProof/>
        </w:rPr>
      </w:pPr>
      <w:r w:rsidRPr="000D0D06">
        <w:rPr>
          <w:noProof/>
        </w:rPr>
        <w:t>b)</w:t>
      </w:r>
      <w:r w:rsidRPr="000D0D06">
        <w:rPr>
          <w:noProof/>
          <w:sz w:val="14"/>
        </w:rPr>
        <w:t xml:space="preserve"> </w:t>
      </w:r>
      <w:r w:rsidRPr="000D0D06">
        <w:rPr>
          <w:noProof/>
        </w:rPr>
        <w:t xml:space="preserve">Se o titular dos dados der o seu consentimento, o responsável pelo tratamento não pode apresentar um novo pedido de consentimento para a mesma finalidade durante o período em que possa licitamente invocar o consentimento do titular dos dados; </w:t>
      </w:r>
    </w:p>
    <w:p w14:paraId="48AD82A9" w14:textId="77777777" w:rsidR="00EE4FA3" w:rsidRPr="000D0D06" w:rsidRDefault="00EE4FA3" w:rsidP="00665C74">
      <w:pPr>
        <w:pStyle w:val="Text3"/>
        <w:rPr>
          <w:noProof/>
        </w:rPr>
      </w:pPr>
      <w:r w:rsidRPr="000D0D06">
        <w:rPr>
          <w:noProof/>
        </w:rPr>
        <w:t>c)</w:t>
      </w:r>
      <w:r w:rsidRPr="000D0D06">
        <w:rPr>
          <w:noProof/>
          <w:sz w:val="14"/>
        </w:rPr>
        <w:t xml:space="preserve"> </w:t>
      </w:r>
      <w:r w:rsidRPr="000D0D06">
        <w:rPr>
          <w:noProof/>
        </w:rPr>
        <w:t>Se o titular dos dados recusar um pedido de consentimento, o responsável pelo tratamento não pode apresentar um novo pedido de consentimento para a mesma finalidade durante um período mínimo de seis meses.</w:t>
      </w:r>
    </w:p>
    <w:p w14:paraId="437A5AA5" w14:textId="7C0561AE" w:rsidR="00EE4FA3" w:rsidRPr="000D0D06" w:rsidRDefault="00EE4FA3" w:rsidP="00665C74">
      <w:pPr>
        <w:pStyle w:val="Text2"/>
        <w:rPr>
          <w:noProof/>
        </w:rPr>
      </w:pPr>
      <w:r w:rsidRPr="000D0D06">
        <w:rPr>
          <w:noProof/>
        </w:rPr>
        <w:t>O presente número também é aplicável ao tratamento subsequente de dados pessoais com base no consentimento.</w:t>
      </w:r>
    </w:p>
    <w:p w14:paraId="47F45032" w14:textId="77777777" w:rsidR="006B43B0" w:rsidRPr="000D0D06" w:rsidRDefault="378A01FC" w:rsidP="00665C74">
      <w:pPr>
        <w:pStyle w:val="Text2"/>
        <w:rPr>
          <w:noProof/>
        </w:rPr>
      </w:pPr>
      <w:r w:rsidRPr="000D0D06">
        <w:rPr>
          <w:noProof/>
        </w:rPr>
        <w:t>6) O presente artigo é aplicável a partir de [OP: inserir a data = 6 meses após a data de entrada em vigor do presente regulamento].</w:t>
      </w:r>
    </w:p>
    <w:p w14:paraId="02B5695B" w14:textId="77777777" w:rsidR="00A67ED4" w:rsidRPr="000D0D06" w:rsidRDefault="00C50EDD" w:rsidP="00665C74">
      <w:pPr>
        <w:pStyle w:val="Text2"/>
        <w:rPr>
          <w:noProof/>
        </w:rPr>
      </w:pPr>
      <w:r w:rsidRPr="000D0D06">
        <w:rPr>
          <w:noProof/>
        </w:rPr>
        <w:t xml:space="preserve">7) Os responsáveis pelo tratamento devem assegurar que as suas interfaces em linha permitam aos titulares dos dados: </w:t>
      </w:r>
    </w:p>
    <w:p w14:paraId="04977DB6" w14:textId="77777777" w:rsidR="00A67ED4" w:rsidRPr="000D0D06" w:rsidRDefault="3AD8D3D2" w:rsidP="00665C74">
      <w:pPr>
        <w:pStyle w:val="Text3"/>
        <w:rPr>
          <w:noProof/>
        </w:rPr>
      </w:pPr>
      <w:r w:rsidRPr="000D0D06">
        <w:rPr>
          <w:noProof/>
        </w:rPr>
        <w:t xml:space="preserve">a) Dar o seu consentimento através de meios automatizados e legíveis por máquina, desde que sejam cumpridas as condições de consentimento estabelecidas no presente regulamento; </w:t>
      </w:r>
    </w:p>
    <w:p w14:paraId="42BE64B2" w14:textId="758157D4" w:rsidR="00A67ED4" w:rsidRPr="000D0D06" w:rsidRDefault="40CE9D3B" w:rsidP="00665C74">
      <w:pPr>
        <w:pStyle w:val="Text3"/>
        <w:rPr>
          <w:noProof/>
        </w:rPr>
      </w:pPr>
      <w:r w:rsidRPr="000D0D06">
        <w:rPr>
          <w:noProof/>
        </w:rPr>
        <w:t>b) Recusar um pedido de consentimento através de meios automatizados e legíveis por máquina.</w:t>
      </w:r>
    </w:p>
    <w:p w14:paraId="1D29C644" w14:textId="77777777" w:rsidR="3DFB44C5" w:rsidRPr="000D0D06" w:rsidRDefault="3DFB44C5" w:rsidP="75AC68C6">
      <w:pPr>
        <w:spacing w:before="0" w:after="160" w:line="259" w:lineRule="auto"/>
        <w:rPr>
          <w:rFonts w:eastAsia="Times New Roman"/>
          <w:noProof/>
          <w:szCs w:val="24"/>
        </w:rPr>
      </w:pPr>
    </w:p>
    <w:p w14:paraId="66A7DF70" w14:textId="7E135786" w:rsidR="00C2473A" w:rsidRPr="000D0D06" w:rsidRDefault="00C50EDD" w:rsidP="00665C74">
      <w:pPr>
        <w:pStyle w:val="Text2"/>
        <w:rPr>
          <w:noProof/>
        </w:rPr>
      </w:pPr>
      <w:r w:rsidRPr="000D0D06">
        <w:rPr>
          <w:noProof/>
        </w:rPr>
        <w:t xml:space="preserve">8) Os responsáveis pelo tratamento devem respeitar as escolhas feitas pelos titulares dos dados, em conformidade com o n.º 7. </w:t>
      </w:r>
    </w:p>
    <w:p w14:paraId="5133C97E" w14:textId="0AF7557A" w:rsidR="00D6315B" w:rsidRPr="000D0D06" w:rsidRDefault="00C50EDD" w:rsidP="00665C74">
      <w:pPr>
        <w:pStyle w:val="Text2"/>
        <w:rPr>
          <w:noProof/>
        </w:rPr>
      </w:pPr>
      <w:r w:rsidRPr="000D0D06">
        <w:rPr>
          <w:noProof/>
        </w:rPr>
        <w:t>9) Presume-se que as interfaces em linha dos responsáveis pelo tratamento que estejam em conformidade com as normas harmonizadas, ou partes destas, a que se refere o artigo 88.º-B, n.º 4, do Regulamento (UE) 2016/679 são conformes com os requisitos abrangidos pelas referidas normas, ou partes destas, estabelecidos no n.º 7.</w:t>
      </w:r>
    </w:p>
    <w:p w14:paraId="4AC5BFA3" w14:textId="77777777" w:rsidR="00A67ED4" w:rsidRPr="000D0D06" w:rsidRDefault="00C50EDD" w:rsidP="00665C74">
      <w:pPr>
        <w:pStyle w:val="Text2"/>
        <w:rPr>
          <w:noProof/>
        </w:rPr>
      </w:pPr>
      <w:r w:rsidRPr="000D0D06">
        <w:rPr>
          <w:noProof/>
        </w:rPr>
        <w:t>10) Os n.</w:t>
      </w:r>
      <w:r w:rsidRPr="000D0D06">
        <w:rPr>
          <w:noProof/>
          <w:vertAlign w:val="superscript"/>
        </w:rPr>
        <w:t>os</w:t>
      </w:r>
      <w:r w:rsidRPr="000D0D06">
        <w:rPr>
          <w:noProof/>
        </w:rPr>
        <w:t> 7 a 9 são aplicáveis a partir de [OP: inserir a data = 24 meses após a data de entrada em vigor do presente regulamento].».</w:t>
      </w:r>
    </w:p>
    <w:p w14:paraId="1F55BA64" w14:textId="77777777" w:rsidR="6591C3D7" w:rsidRPr="000D0D06" w:rsidRDefault="001936FC" w:rsidP="001936FC">
      <w:pPr>
        <w:pStyle w:val="Point0"/>
        <w:rPr>
          <w:noProof/>
        </w:rPr>
      </w:pPr>
      <w:r w:rsidRPr="000D0D06">
        <w:rPr>
          <w:noProof/>
        </w:rPr>
        <w:t>8)</w:t>
      </w:r>
      <w:r w:rsidRPr="000D0D06">
        <w:rPr>
          <w:noProof/>
        </w:rPr>
        <w:tab/>
        <w:t>O artigo 39.º é alterado do seguinte modo:</w:t>
      </w:r>
    </w:p>
    <w:p w14:paraId="36DC5091" w14:textId="77777777" w:rsidR="6591C3D7" w:rsidRPr="000D0D06" w:rsidRDefault="001936FC" w:rsidP="001936FC">
      <w:pPr>
        <w:pStyle w:val="Point1"/>
        <w:rPr>
          <w:rFonts w:eastAsia="Times New Roman"/>
          <w:noProof/>
        </w:rPr>
      </w:pPr>
      <w:r w:rsidRPr="000D0D06">
        <w:rPr>
          <w:noProof/>
        </w:rPr>
        <w:t>a)</w:t>
      </w:r>
      <w:r w:rsidRPr="000D0D06">
        <w:rPr>
          <w:noProof/>
        </w:rPr>
        <w:tab/>
        <w:t xml:space="preserve">O n.º 4 passa a ter a seguinte redação: </w:t>
      </w:r>
    </w:p>
    <w:p w14:paraId="3D0B9408" w14:textId="77777777" w:rsidR="00A67ED4" w:rsidRPr="000D0D06" w:rsidRDefault="6591C3D7" w:rsidP="00665C74">
      <w:pPr>
        <w:pStyle w:val="Text2"/>
        <w:rPr>
          <w:noProof/>
        </w:rPr>
      </w:pPr>
      <w:r w:rsidRPr="000D0D06">
        <w:rPr>
          <w:noProof/>
        </w:rPr>
        <w:t>«4. As listas, o modelo e a metodologia adotados pela Comissão e referidos no artigo 35.º, n.º 6-A, do Regulamento (UE) 2016/679 devem aplicar-se ao tratamento de dados pessoais ao abrigo do presente regulamento.»;</w:t>
      </w:r>
    </w:p>
    <w:p w14:paraId="003ACA15" w14:textId="77777777" w:rsidR="788D84AD" w:rsidRPr="000D0D06" w:rsidRDefault="001936FC" w:rsidP="001936FC">
      <w:pPr>
        <w:pStyle w:val="Point1"/>
        <w:rPr>
          <w:rFonts w:eastAsia="Times New Roman"/>
          <w:noProof/>
        </w:rPr>
      </w:pPr>
      <w:r w:rsidRPr="000D0D06">
        <w:rPr>
          <w:noProof/>
        </w:rPr>
        <w:t>b)</w:t>
      </w:r>
      <w:r w:rsidRPr="000D0D06">
        <w:rPr>
          <w:noProof/>
        </w:rPr>
        <w:tab/>
        <w:t>São suprimidos os n.</w:t>
      </w:r>
      <w:r w:rsidRPr="000D0D06">
        <w:rPr>
          <w:noProof/>
          <w:vertAlign w:val="superscript"/>
        </w:rPr>
        <w:t>os</w:t>
      </w:r>
      <w:r w:rsidRPr="000D0D06">
        <w:rPr>
          <w:noProof/>
        </w:rPr>
        <w:t> 5 e 6.</w:t>
      </w:r>
    </w:p>
    <w:p w14:paraId="6A672C91" w14:textId="77777777" w:rsidR="75C2CEA6" w:rsidRPr="000D0D06" w:rsidRDefault="001936FC" w:rsidP="001936FC">
      <w:pPr>
        <w:pStyle w:val="Point0"/>
        <w:rPr>
          <w:noProof/>
        </w:rPr>
      </w:pPr>
      <w:r w:rsidRPr="000D0D06">
        <w:rPr>
          <w:noProof/>
        </w:rPr>
        <w:t>9)</w:t>
      </w:r>
      <w:r w:rsidRPr="000D0D06">
        <w:rPr>
          <w:noProof/>
        </w:rPr>
        <w:tab/>
        <w:t>É aditado o seguinte artigo:</w:t>
      </w:r>
    </w:p>
    <w:p w14:paraId="1325A593" w14:textId="77777777" w:rsidR="5C02E6C4" w:rsidRPr="000D0D06" w:rsidRDefault="5C02E6C4" w:rsidP="00482892">
      <w:pPr>
        <w:jc w:val="center"/>
        <w:rPr>
          <w:rFonts w:eastAsia="Times New Roman"/>
          <w:noProof/>
        </w:rPr>
      </w:pPr>
      <w:r w:rsidRPr="000D0D06">
        <w:rPr>
          <w:noProof/>
        </w:rPr>
        <w:t>«Artigo 45.º‑A</w:t>
      </w:r>
    </w:p>
    <w:p w14:paraId="264DB3AC" w14:textId="77777777" w:rsidR="7DB20B2D" w:rsidRPr="000D0D06" w:rsidRDefault="00B96D5D" w:rsidP="00665C74">
      <w:pPr>
        <w:rPr>
          <w:rFonts w:eastAsiaTheme="minorEastAsia"/>
          <w:i/>
          <w:iCs/>
          <w:noProof/>
        </w:rPr>
      </w:pPr>
      <w:r w:rsidRPr="000D0D06">
        <w:rPr>
          <w:noProof/>
        </w:rPr>
        <w:t>Os critérios comuns adotados pela Comissão e previstos no artigo 41.º-A do Regulamento (UE) 2016/679 devem aplicar-se ao tratamento de dados pessoais ao abrigo do presente regulamento.».</w:t>
      </w:r>
    </w:p>
    <w:p w14:paraId="0DF29AF7" w14:textId="77777777" w:rsidR="00E561FF" w:rsidRPr="000D0D06" w:rsidRDefault="00E561FF" w:rsidP="0066415D">
      <w:pPr>
        <w:pStyle w:val="Titrearticle"/>
        <w:rPr>
          <w:noProof/>
        </w:rPr>
      </w:pPr>
      <w:r w:rsidRPr="000D0D06">
        <w:rPr>
          <w:noProof/>
        </w:rPr>
        <w:t>Artigo 5.º</w:t>
      </w:r>
    </w:p>
    <w:p w14:paraId="2F2FA22A" w14:textId="77777777" w:rsidR="00E561FF" w:rsidRPr="000D0D06" w:rsidRDefault="00E561FF" w:rsidP="00E561FF">
      <w:pPr>
        <w:jc w:val="center"/>
        <w:rPr>
          <w:i/>
          <w:iCs/>
          <w:noProof/>
        </w:rPr>
      </w:pPr>
      <w:r w:rsidRPr="000D0D06">
        <w:rPr>
          <w:i/>
          <w:noProof/>
        </w:rPr>
        <w:t>Alterações da Diretiva 2002/58/CE (Diretiva Privacidade Eletrónica)</w:t>
      </w:r>
    </w:p>
    <w:p w14:paraId="516CF415" w14:textId="77777777" w:rsidR="00FD2281" w:rsidRPr="000D0D06" w:rsidRDefault="00FD2281" w:rsidP="00E561FF">
      <w:pPr>
        <w:jc w:val="center"/>
        <w:rPr>
          <w:i/>
          <w:iCs/>
          <w:noProof/>
        </w:rPr>
      </w:pPr>
    </w:p>
    <w:p w14:paraId="5BDCA6C3" w14:textId="77777777" w:rsidR="00E561FF" w:rsidRPr="000D0D06" w:rsidRDefault="00E561FF" w:rsidP="008D6372">
      <w:pPr>
        <w:rPr>
          <w:noProof/>
        </w:rPr>
      </w:pPr>
      <w:r w:rsidRPr="000D0D06">
        <w:rPr>
          <w:noProof/>
        </w:rPr>
        <w:t>A Diretiva 2002/58/CE é alterada do seguinte modo:</w:t>
      </w:r>
    </w:p>
    <w:p w14:paraId="3AF67E93" w14:textId="77777777" w:rsidR="006F2CAE" w:rsidRPr="000D0D06" w:rsidRDefault="001936FC" w:rsidP="001936FC">
      <w:pPr>
        <w:pStyle w:val="ManualNumPar1"/>
        <w:rPr>
          <w:noProof/>
        </w:rPr>
      </w:pPr>
      <w:r w:rsidRPr="000D0D06">
        <w:rPr>
          <w:noProof/>
        </w:rPr>
        <w:t>1.</w:t>
      </w:r>
      <w:r w:rsidRPr="000D0D06">
        <w:rPr>
          <w:noProof/>
        </w:rPr>
        <w:tab/>
        <w:t>É suprimido o artigo 4.º.</w:t>
      </w:r>
    </w:p>
    <w:p w14:paraId="1D62B149" w14:textId="77777777" w:rsidR="00342BDA" w:rsidRPr="000D0D06" w:rsidRDefault="001936FC" w:rsidP="001936FC">
      <w:pPr>
        <w:pStyle w:val="ManualNumPar1"/>
        <w:rPr>
          <w:noProof/>
        </w:rPr>
      </w:pPr>
      <w:r w:rsidRPr="000D0D06">
        <w:rPr>
          <w:noProof/>
        </w:rPr>
        <w:t>2.</w:t>
      </w:r>
      <w:r w:rsidRPr="000D0D06">
        <w:rPr>
          <w:noProof/>
        </w:rPr>
        <w:tab/>
        <w:t xml:space="preserve">Após o artigo 5.º, n.º 3, é aditado o seguinte parágrafo: </w:t>
      </w:r>
    </w:p>
    <w:p w14:paraId="6E37F5DD" w14:textId="4D96CEEF" w:rsidR="00296C2C" w:rsidRPr="000D0D06" w:rsidRDefault="00296C2C" w:rsidP="003F0D66">
      <w:pPr>
        <w:pStyle w:val="Text1"/>
        <w:rPr>
          <w:noProof/>
        </w:rPr>
      </w:pPr>
      <w:r w:rsidRPr="000D0D06">
        <w:rPr>
          <w:noProof/>
        </w:rPr>
        <w:t>«O presente número não é aplicável se o assinante ou o utilizador for uma pessoa singular e as informações armazenadas ou acedidas constituírem ou conduzirem ao tratamento de dados pessoais.».</w:t>
      </w:r>
    </w:p>
    <w:p w14:paraId="73E00FE6" w14:textId="77777777" w:rsidR="00C66171" w:rsidRPr="000D0D06" w:rsidRDefault="00C66171" w:rsidP="0066415D">
      <w:pPr>
        <w:pStyle w:val="Titrearticle"/>
        <w:rPr>
          <w:noProof/>
        </w:rPr>
      </w:pPr>
      <w:bookmarkStart w:id="16" w:name="_Hlk213697335"/>
      <w:r w:rsidRPr="000D0D06">
        <w:rPr>
          <w:noProof/>
        </w:rPr>
        <w:t>Artigo 6.º</w:t>
      </w:r>
    </w:p>
    <w:p w14:paraId="75CEEB0E" w14:textId="77777777" w:rsidR="00A346BB" w:rsidRPr="000D0D06" w:rsidRDefault="00A346BB" w:rsidP="008D6372">
      <w:pPr>
        <w:jc w:val="center"/>
        <w:rPr>
          <w:i/>
          <w:iCs/>
          <w:noProof/>
        </w:rPr>
      </w:pPr>
      <w:r w:rsidRPr="000D0D06">
        <w:rPr>
          <w:i/>
          <w:noProof/>
        </w:rPr>
        <w:t>Alterações da Diretiva (UE) 2022/2555</w:t>
      </w:r>
    </w:p>
    <w:p w14:paraId="1E1C65B5" w14:textId="77777777" w:rsidR="00C66171" w:rsidRPr="000D0D06" w:rsidRDefault="00C66171" w:rsidP="00C66171">
      <w:pPr>
        <w:spacing w:line="360" w:lineRule="auto"/>
        <w:rPr>
          <w:noProof/>
          <w:szCs w:val="24"/>
        </w:rPr>
      </w:pPr>
      <w:r w:rsidRPr="000D0D06">
        <w:rPr>
          <w:noProof/>
        </w:rPr>
        <w:t>A Diretiva (UE) 2022/2555 é alterada do seguinte modo:</w:t>
      </w:r>
    </w:p>
    <w:p w14:paraId="4276A0B4" w14:textId="77777777" w:rsidR="00C66171" w:rsidRPr="000D0D06" w:rsidRDefault="001936FC" w:rsidP="001936FC">
      <w:pPr>
        <w:pStyle w:val="ManualNumPar1"/>
        <w:rPr>
          <w:noProof/>
        </w:rPr>
      </w:pPr>
      <w:r w:rsidRPr="000D0D06">
        <w:rPr>
          <w:noProof/>
        </w:rPr>
        <w:t>1.</w:t>
      </w:r>
      <w:r w:rsidRPr="000D0D06">
        <w:rPr>
          <w:noProof/>
        </w:rPr>
        <w:tab/>
        <w:t>É aditado o seguinte artigo 23.º-A:</w:t>
      </w:r>
    </w:p>
    <w:p w14:paraId="5BFFEBF6" w14:textId="77777777" w:rsidR="00C66171" w:rsidRPr="000D0D06" w:rsidRDefault="00C66171" w:rsidP="008D6372">
      <w:pPr>
        <w:pStyle w:val="ListParagraph"/>
        <w:spacing w:line="360" w:lineRule="auto"/>
        <w:jc w:val="center"/>
        <w:rPr>
          <w:noProof/>
          <w:szCs w:val="24"/>
        </w:rPr>
      </w:pPr>
      <w:r w:rsidRPr="000D0D06">
        <w:rPr>
          <w:noProof/>
        </w:rPr>
        <w:t>«Artigo 23.º-A</w:t>
      </w:r>
    </w:p>
    <w:p w14:paraId="040C1CA7" w14:textId="2D8D87B5" w:rsidR="00C66171" w:rsidRPr="000D0D06" w:rsidRDefault="00C66171" w:rsidP="008D6372">
      <w:pPr>
        <w:pStyle w:val="ListParagraph"/>
        <w:spacing w:line="360" w:lineRule="auto"/>
        <w:jc w:val="center"/>
        <w:rPr>
          <w:bCs/>
          <w:i/>
          <w:iCs/>
          <w:noProof/>
          <w:szCs w:val="24"/>
        </w:rPr>
      </w:pPr>
      <w:r w:rsidRPr="000D0D06">
        <w:rPr>
          <w:i/>
          <w:noProof/>
        </w:rPr>
        <w:t>Ponto de entrada único para a notificação de incidentes</w:t>
      </w:r>
    </w:p>
    <w:p w14:paraId="5FB3F5CD" w14:textId="08EDD42D" w:rsidR="00C66171" w:rsidRPr="000D0D06" w:rsidRDefault="001936FC" w:rsidP="001936FC">
      <w:pPr>
        <w:pStyle w:val="Point0"/>
        <w:rPr>
          <w:noProof/>
        </w:rPr>
      </w:pPr>
      <w:r w:rsidRPr="000D0D06">
        <w:rPr>
          <w:noProof/>
        </w:rPr>
        <w:t>1)</w:t>
      </w:r>
      <w:r w:rsidRPr="000D0D06">
        <w:rPr>
          <w:noProof/>
        </w:rPr>
        <w:tab/>
        <w:t>A ENISA cria e mantém um ponto de entrada único para apoiar a obrigação de notificar incidentes e eventos conexos ao abrigo dos atos jurídicos da União, sempre que esses atos jurídicos da União assim o prevejam (“ponto de entrada único”). Sem prejuízo do disposto no artigo 16.º do Regulamento (UE) 2024/2847 do Parlamento Europeu e do Conselho, a ENISA pode assegurar que o ponto de entrada único se baseie na plataforma única de comunicação de informações criada ao abrigo desse regulamento.</w:t>
      </w:r>
    </w:p>
    <w:p w14:paraId="15E9B016" w14:textId="26F17B99" w:rsidR="00C66171" w:rsidRPr="000D0D06" w:rsidRDefault="001936FC" w:rsidP="001936FC">
      <w:pPr>
        <w:pStyle w:val="Point0"/>
        <w:rPr>
          <w:noProof/>
        </w:rPr>
      </w:pPr>
      <w:r w:rsidRPr="000D0D06">
        <w:rPr>
          <w:noProof/>
        </w:rPr>
        <w:t>2)</w:t>
      </w:r>
      <w:r w:rsidRPr="000D0D06">
        <w:rPr>
          <w:noProof/>
        </w:rPr>
        <w:tab/>
        <w:t>A ENISA adota medidas técnicas, operacionais e organizativas adequadas e proporcionadas para gerir os riscos que se coloquem à segurança do ponto de entrada único e das informações apresentadas ou divulgadas através do ponto de entrada único. A ENISA tem em conta a sensibilidade das informações apresentadas ou divulgadas nos termos dos atos jurídicos da União a que se refere o n.º 1 e assegura que as autoridades competentes ao abrigo desses atos jurídicos da União tenham acesso às informações e as tratem, conforme exigido por esses atos jurídicos da União.</w:t>
      </w:r>
    </w:p>
    <w:p w14:paraId="41150413" w14:textId="36604389" w:rsidR="00C66171" w:rsidRPr="000D0D06" w:rsidRDefault="001936FC" w:rsidP="001936FC">
      <w:pPr>
        <w:pStyle w:val="Point0"/>
        <w:rPr>
          <w:noProof/>
        </w:rPr>
      </w:pPr>
      <w:r w:rsidRPr="000D0D06">
        <w:rPr>
          <w:noProof/>
        </w:rPr>
        <w:t>3)</w:t>
      </w:r>
      <w:r w:rsidRPr="000D0D06">
        <w:rPr>
          <w:noProof/>
        </w:rPr>
        <w:tab/>
        <w:t xml:space="preserve">A ENISA fornece e aplica as especificações sobre as medidas técnicas, operacionais e organizativas relativas à criação, manutenção e funcionamento seguro do ponto de entrada único. A ENISA elabora as especificações em cooperação com a Comissão, a rede de CSIRT e as autoridades competentes ao abrigo dos atos jurídicos da União a que se refere o n.º 1. As especificações devem garantir que: </w:t>
      </w:r>
    </w:p>
    <w:p w14:paraId="5E4A1CB3" w14:textId="297418D4" w:rsidR="00C66171" w:rsidRPr="000D0D06" w:rsidRDefault="001936FC" w:rsidP="001936FC">
      <w:pPr>
        <w:pStyle w:val="Point1"/>
        <w:rPr>
          <w:noProof/>
        </w:rPr>
      </w:pPr>
      <w:r w:rsidRPr="000D0D06">
        <w:rPr>
          <w:noProof/>
        </w:rPr>
        <w:t>a)</w:t>
      </w:r>
      <w:r w:rsidRPr="000D0D06">
        <w:rPr>
          <w:noProof/>
        </w:rPr>
        <w:tab/>
        <w:t xml:space="preserve">Seja assegurada a capacidade necessária de interoperabilidade no que diz respeito a outras obrigações de notificação pertinentes a que se refere o n.º 1; </w:t>
      </w:r>
    </w:p>
    <w:p w14:paraId="5C3BEA06" w14:textId="65E9579A" w:rsidR="00C66171" w:rsidRPr="000D0D06" w:rsidRDefault="001936FC" w:rsidP="001936FC">
      <w:pPr>
        <w:pStyle w:val="Point1"/>
        <w:rPr>
          <w:noProof/>
        </w:rPr>
      </w:pPr>
      <w:r w:rsidRPr="000D0D06">
        <w:rPr>
          <w:noProof/>
        </w:rPr>
        <w:t>b)</w:t>
      </w:r>
      <w:r w:rsidRPr="000D0D06">
        <w:rPr>
          <w:noProof/>
        </w:rPr>
        <w:tab/>
        <w:t xml:space="preserve">Estejam em vigor disposições técnicas que permitam às entidades e às autoridades competentes, ao abrigo dos atos jurídicos da União a que se refere o n.º 1, aceder, apresentar, extrair, transmitir ou tratar de outro modo informações a partir do ponto de entrada único, e que prevejam protocolos e instrumentos técnicos que permitam às entidades e às autoridades proceder ao tratamento posterior das informações recebidas nos seus sistemas; </w:t>
      </w:r>
    </w:p>
    <w:p w14:paraId="018DD0B5" w14:textId="024E90BC" w:rsidR="00C66171" w:rsidRPr="000D0D06" w:rsidRDefault="001936FC" w:rsidP="001936FC">
      <w:pPr>
        <w:pStyle w:val="Point1"/>
        <w:rPr>
          <w:noProof/>
        </w:rPr>
      </w:pPr>
      <w:r w:rsidRPr="000D0D06">
        <w:rPr>
          <w:noProof/>
        </w:rPr>
        <w:t>c)</w:t>
      </w:r>
      <w:r w:rsidRPr="000D0D06">
        <w:rPr>
          <w:noProof/>
        </w:rPr>
        <w:tab/>
        <w:t xml:space="preserve">As especificidades dos requisitos de notificação de incidentes estabelecidos nos atos jurídicos da União a que se refere o n.º 1 sejam devidamente tidas em conta; </w:t>
      </w:r>
    </w:p>
    <w:p w14:paraId="388C7224" w14:textId="1B1327E8" w:rsidR="00C66171" w:rsidRPr="000D0D06" w:rsidRDefault="001936FC" w:rsidP="001936FC">
      <w:pPr>
        <w:pStyle w:val="Point1"/>
        <w:rPr>
          <w:noProof/>
        </w:rPr>
      </w:pPr>
      <w:r w:rsidRPr="000D0D06">
        <w:rPr>
          <w:noProof/>
        </w:rPr>
        <w:t>d)</w:t>
      </w:r>
      <w:r w:rsidRPr="000D0D06">
        <w:rPr>
          <w:noProof/>
        </w:rPr>
        <w:tab/>
        <w:t>Se for caso disso, o ponto de entrada único seja interoperável e compatível com as carteiras empresariais europeias previstas na</w:t>
      </w:r>
      <w:r w:rsidRPr="000D0D06">
        <w:rPr>
          <w:i/>
          <w:noProof/>
        </w:rPr>
        <w:t xml:space="preserve"> [proposta de regulamento: inserir título da proposta]</w:t>
      </w:r>
      <w:r w:rsidRPr="000D0D06">
        <w:rPr>
          <w:noProof/>
        </w:rPr>
        <w:t xml:space="preserve"> e as carteiras empresariais europeias possam ser utilizadas, pelo menos, para identificar e autenticar as entidades que utilizam o ponto de entrada único;</w:t>
      </w:r>
    </w:p>
    <w:p w14:paraId="7F03A65E" w14:textId="77777777" w:rsidR="00C66171" w:rsidRPr="000D0D06" w:rsidRDefault="001936FC" w:rsidP="001936FC">
      <w:pPr>
        <w:pStyle w:val="Point1"/>
        <w:rPr>
          <w:noProof/>
        </w:rPr>
      </w:pPr>
      <w:r w:rsidRPr="000D0D06">
        <w:rPr>
          <w:noProof/>
        </w:rPr>
        <w:t>e)</w:t>
      </w:r>
      <w:r w:rsidRPr="000D0D06">
        <w:rPr>
          <w:noProof/>
        </w:rPr>
        <w:tab/>
        <w:t>As entidades que utilizem o ponto de entrada único possam extrair e complementar as informações que tenham apresentado anteriormente através do ponto de entrada único;</w:t>
      </w:r>
    </w:p>
    <w:p w14:paraId="4A1260E7" w14:textId="0A02E5D2" w:rsidR="00C66171" w:rsidRPr="000D0D06" w:rsidRDefault="001936FC" w:rsidP="001936FC">
      <w:pPr>
        <w:pStyle w:val="Point1"/>
        <w:rPr>
          <w:noProof/>
        </w:rPr>
      </w:pPr>
      <w:r w:rsidRPr="000D0D06">
        <w:rPr>
          <w:noProof/>
        </w:rPr>
        <w:t>f)</w:t>
      </w:r>
      <w:r w:rsidRPr="000D0D06">
        <w:rPr>
          <w:noProof/>
        </w:rPr>
        <w:tab/>
        <w:t>Uma notificação única de informações apresentada por uma entidade através do ponto de entrada único possa ser utilizada para cumprir as obrigações de notificação estabelecidas em qualquer outro ato jurídico da União que preveja a notificação de incidentes ao ponto de entrada único.</w:t>
      </w:r>
    </w:p>
    <w:p w14:paraId="3E1C6864" w14:textId="2C376D7A" w:rsidR="00C66171" w:rsidRPr="000D0D06" w:rsidRDefault="001936FC" w:rsidP="001936FC">
      <w:pPr>
        <w:pStyle w:val="Point0"/>
        <w:rPr>
          <w:noProof/>
        </w:rPr>
      </w:pPr>
      <w:r w:rsidRPr="000D0D06">
        <w:rPr>
          <w:noProof/>
        </w:rPr>
        <w:t>4)</w:t>
      </w:r>
      <w:r w:rsidRPr="000D0D06">
        <w:rPr>
          <w:noProof/>
        </w:rPr>
        <w:tab/>
        <w:t>Salvo disposição em contrário nos atos jurídicos da União a que se refere o n.º 1 do presente artigo, a ENISA não tem acesso às notificações apresentadas através do ponto de entrada único.</w:t>
      </w:r>
    </w:p>
    <w:p w14:paraId="62DDA270" w14:textId="78C108A4" w:rsidR="00E732EA" w:rsidRPr="000D0D06" w:rsidRDefault="001936FC" w:rsidP="001936FC">
      <w:pPr>
        <w:pStyle w:val="Point0"/>
        <w:rPr>
          <w:noProof/>
        </w:rPr>
      </w:pPr>
      <w:r w:rsidRPr="000D0D06">
        <w:rPr>
          <w:noProof/>
        </w:rPr>
        <w:t>5)</w:t>
      </w:r>
      <w:r w:rsidRPr="000D0D06">
        <w:rPr>
          <w:noProof/>
        </w:rPr>
        <w:tab/>
        <w:t>No prazo de [18] meses a contar da data de entrada em vigor do presente regulamento, a ENISA testa o funcionamento do ponto de entrada único para cada ato jurídico da União aditado, incluindo testes que tenham em conta as especificidades e os requisitos para as notificações estabelecidos por cada ato jurídico da União específico, e após consulta da Comissão e das autoridades competentes pertinentes ao abrigo dos respetivos atos jurídicos da União. A ENISA só pode permitir a notificação de incidentes ao abrigo de cada ato jurídico da União a que se refere o n.º 1, após ter testado o funcionamento e após a Comissão ter publicado um aviso nos termos do n.º 6.</w:t>
      </w:r>
    </w:p>
    <w:p w14:paraId="6BAD81EB" w14:textId="57090EBE" w:rsidR="00E732EA" w:rsidRPr="000D0D06" w:rsidRDefault="001936FC" w:rsidP="001936FC">
      <w:pPr>
        <w:pStyle w:val="Point0"/>
        <w:rPr>
          <w:noProof/>
        </w:rPr>
      </w:pPr>
      <w:r w:rsidRPr="000D0D06">
        <w:rPr>
          <w:noProof/>
        </w:rPr>
        <w:t>6)</w:t>
      </w:r>
      <w:r w:rsidRPr="000D0D06">
        <w:rPr>
          <w:noProof/>
        </w:rPr>
        <w:tab/>
        <w:t xml:space="preserve">A Comissão, em cooperação com a ENISA, avalia o bom funcionamento, a fiabilidade, a integridade e a confidencialidade do ponto de entrada único. Se, após consulta da rede de CSIRT e das autoridades competentes ao abrigo dos atos jurídicos da União a que se refere o n.º 1, a Comissão concluir que o ponto de entrada único assegura o bom funcionamento, a fiabilidade, a integridade e a confidencialidade, publica um aviso para o efeito no </w:t>
      </w:r>
      <w:r w:rsidRPr="000D0D06">
        <w:rPr>
          <w:i/>
          <w:noProof/>
        </w:rPr>
        <w:t>Jornal Oficial da União Europeia</w:t>
      </w:r>
      <w:r w:rsidRPr="000D0D06">
        <w:rPr>
          <w:noProof/>
        </w:rPr>
        <w:t xml:space="preserve">. </w:t>
      </w:r>
    </w:p>
    <w:p w14:paraId="7A5E0F66" w14:textId="154FBB1F" w:rsidR="00C66171" w:rsidRPr="000D0D06" w:rsidRDefault="001936FC" w:rsidP="001936FC">
      <w:pPr>
        <w:pStyle w:val="Point0"/>
        <w:rPr>
          <w:noProof/>
        </w:rPr>
      </w:pPr>
      <w:r w:rsidRPr="000D0D06">
        <w:rPr>
          <w:noProof/>
        </w:rPr>
        <w:t>7)</w:t>
      </w:r>
      <w:r w:rsidRPr="000D0D06">
        <w:rPr>
          <w:noProof/>
        </w:rPr>
        <w:tab/>
        <w:t>Caso a Comissão conclua, na sua avaliação, que o ponto de entrada único não assegura o bom funcionamento, a fiabilidade, a integridade ou a confidencialidade, a ENISA adota, em cooperação com a Comissão e sem demora injustificada, todas as medidas corretivas necessárias para assegurar o bom funcionamento, a fiabilidade, a integridade ou a confidencialidade e informa a Comissão dos resultados. Posteriormente, a Comissão reavalia o bom funcionamento, a fiabilidade, a integridade ou a confidencialidade do ponto de entrada único e publica um aviso em conformidade com o n.º 6.».</w:t>
      </w:r>
    </w:p>
    <w:p w14:paraId="0581C627" w14:textId="77777777" w:rsidR="00BC605D" w:rsidRPr="000D0D06" w:rsidRDefault="001936FC" w:rsidP="001936FC">
      <w:pPr>
        <w:pStyle w:val="ManualNumPar1"/>
        <w:rPr>
          <w:noProof/>
        </w:rPr>
      </w:pPr>
      <w:r w:rsidRPr="000D0D06">
        <w:rPr>
          <w:noProof/>
        </w:rPr>
        <w:t>2.</w:t>
      </w:r>
      <w:r w:rsidRPr="000D0D06">
        <w:rPr>
          <w:noProof/>
        </w:rPr>
        <w:tab/>
        <w:t>O artigo 23.º é alterado do seguinte modo:</w:t>
      </w:r>
    </w:p>
    <w:p w14:paraId="5E9B70A7" w14:textId="77777777" w:rsidR="00C66171" w:rsidRPr="000D0D06" w:rsidRDefault="001936FC" w:rsidP="001936FC">
      <w:pPr>
        <w:pStyle w:val="Point1"/>
        <w:rPr>
          <w:noProof/>
        </w:rPr>
      </w:pPr>
      <w:r w:rsidRPr="000D0D06">
        <w:rPr>
          <w:noProof/>
        </w:rPr>
        <w:t>a)</w:t>
      </w:r>
      <w:r w:rsidRPr="000D0D06">
        <w:rPr>
          <w:noProof/>
        </w:rPr>
        <w:tab/>
        <w:t>No n.º 1, a primeira frase passa a ter a seguinte redação:</w:t>
      </w:r>
    </w:p>
    <w:p w14:paraId="0C3D9023" w14:textId="734D7168" w:rsidR="00C66171" w:rsidRPr="000D0D06" w:rsidRDefault="00C66171" w:rsidP="00665C74">
      <w:pPr>
        <w:pStyle w:val="Text2"/>
        <w:rPr>
          <w:noProof/>
        </w:rPr>
      </w:pPr>
      <w:r w:rsidRPr="000D0D06">
        <w:rPr>
          <w:noProof/>
        </w:rPr>
        <w:t xml:space="preserve">«Os Estados-Membros devem assegurar que as entidades essenciais e importantes notificam, sem demora injustificada, a sua CSIRT ou, se for caso disso, a sua autoridade competente, em conformidade com o n.º 4 do presente artigo, de qualquer incidente que tenha um impacto significativo na prestação dos seus serviços tal como referido no n.º 3 do presente artigo (incidente significativo), </w:t>
      </w:r>
      <w:bookmarkStart w:id="17" w:name="_Hlk200279352"/>
      <w:r w:rsidRPr="000D0D06">
        <w:rPr>
          <w:noProof/>
        </w:rPr>
        <w:t xml:space="preserve">através do ponto de entrada único </w:t>
      </w:r>
      <w:bookmarkEnd w:id="17"/>
      <w:r w:rsidRPr="000D0D06">
        <w:rPr>
          <w:noProof/>
        </w:rPr>
        <w:t>criado nos termos do artigo 23.º-A.»;</w:t>
      </w:r>
    </w:p>
    <w:p w14:paraId="30CF3D8C" w14:textId="77777777" w:rsidR="008F6799" w:rsidRPr="000D0D06" w:rsidRDefault="001936FC" w:rsidP="001936FC">
      <w:pPr>
        <w:pStyle w:val="Point1"/>
        <w:rPr>
          <w:noProof/>
        </w:rPr>
      </w:pPr>
      <w:r w:rsidRPr="000D0D06">
        <w:rPr>
          <w:noProof/>
        </w:rPr>
        <w:t>a)</w:t>
      </w:r>
      <w:r w:rsidRPr="000D0D06">
        <w:rPr>
          <w:noProof/>
        </w:rPr>
        <w:tab/>
        <w:t>É aditado o seguinte n.º 12:</w:t>
      </w:r>
    </w:p>
    <w:p w14:paraId="1978EB7E" w14:textId="77777777" w:rsidR="008F6799" w:rsidRPr="000D0D06" w:rsidRDefault="008F6799" w:rsidP="00665C74">
      <w:pPr>
        <w:pStyle w:val="Text2"/>
        <w:rPr>
          <w:noProof/>
        </w:rPr>
      </w:pPr>
      <w:r w:rsidRPr="000D0D06">
        <w:rPr>
          <w:noProof/>
        </w:rPr>
        <w:t>«Quando um fabricante notifica um incidente grave nos termos do artigo 14.º, n.º 3, do Regulamento (UE) 2024/2847 e a notificação de incidentes ao abrigo desse artigo contém informações pertinentes, tal como exigido no n.º 4 do presente artigo, a notificação do fabricante nos termos do artigo 14.º, n.º 3, do Regulamento (UE) 2024/2847 constitui uma notificação nos termos do n.º 4 do presente artigo.».</w:t>
      </w:r>
    </w:p>
    <w:p w14:paraId="4EEF0D20" w14:textId="77777777" w:rsidR="00BF4D58" w:rsidRPr="000D0D06" w:rsidRDefault="001936FC" w:rsidP="001936FC">
      <w:pPr>
        <w:pStyle w:val="ManualNumPar1"/>
        <w:rPr>
          <w:noProof/>
        </w:rPr>
      </w:pPr>
      <w:r w:rsidRPr="000D0D06">
        <w:rPr>
          <w:noProof/>
        </w:rPr>
        <w:t>3.</w:t>
      </w:r>
      <w:r w:rsidRPr="000D0D06">
        <w:rPr>
          <w:noProof/>
        </w:rPr>
        <w:tab/>
        <w:t>No artigo 30.º, o n.º 1 passa a ter a seguinte redação: </w:t>
      </w:r>
    </w:p>
    <w:p w14:paraId="43D761FC" w14:textId="77777777" w:rsidR="00BF4D58" w:rsidRPr="000D0D06" w:rsidRDefault="00BF4D58" w:rsidP="00665C74">
      <w:pPr>
        <w:pStyle w:val="Text2"/>
        <w:rPr>
          <w:noProof/>
        </w:rPr>
      </w:pPr>
      <w:r w:rsidRPr="000D0D06">
        <w:rPr>
          <w:noProof/>
        </w:rPr>
        <w:t>«1. Os Estados-Membros asseguram que, além da obrigação de notificação prevista no artigo 23.º, as notificações possam ser apresentadas às CSIRT ou, se for caso disso, às autoridades competentes, a título voluntário, através do ponto de entrada único criado nos termos do artigo 23.º-A, pelas:</w:t>
      </w:r>
    </w:p>
    <w:p w14:paraId="38D6E6D3" w14:textId="77777777" w:rsidR="00091DF9" w:rsidRPr="000D0D06" w:rsidRDefault="001936FC" w:rsidP="001936FC">
      <w:pPr>
        <w:pStyle w:val="Point2"/>
        <w:rPr>
          <w:noProof/>
        </w:rPr>
      </w:pPr>
      <w:r w:rsidRPr="000D0D06">
        <w:rPr>
          <w:noProof/>
        </w:rPr>
        <w:t>a)</w:t>
      </w:r>
      <w:r w:rsidRPr="000D0D06">
        <w:rPr>
          <w:noProof/>
        </w:rPr>
        <w:tab/>
        <w:t>Entidades essenciais e importantes em caso de incidentes, ciberameaças e quase incidentes;</w:t>
      </w:r>
    </w:p>
    <w:p w14:paraId="2762042C" w14:textId="77777777" w:rsidR="00C66171" w:rsidRPr="000D0D06" w:rsidRDefault="001936FC" w:rsidP="001936FC">
      <w:pPr>
        <w:pStyle w:val="Point2"/>
        <w:rPr>
          <w:noProof/>
        </w:rPr>
      </w:pPr>
      <w:r w:rsidRPr="000D0D06">
        <w:rPr>
          <w:noProof/>
        </w:rPr>
        <w:t>b)</w:t>
      </w:r>
      <w:r w:rsidRPr="000D0D06">
        <w:rPr>
          <w:noProof/>
        </w:rPr>
        <w:tab/>
        <w:t>Entidades que não as referidas na alínea a), independentemente de serem ou não abrangidas pelo âmbito de aplicação da presente diretiva, em caso de incidentes significativos, ciberameaças e quase incidentes.».</w:t>
      </w:r>
    </w:p>
    <w:p w14:paraId="7646C574" w14:textId="77777777" w:rsidR="004E5E57" w:rsidRPr="000D0D06" w:rsidRDefault="004E5E57" w:rsidP="003F0D66">
      <w:pPr>
        <w:pStyle w:val="Text1"/>
        <w:rPr>
          <w:noProof/>
        </w:rPr>
      </w:pPr>
    </w:p>
    <w:p w14:paraId="1411D932" w14:textId="77777777" w:rsidR="009C410F" w:rsidRPr="000D0D06" w:rsidRDefault="009C410F" w:rsidP="003F0D66">
      <w:pPr>
        <w:pStyle w:val="Titrearticle"/>
        <w:rPr>
          <w:noProof/>
        </w:rPr>
      </w:pPr>
      <w:r w:rsidRPr="000D0D06">
        <w:rPr>
          <w:noProof/>
        </w:rPr>
        <w:t>Artigo 7.º</w:t>
      </w:r>
    </w:p>
    <w:p w14:paraId="0BC615EE" w14:textId="77777777" w:rsidR="002711D1" w:rsidRPr="000D0D06" w:rsidRDefault="009C410F" w:rsidP="60E008F6">
      <w:pPr>
        <w:jc w:val="center"/>
        <w:rPr>
          <w:i/>
          <w:iCs/>
          <w:noProof/>
        </w:rPr>
      </w:pPr>
      <w:r w:rsidRPr="000D0D06">
        <w:rPr>
          <w:i/>
          <w:noProof/>
        </w:rPr>
        <w:t>Alteração do Regulamento (UE) n.º 910/2014</w:t>
      </w:r>
    </w:p>
    <w:p w14:paraId="4943F8DE" w14:textId="77777777" w:rsidR="009C410F" w:rsidRPr="000D0D06" w:rsidRDefault="002711D1" w:rsidP="008D6372">
      <w:pPr>
        <w:rPr>
          <w:noProof/>
        </w:rPr>
      </w:pPr>
      <w:r w:rsidRPr="000D0D06">
        <w:rPr>
          <w:noProof/>
        </w:rPr>
        <w:t xml:space="preserve">O Regulamento (UE) 910/2014 é alterado do seguinte modo: </w:t>
      </w:r>
    </w:p>
    <w:p w14:paraId="4FAF3956" w14:textId="77777777" w:rsidR="009C410F" w:rsidRPr="000D0D06" w:rsidRDefault="001936FC" w:rsidP="001936FC">
      <w:pPr>
        <w:pStyle w:val="ManualNumPar1"/>
        <w:rPr>
          <w:noProof/>
        </w:rPr>
      </w:pPr>
      <w:r w:rsidRPr="000D0D06">
        <w:rPr>
          <w:noProof/>
        </w:rPr>
        <w:t>1.</w:t>
      </w:r>
      <w:r w:rsidRPr="000D0D06">
        <w:rPr>
          <w:noProof/>
        </w:rPr>
        <w:tab/>
        <w:t>No artigo 19.º-A, é inserido o seguinte n.º 1-A:</w:t>
      </w:r>
    </w:p>
    <w:p w14:paraId="1037662C" w14:textId="7D049DBC" w:rsidR="4D9BC597" w:rsidRPr="000D0D06" w:rsidRDefault="009C410F" w:rsidP="00665C74">
      <w:pPr>
        <w:pStyle w:val="Text2"/>
        <w:rPr>
          <w:noProof/>
        </w:rPr>
      </w:pPr>
      <w:r w:rsidRPr="000D0D06">
        <w:rPr>
          <w:noProof/>
        </w:rPr>
        <w:t>«1-A. As notificações nos termos do n.º 1, alínea b), do presente artigo à entidade supervisora e, se for caso disso, a outras autoridades competentes pertinentes, devem ser efetuadas através do ponto de entrada único nos termos do artigo 23.º-A da Diretiva (UE) 2022/2555.».</w:t>
      </w:r>
    </w:p>
    <w:p w14:paraId="385755DD" w14:textId="77777777" w:rsidR="4C2909BA" w:rsidRPr="000D0D06" w:rsidRDefault="001936FC" w:rsidP="001936FC">
      <w:pPr>
        <w:pStyle w:val="ManualNumPar1"/>
        <w:rPr>
          <w:noProof/>
        </w:rPr>
      </w:pPr>
      <w:r w:rsidRPr="000D0D06">
        <w:rPr>
          <w:noProof/>
        </w:rPr>
        <w:t>2.</w:t>
      </w:r>
      <w:r w:rsidRPr="000D0D06">
        <w:rPr>
          <w:noProof/>
        </w:rPr>
        <w:tab/>
        <w:t>No artigo 24.º, é inserido o seguinte n.º 2-A:</w:t>
      </w:r>
    </w:p>
    <w:p w14:paraId="0985DBC0" w14:textId="77777777" w:rsidR="1590EBEC" w:rsidRPr="000D0D06" w:rsidRDefault="4C2909BA" w:rsidP="00665C74">
      <w:pPr>
        <w:pStyle w:val="Text2"/>
        <w:rPr>
          <w:noProof/>
        </w:rPr>
      </w:pPr>
      <w:r w:rsidRPr="000D0D06">
        <w:rPr>
          <w:noProof/>
        </w:rPr>
        <w:t>«2-A. As notificações nos termos do n.º 2, alínea f-B), do presente artigo à entidade supervisora e, se for caso disso, a outros organismos competentes pertinentes, devem ser efetuadas através do ponto de entrada único nos termos do artigo 23.º-A da Diretiva (UE) 2022/2555.».</w:t>
      </w:r>
    </w:p>
    <w:p w14:paraId="6F4C0DC5" w14:textId="77777777" w:rsidR="009C410F" w:rsidRPr="000D0D06" w:rsidRDefault="001936FC" w:rsidP="001936FC">
      <w:pPr>
        <w:pStyle w:val="ManualNumPar1"/>
        <w:rPr>
          <w:noProof/>
        </w:rPr>
      </w:pPr>
      <w:r w:rsidRPr="000D0D06">
        <w:rPr>
          <w:noProof/>
        </w:rPr>
        <w:t>3.</w:t>
      </w:r>
      <w:r w:rsidRPr="000D0D06">
        <w:rPr>
          <w:noProof/>
        </w:rPr>
        <w:tab/>
        <w:t>No artigo 45.º-A, é inserido o seguinte n.º 3-A:</w:t>
      </w:r>
    </w:p>
    <w:p w14:paraId="53B9212C" w14:textId="77777777" w:rsidR="009C410F" w:rsidRPr="000D0D06" w:rsidRDefault="009C410F" w:rsidP="00665C74">
      <w:pPr>
        <w:pStyle w:val="Text2"/>
        <w:rPr>
          <w:noProof/>
        </w:rPr>
      </w:pPr>
      <w:r w:rsidRPr="000D0D06">
        <w:rPr>
          <w:noProof/>
        </w:rPr>
        <w:t>«3-A. As notificações nos termos do n.º 3 à Comissão e à entidade supervisora competente devem ser efetuadas através do ponto de entrada único nos termos do artigo 23.º-A da Diretiva (UE) 2022/2555.».</w:t>
      </w:r>
    </w:p>
    <w:p w14:paraId="003A7054" w14:textId="77777777" w:rsidR="00855E2E" w:rsidRPr="000D0D06" w:rsidRDefault="003F0D66" w:rsidP="003F0D66">
      <w:pPr>
        <w:pStyle w:val="Titrearticle"/>
        <w:rPr>
          <w:noProof/>
        </w:rPr>
      </w:pPr>
      <w:r w:rsidRPr="000D0D06">
        <w:rPr>
          <w:noProof/>
        </w:rPr>
        <w:t>Artigo 8.º</w:t>
      </w:r>
    </w:p>
    <w:p w14:paraId="5CF3E3BC" w14:textId="77777777" w:rsidR="00855E2E" w:rsidRPr="000D0D06" w:rsidRDefault="00855E2E" w:rsidP="004E5E57">
      <w:pPr>
        <w:jc w:val="center"/>
        <w:rPr>
          <w:i/>
          <w:iCs/>
          <w:noProof/>
        </w:rPr>
      </w:pPr>
      <w:r w:rsidRPr="000D0D06">
        <w:rPr>
          <w:i/>
          <w:noProof/>
        </w:rPr>
        <w:t>Alterações do Regulamento (UE) 2022/2554</w:t>
      </w:r>
    </w:p>
    <w:p w14:paraId="13749D5C" w14:textId="77777777" w:rsidR="00045DE7" w:rsidRPr="000D0D06" w:rsidRDefault="000B6681" w:rsidP="009C410F">
      <w:pPr>
        <w:spacing w:before="0" w:after="200" w:line="276" w:lineRule="auto"/>
        <w:jc w:val="left"/>
        <w:rPr>
          <w:noProof/>
        </w:rPr>
      </w:pPr>
      <w:r w:rsidRPr="000D0D06">
        <w:rPr>
          <w:noProof/>
        </w:rPr>
        <w:t>O artigo 19.º do Regulamento (UE) 2022/2554 é alterado do seguinte modo:</w:t>
      </w:r>
    </w:p>
    <w:p w14:paraId="7BC59029" w14:textId="77777777" w:rsidR="00855E2E" w:rsidRPr="000D0D06" w:rsidRDefault="001936FC" w:rsidP="001936FC">
      <w:pPr>
        <w:pStyle w:val="ManualNumPar1"/>
        <w:rPr>
          <w:noProof/>
        </w:rPr>
      </w:pPr>
      <w:r w:rsidRPr="000D0D06">
        <w:rPr>
          <w:noProof/>
        </w:rPr>
        <w:t>1.</w:t>
      </w:r>
      <w:r w:rsidRPr="000D0D06">
        <w:rPr>
          <w:noProof/>
        </w:rPr>
        <w:tab/>
        <w:t xml:space="preserve">No n.º 1, o primeiro parágrafo passa a ter a seguinte redação: </w:t>
      </w:r>
    </w:p>
    <w:p w14:paraId="65386882" w14:textId="35243859" w:rsidR="002E5091" w:rsidRPr="000D0D06" w:rsidRDefault="5DEFECFC" w:rsidP="00665C74">
      <w:pPr>
        <w:pStyle w:val="Text2"/>
        <w:rPr>
          <w:noProof/>
        </w:rPr>
      </w:pPr>
      <w:r w:rsidRPr="000D0D06">
        <w:rPr>
          <w:noProof/>
        </w:rPr>
        <w:t>«As entidades financeiras comunicam os incidentes de caráter severo relacionados com as TIC à autoridade competente pertinente, conforme previsto no artigo 46.º, através do ponto de entrada único criado nos termos do artigo 23.º-A da Diretiva (UE) 2022/2555, em conformidade com o n.º 4 do presente artigo.».</w:t>
      </w:r>
    </w:p>
    <w:p w14:paraId="400E278E" w14:textId="77777777" w:rsidR="2D7AF8FE" w:rsidRPr="000D0D06" w:rsidRDefault="001936FC" w:rsidP="001936FC">
      <w:pPr>
        <w:pStyle w:val="ManualNumPar1"/>
        <w:rPr>
          <w:noProof/>
        </w:rPr>
      </w:pPr>
      <w:r w:rsidRPr="000D0D06">
        <w:rPr>
          <w:noProof/>
        </w:rPr>
        <w:t>2.</w:t>
      </w:r>
      <w:r w:rsidRPr="000D0D06">
        <w:rPr>
          <w:noProof/>
        </w:rPr>
        <w:tab/>
        <w:t>No n.º 2, o primeiro parágrafo passa a ter a seguinte redação:</w:t>
      </w:r>
    </w:p>
    <w:p w14:paraId="7A1054BD" w14:textId="49927C55" w:rsidR="00E87E98" w:rsidRPr="000D0D06" w:rsidRDefault="459CACC4" w:rsidP="00665C74">
      <w:pPr>
        <w:pStyle w:val="Text2"/>
        <w:rPr>
          <w:noProof/>
        </w:rPr>
      </w:pPr>
      <w:r w:rsidRPr="000D0D06">
        <w:rPr>
          <w:noProof/>
        </w:rPr>
        <w:t>«As entidades financeiras podem notificar a autoridade competente pertinente, a título voluntário, através do ponto de entrada único criado nos termos do artigo 23.º-A da Diretiva (UE) 2022/2555, de ciberameaças significativas, sempre que considerem essas ameaças relevantes para o sistema financeiro, os utilizadores ou os clientes do serviço. A autoridade competente pertinente pode transmitir essas informações a outras autoridades pertinentes a que se refere o n.º 6.».</w:t>
      </w:r>
    </w:p>
    <w:p w14:paraId="5F8FD4EA" w14:textId="77777777" w:rsidR="001A4D4B" w:rsidRPr="000D0D06" w:rsidRDefault="001A4D4B" w:rsidP="003F0D66">
      <w:pPr>
        <w:pStyle w:val="Titrearticle"/>
        <w:rPr>
          <w:noProof/>
        </w:rPr>
      </w:pPr>
      <w:r w:rsidRPr="000D0D06">
        <w:rPr>
          <w:noProof/>
        </w:rPr>
        <w:t>Artigo 9.º</w:t>
      </w:r>
    </w:p>
    <w:p w14:paraId="2BE7F165" w14:textId="77777777" w:rsidR="001A4D4B" w:rsidRPr="000D0D06" w:rsidRDefault="001A4D4B" w:rsidP="004E5E57">
      <w:pPr>
        <w:jc w:val="center"/>
        <w:rPr>
          <w:i/>
          <w:iCs/>
          <w:noProof/>
        </w:rPr>
      </w:pPr>
      <w:r w:rsidRPr="000D0D06">
        <w:rPr>
          <w:i/>
          <w:noProof/>
        </w:rPr>
        <w:t>Alterações da Diretiva (UE) 2022/2557</w:t>
      </w:r>
    </w:p>
    <w:p w14:paraId="7C24881A" w14:textId="77777777" w:rsidR="005D15CA" w:rsidRPr="000D0D06" w:rsidRDefault="001A4D4B" w:rsidP="00EA0DE9">
      <w:pPr>
        <w:spacing w:before="0" w:after="200" w:line="276" w:lineRule="auto"/>
        <w:jc w:val="left"/>
        <w:rPr>
          <w:noProof/>
        </w:rPr>
      </w:pPr>
      <w:r w:rsidRPr="000D0D06">
        <w:rPr>
          <w:noProof/>
        </w:rPr>
        <w:t>O artigo 15.º da Diretiva (UE) 2022/2557 é alterado do seguinte modo:</w:t>
      </w:r>
    </w:p>
    <w:p w14:paraId="20865A8A" w14:textId="77777777" w:rsidR="001A4D4B" w:rsidRPr="000D0D06" w:rsidRDefault="001936FC" w:rsidP="001936FC">
      <w:pPr>
        <w:pStyle w:val="ManualNumPar1"/>
        <w:rPr>
          <w:noProof/>
        </w:rPr>
      </w:pPr>
      <w:r w:rsidRPr="000D0D06">
        <w:rPr>
          <w:noProof/>
        </w:rPr>
        <w:t>1.</w:t>
      </w:r>
      <w:r w:rsidRPr="000D0D06">
        <w:rPr>
          <w:noProof/>
        </w:rPr>
        <w:tab/>
        <w:t>No n.º 1, a primeira frase passa a ter a seguinte redação:</w:t>
      </w:r>
    </w:p>
    <w:p w14:paraId="5D4C14CE" w14:textId="77777777" w:rsidR="001A4D4B" w:rsidRPr="000D0D06" w:rsidRDefault="4A0F7EAB" w:rsidP="00665C74">
      <w:pPr>
        <w:pStyle w:val="Text2"/>
        <w:rPr>
          <w:noProof/>
        </w:rPr>
      </w:pPr>
      <w:r w:rsidRPr="000D0D06">
        <w:rPr>
          <w:noProof/>
        </w:rPr>
        <w:t>«Os Estados-Membros asseguram que as entidades críticas notificam, através do ponto de entrada único criado nos termos do artigo 23.º-A da Diretiva (UE) 2022/2555, sem demora injustificada, a autoridade competente dos incidentes que perturbem significativamente, ou sejam suscetíveis de perturbar significativamente, a prestação de serviços essenciais.».</w:t>
      </w:r>
    </w:p>
    <w:p w14:paraId="4AC71746" w14:textId="77777777" w:rsidR="005E4115" w:rsidRPr="000D0D06" w:rsidRDefault="001936FC" w:rsidP="001936FC">
      <w:pPr>
        <w:pStyle w:val="ManualNumPar1"/>
        <w:rPr>
          <w:noProof/>
        </w:rPr>
      </w:pPr>
      <w:r w:rsidRPr="000D0D06">
        <w:rPr>
          <w:noProof/>
        </w:rPr>
        <w:t>2.</w:t>
      </w:r>
      <w:r w:rsidRPr="000D0D06">
        <w:rPr>
          <w:noProof/>
        </w:rPr>
        <w:tab/>
        <w:t xml:space="preserve">Ao n.º 2 é aditado o seguinte parágrafo: </w:t>
      </w:r>
    </w:p>
    <w:p w14:paraId="52D4BC9C" w14:textId="13B8A618" w:rsidR="7D38B939" w:rsidRPr="000D0D06" w:rsidRDefault="0CEA5A30" w:rsidP="00665C74">
      <w:pPr>
        <w:pStyle w:val="Text2"/>
        <w:rPr>
          <w:noProof/>
        </w:rPr>
      </w:pPr>
      <w:r w:rsidRPr="000D0D06">
        <w:rPr>
          <w:noProof/>
        </w:rPr>
        <w:t>«A Comissão pode adotar atos de execução que especifiquem o tipo e o formato das informações notificadas nos termos do artigo 15.º, n.º 1. Os referidos atos de execução são adotados pelo procedimento de exame a que se refere o artigo 24.º, n.º 2.».</w:t>
      </w:r>
      <w:bookmarkEnd w:id="16"/>
    </w:p>
    <w:p w14:paraId="465480E4" w14:textId="77777777" w:rsidR="00797532" w:rsidRPr="000D0D06" w:rsidRDefault="00797532" w:rsidP="003F0D66">
      <w:pPr>
        <w:pStyle w:val="Titrearticle"/>
        <w:rPr>
          <w:noProof/>
        </w:rPr>
      </w:pPr>
      <w:r w:rsidRPr="000D0D06">
        <w:rPr>
          <w:noProof/>
        </w:rPr>
        <w:t>Artigo 10.º</w:t>
      </w:r>
    </w:p>
    <w:p w14:paraId="32E18AF6" w14:textId="77777777" w:rsidR="002B1AE2" w:rsidRPr="000D0D06" w:rsidRDefault="002B1AE2" w:rsidP="008D6372">
      <w:pPr>
        <w:jc w:val="center"/>
        <w:rPr>
          <w:i/>
          <w:iCs/>
          <w:noProof/>
        </w:rPr>
      </w:pPr>
      <w:r w:rsidRPr="000D0D06">
        <w:rPr>
          <w:i/>
          <w:noProof/>
        </w:rPr>
        <w:t>Revogações e cláusulas transitórias</w:t>
      </w:r>
    </w:p>
    <w:p w14:paraId="119CDAEF" w14:textId="77777777" w:rsidR="004E5E57" w:rsidRPr="000D0D06" w:rsidRDefault="004E5E57" w:rsidP="008D6372">
      <w:pPr>
        <w:jc w:val="center"/>
        <w:rPr>
          <w:i/>
          <w:iCs/>
          <w:noProof/>
        </w:rPr>
      </w:pPr>
    </w:p>
    <w:p w14:paraId="4987B4F3" w14:textId="1B708ED9" w:rsidR="005D30E6" w:rsidRPr="000D0D06" w:rsidRDefault="001936FC" w:rsidP="001936FC">
      <w:pPr>
        <w:pStyle w:val="ManualNumPar1"/>
        <w:rPr>
          <w:noProof/>
        </w:rPr>
      </w:pPr>
      <w:r w:rsidRPr="000D0D06">
        <w:rPr>
          <w:noProof/>
        </w:rPr>
        <w:t>1.</w:t>
      </w:r>
      <w:r w:rsidRPr="000D0D06">
        <w:rPr>
          <w:noProof/>
        </w:rPr>
        <w:tab/>
        <w:t xml:space="preserve">O Regulamento (UE) 2019/1150 é revogado com efeitos a partir de [data = data de entrada em aplicação do presente regulamento]. </w:t>
      </w:r>
    </w:p>
    <w:p w14:paraId="7635BBF8" w14:textId="77777777" w:rsidR="005D30E6" w:rsidRPr="000D0D06" w:rsidRDefault="001936FC" w:rsidP="001936FC">
      <w:pPr>
        <w:pStyle w:val="ManualNumPar1"/>
        <w:rPr>
          <w:noProof/>
        </w:rPr>
      </w:pPr>
      <w:r w:rsidRPr="000D0D06">
        <w:rPr>
          <w:noProof/>
        </w:rPr>
        <w:t>2.</w:t>
      </w:r>
      <w:r w:rsidRPr="000D0D06">
        <w:rPr>
          <w:noProof/>
        </w:rPr>
        <w:tab/>
        <w:t xml:space="preserve">Em derrogação do n.º 1, as seguintes disposições continuam a ser aplicáveis até 31 de dezembro de 2032: </w:t>
      </w:r>
    </w:p>
    <w:p w14:paraId="0679164E" w14:textId="77777777" w:rsidR="005D30E6" w:rsidRPr="000D0D06" w:rsidRDefault="005D30E6" w:rsidP="0014764C">
      <w:pPr>
        <w:pStyle w:val="LegalNumPar"/>
        <w:numPr>
          <w:ilvl w:val="0"/>
          <w:numId w:val="27"/>
        </w:numPr>
        <w:spacing w:before="0"/>
        <w:rPr>
          <w:noProof/>
        </w:rPr>
      </w:pPr>
      <w:r w:rsidRPr="000D0D06">
        <w:rPr>
          <w:noProof/>
        </w:rPr>
        <w:t>Artigo 2.º, ponto 1;</w:t>
      </w:r>
    </w:p>
    <w:p w14:paraId="6E594F87" w14:textId="77777777" w:rsidR="005D30E6" w:rsidRPr="000D0D06" w:rsidRDefault="005D30E6" w:rsidP="0014764C">
      <w:pPr>
        <w:pStyle w:val="LegalNumPar"/>
        <w:numPr>
          <w:ilvl w:val="0"/>
          <w:numId w:val="27"/>
        </w:numPr>
        <w:spacing w:before="0"/>
        <w:rPr>
          <w:noProof/>
        </w:rPr>
      </w:pPr>
      <w:r w:rsidRPr="000D0D06">
        <w:rPr>
          <w:noProof/>
        </w:rPr>
        <w:t>Artigo 2.º, ponto 2;</w:t>
      </w:r>
    </w:p>
    <w:p w14:paraId="734CD9C9" w14:textId="77777777" w:rsidR="005D30E6" w:rsidRPr="000D0D06" w:rsidRDefault="005D30E6" w:rsidP="0014764C">
      <w:pPr>
        <w:pStyle w:val="LegalNumPar"/>
        <w:numPr>
          <w:ilvl w:val="0"/>
          <w:numId w:val="27"/>
        </w:numPr>
        <w:spacing w:before="0"/>
        <w:rPr>
          <w:noProof/>
        </w:rPr>
      </w:pPr>
      <w:r w:rsidRPr="000D0D06">
        <w:rPr>
          <w:noProof/>
        </w:rPr>
        <w:t xml:space="preserve">Artigo 2.º, ponto 5; </w:t>
      </w:r>
    </w:p>
    <w:p w14:paraId="664BFC03" w14:textId="77777777" w:rsidR="005D30E6" w:rsidRPr="000D0D06" w:rsidRDefault="005D30E6" w:rsidP="0014764C">
      <w:pPr>
        <w:pStyle w:val="LegalNumPar"/>
        <w:numPr>
          <w:ilvl w:val="0"/>
          <w:numId w:val="27"/>
        </w:numPr>
        <w:spacing w:before="0"/>
        <w:rPr>
          <w:noProof/>
        </w:rPr>
      </w:pPr>
      <w:r w:rsidRPr="000D0D06">
        <w:rPr>
          <w:noProof/>
        </w:rPr>
        <w:t xml:space="preserve">Artigo 4.º; </w:t>
      </w:r>
    </w:p>
    <w:p w14:paraId="0C0FF302" w14:textId="77777777" w:rsidR="001271E7" w:rsidRPr="000D0D06" w:rsidRDefault="005D30E6" w:rsidP="0014764C">
      <w:pPr>
        <w:pStyle w:val="LegalNumPar"/>
        <w:numPr>
          <w:ilvl w:val="0"/>
          <w:numId w:val="27"/>
        </w:numPr>
        <w:spacing w:before="0"/>
        <w:rPr>
          <w:noProof/>
        </w:rPr>
      </w:pPr>
      <w:r w:rsidRPr="000D0D06">
        <w:rPr>
          <w:noProof/>
        </w:rPr>
        <w:t>Artigo 11.º;</w:t>
      </w:r>
    </w:p>
    <w:p w14:paraId="5AEA4720" w14:textId="77777777" w:rsidR="001271E7" w:rsidRPr="000D0D06" w:rsidRDefault="005D30E6" w:rsidP="0014764C">
      <w:pPr>
        <w:pStyle w:val="LegalNumPar"/>
        <w:numPr>
          <w:ilvl w:val="0"/>
          <w:numId w:val="27"/>
        </w:numPr>
        <w:spacing w:before="0"/>
        <w:rPr>
          <w:noProof/>
        </w:rPr>
      </w:pPr>
      <w:r w:rsidRPr="000D0D06">
        <w:rPr>
          <w:noProof/>
        </w:rPr>
        <w:t xml:space="preserve">Artigo 15.º. </w:t>
      </w:r>
    </w:p>
    <w:p w14:paraId="68B787B1" w14:textId="77777777" w:rsidR="00797532" w:rsidRPr="000D0D06" w:rsidRDefault="001936FC" w:rsidP="001936FC">
      <w:pPr>
        <w:pStyle w:val="ManualNumPar1"/>
        <w:rPr>
          <w:noProof/>
        </w:rPr>
      </w:pPr>
      <w:r w:rsidRPr="000D0D06">
        <w:rPr>
          <w:noProof/>
        </w:rPr>
        <w:t>3.</w:t>
      </w:r>
      <w:r w:rsidRPr="000D0D06">
        <w:rPr>
          <w:noProof/>
        </w:rPr>
        <w:tab/>
        <w:t xml:space="preserve">São revogados os seguintes atos, com efeitos a partir de [data, alinhada com a data de entrada em aplicação das alterações]: </w:t>
      </w:r>
    </w:p>
    <w:p w14:paraId="63DD6ECF" w14:textId="77777777" w:rsidR="00797532" w:rsidRPr="000D0D06" w:rsidRDefault="00797532" w:rsidP="0057502F">
      <w:pPr>
        <w:pStyle w:val="LegalNumPar"/>
        <w:numPr>
          <w:ilvl w:val="0"/>
          <w:numId w:val="17"/>
        </w:numPr>
        <w:ind w:left="1418"/>
        <w:rPr>
          <w:noProof/>
        </w:rPr>
      </w:pPr>
      <w:r w:rsidRPr="000D0D06">
        <w:rPr>
          <w:noProof/>
        </w:rPr>
        <w:t>Regulamento (UE) 2022/868;</w:t>
      </w:r>
    </w:p>
    <w:p w14:paraId="40F0EF6A" w14:textId="77777777" w:rsidR="00797532" w:rsidRPr="000D0D06" w:rsidRDefault="00797532" w:rsidP="0057502F">
      <w:pPr>
        <w:pStyle w:val="LegalNumPar"/>
        <w:numPr>
          <w:ilvl w:val="0"/>
          <w:numId w:val="17"/>
        </w:numPr>
        <w:ind w:left="1418"/>
        <w:rPr>
          <w:noProof/>
        </w:rPr>
      </w:pPr>
      <w:r w:rsidRPr="000D0D06">
        <w:rPr>
          <w:noProof/>
        </w:rPr>
        <w:t>Regulamento (UE) 2018/1807;</w:t>
      </w:r>
    </w:p>
    <w:p w14:paraId="761D84C7" w14:textId="77777777" w:rsidR="00797532" w:rsidRPr="000D0D06" w:rsidRDefault="00797532" w:rsidP="0057502F">
      <w:pPr>
        <w:pStyle w:val="LegalNumPar"/>
        <w:numPr>
          <w:ilvl w:val="0"/>
          <w:numId w:val="17"/>
        </w:numPr>
        <w:ind w:left="1418"/>
        <w:rPr>
          <w:noProof/>
        </w:rPr>
      </w:pPr>
      <w:r w:rsidRPr="000D0D06">
        <w:rPr>
          <w:noProof/>
        </w:rPr>
        <w:t>Diretiva (UE) 2019/1024.</w:t>
      </w:r>
    </w:p>
    <w:p w14:paraId="657BCD3D" w14:textId="4824DCFE" w:rsidR="00797532" w:rsidRPr="000D0D06" w:rsidRDefault="001936FC" w:rsidP="001936FC">
      <w:pPr>
        <w:pStyle w:val="ManualNumPar1"/>
        <w:rPr>
          <w:noProof/>
        </w:rPr>
      </w:pPr>
      <w:r w:rsidRPr="000D0D06">
        <w:rPr>
          <w:noProof/>
        </w:rPr>
        <w:t>4.</w:t>
      </w:r>
      <w:r w:rsidRPr="000D0D06">
        <w:rPr>
          <w:noProof/>
        </w:rPr>
        <w:tab/>
        <w:t>As referências ao Regulamento (UE) 2022/868, ao Regulamento (UE) 2018/1807 e à Diretiva (UE) 2019/1024 devem ser lidas de acordo com a tabela de correspondência constante do anexo I do presente regulamento.</w:t>
      </w:r>
    </w:p>
    <w:p w14:paraId="597D7C3E" w14:textId="77777777" w:rsidR="00FF2EDA" w:rsidRPr="000D0D06" w:rsidRDefault="00FF2EDA" w:rsidP="008C7057">
      <w:pPr>
        <w:pStyle w:val="Titrearticle"/>
        <w:rPr>
          <w:noProof/>
        </w:rPr>
      </w:pPr>
      <w:r w:rsidRPr="000D0D06">
        <w:rPr>
          <w:noProof/>
        </w:rPr>
        <w:t>Artigo 11.º</w:t>
      </w:r>
    </w:p>
    <w:p w14:paraId="3E14439F" w14:textId="77777777" w:rsidR="002B1AE2" w:rsidRPr="000D0D06" w:rsidRDefault="002B1AE2" w:rsidP="008D6372">
      <w:pPr>
        <w:jc w:val="center"/>
        <w:rPr>
          <w:i/>
          <w:iCs/>
          <w:noProof/>
        </w:rPr>
      </w:pPr>
      <w:r w:rsidRPr="000D0D06">
        <w:rPr>
          <w:i/>
          <w:noProof/>
        </w:rPr>
        <w:t>Disposições finais</w:t>
      </w:r>
    </w:p>
    <w:p w14:paraId="2A72F039" w14:textId="77777777" w:rsidR="00FF2EDA" w:rsidRPr="000D0D06" w:rsidRDefault="00FF2EDA" w:rsidP="003F0D66">
      <w:pPr>
        <w:rPr>
          <w:noProof/>
        </w:rPr>
      </w:pPr>
      <w:r w:rsidRPr="000D0D06">
        <w:rPr>
          <w:noProof/>
        </w:rPr>
        <w:t xml:space="preserve">O presente regulamento entra em vigor no terceiro dia seguinte ao da sua publicação no </w:t>
      </w:r>
      <w:r w:rsidRPr="000D0D06">
        <w:rPr>
          <w:i/>
          <w:noProof/>
        </w:rPr>
        <w:t>Jornal Oficial da União Europeia</w:t>
      </w:r>
      <w:r w:rsidRPr="000D0D06">
        <w:rPr>
          <w:noProof/>
        </w:rPr>
        <w:t>.</w:t>
      </w:r>
    </w:p>
    <w:p w14:paraId="16767CCC" w14:textId="493EE506" w:rsidR="00853863" w:rsidRPr="000D0D06" w:rsidRDefault="00853863" w:rsidP="003F0D66">
      <w:pPr>
        <w:rPr>
          <w:noProof/>
        </w:rPr>
      </w:pPr>
      <w:r w:rsidRPr="000D0D06">
        <w:rPr>
          <w:noProof/>
        </w:rPr>
        <w:t xml:space="preserve">Em derrogação do n.º 3, o artigo 5.º, n.º 2, entra em aplicação seis meses após a publicação no </w:t>
      </w:r>
      <w:r w:rsidRPr="000D0D06">
        <w:rPr>
          <w:i/>
          <w:noProof/>
        </w:rPr>
        <w:t>Jornal Oficial da União Europeia</w:t>
      </w:r>
      <w:r w:rsidRPr="000D0D06">
        <w:rPr>
          <w:noProof/>
        </w:rPr>
        <w:t xml:space="preserve">. </w:t>
      </w:r>
    </w:p>
    <w:p w14:paraId="5A9E5987" w14:textId="671FDFD0" w:rsidR="00853863" w:rsidRPr="000D0D06" w:rsidRDefault="001271E7" w:rsidP="00853863">
      <w:pPr>
        <w:pStyle w:val="Text1"/>
        <w:ind w:left="0"/>
        <w:rPr>
          <w:noProof/>
        </w:rPr>
      </w:pPr>
      <w:r w:rsidRPr="000D0D06">
        <w:rPr>
          <w:noProof/>
        </w:rPr>
        <w:t>O artigo 3.º, n.º 8, alíneas a) a c), o artigo 6.º, n.</w:t>
      </w:r>
      <w:r w:rsidRPr="000D0D06">
        <w:rPr>
          <w:noProof/>
          <w:vertAlign w:val="superscript"/>
        </w:rPr>
        <w:t>os</w:t>
      </w:r>
      <w:r w:rsidRPr="000D0D06">
        <w:rPr>
          <w:noProof/>
        </w:rPr>
        <w:t> 2 e 3, e os artigos 7.º a 9.º entram em aplicação 18 meses após a data de entrada em vigor do presente regulamento. Em derrogação da primeira frase, se a Comissão concluir, na sua avaliação nos termos do artigo 23.º-A, n.º 7, da Diretiva (UE) 2022/2555, que o ponto de entrada único não assegura o bom funcionamento, a fiabilidade, a integridade ou a confidencialidade, as obrigações de notificação através do ponto de entrada único estabelecidas no artigo 23.º, n.º 4, da Diretiva (UE) 2022/2555, no artigo 19.º-A, n.º 1-A, no artigo 24.º, n.º 2-A, e no artigo 45.º-A, n.º 3-A, do Regulamento (UE) n.º 910/2014, no artigo 33.º, n.º 1, do Regulamento (UE) 2016/679, no artigo 19.º, n.</w:t>
      </w:r>
      <w:r w:rsidRPr="000D0D06">
        <w:rPr>
          <w:noProof/>
          <w:vertAlign w:val="superscript"/>
        </w:rPr>
        <w:t>os</w:t>
      </w:r>
      <w:r w:rsidRPr="000D0D06">
        <w:rPr>
          <w:noProof/>
        </w:rPr>
        <w:t> 1 e 2, do Regulamento (UE) 2022/2554 e no artigo 15.º, n.º 1, da Diretiva (UE) 2022/2557 entram em aplicação 24 meses após a data de entrada em vigor do presente regulamento.</w:t>
      </w:r>
    </w:p>
    <w:p w14:paraId="07DD6B76" w14:textId="77777777" w:rsidR="00FF2EDA" w:rsidRPr="000D0D06" w:rsidRDefault="00FF2EDA" w:rsidP="008C7057">
      <w:pPr>
        <w:pStyle w:val="Applicationdirecte"/>
        <w:rPr>
          <w:noProof/>
        </w:rPr>
      </w:pPr>
      <w:r w:rsidRPr="000D0D06">
        <w:rPr>
          <w:noProof/>
        </w:rPr>
        <w:t>O presente regulamento é obrigatório em todos os seus elementos e diretamente aplicável em todos os Estados-Membros.</w:t>
      </w:r>
    </w:p>
    <w:p w14:paraId="5470320E" w14:textId="3B73E331" w:rsidR="00FF2EDA" w:rsidRPr="000D0D06" w:rsidRDefault="000D0D06" w:rsidP="002C639F">
      <w:pPr>
        <w:pStyle w:val="Fait"/>
        <w:rPr>
          <w:noProof/>
        </w:rPr>
      </w:pPr>
      <w:r>
        <w:rPr>
          <w:noProof/>
        </w:rPr>
        <w:t>Feito em Bruxelas, em</w:t>
      </w:r>
    </w:p>
    <w:p w14:paraId="6F3D3905" w14:textId="77777777" w:rsidR="00FF2EDA" w:rsidRPr="000D0D06" w:rsidRDefault="00FF2EDA" w:rsidP="002C639F">
      <w:pPr>
        <w:pStyle w:val="Institutionquisigne"/>
        <w:rPr>
          <w:noProof/>
        </w:rPr>
      </w:pPr>
      <w:r w:rsidRPr="000D0D06">
        <w:rPr>
          <w:noProof/>
        </w:rPr>
        <w:t>Pelo Parlamento Europeu</w:t>
      </w:r>
      <w:r w:rsidRPr="000D0D06">
        <w:rPr>
          <w:noProof/>
        </w:rPr>
        <w:tab/>
        <w:t>Pelo Conselho</w:t>
      </w:r>
    </w:p>
    <w:p w14:paraId="1AC17146" w14:textId="77777777" w:rsidR="006763D9" w:rsidRPr="000D0D06" w:rsidRDefault="00FF2EDA" w:rsidP="006763D9">
      <w:pPr>
        <w:pStyle w:val="Personnequisigne"/>
        <w:rPr>
          <w:noProof/>
        </w:rPr>
        <w:sectPr w:rsidR="006763D9" w:rsidRPr="000D0D06" w:rsidSect="00053915">
          <w:pgSz w:w="11907" w:h="16839"/>
          <w:pgMar w:top="1134" w:right="1417" w:bottom="1134" w:left="1417" w:header="709" w:footer="709" w:gutter="0"/>
          <w:pgNumType w:start="0"/>
          <w:cols w:space="720"/>
          <w:docGrid w:linePitch="360"/>
        </w:sectPr>
      </w:pPr>
      <w:r w:rsidRPr="000D0D06">
        <w:rPr>
          <w:noProof/>
        </w:rPr>
        <w:t>A Presidente</w:t>
      </w:r>
      <w:r w:rsidRPr="000D0D06">
        <w:rPr>
          <w:noProof/>
        </w:rPr>
        <w:tab/>
        <w:t>O Presidente</w:t>
      </w:r>
    </w:p>
    <w:p w14:paraId="0A235908" w14:textId="77777777" w:rsidR="007C050F" w:rsidRPr="000D0D06" w:rsidRDefault="007C050F" w:rsidP="0062425A">
      <w:pPr>
        <w:pStyle w:val="Fichefinanciretitre"/>
        <w:rPr>
          <w:noProof/>
        </w:rPr>
      </w:pPr>
      <w:r w:rsidRPr="000D0D06">
        <w:rPr>
          <w:noProof/>
        </w:rPr>
        <w:t>FICHA FINANCEIRA E DIGITAL DA PROPOSTA LEGISLATIVA</w:t>
      </w:r>
    </w:p>
    <w:p w14:paraId="091B5024" w14:textId="77777777" w:rsidR="007C050F" w:rsidRPr="000D0D06" w:rsidRDefault="007C050F" w:rsidP="006B052B">
      <w:pPr>
        <w:tabs>
          <w:tab w:val="right" w:leader="dot" w:pos="9071"/>
        </w:tabs>
        <w:spacing w:before="60"/>
        <w:jc w:val="left"/>
        <w:rPr>
          <w:rFonts w:asciiTheme="minorHAnsi" w:eastAsiaTheme="minorEastAsia" w:hAnsiTheme="minorHAnsi" w:cstheme="minorBidi"/>
          <w:noProof/>
          <w:kern w:val="2"/>
          <w:sz w:val="22"/>
          <w14:ligatures w14:val="standardContextual"/>
        </w:rPr>
      </w:pPr>
      <w:r w:rsidRPr="000D0D06">
        <w:rPr>
          <w:noProof/>
        </w:rPr>
        <w:t>1.CONTEXTO DA PROPOSTA / INICIATIVA</w:t>
      </w:r>
      <w:r w:rsidRPr="000D0D06">
        <w:rPr>
          <w:noProof/>
        </w:rPr>
        <w:tab/>
      </w:r>
      <w:r w:rsidRPr="000D0D06">
        <w:rPr>
          <w:noProof/>
          <w:webHidden/>
        </w:rPr>
        <w:t>3</w:t>
      </w:r>
    </w:p>
    <w:p w14:paraId="77DE2C72" w14:textId="77777777" w:rsidR="007C050F" w:rsidRPr="000D0D06" w:rsidRDefault="007C050F" w:rsidP="006B052B">
      <w:pPr>
        <w:tabs>
          <w:tab w:val="right" w:leader="dot" w:pos="9071"/>
        </w:tabs>
        <w:spacing w:before="60"/>
        <w:jc w:val="left"/>
        <w:rPr>
          <w:rFonts w:asciiTheme="minorHAnsi" w:eastAsiaTheme="minorEastAsia" w:hAnsiTheme="minorHAnsi" w:cstheme="minorBidi"/>
          <w:noProof/>
          <w:kern w:val="2"/>
          <w:sz w:val="22"/>
          <w14:ligatures w14:val="standardContextual"/>
        </w:rPr>
      </w:pPr>
      <w:r w:rsidRPr="000D0D06">
        <w:rPr>
          <w:noProof/>
        </w:rPr>
        <w:t>1.1.Título da proposta / iniciativa</w:t>
      </w:r>
      <w:r w:rsidRPr="000D0D06">
        <w:rPr>
          <w:noProof/>
        </w:rPr>
        <w:tab/>
      </w:r>
      <w:r w:rsidRPr="000D0D06">
        <w:rPr>
          <w:noProof/>
          <w:webHidden/>
        </w:rPr>
        <w:t>3</w:t>
      </w:r>
    </w:p>
    <w:p w14:paraId="215C1A89" w14:textId="77777777" w:rsidR="007C050F" w:rsidRPr="000D0D06" w:rsidRDefault="007C050F" w:rsidP="006B052B">
      <w:pPr>
        <w:tabs>
          <w:tab w:val="right" w:leader="dot" w:pos="9071"/>
        </w:tabs>
        <w:spacing w:before="60"/>
        <w:jc w:val="left"/>
        <w:rPr>
          <w:rFonts w:asciiTheme="minorHAnsi" w:eastAsiaTheme="minorEastAsia" w:hAnsiTheme="minorHAnsi" w:cstheme="minorBidi"/>
          <w:noProof/>
          <w:kern w:val="2"/>
          <w:sz w:val="22"/>
          <w14:ligatures w14:val="standardContextual"/>
        </w:rPr>
      </w:pPr>
      <w:r w:rsidRPr="000D0D06">
        <w:rPr>
          <w:noProof/>
        </w:rPr>
        <w:t>1.2.Domínios de intervenção em causa</w:t>
      </w:r>
      <w:r w:rsidRPr="000D0D06">
        <w:rPr>
          <w:noProof/>
        </w:rPr>
        <w:tab/>
      </w:r>
      <w:r w:rsidRPr="000D0D06">
        <w:rPr>
          <w:noProof/>
          <w:webHidden/>
        </w:rPr>
        <w:t>3</w:t>
      </w:r>
    </w:p>
    <w:p w14:paraId="6572BCD4" w14:textId="77777777" w:rsidR="007C050F" w:rsidRPr="000D0D06" w:rsidRDefault="007C050F" w:rsidP="006B052B">
      <w:pPr>
        <w:tabs>
          <w:tab w:val="right" w:leader="dot" w:pos="9071"/>
        </w:tabs>
        <w:spacing w:before="60"/>
        <w:jc w:val="left"/>
        <w:rPr>
          <w:rFonts w:asciiTheme="minorHAnsi" w:eastAsiaTheme="minorEastAsia" w:hAnsiTheme="minorHAnsi" w:cstheme="minorBidi"/>
          <w:noProof/>
          <w:kern w:val="2"/>
          <w:sz w:val="22"/>
          <w14:ligatures w14:val="standardContextual"/>
        </w:rPr>
      </w:pPr>
      <w:r w:rsidRPr="000D0D06">
        <w:rPr>
          <w:noProof/>
        </w:rPr>
        <w:t>1.3.Objetivos</w:t>
      </w:r>
      <w:r w:rsidRPr="000D0D06">
        <w:rPr>
          <w:noProof/>
        </w:rPr>
        <w:tab/>
      </w:r>
      <w:r w:rsidRPr="000D0D06">
        <w:rPr>
          <w:noProof/>
          <w:webHidden/>
        </w:rPr>
        <w:t>3</w:t>
      </w:r>
    </w:p>
    <w:p w14:paraId="7DC300A8" w14:textId="77777777" w:rsidR="006B052B" w:rsidRPr="000D0D06" w:rsidRDefault="007C050F" w:rsidP="006B052B">
      <w:pPr>
        <w:tabs>
          <w:tab w:val="right" w:leader="dot" w:pos="9071"/>
        </w:tabs>
        <w:spacing w:before="60"/>
        <w:jc w:val="left"/>
        <w:rPr>
          <w:noProof/>
          <w:webHidden/>
        </w:rPr>
      </w:pPr>
      <w:r w:rsidRPr="000D0D06">
        <w:rPr>
          <w:noProof/>
        </w:rPr>
        <w:t>1.3.1.Objetivos gerais</w:t>
      </w:r>
      <w:r w:rsidRPr="000D0D06">
        <w:rPr>
          <w:noProof/>
        </w:rPr>
        <w:tab/>
      </w:r>
      <w:r w:rsidRPr="000D0D06">
        <w:rPr>
          <w:noProof/>
          <w:webHidden/>
        </w:rPr>
        <w:t>3</w:t>
      </w:r>
    </w:p>
    <w:p w14:paraId="3CFD1F99" w14:textId="77777777" w:rsidR="007C050F" w:rsidRPr="000D0D06" w:rsidRDefault="007C050F" w:rsidP="006B052B">
      <w:pPr>
        <w:tabs>
          <w:tab w:val="right" w:leader="dot" w:pos="9071"/>
        </w:tabs>
        <w:spacing w:before="60"/>
        <w:jc w:val="left"/>
        <w:rPr>
          <w:rFonts w:asciiTheme="minorHAnsi" w:eastAsiaTheme="minorEastAsia" w:hAnsiTheme="minorHAnsi" w:cstheme="minorBidi"/>
          <w:noProof/>
          <w:kern w:val="2"/>
          <w:sz w:val="22"/>
          <w14:ligatures w14:val="standardContextual"/>
        </w:rPr>
      </w:pPr>
      <w:r w:rsidRPr="000D0D06">
        <w:rPr>
          <w:noProof/>
        </w:rPr>
        <w:t>1.3.2.Objetivos específicos</w:t>
      </w:r>
      <w:r w:rsidRPr="000D0D06">
        <w:rPr>
          <w:noProof/>
        </w:rPr>
        <w:tab/>
      </w:r>
      <w:r w:rsidRPr="000D0D06">
        <w:rPr>
          <w:noProof/>
          <w:webHidden/>
        </w:rPr>
        <w:t>3</w:t>
      </w:r>
    </w:p>
    <w:p w14:paraId="55B20014" w14:textId="77777777" w:rsidR="007C050F" w:rsidRPr="000D0D06" w:rsidRDefault="007C050F" w:rsidP="006B052B">
      <w:pPr>
        <w:tabs>
          <w:tab w:val="right" w:leader="dot" w:pos="9071"/>
        </w:tabs>
        <w:spacing w:before="60"/>
        <w:jc w:val="left"/>
        <w:rPr>
          <w:rFonts w:asciiTheme="minorHAnsi" w:eastAsiaTheme="minorEastAsia" w:hAnsiTheme="minorHAnsi" w:cstheme="minorBidi"/>
          <w:noProof/>
          <w:kern w:val="2"/>
          <w:sz w:val="22"/>
          <w14:ligatures w14:val="standardContextual"/>
        </w:rPr>
      </w:pPr>
      <w:r w:rsidRPr="000D0D06">
        <w:rPr>
          <w:noProof/>
        </w:rPr>
        <w:t>1.3.3.Resultados e impacto esperados</w:t>
      </w:r>
      <w:r w:rsidRPr="000D0D06">
        <w:rPr>
          <w:noProof/>
        </w:rPr>
        <w:tab/>
      </w:r>
      <w:r w:rsidRPr="000D0D06">
        <w:rPr>
          <w:noProof/>
          <w:webHidden/>
        </w:rPr>
        <w:t>3</w:t>
      </w:r>
    </w:p>
    <w:p w14:paraId="28B9F4C1" w14:textId="77777777" w:rsidR="007C050F" w:rsidRPr="000D0D06" w:rsidRDefault="007C050F" w:rsidP="006B052B">
      <w:pPr>
        <w:tabs>
          <w:tab w:val="right" w:leader="dot" w:pos="9071"/>
        </w:tabs>
        <w:spacing w:before="60"/>
        <w:jc w:val="left"/>
        <w:rPr>
          <w:rFonts w:asciiTheme="minorHAnsi" w:eastAsiaTheme="minorEastAsia" w:hAnsiTheme="minorHAnsi" w:cstheme="minorBidi"/>
          <w:noProof/>
          <w:kern w:val="2"/>
          <w:sz w:val="22"/>
          <w14:ligatures w14:val="standardContextual"/>
        </w:rPr>
      </w:pPr>
      <w:r w:rsidRPr="000D0D06">
        <w:rPr>
          <w:noProof/>
        </w:rPr>
        <w:t>1.3.4.Indicadores de desempenho</w:t>
      </w:r>
      <w:r w:rsidRPr="000D0D06">
        <w:rPr>
          <w:noProof/>
        </w:rPr>
        <w:tab/>
      </w:r>
      <w:r w:rsidRPr="000D0D06">
        <w:rPr>
          <w:noProof/>
          <w:webHidden/>
        </w:rPr>
        <w:t>3</w:t>
      </w:r>
    </w:p>
    <w:p w14:paraId="00EF62C3" w14:textId="77777777" w:rsidR="007C050F" w:rsidRPr="000D0D06" w:rsidRDefault="007C050F" w:rsidP="006B052B">
      <w:pPr>
        <w:tabs>
          <w:tab w:val="right" w:leader="dot" w:pos="9071"/>
        </w:tabs>
        <w:spacing w:before="60"/>
        <w:jc w:val="left"/>
        <w:rPr>
          <w:rFonts w:asciiTheme="minorHAnsi" w:eastAsiaTheme="minorEastAsia" w:hAnsiTheme="minorHAnsi" w:cstheme="minorBidi"/>
          <w:noProof/>
          <w:kern w:val="2"/>
          <w:sz w:val="22"/>
          <w14:ligatures w14:val="standardContextual"/>
        </w:rPr>
      </w:pPr>
      <w:r w:rsidRPr="000D0D06">
        <w:rPr>
          <w:noProof/>
        </w:rPr>
        <w:t>1.4.A proposta / iniciativa refere-se:</w:t>
      </w:r>
      <w:r w:rsidRPr="000D0D06">
        <w:rPr>
          <w:noProof/>
        </w:rPr>
        <w:tab/>
      </w:r>
      <w:r w:rsidRPr="000D0D06">
        <w:rPr>
          <w:noProof/>
          <w:webHidden/>
        </w:rPr>
        <w:t>4</w:t>
      </w:r>
    </w:p>
    <w:p w14:paraId="7AAC93B9" w14:textId="77777777" w:rsidR="007C050F" w:rsidRPr="000D0D06" w:rsidRDefault="007C050F" w:rsidP="006B052B">
      <w:pPr>
        <w:tabs>
          <w:tab w:val="right" w:leader="dot" w:pos="9071"/>
        </w:tabs>
        <w:spacing w:before="60"/>
        <w:jc w:val="left"/>
        <w:rPr>
          <w:rFonts w:asciiTheme="minorHAnsi" w:eastAsiaTheme="minorEastAsia" w:hAnsiTheme="minorHAnsi" w:cstheme="minorBidi"/>
          <w:noProof/>
          <w:kern w:val="2"/>
          <w:sz w:val="22"/>
          <w14:ligatures w14:val="standardContextual"/>
        </w:rPr>
      </w:pPr>
      <w:r w:rsidRPr="000D0D06">
        <w:rPr>
          <w:noProof/>
        </w:rPr>
        <w:t>1.5.Justificação da proposta / iniciativa</w:t>
      </w:r>
      <w:r w:rsidRPr="000D0D06">
        <w:rPr>
          <w:noProof/>
        </w:rPr>
        <w:tab/>
      </w:r>
      <w:r w:rsidRPr="000D0D06">
        <w:rPr>
          <w:noProof/>
          <w:webHidden/>
        </w:rPr>
        <w:t>4</w:t>
      </w:r>
    </w:p>
    <w:p w14:paraId="49AC2BF3" w14:textId="77777777" w:rsidR="007C050F" w:rsidRPr="000D0D06" w:rsidRDefault="007C050F" w:rsidP="006B052B">
      <w:pPr>
        <w:tabs>
          <w:tab w:val="right" w:leader="dot" w:pos="9071"/>
        </w:tabs>
        <w:spacing w:before="60"/>
        <w:jc w:val="left"/>
        <w:rPr>
          <w:rFonts w:asciiTheme="minorHAnsi" w:eastAsiaTheme="minorEastAsia" w:hAnsiTheme="minorHAnsi" w:cstheme="minorBidi"/>
          <w:noProof/>
          <w:kern w:val="2"/>
          <w:sz w:val="22"/>
          <w14:ligatures w14:val="standardContextual"/>
        </w:rPr>
      </w:pPr>
      <w:r w:rsidRPr="000D0D06">
        <w:rPr>
          <w:noProof/>
        </w:rPr>
        <w:t>1.5.1.</w:t>
      </w:r>
      <w:r w:rsidRPr="000D0D06">
        <w:rPr>
          <w:noProof/>
        </w:rPr>
        <w:tab/>
        <w:t>Necessidades a satisfazer a curto ou longo prazo, incluindo um calendário pormenorizado para a execução da iniciativa</w:t>
      </w:r>
      <w:r w:rsidRPr="000D0D06">
        <w:rPr>
          <w:noProof/>
        </w:rPr>
        <w:tab/>
      </w:r>
      <w:r w:rsidRPr="000D0D06">
        <w:rPr>
          <w:noProof/>
          <w:webHidden/>
        </w:rPr>
        <w:t>4</w:t>
      </w:r>
    </w:p>
    <w:p w14:paraId="6D1EE583" w14:textId="77777777" w:rsidR="007C050F" w:rsidRPr="000D0D06" w:rsidRDefault="007C050F" w:rsidP="006B052B">
      <w:pPr>
        <w:tabs>
          <w:tab w:val="right" w:leader="dot" w:pos="9071"/>
        </w:tabs>
        <w:spacing w:before="60"/>
        <w:jc w:val="left"/>
        <w:rPr>
          <w:rFonts w:asciiTheme="minorHAnsi" w:eastAsiaTheme="minorEastAsia" w:hAnsiTheme="minorHAnsi" w:cstheme="minorBidi"/>
          <w:noProof/>
          <w:kern w:val="2"/>
          <w:sz w:val="22"/>
          <w14:ligatures w14:val="standardContextual"/>
        </w:rPr>
      </w:pPr>
      <w:r w:rsidRPr="000D0D06">
        <w:rPr>
          <w:noProof/>
        </w:rPr>
        <w:t>1.5.2.</w:t>
      </w:r>
      <w:r w:rsidRPr="000D0D06">
        <w:rPr>
          <w:noProof/>
        </w:rPr>
        <w:tab/>
        <w:t>Valor acrescentado da intervenção da UE (que pode resultar de diferentes fatores, por exemplo, ganhos decorrentes da coordenação, segurança jurídica, maior eficácia ou complementaridades). Para efeitos do presente ponto, entende-se por «valor acrescentado da intervenção da UE» o valor resultante da intervenção da UE que se acrescenta ao valor que teria sido criado pela ação isolada dos Estados-Membros.</w:t>
      </w:r>
      <w:r w:rsidRPr="000D0D06">
        <w:rPr>
          <w:noProof/>
        </w:rPr>
        <w:tab/>
      </w:r>
      <w:r w:rsidRPr="000D0D06">
        <w:rPr>
          <w:noProof/>
          <w:webHidden/>
        </w:rPr>
        <w:t>4</w:t>
      </w:r>
    </w:p>
    <w:p w14:paraId="5557C36E" w14:textId="77777777" w:rsidR="007C050F" w:rsidRPr="000D0D06" w:rsidRDefault="007C050F" w:rsidP="006B052B">
      <w:pPr>
        <w:tabs>
          <w:tab w:val="right" w:leader="dot" w:pos="9071"/>
        </w:tabs>
        <w:spacing w:before="60"/>
        <w:jc w:val="left"/>
        <w:rPr>
          <w:rFonts w:asciiTheme="minorHAnsi" w:eastAsiaTheme="minorEastAsia" w:hAnsiTheme="minorHAnsi" w:cstheme="minorBidi"/>
          <w:noProof/>
          <w:kern w:val="2"/>
          <w:sz w:val="22"/>
          <w14:ligatures w14:val="standardContextual"/>
        </w:rPr>
      </w:pPr>
      <w:r w:rsidRPr="000D0D06">
        <w:rPr>
          <w:noProof/>
        </w:rPr>
        <w:t>1.5.3.Ensinamentos retirados de experiências semelhantes</w:t>
      </w:r>
      <w:r w:rsidRPr="000D0D06">
        <w:rPr>
          <w:noProof/>
        </w:rPr>
        <w:tab/>
      </w:r>
      <w:r w:rsidRPr="000D0D06">
        <w:rPr>
          <w:noProof/>
          <w:webHidden/>
        </w:rPr>
        <w:t>4</w:t>
      </w:r>
    </w:p>
    <w:p w14:paraId="22F14215" w14:textId="77777777" w:rsidR="007C050F" w:rsidRPr="000D0D06" w:rsidRDefault="007C050F" w:rsidP="006B052B">
      <w:pPr>
        <w:tabs>
          <w:tab w:val="right" w:leader="dot" w:pos="9071"/>
        </w:tabs>
        <w:spacing w:before="60"/>
        <w:jc w:val="left"/>
        <w:rPr>
          <w:rFonts w:asciiTheme="minorHAnsi" w:eastAsiaTheme="minorEastAsia" w:hAnsiTheme="minorHAnsi" w:cstheme="minorBidi"/>
          <w:noProof/>
          <w:kern w:val="2"/>
          <w:sz w:val="22"/>
          <w14:ligatures w14:val="standardContextual"/>
        </w:rPr>
      </w:pPr>
      <w:r w:rsidRPr="000D0D06">
        <w:rPr>
          <w:noProof/>
        </w:rPr>
        <w:t>1.5.4.</w:t>
      </w:r>
      <w:r w:rsidRPr="000D0D06">
        <w:rPr>
          <w:noProof/>
        </w:rPr>
        <w:tab/>
        <w:t>Compatibilidade com o quadro financeiro plurianual e possíveis sinergias com outros instrumentos adequados</w:t>
      </w:r>
      <w:r w:rsidRPr="000D0D06">
        <w:rPr>
          <w:noProof/>
        </w:rPr>
        <w:tab/>
      </w:r>
      <w:r w:rsidRPr="000D0D06">
        <w:rPr>
          <w:noProof/>
          <w:webHidden/>
        </w:rPr>
        <w:t>5</w:t>
      </w:r>
    </w:p>
    <w:p w14:paraId="1C80E16B" w14:textId="77777777" w:rsidR="007C050F" w:rsidRPr="000D0D06" w:rsidRDefault="007C050F" w:rsidP="006B052B">
      <w:pPr>
        <w:tabs>
          <w:tab w:val="right" w:leader="dot" w:pos="9071"/>
        </w:tabs>
        <w:spacing w:before="60"/>
        <w:jc w:val="left"/>
        <w:rPr>
          <w:rFonts w:asciiTheme="minorHAnsi" w:eastAsiaTheme="minorEastAsia" w:hAnsiTheme="minorHAnsi" w:cstheme="minorBidi"/>
          <w:noProof/>
          <w:kern w:val="2"/>
          <w:sz w:val="22"/>
          <w14:ligatures w14:val="standardContextual"/>
        </w:rPr>
      </w:pPr>
      <w:r w:rsidRPr="000D0D06">
        <w:rPr>
          <w:noProof/>
        </w:rPr>
        <w:t>1.5.5.</w:t>
      </w:r>
      <w:r w:rsidRPr="000D0D06">
        <w:rPr>
          <w:noProof/>
        </w:rPr>
        <w:tab/>
        <w:t>Avaliação das diferentes opções de financiamento disponíveis, incluindo possibilidades de reafetação</w:t>
      </w:r>
      <w:r w:rsidRPr="000D0D06">
        <w:rPr>
          <w:noProof/>
        </w:rPr>
        <w:tab/>
      </w:r>
      <w:r w:rsidRPr="000D0D06">
        <w:rPr>
          <w:noProof/>
          <w:webHidden/>
        </w:rPr>
        <w:t>5</w:t>
      </w:r>
    </w:p>
    <w:p w14:paraId="17548BC8" w14:textId="77777777" w:rsidR="007C050F" w:rsidRPr="000D0D06" w:rsidRDefault="007C050F" w:rsidP="006B052B">
      <w:pPr>
        <w:tabs>
          <w:tab w:val="right" w:leader="dot" w:pos="9071"/>
        </w:tabs>
        <w:spacing w:before="60"/>
        <w:jc w:val="left"/>
        <w:rPr>
          <w:rFonts w:asciiTheme="minorHAnsi" w:eastAsiaTheme="minorEastAsia" w:hAnsiTheme="minorHAnsi" w:cstheme="minorBidi"/>
          <w:noProof/>
          <w:kern w:val="2"/>
          <w:sz w:val="22"/>
          <w14:ligatures w14:val="standardContextual"/>
        </w:rPr>
      </w:pPr>
      <w:r w:rsidRPr="000D0D06">
        <w:rPr>
          <w:noProof/>
        </w:rPr>
        <w:t>1.6.Duração da proposta / iniciativa e do respetivo impacto financeiro</w:t>
      </w:r>
      <w:r w:rsidRPr="000D0D06">
        <w:rPr>
          <w:noProof/>
        </w:rPr>
        <w:tab/>
      </w:r>
      <w:r w:rsidRPr="000D0D06">
        <w:rPr>
          <w:noProof/>
          <w:webHidden/>
        </w:rPr>
        <w:t>6</w:t>
      </w:r>
    </w:p>
    <w:p w14:paraId="21833D31" w14:textId="77777777" w:rsidR="007C050F" w:rsidRPr="000D0D06" w:rsidRDefault="007C050F" w:rsidP="006B052B">
      <w:pPr>
        <w:tabs>
          <w:tab w:val="right" w:leader="dot" w:pos="9071"/>
        </w:tabs>
        <w:spacing w:before="60"/>
        <w:jc w:val="left"/>
        <w:rPr>
          <w:rFonts w:asciiTheme="minorHAnsi" w:eastAsiaTheme="minorEastAsia" w:hAnsiTheme="minorHAnsi" w:cstheme="minorBidi"/>
          <w:noProof/>
          <w:kern w:val="2"/>
          <w:sz w:val="22"/>
          <w14:ligatures w14:val="standardContextual"/>
        </w:rPr>
      </w:pPr>
      <w:r w:rsidRPr="000D0D06">
        <w:rPr>
          <w:noProof/>
        </w:rPr>
        <w:t>1.7.Métodos de execução orçamental previstos</w:t>
      </w:r>
      <w:r w:rsidRPr="000D0D06">
        <w:rPr>
          <w:noProof/>
        </w:rPr>
        <w:tab/>
      </w:r>
      <w:r w:rsidRPr="000D0D06">
        <w:rPr>
          <w:noProof/>
          <w:webHidden/>
        </w:rPr>
        <w:t>6</w:t>
      </w:r>
    </w:p>
    <w:p w14:paraId="42CF49DB" w14:textId="77777777" w:rsidR="007C050F" w:rsidRPr="000D0D06" w:rsidRDefault="007C050F" w:rsidP="006B052B">
      <w:pPr>
        <w:tabs>
          <w:tab w:val="right" w:leader="dot" w:pos="9071"/>
        </w:tabs>
        <w:spacing w:before="60"/>
        <w:jc w:val="left"/>
        <w:rPr>
          <w:rFonts w:asciiTheme="minorHAnsi" w:eastAsiaTheme="minorEastAsia" w:hAnsiTheme="minorHAnsi" w:cstheme="minorBidi"/>
          <w:noProof/>
          <w:kern w:val="2"/>
          <w:sz w:val="22"/>
          <w14:ligatures w14:val="standardContextual"/>
        </w:rPr>
      </w:pPr>
      <w:r w:rsidRPr="000D0D06">
        <w:rPr>
          <w:noProof/>
        </w:rPr>
        <w:t>2.MEDIDAS DE GESTÃO</w:t>
      </w:r>
      <w:r w:rsidRPr="000D0D06">
        <w:rPr>
          <w:noProof/>
        </w:rPr>
        <w:tab/>
      </w:r>
      <w:r w:rsidRPr="000D0D06">
        <w:rPr>
          <w:noProof/>
          <w:webHidden/>
        </w:rPr>
        <w:t>8</w:t>
      </w:r>
    </w:p>
    <w:p w14:paraId="25513439" w14:textId="77777777" w:rsidR="007C050F" w:rsidRPr="000D0D06" w:rsidRDefault="007C050F" w:rsidP="006B052B">
      <w:pPr>
        <w:tabs>
          <w:tab w:val="right" w:leader="dot" w:pos="9071"/>
        </w:tabs>
        <w:spacing w:before="60"/>
        <w:jc w:val="left"/>
        <w:rPr>
          <w:rFonts w:asciiTheme="minorHAnsi" w:eastAsiaTheme="minorEastAsia" w:hAnsiTheme="minorHAnsi" w:cstheme="minorBidi"/>
          <w:noProof/>
          <w:kern w:val="2"/>
          <w:sz w:val="22"/>
          <w14:ligatures w14:val="standardContextual"/>
        </w:rPr>
      </w:pPr>
      <w:r w:rsidRPr="000D0D06">
        <w:rPr>
          <w:noProof/>
        </w:rPr>
        <w:t>2.1.Regras relativas ao acompanhamento e à comunicação de informações</w:t>
      </w:r>
      <w:r w:rsidRPr="000D0D06">
        <w:rPr>
          <w:noProof/>
        </w:rPr>
        <w:tab/>
      </w:r>
      <w:r w:rsidRPr="000D0D06">
        <w:rPr>
          <w:noProof/>
          <w:webHidden/>
        </w:rPr>
        <w:t>8</w:t>
      </w:r>
    </w:p>
    <w:p w14:paraId="374D2422" w14:textId="77777777" w:rsidR="007C050F" w:rsidRPr="000D0D06" w:rsidRDefault="007C050F" w:rsidP="006B052B">
      <w:pPr>
        <w:tabs>
          <w:tab w:val="right" w:leader="dot" w:pos="9071"/>
        </w:tabs>
        <w:spacing w:before="60"/>
        <w:jc w:val="left"/>
        <w:rPr>
          <w:rFonts w:asciiTheme="minorHAnsi" w:eastAsiaTheme="minorEastAsia" w:hAnsiTheme="minorHAnsi" w:cstheme="minorBidi"/>
          <w:noProof/>
          <w:kern w:val="2"/>
          <w:sz w:val="22"/>
          <w14:ligatures w14:val="standardContextual"/>
        </w:rPr>
      </w:pPr>
      <w:r w:rsidRPr="000D0D06">
        <w:rPr>
          <w:noProof/>
        </w:rPr>
        <w:t>2.2.Sistemas de gestão e de controlo</w:t>
      </w:r>
      <w:r w:rsidRPr="000D0D06">
        <w:rPr>
          <w:noProof/>
        </w:rPr>
        <w:tab/>
      </w:r>
      <w:r w:rsidRPr="000D0D06">
        <w:rPr>
          <w:noProof/>
          <w:webHidden/>
        </w:rPr>
        <w:t>8</w:t>
      </w:r>
    </w:p>
    <w:p w14:paraId="256FF363" w14:textId="77777777" w:rsidR="007C050F" w:rsidRPr="000D0D06" w:rsidRDefault="007C050F" w:rsidP="006B052B">
      <w:pPr>
        <w:tabs>
          <w:tab w:val="right" w:leader="dot" w:pos="9071"/>
        </w:tabs>
        <w:spacing w:before="60"/>
        <w:jc w:val="left"/>
        <w:rPr>
          <w:rFonts w:asciiTheme="minorHAnsi" w:eastAsiaTheme="minorEastAsia" w:hAnsiTheme="minorHAnsi" w:cstheme="minorBidi"/>
          <w:noProof/>
          <w:kern w:val="2"/>
          <w:sz w:val="22"/>
          <w14:ligatures w14:val="standardContextual"/>
        </w:rPr>
      </w:pPr>
      <w:r w:rsidRPr="000D0D06">
        <w:rPr>
          <w:noProof/>
        </w:rPr>
        <w:t>2.2.1.</w:t>
      </w:r>
      <w:r w:rsidRPr="000D0D06">
        <w:rPr>
          <w:noProof/>
        </w:rPr>
        <w:tab/>
        <w:t>Justificação dos métodos de execução orçamental, dos mecanismos de execução do financiamento, das modalidades de pagamento e da estratégia de controlo propostos</w:t>
      </w:r>
      <w:r w:rsidRPr="000D0D06">
        <w:rPr>
          <w:noProof/>
        </w:rPr>
        <w:tab/>
      </w:r>
      <w:r w:rsidRPr="000D0D06">
        <w:rPr>
          <w:noProof/>
          <w:webHidden/>
        </w:rPr>
        <w:t>8</w:t>
      </w:r>
    </w:p>
    <w:p w14:paraId="52D8D7EF" w14:textId="77777777" w:rsidR="007C050F" w:rsidRPr="000D0D06" w:rsidRDefault="007C050F" w:rsidP="006B052B">
      <w:pPr>
        <w:tabs>
          <w:tab w:val="right" w:leader="dot" w:pos="9071"/>
        </w:tabs>
        <w:spacing w:before="60"/>
        <w:jc w:val="left"/>
        <w:rPr>
          <w:rFonts w:asciiTheme="minorHAnsi" w:eastAsiaTheme="minorEastAsia" w:hAnsiTheme="minorHAnsi" w:cstheme="minorBidi"/>
          <w:noProof/>
          <w:kern w:val="2"/>
          <w:sz w:val="22"/>
          <w14:ligatures w14:val="standardContextual"/>
        </w:rPr>
      </w:pPr>
      <w:r w:rsidRPr="000D0D06">
        <w:rPr>
          <w:noProof/>
        </w:rPr>
        <w:t>2.2.2.</w:t>
      </w:r>
      <w:r w:rsidRPr="000D0D06">
        <w:rPr>
          <w:noProof/>
        </w:rPr>
        <w:tab/>
        <w:t>Informações sobre os riscos identificados e os sistemas de controlo interno criados para os mitigar</w:t>
      </w:r>
      <w:r w:rsidRPr="000D0D06">
        <w:rPr>
          <w:noProof/>
        </w:rPr>
        <w:tab/>
      </w:r>
      <w:r w:rsidRPr="000D0D06">
        <w:rPr>
          <w:noProof/>
          <w:webHidden/>
        </w:rPr>
        <w:t>8</w:t>
      </w:r>
    </w:p>
    <w:p w14:paraId="63E0C3CA" w14:textId="77777777" w:rsidR="007C050F" w:rsidRPr="000D0D06" w:rsidRDefault="007C050F" w:rsidP="006B052B">
      <w:pPr>
        <w:tabs>
          <w:tab w:val="right" w:leader="dot" w:pos="9071"/>
        </w:tabs>
        <w:spacing w:before="60"/>
        <w:jc w:val="left"/>
        <w:rPr>
          <w:rFonts w:asciiTheme="minorHAnsi" w:eastAsiaTheme="minorEastAsia" w:hAnsiTheme="minorHAnsi" w:cstheme="minorBidi"/>
          <w:noProof/>
          <w:kern w:val="2"/>
          <w:sz w:val="22"/>
          <w14:ligatures w14:val="standardContextual"/>
        </w:rPr>
      </w:pPr>
      <w:r w:rsidRPr="000D0D06">
        <w:rPr>
          <w:noProof/>
        </w:rPr>
        <w:t>2.2.3.</w:t>
      </w:r>
      <w:r w:rsidRPr="000D0D06">
        <w:rPr>
          <w:noProof/>
        </w:rPr>
        <w:tab/>
        <w:t>Estimativa e justificação da relação custo-eficácia dos controlos (rácio entre os custos de controlo e o valor dos respetivos fundos geridos) e avaliação dos níveis previstos de risco de erro (no pagamento e no encerramento)</w:t>
      </w:r>
      <w:r w:rsidRPr="000D0D06">
        <w:rPr>
          <w:noProof/>
        </w:rPr>
        <w:tab/>
      </w:r>
      <w:r w:rsidRPr="000D0D06">
        <w:rPr>
          <w:noProof/>
          <w:webHidden/>
        </w:rPr>
        <w:t>8</w:t>
      </w:r>
    </w:p>
    <w:p w14:paraId="40C3FFAA" w14:textId="77777777" w:rsidR="007C050F" w:rsidRPr="000D0D06" w:rsidRDefault="007C050F" w:rsidP="006B052B">
      <w:pPr>
        <w:tabs>
          <w:tab w:val="right" w:leader="dot" w:pos="9071"/>
        </w:tabs>
        <w:spacing w:before="60"/>
        <w:jc w:val="left"/>
        <w:rPr>
          <w:rFonts w:asciiTheme="minorHAnsi" w:eastAsiaTheme="minorEastAsia" w:hAnsiTheme="minorHAnsi" w:cstheme="minorBidi"/>
          <w:noProof/>
          <w:kern w:val="2"/>
          <w:sz w:val="22"/>
          <w14:ligatures w14:val="standardContextual"/>
        </w:rPr>
      </w:pPr>
      <w:r w:rsidRPr="000D0D06">
        <w:rPr>
          <w:noProof/>
        </w:rPr>
        <w:t>2.3.Medidas de prevenção de fraudes e irregularidades</w:t>
      </w:r>
      <w:r w:rsidRPr="000D0D06">
        <w:rPr>
          <w:noProof/>
        </w:rPr>
        <w:tab/>
      </w:r>
      <w:r w:rsidRPr="000D0D06">
        <w:rPr>
          <w:noProof/>
          <w:webHidden/>
        </w:rPr>
        <w:t>9</w:t>
      </w:r>
    </w:p>
    <w:p w14:paraId="3A33EA16" w14:textId="77777777" w:rsidR="007C050F" w:rsidRPr="000D0D06" w:rsidRDefault="007C050F" w:rsidP="006B052B">
      <w:pPr>
        <w:tabs>
          <w:tab w:val="right" w:leader="dot" w:pos="9071"/>
        </w:tabs>
        <w:spacing w:before="60"/>
        <w:jc w:val="left"/>
        <w:rPr>
          <w:rFonts w:asciiTheme="minorHAnsi" w:eastAsiaTheme="minorEastAsia" w:hAnsiTheme="minorHAnsi" w:cstheme="minorBidi"/>
          <w:noProof/>
          <w:kern w:val="2"/>
          <w:sz w:val="22"/>
          <w14:ligatures w14:val="standardContextual"/>
        </w:rPr>
      </w:pPr>
      <w:r w:rsidRPr="000D0D06">
        <w:rPr>
          <w:noProof/>
        </w:rPr>
        <w:t>3.IMPACTO FINANCEIRO ESTIMADO DA PROPOSTA / INICIATIVA</w:t>
      </w:r>
      <w:r w:rsidRPr="000D0D06">
        <w:rPr>
          <w:noProof/>
        </w:rPr>
        <w:tab/>
      </w:r>
      <w:r w:rsidRPr="000D0D06">
        <w:rPr>
          <w:noProof/>
          <w:webHidden/>
        </w:rPr>
        <w:t>10</w:t>
      </w:r>
    </w:p>
    <w:p w14:paraId="74A812D9" w14:textId="77777777" w:rsidR="007C050F" w:rsidRPr="000D0D06" w:rsidRDefault="007C050F" w:rsidP="006B052B">
      <w:pPr>
        <w:tabs>
          <w:tab w:val="right" w:leader="dot" w:pos="9071"/>
        </w:tabs>
        <w:spacing w:before="60"/>
        <w:jc w:val="left"/>
        <w:rPr>
          <w:rFonts w:asciiTheme="minorHAnsi" w:eastAsiaTheme="minorEastAsia" w:hAnsiTheme="minorHAnsi" w:cstheme="minorBidi"/>
          <w:noProof/>
          <w:kern w:val="2"/>
          <w:sz w:val="22"/>
          <w14:ligatures w14:val="standardContextual"/>
        </w:rPr>
      </w:pPr>
      <w:r w:rsidRPr="000D0D06">
        <w:rPr>
          <w:noProof/>
        </w:rPr>
        <w:t>3.1.</w:t>
      </w:r>
      <w:r w:rsidRPr="000D0D06">
        <w:rPr>
          <w:noProof/>
        </w:rPr>
        <w:tab/>
        <w:t>Rubricas do quadro financeiro plurianual e rubricas orçamentais de despesas envolvidas</w:t>
      </w:r>
      <w:r w:rsidRPr="000D0D06">
        <w:rPr>
          <w:noProof/>
        </w:rPr>
        <w:tab/>
      </w:r>
      <w:r w:rsidRPr="000D0D06">
        <w:rPr>
          <w:noProof/>
          <w:webHidden/>
        </w:rPr>
        <w:t>10</w:t>
      </w:r>
    </w:p>
    <w:p w14:paraId="6EE80C42" w14:textId="77777777" w:rsidR="007C050F" w:rsidRPr="000D0D06" w:rsidRDefault="007C050F" w:rsidP="006B052B">
      <w:pPr>
        <w:tabs>
          <w:tab w:val="right" w:leader="dot" w:pos="9071"/>
        </w:tabs>
        <w:spacing w:before="60"/>
        <w:jc w:val="left"/>
        <w:rPr>
          <w:rFonts w:asciiTheme="minorHAnsi" w:eastAsiaTheme="minorEastAsia" w:hAnsiTheme="minorHAnsi" w:cstheme="minorBidi"/>
          <w:noProof/>
          <w:kern w:val="2"/>
          <w:sz w:val="22"/>
          <w14:ligatures w14:val="standardContextual"/>
        </w:rPr>
      </w:pPr>
      <w:r w:rsidRPr="000D0D06">
        <w:rPr>
          <w:noProof/>
        </w:rPr>
        <w:t>3.2.Impacto financeiro estimado da proposta nas dotações</w:t>
      </w:r>
      <w:r w:rsidRPr="000D0D06">
        <w:rPr>
          <w:noProof/>
        </w:rPr>
        <w:tab/>
      </w:r>
      <w:r w:rsidRPr="000D0D06">
        <w:rPr>
          <w:noProof/>
          <w:webHidden/>
        </w:rPr>
        <w:t>12</w:t>
      </w:r>
    </w:p>
    <w:p w14:paraId="572B42E0" w14:textId="77777777" w:rsidR="007C050F" w:rsidRPr="000D0D06" w:rsidRDefault="007C050F" w:rsidP="006B052B">
      <w:pPr>
        <w:tabs>
          <w:tab w:val="right" w:leader="dot" w:pos="9071"/>
        </w:tabs>
        <w:spacing w:before="60"/>
        <w:jc w:val="left"/>
        <w:rPr>
          <w:rFonts w:asciiTheme="minorHAnsi" w:eastAsiaTheme="minorEastAsia" w:hAnsiTheme="minorHAnsi" w:cstheme="minorBidi"/>
          <w:noProof/>
          <w:kern w:val="2"/>
          <w:sz w:val="22"/>
          <w14:ligatures w14:val="standardContextual"/>
        </w:rPr>
      </w:pPr>
      <w:r w:rsidRPr="000D0D06">
        <w:rPr>
          <w:noProof/>
        </w:rPr>
        <w:t>3.2.1.Síntese do impacto estimado nas dotações operacionais</w:t>
      </w:r>
      <w:r w:rsidRPr="000D0D06">
        <w:rPr>
          <w:noProof/>
        </w:rPr>
        <w:tab/>
      </w:r>
      <w:r w:rsidRPr="000D0D06">
        <w:rPr>
          <w:noProof/>
          <w:webHidden/>
        </w:rPr>
        <w:t>12</w:t>
      </w:r>
    </w:p>
    <w:p w14:paraId="31B171CE" w14:textId="77777777" w:rsidR="007C050F" w:rsidRPr="000D0D06" w:rsidRDefault="007C050F" w:rsidP="006B052B">
      <w:pPr>
        <w:tabs>
          <w:tab w:val="right" w:leader="dot" w:pos="9071"/>
        </w:tabs>
        <w:spacing w:before="60"/>
        <w:jc w:val="left"/>
        <w:rPr>
          <w:rFonts w:asciiTheme="minorHAnsi" w:eastAsiaTheme="minorEastAsia" w:hAnsiTheme="minorHAnsi" w:cstheme="minorBidi"/>
          <w:noProof/>
          <w:kern w:val="2"/>
          <w:sz w:val="22"/>
          <w14:ligatures w14:val="standardContextual"/>
        </w:rPr>
      </w:pPr>
      <w:r w:rsidRPr="000D0D06">
        <w:rPr>
          <w:noProof/>
        </w:rPr>
        <w:t>3.2.1.1.Dotações provenientes do orçamento votado</w:t>
      </w:r>
      <w:r w:rsidRPr="000D0D06">
        <w:rPr>
          <w:noProof/>
        </w:rPr>
        <w:tab/>
      </w:r>
      <w:r w:rsidRPr="000D0D06">
        <w:rPr>
          <w:noProof/>
          <w:webHidden/>
        </w:rPr>
        <w:t>12</w:t>
      </w:r>
    </w:p>
    <w:p w14:paraId="7F67AAEC" w14:textId="77777777" w:rsidR="007C050F" w:rsidRPr="000D0D06" w:rsidRDefault="007C050F" w:rsidP="006B052B">
      <w:pPr>
        <w:tabs>
          <w:tab w:val="right" w:leader="dot" w:pos="9071"/>
        </w:tabs>
        <w:spacing w:before="60"/>
        <w:jc w:val="left"/>
        <w:rPr>
          <w:rFonts w:asciiTheme="minorHAnsi" w:eastAsiaTheme="minorEastAsia" w:hAnsiTheme="minorHAnsi" w:cstheme="minorBidi"/>
          <w:noProof/>
          <w:kern w:val="2"/>
          <w:sz w:val="22"/>
          <w14:ligatures w14:val="standardContextual"/>
        </w:rPr>
      </w:pPr>
      <w:r w:rsidRPr="000D0D06">
        <w:rPr>
          <w:noProof/>
        </w:rPr>
        <w:t>3.2.1.2.Dotações provenientes de receitas afetadas externas</w:t>
      </w:r>
      <w:r w:rsidRPr="000D0D06">
        <w:rPr>
          <w:noProof/>
        </w:rPr>
        <w:tab/>
      </w:r>
      <w:r w:rsidRPr="000D0D06">
        <w:rPr>
          <w:noProof/>
          <w:webHidden/>
        </w:rPr>
        <w:t>17</w:t>
      </w:r>
    </w:p>
    <w:p w14:paraId="47151DB0" w14:textId="77777777" w:rsidR="007C050F" w:rsidRPr="000D0D06" w:rsidRDefault="007C050F" w:rsidP="006B052B">
      <w:pPr>
        <w:tabs>
          <w:tab w:val="right" w:leader="dot" w:pos="9071"/>
        </w:tabs>
        <w:spacing w:before="60"/>
        <w:jc w:val="left"/>
        <w:rPr>
          <w:rFonts w:asciiTheme="minorHAnsi" w:eastAsiaTheme="minorEastAsia" w:hAnsiTheme="minorHAnsi" w:cstheme="minorBidi"/>
          <w:noProof/>
          <w:kern w:val="2"/>
          <w:sz w:val="22"/>
          <w14:ligatures w14:val="standardContextual"/>
        </w:rPr>
      </w:pPr>
      <w:r w:rsidRPr="000D0D06">
        <w:rPr>
          <w:noProof/>
        </w:rPr>
        <w:t>3.2.2.Estimativa das realizações com financiamento proveniente de dotações operacionais</w:t>
      </w:r>
      <w:r w:rsidRPr="000D0D06">
        <w:rPr>
          <w:noProof/>
        </w:rPr>
        <w:tab/>
      </w:r>
      <w:r w:rsidRPr="000D0D06">
        <w:rPr>
          <w:noProof/>
          <w:webHidden/>
        </w:rPr>
        <w:t>22</w:t>
      </w:r>
    </w:p>
    <w:p w14:paraId="1020CFD1" w14:textId="77777777" w:rsidR="007C050F" w:rsidRPr="000D0D06" w:rsidRDefault="007C050F" w:rsidP="006B052B">
      <w:pPr>
        <w:tabs>
          <w:tab w:val="right" w:leader="dot" w:pos="9071"/>
        </w:tabs>
        <w:spacing w:before="60"/>
        <w:jc w:val="left"/>
        <w:rPr>
          <w:rFonts w:asciiTheme="minorHAnsi" w:eastAsiaTheme="minorEastAsia" w:hAnsiTheme="minorHAnsi" w:cstheme="minorBidi"/>
          <w:noProof/>
          <w:kern w:val="2"/>
          <w:sz w:val="22"/>
          <w14:ligatures w14:val="standardContextual"/>
        </w:rPr>
      </w:pPr>
      <w:r w:rsidRPr="000D0D06">
        <w:rPr>
          <w:noProof/>
        </w:rPr>
        <w:t>3.2.3.</w:t>
      </w:r>
      <w:r w:rsidRPr="000D0D06">
        <w:rPr>
          <w:rFonts w:asciiTheme="minorHAnsi" w:hAnsiTheme="minorHAnsi"/>
          <w:noProof/>
          <w:sz w:val="22"/>
        </w:rPr>
        <w:t xml:space="preserve"> </w:t>
      </w:r>
      <w:r w:rsidRPr="000D0D06">
        <w:rPr>
          <w:noProof/>
        </w:rPr>
        <w:t>Síntese do impacto estimado nas dotações administrativas</w:t>
      </w:r>
      <w:r w:rsidRPr="000D0D06">
        <w:rPr>
          <w:noProof/>
        </w:rPr>
        <w:tab/>
      </w:r>
      <w:r w:rsidRPr="000D0D06">
        <w:rPr>
          <w:noProof/>
          <w:webHidden/>
        </w:rPr>
        <w:t>24</w:t>
      </w:r>
    </w:p>
    <w:p w14:paraId="55D14776" w14:textId="77777777" w:rsidR="007C050F" w:rsidRPr="000D0D06" w:rsidRDefault="007C050F" w:rsidP="006B052B">
      <w:pPr>
        <w:tabs>
          <w:tab w:val="right" w:leader="dot" w:pos="9071"/>
        </w:tabs>
        <w:spacing w:before="60"/>
        <w:jc w:val="left"/>
        <w:rPr>
          <w:rFonts w:asciiTheme="minorHAnsi" w:eastAsiaTheme="minorEastAsia" w:hAnsiTheme="minorHAnsi" w:cstheme="minorBidi"/>
          <w:noProof/>
          <w:kern w:val="2"/>
          <w:sz w:val="22"/>
          <w14:ligatures w14:val="standardContextual"/>
        </w:rPr>
      </w:pPr>
      <w:r w:rsidRPr="000D0D06">
        <w:rPr>
          <w:noProof/>
        </w:rPr>
        <w:t>3.2.3.1. Dotações provenientes do orçamento votado</w:t>
      </w:r>
      <w:r w:rsidRPr="000D0D06">
        <w:rPr>
          <w:noProof/>
        </w:rPr>
        <w:tab/>
      </w:r>
      <w:r w:rsidRPr="000D0D06">
        <w:rPr>
          <w:noProof/>
          <w:webHidden/>
        </w:rPr>
        <w:t>24</w:t>
      </w:r>
    </w:p>
    <w:p w14:paraId="58AF5F18" w14:textId="77777777" w:rsidR="007C050F" w:rsidRPr="000D0D06" w:rsidRDefault="007C050F" w:rsidP="006B052B">
      <w:pPr>
        <w:tabs>
          <w:tab w:val="right" w:leader="dot" w:pos="9071"/>
        </w:tabs>
        <w:spacing w:before="60"/>
        <w:jc w:val="left"/>
        <w:rPr>
          <w:rFonts w:asciiTheme="minorHAnsi" w:eastAsiaTheme="minorEastAsia" w:hAnsiTheme="minorHAnsi" w:cstheme="minorBidi"/>
          <w:noProof/>
          <w:kern w:val="2"/>
          <w:sz w:val="22"/>
          <w14:ligatures w14:val="standardContextual"/>
        </w:rPr>
      </w:pPr>
      <w:r w:rsidRPr="000D0D06">
        <w:rPr>
          <w:noProof/>
        </w:rPr>
        <w:t>3.2.3.2.Dotações provenientes de receitas afetadas externas</w:t>
      </w:r>
      <w:r w:rsidRPr="000D0D06">
        <w:rPr>
          <w:noProof/>
        </w:rPr>
        <w:tab/>
      </w:r>
      <w:r w:rsidRPr="000D0D06">
        <w:rPr>
          <w:noProof/>
          <w:webHidden/>
        </w:rPr>
        <w:t>24</w:t>
      </w:r>
    </w:p>
    <w:p w14:paraId="5AE004C4" w14:textId="77777777" w:rsidR="007C050F" w:rsidRPr="000D0D06" w:rsidRDefault="007C050F" w:rsidP="006B052B">
      <w:pPr>
        <w:tabs>
          <w:tab w:val="right" w:leader="dot" w:pos="9071"/>
        </w:tabs>
        <w:spacing w:before="60"/>
        <w:jc w:val="left"/>
        <w:rPr>
          <w:rFonts w:asciiTheme="minorHAnsi" w:eastAsiaTheme="minorEastAsia" w:hAnsiTheme="minorHAnsi" w:cstheme="minorBidi"/>
          <w:noProof/>
          <w:kern w:val="2"/>
          <w:sz w:val="22"/>
          <w14:ligatures w14:val="standardContextual"/>
        </w:rPr>
      </w:pPr>
      <w:r w:rsidRPr="000D0D06">
        <w:rPr>
          <w:noProof/>
        </w:rPr>
        <w:t>3.2.3.3.Total das dotações</w:t>
      </w:r>
      <w:r w:rsidRPr="000D0D06">
        <w:rPr>
          <w:noProof/>
        </w:rPr>
        <w:tab/>
      </w:r>
      <w:r w:rsidRPr="000D0D06">
        <w:rPr>
          <w:noProof/>
          <w:webHidden/>
        </w:rPr>
        <w:t>24</w:t>
      </w:r>
    </w:p>
    <w:p w14:paraId="5F23C65E" w14:textId="77777777" w:rsidR="007C050F" w:rsidRPr="000D0D06" w:rsidRDefault="007C050F" w:rsidP="006B052B">
      <w:pPr>
        <w:tabs>
          <w:tab w:val="right" w:leader="dot" w:pos="9071"/>
        </w:tabs>
        <w:spacing w:before="60"/>
        <w:jc w:val="left"/>
        <w:rPr>
          <w:rFonts w:asciiTheme="minorHAnsi" w:eastAsiaTheme="minorEastAsia" w:hAnsiTheme="minorHAnsi" w:cstheme="minorBidi"/>
          <w:noProof/>
          <w:kern w:val="2"/>
          <w:sz w:val="22"/>
          <w14:ligatures w14:val="standardContextual"/>
        </w:rPr>
      </w:pPr>
      <w:r w:rsidRPr="000D0D06">
        <w:rPr>
          <w:noProof/>
        </w:rPr>
        <w:t>3.2.4.Necessidades estimadas de recursos humanos</w:t>
      </w:r>
      <w:r w:rsidRPr="000D0D06">
        <w:rPr>
          <w:noProof/>
        </w:rPr>
        <w:tab/>
      </w:r>
      <w:r w:rsidRPr="000D0D06">
        <w:rPr>
          <w:noProof/>
          <w:webHidden/>
        </w:rPr>
        <w:t>25</w:t>
      </w:r>
    </w:p>
    <w:p w14:paraId="7A7DE4F4" w14:textId="77777777" w:rsidR="007C050F" w:rsidRPr="000D0D06" w:rsidRDefault="007C050F" w:rsidP="006B052B">
      <w:pPr>
        <w:tabs>
          <w:tab w:val="right" w:leader="dot" w:pos="9071"/>
        </w:tabs>
        <w:spacing w:before="60"/>
        <w:jc w:val="left"/>
        <w:rPr>
          <w:rFonts w:asciiTheme="minorHAnsi" w:eastAsiaTheme="minorEastAsia" w:hAnsiTheme="minorHAnsi" w:cstheme="minorBidi"/>
          <w:noProof/>
          <w:kern w:val="2"/>
          <w:sz w:val="22"/>
          <w14:ligatures w14:val="standardContextual"/>
        </w:rPr>
      </w:pPr>
      <w:r w:rsidRPr="000D0D06">
        <w:rPr>
          <w:noProof/>
        </w:rPr>
        <w:t>3.2.4.1. Financiamento proveniente do orçamento votado</w:t>
      </w:r>
      <w:r w:rsidRPr="000D0D06">
        <w:rPr>
          <w:noProof/>
        </w:rPr>
        <w:tab/>
      </w:r>
      <w:r w:rsidRPr="000D0D06">
        <w:rPr>
          <w:noProof/>
          <w:webHidden/>
        </w:rPr>
        <w:t>25</w:t>
      </w:r>
    </w:p>
    <w:p w14:paraId="4AC5588E" w14:textId="77777777" w:rsidR="007C050F" w:rsidRPr="000D0D06" w:rsidRDefault="007C050F" w:rsidP="006B052B">
      <w:pPr>
        <w:tabs>
          <w:tab w:val="right" w:leader="dot" w:pos="9071"/>
        </w:tabs>
        <w:spacing w:before="60"/>
        <w:jc w:val="left"/>
        <w:rPr>
          <w:rFonts w:asciiTheme="minorHAnsi" w:eastAsiaTheme="minorEastAsia" w:hAnsiTheme="minorHAnsi" w:cstheme="minorBidi"/>
          <w:noProof/>
          <w:kern w:val="2"/>
          <w:sz w:val="22"/>
          <w14:ligatures w14:val="standardContextual"/>
        </w:rPr>
      </w:pPr>
      <w:r w:rsidRPr="000D0D06">
        <w:rPr>
          <w:noProof/>
        </w:rPr>
        <w:t>3.2.4.2.Financiamento proveniente de receitas afetadas externas</w:t>
      </w:r>
      <w:r w:rsidRPr="000D0D06">
        <w:rPr>
          <w:noProof/>
        </w:rPr>
        <w:tab/>
      </w:r>
      <w:r w:rsidRPr="000D0D06">
        <w:rPr>
          <w:noProof/>
          <w:webHidden/>
        </w:rPr>
        <w:t>26</w:t>
      </w:r>
    </w:p>
    <w:p w14:paraId="0FE3196E" w14:textId="77777777" w:rsidR="007C050F" w:rsidRPr="000D0D06" w:rsidRDefault="007C050F" w:rsidP="006B052B">
      <w:pPr>
        <w:tabs>
          <w:tab w:val="right" w:leader="dot" w:pos="9071"/>
        </w:tabs>
        <w:spacing w:before="60"/>
        <w:jc w:val="left"/>
        <w:rPr>
          <w:rFonts w:asciiTheme="minorHAnsi" w:eastAsiaTheme="minorEastAsia" w:hAnsiTheme="minorHAnsi" w:cstheme="minorBidi"/>
          <w:noProof/>
          <w:kern w:val="2"/>
          <w:sz w:val="22"/>
          <w14:ligatures w14:val="standardContextual"/>
        </w:rPr>
      </w:pPr>
      <w:r w:rsidRPr="000D0D06">
        <w:rPr>
          <w:noProof/>
        </w:rPr>
        <w:t>3.2.4.3.Necessidades totais de recursos humanos</w:t>
      </w:r>
      <w:r w:rsidRPr="000D0D06">
        <w:rPr>
          <w:noProof/>
        </w:rPr>
        <w:tab/>
      </w:r>
      <w:r w:rsidRPr="000D0D06">
        <w:rPr>
          <w:noProof/>
          <w:webHidden/>
        </w:rPr>
        <w:t>26</w:t>
      </w:r>
    </w:p>
    <w:p w14:paraId="16533C46" w14:textId="77777777" w:rsidR="007C050F" w:rsidRPr="000D0D06" w:rsidRDefault="007C050F" w:rsidP="006B052B">
      <w:pPr>
        <w:tabs>
          <w:tab w:val="right" w:leader="dot" w:pos="9071"/>
        </w:tabs>
        <w:spacing w:before="60"/>
        <w:jc w:val="left"/>
        <w:rPr>
          <w:rFonts w:asciiTheme="minorHAnsi" w:eastAsiaTheme="minorEastAsia" w:hAnsiTheme="minorHAnsi" w:cstheme="minorBidi"/>
          <w:noProof/>
          <w:kern w:val="2"/>
          <w:sz w:val="22"/>
          <w14:ligatures w14:val="standardContextual"/>
        </w:rPr>
      </w:pPr>
      <w:r w:rsidRPr="000D0D06">
        <w:rPr>
          <w:noProof/>
        </w:rPr>
        <w:t>3.2.5.Resumo do impacto estimado nos investimentos relacionados com tecnologias digitais</w:t>
      </w:r>
      <w:r w:rsidRPr="000D0D06">
        <w:rPr>
          <w:noProof/>
        </w:rPr>
        <w:tab/>
      </w:r>
      <w:r w:rsidRPr="000D0D06">
        <w:rPr>
          <w:noProof/>
          <w:webHidden/>
        </w:rPr>
        <w:t>28</w:t>
      </w:r>
    </w:p>
    <w:p w14:paraId="123BFC75" w14:textId="77777777" w:rsidR="007C050F" w:rsidRPr="000D0D06" w:rsidRDefault="007C050F" w:rsidP="006B052B">
      <w:pPr>
        <w:tabs>
          <w:tab w:val="right" w:leader="dot" w:pos="9071"/>
        </w:tabs>
        <w:spacing w:before="60"/>
        <w:jc w:val="left"/>
        <w:rPr>
          <w:rFonts w:asciiTheme="minorHAnsi" w:eastAsiaTheme="minorEastAsia" w:hAnsiTheme="minorHAnsi" w:cstheme="minorBidi"/>
          <w:noProof/>
          <w:kern w:val="2"/>
          <w:sz w:val="22"/>
          <w14:ligatures w14:val="standardContextual"/>
        </w:rPr>
      </w:pPr>
      <w:r w:rsidRPr="000D0D06">
        <w:rPr>
          <w:noProof/>
        </w:rPr>
        <w:t>3.2.6.Compatibilidade com o atual quadro financeiro plurianual</w:t>
      </w:r>
      <w:r w:rsidRPr="000D0D06">
        <w:rPr>
          <w:noProof/>
        </w:rPr>
        <w:tab/>
      </w:r>
      <w:r w:rsidRPr="000D0D06">
        <w:rPr>
          <w:noProof/>
          <w:webHidden/>
        </w:rPr>
        <w:t>28</w:t>
      </w:r>
    </w:p>
    <w:p w14:paraId="2250E2BB" w14:textId="77777777" w:rsidR="007C050F" w:rsidRPr="000D0D06" w:rsidRDefault="007C050F" w:rsidP="006B052B">
      <w:pPr>
        <w:tabs>
          <w:tab w:val="right" w:leader="dot" w:pos="9071"/>
        </w:tabs>
        <w:spacing w:before="60"/>
        <w:jc w:val="left"/>
        <w:rPr>
          <w:rFonts w:asciiTheme="minorHAnsi" w:eastAsiaTheme="minorEastAsia" w:hAnsiTheme="minorHAnsi" w:cstheme="minorBidi"/>
          <w:noProof/>
          <w:kern w:val="2"/>
          <w:sz w:val="22"/>
          <w14:ligatures w14:val="standardContextual"/>
        </w:rPr>
      </w:pPr>
      <w:r w:rsidRPr="000D0D06">
        <w:rPr>
          <w:noProof/>
        </w:rPr>
        <w:t>3.2.7.Participação de terceiros no financiamento</w:t>
      </w:r>
      <w:r w:rsidRPr="000D0D06">
        <w:rPr>
          <w:noProof/>
        </w:rPr>
        <w:tab/>
      </w:r>
      <w:r w:rsidRPr="000D0D06">
        <w:rPr>
          <w:noProof/>
          <w:webHidden/>
        </w:rPr>
        <w:t>28</w:t>
      </w:r>
    </w:p>
    <w:p w14:paraId="1416EBB0" w14:textId="77777777" w:rsidR="007C050F" w:rsidRPr="000D0D06" w:rsidRDefault="007C050F" w:rsidP="006B052B">
      <w:pPr>
        <w:tabs>
          <w:tab w:val="right" w:leader="dot" w:pos="9071"/>
        </w:tabs>
        <w:spacing w:before="60"/>
        <w:jc w:val="left"/>
        <w:rPr>
          <w:rFonts w:asciiTheme="minorHAnsi" w:eastAsiaTheme="minorEastAsia" w:hAnsiTheme="minorHAnsi" w:cstheme="minorBidi"/>
          <w:noProof/>
          <w:kern w:val="2"/>
          <w:sz w:val="22"/>
          <w14:ligatures w14:val="standardContextual"/>
        </w:rPr>
      </w:pPr>
      <w:r w:rsidRPr="000D0D06">
        <w:rPr>
          <w:noProof/>
        </w:rPr>
        <w:t>3.3.Impacto estimado nas receitas</w:t>
      </w:r>
      <w:r w:rsidRPr="000D0D06">
        <w:rPr>
          <w:noProof/>
        </w:rPr>
        <w:tab/>
      </w:r>
      <w:r w:rsidRPr="000D0D06">
        <w:rPr>
          <w:noProof/>
          <w:webHidden/>
        </w:rPr>
        <w:t>29</w:t>
      </w:r>
    </w:p>
    <w:p w14:paraId="4E5C8AEA" w14:textId="77777777" w:rsidR="007C050F" w:rsidRPr="000D0D06" w:rsidRDefault="007C050F" w:rsidP="006B052B">
      <w:pPr>
        <w:tabs>
          <w:tab w:val="right" w:leader="dot" w:pos="9071"/>
        </w:tabs>
        <w:spacing w:before="60"/>
        <w:jc w:val="left"/>
        <w:rPr>
          <w:rFonts w:asciiTheme="minorHAnsi" w:eastAsiaTheme="minorEastAsia" w:hAnsiTheme="minorHAnsi" w:cstheme="minorBidi"/>
          <w:noProof/>
          <w:kern w:val="2"/>
          <w:sz w:val="22"/>
          <w14:ligatures w14:val="standardContextual"/>
        </w:rPr>
      </w:pPr>
      <w:r w:rsidRPr="000D0D06">
        <w:rPr>
          <w:noProof/>
        </w:rPr>
        <w:t>4.</w:t>
      </w:r>
      <w:r w:rsidRPr="000D0D06">
        <w:rPr>
          <w:caps/>
          <w:noProof/>
        </w:rPr>
        <w:t>Dimensões digitais</w:t>
      </w:r>
      <w:r w:rsidRPr="000D0D06">
        <w:rPr>
          <w:noProof/>
        </w:rPr>
        <w:tab/>
      </w:r>
      <w:r w:rsidRPr="000D0D06">
        <w:rPr>
          <w:noProof/>
          <w:webHidden/>
        </w:rPr>
        <w:t>29</w:t>
      </w:r>
    </w:p>
    <w:p w14:paraId="4F4A13E4" w14:textId="77777777" w:rsidR="007C050F" w:rsidRPr="000D0D06" w:rsidRDefault="007C050F" w:rsidP="006B052B">
      <w:pPr>
        <w:tabs>
          <w:tab w:val="right" w:leader="dot" w:pos="9071"/>
        </w:tabs>
        <w:spacing w:before="60"/>
        <w:jc w:val="left"/>
        <w:rPr>
          <w:rFonts w:asciiTheme="minorHAnsi" w:eastAsiaTheme="minorEastAsia" w:hAnsiTheme="minorHAnsi" w:cstheme="minorBidi"/>
          <w:noProof/>
          <w:kern w:val="2"/>
          <w:sz w:val="22"/>
          <w14:ligatures w14:val="standardContextual"/>
        </w:rPr>
      </w:pPr>
      <w:r w:rsidRPr="000D0D06">
        <w:rPr>
          <w:noProof/>
        </w:rPr>
        <w:t>4.1.Requisitos de relevância digital</w:t>
      </w:r>
      <w:r w:rsidRPr="000D0D06">
        <w:rPr>
          <w:noProof/>
        </w:rPr>
        <w:tab/>
      </w:r>
      <w:r w:rsidRPr="000D0D06">
        <w:rPr>
          <w:noProof/>
          <w:webHidden/>
        </w:rPr>
        <w:t>30</w:t>
      </w:r>
    </w:p>
    <w:p w14:paraId="67E9E658" w14:textId="77777777" w:rsidR="007C050F" w:rsidRPr="000D0D06" w:rsidRDefault="007C050F" w:rsidP="006B052B">
      <w:pPr>
        <w:tabs>
          <w:tab w:val="right" w:leader="dot" w:pos="9071"/>
        </w:tabs>
        <w:spacing w:before="60"/>
        <w:jc w:val="left"/>
        <w:rPr>
          <w:rFonts w:asciiTheme="minorHAnsi" w:eastAsiaTheme="minorEastAsia" w:hAnsiTheme="minorHAnsi" w:cstheme="minorBidi"/>
          <w:noProof/>
          <w:kern w:val="2"/>
          <w:sz w:val="22"/>
          <w14:ligatures w14:val="standardContextual"/>
        </w:rPr>
      </w:pPr>
      <w:r w:rsidRPr="000D0D06">
        <w:rPr>
          <w:noProof/>
        </w:rPr>
        <w:t>4.2.Dados</w:t>
      </w:r>
      <w:r w:rsidRPr="000D0D06">
        <w:rPr>
          <w:noProof/>
        </w:rPr>
        <w:tab/>
      </w:r>
      <w:r w:rsidRPr="000D0D06">
        <w:rPr>
          <w:noProof/>
          <w:webHidden/>
        </w:rPr>
        <w:t>30</w:t>
      </w:r>
    </w:p>
    <w:p w14:paraId="1336B9FA" w14:textId="77777777" w:rsidR="007C050F" w:rsidRPr="000D0D06" w:rsidRDefault="007C050F" w:rsidP="006B052B">
      <w:pPr>
        <w:tabs>
          <w:tab w:val="right" w:leader="dot" w:pos="9071"/>
        </w:tabs>
        <w:spacing w:before="60"/>
        <w:jc w:val="left"/>
        <w:rPr>
          <w:rFonts w:asciiTheme="minorHAnsi" w:eastAsiaTheme="minorEastAsia" w:hAnsiTheme="minorHAnsi" w:cstheme="minorBidi"/>
          <w:noProof/>
          <w:kern w:val="2"/>
          <w:sz w:val="22"/>
          <w14:ligatures w14:val="standardContextual"/>
        </w:rPr>
      </w:pPr>
      <w:r w:rsidRPr="000D0D06">
        <w:rPr>
          <w:noProof/>
        </w:rPr>
        <w:t>4.3.Soluções digitais</w:t>
      </w:r>
      <w:r w:rsidRPr="000D0D06">
        <w:rPr>
          <w:noProof/>
        </w:rPr>
        <w:tab/>
      </w:r>
      <w:r w:rsidRPr="000D0D06">
        <w:rPr>
          <w:noProof/>
          <w:webHidden/>
        </w:rPr>
        <w:t>31</w:t>
      </w:r>
    </w:p>
    <w:p w14:paraId="358976E6" w14:textId="77777777" w:rsidR="007C050F" w:rsidRPr="000D0D06" w:rsidRDefault="007C050F" w:rsidP="006B052B">
      <w:pPr>
        <w:tabs>
          <w:tab w:val="right" w:leader="dot" w:pos="9071"/>
        </w:tabs>
        <w:spacing w:before="60"/>
        <w:jc w:val="left"/>
        <w:rPr>
          <w:rFonts w:asciiTheme="minorHAnsi" w:eastAsiaTheme="minorEastAsia" w:hAnsiTheme="minorHAnsi" w:cstheme="minorBidi"/>
          <w:noProof/>
          <w:kern w:val="2"/>
          <w:sz w:val="22"/>
          <w14:ligatures w14:val="standardContextual"/>
        </w:rPr>
      </w:pPr>
      <w:r w:rsidRPr="000D0D06">
        <w:rPr>
          <w:noProof/>
        </w:rPr>
        <w:t>4.4.Avaliação da interoperabilidade</w:t>
      </w:r>
      <w:r w:rsidRPr="000D0D06">
        <w:rPr>
          <w:noProof/>
        </w:rPr>
        <w:tab/>
      </w:r>
      <w:r w:rsidRPr="000D0D06">
        <w:rPr>
          <w:noProof/>
          <w:webHidden/>
        </w:rPr>
        <w:t>31</w:t>
      </w:r>
    </w:p>
    <w:p w14:paraId="75A32F8A" w14:textId="77777777" w:rsidR="007C050F" w:rsidRPr="000D0D06" w:rsidRDefault="007C050F" w:rsidP="006B052B">
      <w:pPr>
        <w:tabs>
          <w:tab w:val="right" w:leader="dot" w:pos="9071"/>
        </w:tabs>
        <w:spacing w:before="60"/>
        <w:jc w:val="left"/>
        <w:rPr>
          <w:rFonts w:asciiTheme="minorHAnsi" w:eastAsiaTheme="minorEastAsia" w:hAnsiTheme="minorHAnsi" w:cstheme="minorBidi"/>
          <w:noProof/>
          <w:kern w:val="2"/>
          <w:sz w:val="22"/>
          <w14:ligatures w14:val="standardContextual"/>
        </w:rPr>
      </w:pPr>
      <w:r w:rsidRPr="000D0D06">
        <w:rPr>
          <w:noProof/>
        </w:rPr>
        <w:t>4.5.Medidas de apoio à execução digital</w:t>
      </w:r>
      <w:r w:rsidRPr="000D0D06">
        <w:rPr>
          <w:noProof/>
        </w:rPr>
        <w:tab/>
      </w:r>
      <w:r w:rsidRPr="000D0D06">
        <w:rPr>
          <w:noProof/>
          <w:webHidden/>
        </w:rPr>
        <w:t>32</w:t>
      </w:r>
    </w:p>
    <w:p w14:paraId="1063C71C" w14:textId="77777777" w:rsidR="007C050F" w:rsidRPr="000D0D06" w:rsidRDefault="007C050F" w:rsidP="001936FC">
      <w:pPr>
        <w:rPr>
          <w:noProof/>
        </w:rPr>
        <w:sectPr w:rsidR="007C050F" w:rsidRPr="000D0D06" w:rsidSect="00053915">
          <w:pgSz w:w="11907" w:h="16840" w:code="9"/>
          <w:pgMar w:top="1134" w:right="1418" w:bottom="1134" w:left="1418" w:header="709" w:footer="709" w:gutter="0"/>
          <w:pgNumType w:start="1"/>
          <w:cols w:space="720"/>
          <w:docGrid w:linePitch="360"/>
        </w:sectPr>
      </w:pPr>
    </w:p>
    <w:p w14:paraId="5EDA27F4" w14:textId="77777777" w:rsidR="007C050F" w:rsidRPr="000D0D06" w:rsidRDefault="001936FC" w:rsidP="001936FC">
      <w:pPr>
        <w:pStyle w:val="ManualHeading1"/>
        <w:rPr>
          <w:noProof/>
        </w:rPr>
      </w:pPr>
      <w:r w:rsidRPr="000D0D06">
        <w:rPr>
          <w:noProof/>
        </w:rPr>
        <w:t>1.</w:t>
      </w:r>
      <w:r w:rsidRPr="000D0D06">
        <w:rPr>
          <w:noProof/>
        </w:rPr>
        <w:tab/>
        <w:t xml:space="preserve">CONTEXTO DA PROPOSTA / INICIATIVA </w:t>
      </w:r>
    </w:p>
    <w:p w14:paraId="723BB0FA" w14:textId="77777777" w:rsidR="007C050F" w:rsidRPr="000D0D06" w:rsidRDefault="001936FC" w:rsidP="001936FC">
      <w:pPr>
        <w:pStyle w:val="ManualHeading2"/>
        <w:rPr>
          <w:noProof/>
        </w:rPr>
      </w:pPr>
      <w:r w:rsidRPr="000D0D06">
        <w:rPr>
          <w:noProof/>
        </w:rPr>
        <w:t>1.1.</w:t>
      </w:r>
      <w:r w:rsidRPr="000D0D06">
        <w:rPr>
          <w:noProof/>
        </w:rPr>
        <w:tab/>
        <w:t>Título da proposta / iniciativa</w:t>
      </w:r>
    </w:p>
    <w:p w14:paraId="770151E4" w14:textId="4CDA1C7B" w:rsidR="007C050F" w:rsidRPr="000D0D06" w:rsidRDefault="0087099F" w:rsidP="007C050F">
      <w:pPr>
        <w:pBdr>
          <w:top w:val="single" w:sz="4" w:space="1" w:color="auto"/>
          <w:left w:val="single" w:sz="4" w:space="4" w:color="auto"/>
          <w:bottom w:val="single" w:sz="4" w:space="1" w:color="auto"/>
          <w:right w:val="single" w:sz="4" w:space="4" w:color="auto"/>
        </w:pBdr>
        <w:ind w:left="360"/>
        <w:rPr>
          <w:noProof/>
        </w:rPr>
      </w:pPr>
      <w:r w:rsidRPr="000D0D06">
        <w:rPr>
          <w:noProof/>
        </w:rPr>
        <w:t>Proposta de regulamento do Parlamento Europeu e do Conselho relativo à simplificação do acervo digital, que altera o Regulamento (UE) 2023/2854, o Regulamento (UE) 2016/679, o Regulamento (UE) 2024/1689 e a Diretiva 2002/58/CE e a Diretiva (UE) 2022/2555 e que revoga o Regulamento (UE) 2022/868, o Regulamento (UE) 2018/1807, o Regulamento (UE) 2019/1150 e a Diretiva (UE) 2019/1024 (</w:t>
      </w:r>
      <w:r w:rsidRPr="000D0D06">
        <w:rPr>
          <w:i/>
          <w:noProof/>
        </w:rPr>
        <w:t>omnibus</w:t>
      </w:r>
      <w:r w:rsidRPr="000D0D06">
        <w:rPr>
          <w:noProof/>
        </w:rPr>
        <w:t xml:space="preserve"> digital para o acervo digital)</w:t>
      </w:r>
    </w:p>
    <w:p w14:paraId="08AF8766" w14:textId="77777777" w:rsidR="007C050F" w:rsidRPr="000D0D06" w:rsidRDefault="001936FC" w:rsidP="001936FC">
      <w:pPr>
        <w:pStyle w:val="ManualHeading2"/>
        <w:rPr>
          <w:noProof/>
        </w:rPr>
      </w:pPr>
      <w:r w:rsidRPr="000D0D06">
        <w:rPr>
          <w:noProof/>
        </w:rPr>
        <w:t>1.2.</w:t>
      </w:r>
      <w:r w:rsidRPr="000D0D06">
        <w:rPr>
          <w:noProof/>
        </w:rPr>
        <w:tab/>
        <w:t xml:space="preserve">Domínios de intervenção em causa </w:t>
      </w:r>
    </w:p>
    <w:p w14:paraId="50EA195D" w14:textId="77777777" w:rsidR="007C050F" w:rsidRPr="000D0D06" w:rsidRDefault="007C050F" w:rsidP="007C050F">
      <w:pPr>
        <w:pBdr>
          <w:top w:val="single" w:sz="8" w:space="1" w:color="000000"/>
          <w:left w:val="single" w:sz="8" w:space="4" w:color="000000"/>
          <w:bottom w:val="single" w:sz="8" w:space="1" w:color="000000"/>
          <w:right w:val="single" w:sz="8" w:space="4" w:color="000000"/>
        </w:pBdr>
        <w:ind w:left="360"/>
        <w:rPr>
          <w:rFonts w:eastAsia="Times New Roman"/>
          <w:noProof/>
          <w:szCs w:val="24"/>
        </w:rPr>
      </w:pPr>
      <w:r w:rsidRPr="000D0D06">
        <w:rPr>
          <w:noProof/>
        </w:rPr>
        <w:t xml:space="preserve">Redes de Comunicação, Conteúdos e Tecnologias; </w:t>
      </w:r>
    </w:p>
    <w:p w14:paraId="3FDBDF4D" w14:textId="77777777" w:rsidR="007C050F" w:rsidRPr="000D0D06" w:rsidRDefault="007C050F" w:rsidP="007C050F">
      <w:pPr>
        <w:pBdr>
          <w:top w:val="single" w:sz="8" w:space="1" w:color="000000"/>
          <w:left w:val="single" w:sz="8" w:space="4" w:color="000000"/>
          <w:bottom w:val="single" w:sz="8" w:space="1" w:color="000000"/>
          <w:right w:val="single" w:sz="8" w:space="4" w:color="000000"/>
        </w:pBdr>
        <w:ind w:left="360"/>
        <w:rPr>
          <w:noProof/>
          <w:szCs w:val="24"/>
        </w:rPr>
      </w:pPr>
      <w:r w:rsidRPr="000D0D06">
        <w:rPr>
          <w:noProof/>
        </w:rPr>
        <w:t>Mercado Interno, Indústria, Empreendedorismo e PME</w:t>
      </w:r>
    </w:p>
    <w:p w14:paraId="711250A1" w14:textId="77777777" w:rsidR="007C050F" w:rsidRPr="000D0D06" w:rsidRDefault="007C050F" w:rsidP="007C050F">
      <w:pPr>
        <w:pBdr>
          <w:top w:val="single" w:sz="4" w:space="1" w:color="auto"/>
          <w:left w:val="single" w:sz="4" w:space="4" w:color="auto"/>
          <w:bottom w:val="single" w:sz="4" w:space="1" w:color="auto"/>
          <w:right w:val="single" w:sz="4" w:space="4" w:color="auto"/>
        </w:pBdr>
        <w:ind w:left="360"/>
        <w:rPr>
          <w:noProof/>
        </w:rPr>
      </w:pPr>
    </w:p>
    <w:p w14:paraId="66AC3183" w14:textId="77777777" w:rsidR="007C050F" w:rsidRPr="000D0D06" w:rsidRDefault="001936FC" w:rsidP="001936FC">
      <w:pPr>
        <w:pStyle w:val="ManualHeading2"/>
        <w:rPr>
          <w:noProof/>
        </w:rPr>
      </w:pPr>
      <w:r w:rsidRPr="000D0D06">
        <w:rPr>
          <w:noProof/>
        </w:rPr>
        <w:t>1.3.</w:t>
      </w:r>
      <w:r w:rsidRPr="000D0D06">
        <w:rPr>
          <w:noProof/>
        </w:rPr>
        <w:tab/>
        <w:t>Objetivos</w:t>
      </w:r>
    </w:p>
    <w:p w14:paraId="76F466B2" w14:textId="77777777" w:rsidR="007C050F" w:rsidRPr="000D0D06" w:rsidRDefault="007C050F" w:rsidP="007C050F">
      <w:pPr>
        <w:keepNext/>
        <w:tabs>
          <w:tab w:val="left" w:pos="850"/>
        </w:tabs>
        <w:ind w:left="360"/>
        <w:outlineLvl w:val="2"/>
        <w:rPr>
          <w:i/>
          <w:noProof/>
        </w:rPr>
      </w:pPr>
      <w:r w:rsidRPr="000D0D06">
        <w:rPr>
          <w:i/>
          <w:noProof/>
        </w:rPr>
        <w:t>1.3.1.</w:t>
      </w:r>
      <w:r w:rsidRPr="000D0D06">
        <w:rPr>
          <w:noProof/>
        </w:rPr>
        <w:tab/>
      </w:r>
      <w:r w:rsidRPr="000D0D06">
        <w:rPr>
          <w:i/>
          <w:noProof/>
        </w:rPr>
        <w:t>Objetivos gerais</w:t>
      </w:r>
    </w:p>
    <w:p w14:paraId="1914C163" w14:textId="77777777" w:rsidR="007C050F" w:rsidRPr="000D0D06" w:rsidRDefault="007C050F" w:rsidP="007C050F">
      <w:pPr>
        <w:pBdr>
          <w:top w:val="single" w:sz="4" w:space="1" w:color="auto"/>
          <w:left w:val="single" w:sz="4" w:space="4" w:color="auto"/>
          <w:bottom w:val="single" w:sz="4" w:space="1" w:color="auto"/>
          <w:right w:val="single" w:sz="4" w:space="4" w:color="auto"/>
        </w:pBdr>
        <w:ind w:left="360"/>
        <w:rPr>
          <w:noProof/>
        </w:rPr>
      </w:pPr>
      <w:r w:rsidRPr="000D0D06">
        <w:rPr>
          <w:noProof/>
        </w:rPr>
        <w:t xml:space="preserve">Simplificação da aplicação do acervo digital e redução de custos para as empresas </w:t>
      </w:r>
    </w:p>
    <w:p w14:paraId="4C4BBD38" w14:textId="77777777" w:rsidR="007C050F" w:rsidRPr="000D0D06" w:rsidRDefault="007C050F" w:rsidP="007C050F">
      <w:pPr>
        <w:keepNext/>
        <w:tabs>
          <w:tab w:val="left" w:pos="850"/>
        </w:tabs>
        <w:ind w:left="360"/>
        <w:outlineLvl w:val="2"/>
        <w:rPr>
          <w:i/>
          <w:noProof/>
        </w:rPr>
      </w:pPr>
      <w:r w:rsidRPr="000D0D06">
        <w:rPr>
          <w:i/>
          <w:noProof/>
        </w:rPr>
        <w:t>1.3.2.</w:t>
      </w:r>
      <w:r w:rsidRPr="000D0D06">
        <w:rPr>
          <w:noProof/>
        </w:rPr>
        <w:tab/>
      </w:r>
      <w:r w:rsidRPr="000D0D06">
        <w:rPr>
          <w:i/>
          <w:noProof/>
        </w:rPr>
        <w:t>Objetivos específicos</w:t>
      </w:r>
    </w:p>
    <w:p w14:paraId="10A6E769" w14:textId="77777777" w:rsidR="007C050F" w:rsidRPr="000D0D06" w:rsidRDefault="007C050F" w:rsidP="007C050F">
      <w:pPr>
        <w:pBdr>
          <w:top w:val="single" w:sz="4" w:space="1" w:color="auto"/>
          <w:left w:val="single" w:sz="4" w:space="4" w:color="auto"/>
          <w:bottom w:val="single" w:sz="4" w:space="1" w:color="auto"/>
          <w:right w:val="single" w:sz="4" w:space="4" w:color="auto"/>
        </w:pBdr>
        <w:ind w:left="360"/>
        <w:rPr>
          <w:noProof/>
          <w:u w:val="single"/>
        </w:rPr>
      </w:pPr>
      <w:r w:rsidRPr="000D0D06">
        <w:rPr>
          <w:noProof/>
          <w:u w:val="single"/>
        </w:rPr>
        <w:t>Objetivo específico n.º 1</w:t>
      </w:r>
    </w:p>
    <w:p w14:paraId="6E08675B" w14:textId="77777777" w:rsidR="007C050F" w:rsidRPr="000D0D06" w:rsidRDefault="007C050F" w:rsidP="007C050F">
      <w:pPr>
        <w:pBdr>
          <w:top w:val="single" w:sz="4" w:space="1" w:color="auto"/>
          <w:left w:val="single" w:sz="4" w:space="4" w:color="auto"/>
          <w:bottom w:val="single" w:sz="4" w:space="1" w:color="auto"/>
          <w:right w:val="single" w:sz="4" w:space="4" w:color="auto"/>
        </w:pBdr>
        <w:ind w:left="360"/>
        <w:rPr>
          <w:noProof/>
        </w:rPr>
      </w:pPr>
      <w:r w:rsidRPr="000D0D06">
        <w:rPr>
          <w:noProof/>
        </w:rPr>
        <w:t>Reforçar a governação e a aplicação efetiva do acervo digital, reduzindo a complexidade das regras, os custos administrativos para as empresas e as administrações e revogando atos</w:t>
      </w:r>
    </w:p>
    <w:p w14:paraId="53720173" w14:textId="77777777" w:rsidR="007C050F" w:rsidRPr="000D0D06" w:rsidRDefault="007C050F" w:rsidP="007C050F">
      <w:pPr>
        <w:pBdr>
          <w:top w:val="single" w:sz="4" w:space="1" w:color="auto"/>
          <w:left w:val="single" w:sz="4" w:space="4" w:color="auto"/>
          <w:bottom w:val="single" w:sz="4" w:space="1" w:color="auto"/>
          <w:right w:val="single" w:sz="4" w:space="4" w:color="auto"/>
        </w:pBdr>
        <w:ind w:left="360"/>
        <w:rPr>
          <w:noProof/>
          <w:u w:val="single"/>
        </w:rPr>
      </w:pPr>
      <w:r w:rsidRPr="000D0D06">
        <w:rPr>
          <w:noProof/>
          <w:u w:val="single"/>
        </w:rPr>
        <w:t>Objetivo específico n.º 2</w:t>
      </w:r>
    </w:p>
    <w:p w14:paraId="57AE6820" w14:textId="6683866E" w:rsidR="007C050F" w:rsidRPr="000D0D06" w:rsidRDefault="007C050F" w:rsidP="007C050F">
      <w:pPr>
        <w:pBdr>
          <w:top w:val="single" w:sz="4" w:space="1" w:color="auto"/>
          <w:left w:val="single" w:sz="4" w:space="4" w:color="auto"/>
          <w:bottom w:val="single" w:sz="4" w:space="1" w:color="auto"/>
          <w:right w:val="single" w:sz="4" w:space="4" w:color="auto"/>
        </w:pBdr>
        <w:ind w:left="360"/>
        <w:rPr>
          <w:noProof/>
        </w:rPr>
      </w:pPr>
      <w:r w:rsidRPr="000D0D06">
        <w:rPr>
          <w:noProof/>
        </w:rPr>
        <w:t>Criar um ponto de entrada único para a notificação de incidentes em vários quadros jurídicos</w:t>
      </w:r>
    </w:p>
    <w:p w14:paraId="58DD7B2D" w14:textId="77777777" w:rsidR="007C050F" w:rsidRPr="000D0D06" w:rsidRDefault="007C050F" w:rsidP="007C050F">
      <w:pPr>
        <w:keepNext/>
        <w:tabs>
          <w:tab w:val="left" w:pos="850"/>
        </w:tabs>
        <w:ind w:left="360"/>
        <w:outlineLvl w:val="2"/>
        <w:rPr>
          <w:i/>
          <w:noProof/>
        </w:rPr>
      </w:pPr>
      <w:r w:rsidRPr="000D0D06">
        <w:rPr>
          <w:i/>
          <w:noProof/>
        </w:rPr>
        <w:t>1.3.3.</w:t>
      </w:r>
      <w:r w:rsidRPr="000D0D06">
        <w:rPr>
          <w:noProof/>
        </w:rPr>
        <w:tab/>
      </w:r>
      <w:r w:rsidRPr="000D0D06">
        <w:rPr>
          <w:i/>
          <w:noProof/>
        </w:rPr>
        <w:t>Resultados e impacto esperados</w:t>
      </w:r>
    </w:p>
    <w:p w14:paraId="43CB483C" w14:textId="77777777" w:rsidR="007C050F" w:rsidRPr="000D0D06" w:rsidRDefault="007C050F" w:rsidP="007C050F">
      <w:pPr>
        <w:ind w:left="360"/>
        <w:rPr>
          <w:i/>
          <w:noProof/>
          <w:sz w:val="20"/>
        </w:rPr>
      </w:pPr>
      <w:r w:rsidRPr="000D0D06">
        <w:rPr>
          <w:i/>
          <w:noProof/>
          <w:sz w:val="20"/>
        </w:rPr>
        <w:t>Especificar os efeitos que a proposta / iniciativa poderá ter nos beneficiários / grupos visados.</w:t>
      </w:r>
    </w:p>
    <w:p w14:paraId="689F0C4C" w14:textId="77777777" w:rsidR="007C050F" w:rsidRPr="000D0D06" w:rsidRDefault="007C050F" w:rsidP="007C050F">
      <w:pPr>
        <w:pBdr>
          <w:top w:val="single" w:sz="4" w:space="1" w:color="auto"/>
          <w:left w:val="single" w:sz="4" w:space="4" w:color="auto"/>
          <w:bottom w:val="single" w:sz="4" w:space="1" w:color="auto"/>
          <w:right w:val="single" w:sz="4" w:space="4" w:color="auto"/>
        </w:pBdr>
        <w:ind w:left="360"/>
        <w:rPr>
          <w:noProof/>
        </w:rPr>
      </w:pPr>
      <w:r w:rsidRPr="000D0D06">
        <w:rPr>
          <w:noProof/>
        </w:rPr>
        <w:t xml:space="preserve">Reduzir os custos para as empresas através da redução da complexidade da legislação e da racionalização da comunicação de informações </w:t>
      </w:r>
    </w:p>
    <w:p w14:paraId="38A7AC08" w14:textId="77777777" w:rsidR="007C050F" w:rsidRPr="000D0D06" w:rsidRDefault="007C050F" w:rsidP="007C050F">
      <w:pPr>
        <w:keepNext/>
        <w:tabs>
          <w:tab w:val="left" w:pos="850"/>
        </w:tabs>
        <w:ind w:left="360"/>
        <w:outlineLvl w:val="2"/>
        <w:rPr>
          <w:i/>
          <w:noProof/>
        </w:rPr>
      </w:pPr>
      <w:r w:rsidRPr="000D0D06">
        <w:rPr>
          <w:i/>
          <w:noProof/>
        </w:rPr>
        <w:t>1.3.4.</w:t>
      </w:r>
      <w:r w:rsidRPr="000D0D06">
        <w:rPr>
          <w:noProof/>
        </w:rPr>
        <w:tab/>
      </w:r>
      <w:r w:rsidRPr="000D0D06">
        <w:rPr>
          <w:i/>
          <w:noProof/>
        </w:rPr>
        <w:t>Indicadores de desempenho</w:t>
      </w:r>
    </w:p>
    <w:p w14:paraId="137F8261" w14:textId="77777777" w:rsidR="007C050F" w:rsidRPr="000D0D06" w:rsidRDefault="007C050F" w:rsidP="007C050F">
      <w:pPr>
        <w:ind w:left="360"/>
        <w:rPr>
          <w:i/>
          <w:noProof/>
          <w:sz w:val="20"/>
        </w:rPr>
      </w:pPr>
      <w:r w:rsidRPr="000D0D06">
        <w:rPr>
          <w:i/>
          <w:noProof/>
          <w:sz w:val="20"/>
        </w:rPr>
        <w:t>Especificar os indicadores que permitem acompanhar os progressos e os resultados.</w:t>
      </w:r>
    </w:p>
    <w:p w14:paraId="1DB9840E" w14:textId="77777777" w:rsidR="007C050F" w:rsidRPr="000D0D06" w:rsidRDefault="007C050F" w:rsidP="007C050F">
      <w:pPr>
        <w:pBdr>
          <w:top w:val="single" w:sz="4" w:space="1" w:color="auto"/>
          <w:left w:val="single" w:sz="4" w:space="4" w:color="auto"/>
          <w:bottom w:val="single" w:sz="4" w:space="1" w:color="auto"/>
          <w:right w:val="single" w:sz="4" w:space="4" w:color="auto"/>
        </w:pBdr>
        <w:ind w:left="360"/>
        <w:rPr>
          <w:noProof/>
        </w:rPr>
      </w:pPr>
      <w:r w:rsidRPr="000D0D06">
        <w:rPr>
          <w:noProof/>
        </w:rPr>
        <w:t>Indicador 1</w:t>
      </w:r>
    </w:p>
    <w:p w14:paraId="710BC521" w14:textId="77777777" w:rsidR="007C050F" w:rsidRPr="000D0D06" w:rsidRDefault="007C050F" w:rsidP="007C050F">
      <w:pPr>
        <w:pBdr>
          <w:top w:val="single" w:sz="4" w:space="1" w:color="auto"/>
          <w:left w:val="single" w:sz="4" w:space="4" w:color="auto"/>
          <w:bottom w:val="single" w:sz="4" w:space="1" w:color="auto"/>
          <w:right w:val="single" w:sz="4" w:space="4" w:color="auto"/>
        </w:pBdr>
        <w:ind w:left="360"/>
        <w:rPr>
          <w:noProof/>
        </w:rPr>
      </w:pPr>
      <w:r w:rsidRPr="000D0D06">
        <w:rPr>
          <w:noProof/>
        </w:rPr>
        <w:t>Reduções de custos calculadas para as empresas</w:t>
      </w:r>
    </w:p>
    <w:p w14:paraId="6B967E18" w14:textId="77777777" w:rsidR="007C050F" w:rsidRPr="000D0D06" w:rsidRDefault="007C050F" w:rsidP="007C050F">
      <w:pPr>
        <w:pBdr>
          <w:top w:val="single" w:sz="4" w:space="1" w:color="auto"/>
          <w:left w:val="single" w:sz="4" w:space="4" w:color="auto"/>
          <w:bottom w:val="single" w:sz="4" w:space="1" w:color="auto"/>
          <w:right w:val="single" w:sz="4" w:space="4" w:color="auto"/>
        </w:pBdr>
        <w:ind w:left="360"/>
        <w:rPr>
          <w:noProof/>
        </w:rPr>
      </w:pPr>
      <w:r w:rsidRPr="000D0D06">
        <w:rPr>
          <w:noProof/>
        </w:rPr>
        <w:t>Indicador 2</w:t>
      </w:r>
    </w:p>
    <w:p w14:paraId="07704958" w14:textId="5EC90B71" w:rsidR="007C050F" w:rsidRPr="000D0D06" w:rsidRDefault="007C050F" w:rsidP="007C050F">
      <w:pPr>
        <w:pBdr>
          <w:top w:val="single" w:sz="4" w:space="1" w:color="auto"/>
          <w:left w:val="single" w:sz="4" w:space="4" w:color="auto"/>
          <w:bottom w:val="single" w:sz="4" w:space="1" w:color="auto"/>
          <w:right w:val="single" w:sz="4" w:space="4" w:color="auto"/>
        </w:pBdr>
        <w:ind w:left="360"/>
        <w:rPr>
          <w:noProof/>
        </w:rPr>
      </w:pPr>
      <w:r w:rsidRPr="000D0D06">
        <w:rPr>
          <w:noProof/>
        </w:rPr>
        <w:t>Economias de custos na notificação de incidentes por parte das empresas</w:t>
      </w:r>
    </w:p>
    <w:p w14:paraId="79BA7AB9" w14:textId="77777777" w:rsidR="007C050F" w:rsidRPr="000D0D06" w:rsidRDefault="007C050F" w:rsidP="007C050F">
      <w:pPr>
        <w:pBdr>
          <w:top w:val="single" w:sz="4" w:space="1" w:color="auto"/>
          <w:left w:val="single" w:sz="4" w:space="4" w:color="auto"/>
          <w:bottom w:val="single" w:sz="4" w:space="1" w:color="auto"/>
          <w:right w:val="single" w:sz="4" w:space="4" w:color="auto"/>
        </w:pBdr>
        <w:ind w:left="360"/>
        <w:rPr>
          <w:noProof/>
        </w:rPr>
      </w:pPr>
      <w:r w:rsidRPr="000D0D06">
        <w:rPr>
          <w:noProof/>
        </w:rPr>
        <w:t>Indicador 3</w:t>
      </w:r>
    </w:p>
    <w:p w14:paraId="02030F89" w14:textId="77777777" w:rsidR="007C050F" w:rsidRPr="000D0D06" w:rsidRDefault="007C050F" w:rsidP="007C050F">
      <w:pPr>
        <w:pBdr>
          <w:top w:val="single" w:sz="4" w:space="1" w:color="auto"/>
          <w:left w:val="single" w:sz="4" w:space="4" w:color="auto"/>
          <w:bottom w:val="single" w:sz="4" w:space="1" w:color="auto"/>
          <w:right w:val="single" w:sz="4" w:space="4" w:color="auto"/>
        </w:pBdr>
        <w:ind w:left="360"/>
        <w:rPr>
          <w:noProof/>
        </w:rPr>
      </w:pPr>
    </w:p>
    <w:p w14:paraId="4A77A5DA" w14:textId="77777777" w:rsidR="007C050F" w:rsidRPr="000D0D06" w:rsidRDefault="001936FC" w:rsidP="001936FC">
      <w:pPr>
        <w:pStyle w:val="ManualHeading2"/>
        <w:rPr>
          <w:noProof/>
        </w:rPr>
      </w:pPr>
      <w:r w:rsidRPr="000D0D06">
        <w:rPr>
          <w:noProof/>
        </w:rPr>
        <w:t>1.4.</w:t>
      </w:r>
      <w:r w:rsidRPr="000D0D06">
        <w:rPr>
          <w:noProof/>
        </w:rPr>
        <w:tab/>
        <w:t xml:space="preserve">A proposta / iniciativa refere-se: </w:t>
      </w:r>
    </w:p>
    <w:p w14:paraId="6B22870B" w14:textId="77777777" w:rsidR="007C050F" w:rsidRPr="000D0D06" w:rsidRDefault="007C050F" w:rsidP="007C050F">
      <w:pPr>
        <w:ind w:left="360"/>
        <w:rPr>
          <w:noProof/>
          <w:sz w:val="22"/>
        </w:rPr>
      </w:pPr>
      <w:r w:rsidRPr="000D0D06">
        <w:rPr>
          <w:rFonts w:ascii="Wingdings" w:hAnsi="Wingdings"/>
          <w:noProof/>
          <w:sz w:val="22"/>
        </w:rPr>
        <w:t></w:t>
      </w:r>
      <w:r w:rsidRPr="000D0D06">
        <w:rPr>
          <w:i/>
          <w:noProof/>
          <w:sz w:val="22"/>
        </w:rPr>
        <w:t xml:space="preserve"> </w:t>
      </w:r>
      <w:r w:rsidRPr="000D0D06">
        <w:rPr>
          <w:noProof/>
        </w:rPr>
        <w:t>a uma nova ação</w:t>
      </w:r>
      <w:r w:rsidRPr="000D0D06">
        <w:rPr>
          <w:noProof/>
          <w:sz w:val="22"/>
        </w:rPr>
        <w:t xml:space="preserve"> </w:t>
      </w:r>
    </w:p>
    <w:p w14:paraId="26A3A297" w14:textId="77777777" w:rsidR="007C050F" w:rsidRPr="000D0D06" w:rsidRDefault="007C050F" w:rsidP="007C050F">
      <w:pPr>
        <w:ind w:left="360"/>
        <w:rPr>
          <w:noProof/>
          <w:sz w:val="22"/>
        </w:rPr>
      </w:pPr>
      <w:r w:rsidRPr="000D0D06">
        <w:rPr>
          <w:rFonts w:ascii="Wingdings" w:hAnsi="Wingdings"/>
          <w:noProof/>
          <w:sz w:val="22"/>
        </w:rPr>
        <w:t></w:t>
      </w:r>
      <w:r w:rsidRPr="000D0D06">
        <w:rPr>
          <w:i/>
          <w:noProof/>
          <w:sz w:val="22"/>
        </w:rPr>
        <w:t xml:space="preserve"> </w:t>
      </w:r>
      <w:r w:rsidRPr="000D0D06">
        <w:rPr>
          <w:noProof/>
        </w:rPr>
        <w:t>a uma nova ação na sequência de um projeto-piloto / ação preparatória</w:t>
      </w:r>
      <w:r w:rsidRPr="000D0D06">
        <w:rPr>
          <w:rStyle w:val="FootnoteReference"/>
          <w:noProof/>
        </w:rPr>
        <w:footnoteReference w:id="40"/>
      </w:r>
      <w:r w:rsidRPr="000D0D06">
        <w:rPr>
          <w:noProof/>
          <w:sz w:val="22"/>
        </w:rPr>
        <w:t xml:space="preserve"> </w:t>
      </w:r>
    </w:p>
    <w:p w14:paraId="6EA13C6A" w14:textId="77777777" w:rsidR="007C050F" w:rsidRPr="000D0D06" w:rsidRDefault="007C050F" w:rsidP="007C050F">
      <w:pPr>
        <w:ind w:left="360"/>
        <w:rPr>
          <w:noProof/>
          <w:sz w:val="22"/>
        </w:rPr>
      </w:pPr>
      <w:r w:rsidRPr="000D0D06">
        <w:rPr>
          <w:rFonts w:ascii="Wingdings" w:hAnsi="Wingdings"/>
          <w:noProof/>
          <w:sz w:val="22"/>
        </w:rPr>
        <w:t></w:t>
      </w:r>
      <w:r w:rsidRPr="000D0D06">
        <w:rPr>
          <w:i/>
          <w:noProof/>
          <w:sz w:val="22"/>
        </w:rPr>
        <w:t xml:space="preserve"> </w:t>
      </w:r>
      <w:r w:rsidRPr="000D0D06">
        <w:rPr>
          <w:noProof/>
        </w:rPr>
        <w:t>à prorrogação de uma ação existente</w:t>
      </w:r>
      <w:r w:rsidRPr="000D0D06">
        <w:rPr>
          <w:noProof/>
          <w:sz w:val="22"/>
        </w:rPr>
        <w:t xml:space="preserve"> </w:t>
      </w:r>
    </w:p>
    <w:p w14:paraId="3A97AC3D" w14:textId="77777777" w:rsidR="007C050F" w:rsidRPr="000D0D06" w:rsidRDefault="007C050F" w:rsidP="007C050F">
      <w:pPr>
        <w:ind w:left="360"/>
        <w:rPr>
          <w:noProof/>
        </w:rPr>
      </w:pPr>
      <w:r w:rsidRPr="000D0D06">
        <w:rPr>
          <w:rFonts w:ascii="Wingdings" w:hAnsi="Wingdings"/>
          <w:noProof/>
          <w:sz w:val="22"/>
        </w:rPr>
        <w:t></w:t>
      </w:r>
      <w:r w:rsidRPr="000D0D06">
        <w:rPr>
          <w:i/>
          <w:noProof/>
          <w:sz w:val="22"/>
        </w:rPr>
        <w:t xml:space="preserve"> </w:t>
      </w:r>
      <w:r w:rsidRPr="000D0D06">
        <w:rPr>
          <w:noProof/>
        </w:rPr>
        <w:t>à fusão ou reorientação de uma ou mais ações para outra / para uma nova ação</w:t>
      </w:r>
    </w:p>
    <w:p w14:paraId="67B77234" w14:textId="77777777" w:rsidR="007C050F" w:rsidRPr="000D0D06" w:rsidRDefault="001936FC" w:rsidP="001936FC">
      <w:pPr>
        <w:pStyle w:val="ManualHeading2"/>
        <w:rPr>
          <w:noProof/>
        </w:rPr>
      </w:pPr>
      <w:r w:rsidRPr="000D0D06">
        <w:rPr>
          <w:noProof/>
        </w:rPr>
        <w:t>1.5.</w:t>
      </w:r>
      <w:r w:rsidRPr="000D0D06">
        <w:rPr>
          <w:noProof/>
        </w:rPr>
        <w:tab/>
        <w:t xml:space="preserve">Justificação da proposta / iniciativa </w:t>
      </w:r>
    </w:p>
    <w:p w14:paraId="03A53120" w14:textId="77777777" w:rsidR="007C050F" w:rsidRPr="000D0D06" w:rsidRDefault="007C050F" w:rsidP="007C050F">
      <w:pPr>
        <w:keepNext/>
        <w:tabs>
          <w:tab w:val="left" w:pos="850"/>
        </w:tabs>
        <w:ind w:left="360"/>
        <w:outlineLvl w:val="2"/>
        <w:rPr>
          <w:i/>
          <w:noProof/>
        </w:rPr>
      </w:pPr>
      <w:r w:rsidRPr="000D0D06">
        <w:rPr>
          <w:i/>
          <w:noProof/>
        </w:rPr>
        <w:t>1.5.1.</w:t>
      </w:r>
      <w:r w:rsidRPr="000D0D06">
        <w:rPr>
          <w:noProof/>
        </w:rPr>
        <w:tab/>
      </w:r>
      <w:r w:rsidRPr="000D0D06">
        <w:rPr>
          <w:i/>
          <w:noProof/>
        </w:rPr>
        <w:t>Necessidades a satisfazer a curto ou longo prazo, incluindo um calendário pormenorizado para a execução da iniciativa</w:t>
      </w:r>
    </w:p>
    <w:p w14:paraId="735A523E" w14:textId="61C8D3F4" w:rsidR="007C050F" w:rsidRPr="000D0D06" w:rsidRDefault="007C050F" w:rsidP="007C050F">
      <w:pPr>
        <w:pBdr>
          <w:top w:val="single" w:sz="4" w:space="1" w:color="auto"/>
          <w:left w:val="single" w:sz="4" w:space="4" w:color="auto"/>
          <w:bottom w:val="single" w:sz="4" w:space="1" w:color="auto"/>
          <w:right w:val="single" w:sz="4" w:space="4" w:color="auto"/>
        </w:pBdr>
        <w:ind w:left="360"/>
        <w:rPr>
          <w:noProof/>
        </w:rPr>
      </w:pPr>
      <w:r w:rsidRPr="000D0D06">
        <w:rPr>
          <w:i/>
          <w:noProof/>
        </w:rPr>
        <w:t>Espera-se que a entrada em vigor ocorra no prazo de três dias a contar da publicação no Jornal Oficial. A entrada em aplicação deve ser imediata, com exceções significativas para as regras que exijam um período de transição. No caso do capítulo III, relativo à notificação de incidentes e às regras em matéria de plataformas, é necessário um período suficiente para a aplicação, adaptado às necessidades das empresas, dos Estados-Membros e dos organismos da UE.</w:t>
      </w:r>
    </w:p>
    <w:p w14:paraId="6B120883" w14:textId="77777777" w:rsidR="007C050F" w:rsidRPr="000D0D06" w:rsidRDefault="007C050F" w:rsidP="007C050F">
      <w:pPr>
        <w:keepNext/>
        <w:tabs>
          <w:tab w:val="left" w:pos="850"/>
        </w:tabs>
        <w:ind w:left="360"/>
        <w:outlineLvl w:val="2"/>
        <w:rPr>
          <w:bCs/>
          <w:i/>
          <w:noProof/>
          <w:szCs w:val="24"/>
        </w:rPr>
      </w:pPr>
      <w:r w:rsidRPr="000D0D06">
        <w:rPr>
          <w:i/>
          <w:noProof/>
        </w:rPr>
        <w:t>1.5.2.</w:t>
      </w:r>
      <w:r w:rsidRPr="000D0D06">
        <w:rPr>
          <w:noProof/>
        </w:rPr>
        <w:tab/>
      </w:r>
      <w:r w:rsidRPr="000D0D06">
        <w:rPr>
          <w:i/>
          <w:noProof/>
        </w:rPr>
        <w:t>Valor acrescentado da intervenção da UE (que pode resultar de diferentes fatores, por exemplo, ganhos decorrentes da coordenação, segurança jurídica, maior eficácia ou complementaridades). Para efeitos do presente ponto, entende-se por «valor acrescentado da intervenção da UE» o valor resultante da intervenção da UE que se acrescenta ao valor que teria sido criado pela ação isolada dos Estados-Membros.</w:t>
      </w:r>
    </w:p>
    <w:p w14:paraId="2DDD6A53" w14:textId="77777777" w:rsidR="007C050F" w:rsidRPr="000D0D06" w:rsidRDefault="007C050F" w:rsidP="007C050F">
      <w:pPr>
        <w:pBdr>
          <w:top w:val="single" w:sz="4" w:space="1" w:color="auto"/>
          <w:left w:val="single" w:sz="4" w:space="4" w:color="auto"/>
          <w:bottom w:val="single" w:sz="4" w:space="1" w:color="auto"/>
          <w:right w:val="single" w:sz="4" w:space="4" w:color="auto"/>
        </w:pBdr>
        <w:ind w:left="360"/>
        <w:rPr>
          <w:noProof/>
        </w:rPr>
      </w:pPr>
      <w:r w:rsidRPr="000D0D06">
        <w:rPr>
          <w:noProof/>
        </w:rPr>
        <w:t>As razões para uma ação a nível da UE resultam do facto de as alterações dizerem respeito à legislação da UE em vigor e reduzirem a complexidade do direito da UE (</w:t>
      </w:r>
      <w:r w:rsidRPr="000D0D06">
        <w:rPr>
          <w:i/>
          <w:noProof/>
        </w:rPr>
        <w:t>ex ante</w:t>
      </w:r>
      <w:r w:rsidRPr="000D0D06">
        <w:rPr>
          <w:noProof/>
        </w:rPr>
        <w:t>)</w:t>
      </w:r>
    </w:p>
    <w:p w14:paraId="2244B8D0" w14:textId="77777777" w:rsidR="007C050F" w:rsidRPr="000D0D06" w:rsidRDefault="007C050F" w:rsidP="007C050F">
      <w:pPr>
        <w:pBdr>
          <w:top w:val="single" w:sz="4" w:space="1" w:color="auto"/>
          <w:left w:val="single" w:sz="4" w:space="4" w:color="auto"/>
          <w:bottom w:val="single" w:sz="4" w:space="1" w:color="auto"/>
          <w:right w:val="single" w:sz="4" w:space="4" w:color="auto"/>
        </w:pBdr>
        <w:ind w:left="360"/>
        <w:rPr>
          <w:noProof/>
        </w:rPr>
      </w:pPr>
      <w:r w:rsidRPr="000D0D06">
        <w:rPr>
          <w:noProof/>
        </w:rPr>
        <w:t>O valor acrescentado esperado da UE (</w:t>
      </w:r>
      <w:r w:rsidRPr="000D0D06">
        <w:rPr>
          <w:i/>
          <w:noProof/>
        </w:rPr>
        <w:t>ex post</w:t>
      </w:r>
      <w:r w:rsidRPr="000D0D06">
        <w:rPr>
          <w:noProof/>
        </w:rPr>
        <w:t xml:space="preserve">) consiste na simplificação do direito da UE, na redução dos encargos administrativos e dos custos para as empresas. </w:t>
      </w:r>
    </w:p>
    <w:p w14:paraId="4172C20E" w14:textId="707812AD" w:rsidR="007C050F" w:rsidRPr="000D0D06" w:rsidRDefault="007C050F" w:rsidP="007C050F">
      <w:pPr>
        <w:pBdr>
          <w:top w:val="single" w:sz="4" w:space="1" w:color="auto"/>
          <w:left w:val="single" w:sz="4" w:space="4" w:color="auto"/>
          <w:bottom w:val="single" w:sz="4" w:space="1" w:color="auto"/>
          <w:right w:val="single" w:sz="4" w:space="4" w:color="auto"/>
        </w:pBdr>
        <w:ind w:left="360"/>
        <w:rPr>
          <w:noProof/>
        </w:rPr>
      </w:pPr>
      <w:r w:rsidRPr="000D0D06">
        <w:rPr>
          <w:noProof/>
        </w:rPr>
        <w:t>No que diz respeito à criação do ponto de entrada único para a notificação de incidentes, o valor acrescentado específico decorre do facto de se tratar de uma solução a nível da União que preenche os requisitos nacionais. Os custos para as empresas são otimizados através da disponibilização de um ponto único, independentemente da localização da entidade que comunica as informações na União e das autoridades mandatadas para receber as comunicações.</w:t>
      </w:r>
    </w:p>
    <w:p w14:paraId="6A8B594B" w14:textId="77777777" w:rsidR="007C050F" w:rsidRPr="000D0D06" w:rsidRDefault="007C050F" w:rsidP="007C050F">
      <w:pPr>
        <w:keepNext/>
        <w:tabs>
          <w:tab w:val="left" w:pos="850"/>
        </w:tabs>
        <w:ind w:left="360"/>
        <w:outlineLvl w:val="2"/>
        <w:rPr>
          <w:i/>
          <w:noProof/>
        </w:rPr>
      </w:pPr>
      <w:r w:rsidRPr="000D0D06">
        <w:rPr>
          <w:i/>
          <w:noProof/>
        </w:rPr>
        <w:t>1.5.3.</w:t>
      </w:r>
      <w:r w:rsidRPr="000D0D06">
        <w:rPr>
          <w:noProof/>
        </w:rPr>
        <w:tab/>
      </w:r>
      <w:r w:rsidRPr="000D0D06">
        <w:rPr>
          <w:i/>
          <w:noProof/>
        </w:rPr>
        <w:t>Ensinamentos retirados de experiências semelhantes</w:t>
      </w:r>
    </w:p>
    <w:p w14:paraId="7EED73A6" w14:textId="77777777" w:rsidR="007C050F" w:rsidRPr="000D0D06" w:rsidRDefault="007C050F" w:rsidP="007C050F">
      <w:pPr>
        <w:pBdr>
          <w:top w:val="single" w:sz="4" w:space="1" w:color="auto"/>
          <w:left w:val="single" w:sz="4" w:space="4" w:color="auto"/>
          <w:bottom w:val="single" w:sz="4" w:space="1" w:color="auto"/>
          <w:right w:val="single" w:sz="4" w:space="4" w:color="auto"/>
        </w:pBdr>
        <w:ind w:left="360"/>
        <w:rPr>
          <w:noProof/>
        </w:rPr>
      </w:pPr>
      <w:r w:rsidRPr="000D0D06">
        <w:rPr>
          <w:i/>
          <w:noProof/>
        </w:rPr>
        <w:t>As alterações dos respetivos regulamentos baseiam-se na experiência prática adquirida com a aplicação das regras, conforme especificado no documento de trabalho dos serviços da Comissão que acompanha a presente proposta de regulamento. Baseiam-se numa ampla consulta das partes interessadas, centrando-se principalmente na aplicação quotidiana das regras.</w:t>
      </w:r>
    </w:p>
    <w:p w14:paraId="767AAC99" w14:textId="77777777" w:rsidR="007C050F" w:rsidRPr="000D0D06" w:rsidRDefault="007C050F" w:rsidP="007C050F">
      <w:pPr>
        <w:keepNext/>
        <w:tabs>
          <w:tab w:val="left" w:pos="850"/>
        </w:tabs>
        <w:ind w:left="360"/>
        <w:outlineLvl w:val="2"/>
        <w:rPr>
          <w:i/>
          <w:noProof/>
        </w:rPr>
      </w:pPr>
      <w:r w:rsidRPr="000D0D06">
        <w:rPr>
          <w:i/>
          <w:noProof/>
        </w:rPr>
        <w:t>1.5.4.</w:t>
      </w:r>
      <w:r w:rsidRPr="000D0D06">
        <w:rPr>
          <w:noProof/>
        </w:rPr>
        <w:tab/>
      </w:r>
      <w:r w:rsidRPr="000D0D06">
        <w:rPr>
          <w:i/>
          <w:noProof/>
        </w:rPr>
        <w:t>Compatibilidade com o quadro financeiro plurianual e possíveis sinergias com outros instrumentos adequados</w:t>
      </w:r>
    </w:p>
    <w:p w14:paraId="5B3C6F2E" w14:textId="77777777" w:rsidR="007C050F" w:rsidRPr="000D0D06" w:rsidRDefault="007C050F" w:rsidP="007C050F">
      <w:pPr>
        <w:pBdr>
          <w:top w:val="single" w:sz="4" w:space="1" w:color="auto"/>
          <w:left w:val="single" w:sz="4" w:space="4" w:color="auto"/>
          <w:bottom w:val="single" w:sz="4" w:space="1" w:color="auto"/>
          <w:right w:val="single" w:sz="4" w:space="4" w:color="auto"/>
        </w:pBdr>
        <w:ind w:left="360"/>
        <w:rPr>
          <w:noProof/>
        </w:rPr>
      </w:pPr>
      <w:r w:rsidRPr="000D0D06">
        <w:rPr>
          <w:noProof/>
        </w:rPr>
        <w:t>As alterações são compatíveis com o quadro financeiro plurianual, dado que não se preveem despesas adicionais.</w:t>
      </w:r>
    </w:p>
    <w:p w14:paraId="38820C75" w14:textId="77777777" w:rsidR="007C050F" w:rsidRPr="000D0D06" w:rsidRDefault="007C050F" w:rsidP="007C050F">
      <w:pPr>
        <w:keepNext/>
        <w:tabs>
          <w:tab w:val="left" w:pos="850"/>
        </w:tabs>
        <w:ind w:left="360"/>
        <w:outlineLvl w:val="2"/>
        <w:rPr>
          <w:i/>
          <w:noProof/>
        </w:rPr>
      </w:pPr>
      <w:r w:rsidRPr="000D0D06">
        <w:rPr>
          <w:i/>
          <w:noProof/>
        </w:rPr>
        <w:t>1.5.5.</w:t>
      </w:r>
      <w:r w:rsidRPr="000D0D06">
        <w:rPr>
          <w:noProof/>
        </w:rPr>
        <w:tab/>
      </w:r>
      <w:r w:rsidRPr="000D0D06">
        <w:rPr>
          <w:i/>
          <w:noProof/>
        </w:rPr>
        <w:t>Avaliação das diferentes opções de financiamento disponíveis, incluindo possibilidades de reafetação</w:t>
      </w:r>
    </w:p>
    <w:p w14:paraId="7024A8B0" w14:textId="77777777" w:rsidR="007C050F" w:rsidRPr="000D0D06" w:rsidRDefault="007C050F" w:rsidP="007C050F">
      <w:pPr>
        <w:pBdr>
          <w:top w:val="single" w:sz="4" w:space="1" w:color="auto"/>
          <w:left w:val="single" w:sz="4" w:space="4" w:color="auto"/>
          <w:bottom w:val="single" w:sz="4" w:space="1" w:color="auto"/>
          <w:right w:val="single" w:sz="4" w:space="4" w:color="auto"/>
        </w:pBdr>
        <w:ind w:left="360"/>
        <w:rPr>
          <w:noProof/>
        </w:rPr>
      </w:pPr>
      <w:r w:rsidRPr="000D0D06">
        <w:rPr>
          <w:noProof/>
        </w:rPr>
        <w:t>Não aplicável.</w:t>
      </w:r>
    </w:p>
    <w:p w14:paraId="49684D04" w14:textId="77777777" w:rsidR="007C050F" w:rsidRPr="000D0D06" w:rsidRDefault="007C050F" w:rsidP="001936FC">
      <w:pPr>
        <w:pStyle w:val="ManualHeading2"/>
        <w:rPr>
          <w:noProof/>
        </w:rPr>
      </w:pPr>
      <w:r w:rsidRPr="000D0D06">
        <w:rPr>
          <w:noProof/>
        </w:rPr>
        <w:br w:type="page"/>
        <w:t>1.6.</w:t>
      </w:r>
      <w:r w:rsidRPr="000D0D06">
        <w:rPr>
          <w:noProof/>
        </w:rPr>
        <w:tab/>
        <w:t>Duração da proposta / iniciativa e do respetivo impacto financeiro</w:t>
      </w:r>
    </w:p>
    <w:p w14:paraId="415F6DA4" w14:textId="77777777" w:rsidR="007C050F" w:rsidRPr="000D0D06" w:rsidRDefault="001936FC" w:rsidP="001936FC">
      <w:pPr>
        <w:pStyle w:val="ManualNumPar1"/>
        <w:rPr>
          <w:noProof/>
        </w:rPr>
      </w:pPr>
      <w:r w:rsidRPr="000D0D06">
        <w:rPr>
          <w:noProof/>
        </w:rPr>
        <w:t>5.</w:t>
      </w:r>
      <w:r w:rsidRPr="000D0D06">
        <w:rPr>
          <w:noProof/>
        </w:rPr>
        <w:tab/>
      </w:r>
      <w:r w:rsidRPr="000D0D06">
        <w:rPr>
          <w:rFonts w:ascii="Wingdings" w:hAnsi="Wingdings"/>
          <w:noProof/>
        </w:rPr>
        <w:t></w:t>
      </w:r>
      <w:r w:rsidRPr="000D0D06">
        <w:rPr>
          <w:i/>
          <w:noProof/>
        </w:rPr>
        <w:t xml:space="preserve"> </w:t>
      </w:r>
      <w:r w:rsidRPr="000D0D06">
        <w:rPr>
          <w:noProof/>
        </w:rPr>
        <w:t xml:space="preserve">Duração limitada </w:t>
      </w:r>
    </w:p>
    <w:p w14:paraId="04FE0898" w14:textId="77777777" w:rsidR="007C050F" w:rsidRPr="000D0D06" w:rsidRDefault="007C050F" w:rsidP="007C050F">
      <w:pPr>
        <w:tabs>
          <w:tab w:val="num" w:pos="1134"/>
        </w:tabs>
        <w:ind w:left="1134" w:hanging="283"/>
        <w:rPr>
          <w:rFonts w:eastAsia="Times New Roman"/>
          <w:noProof/>
        </w:rPr>
      </w:pPr>
      <w:r w:rsidRPr="000D0D06">
        <w:rPr>
          <w:rFonts w:ascii="Wingdings" w:hAnsi="Wingdings"/>
          <w:noProof/>
        </w:rPr>
        <w:t></w:t>
      </w:r>
      <w:r w:rsidRPr="000D0D06">
        <w:rPr>
          <w:noProof/>
        </w:rPr>
        <w:tab/>
        <w:t xml:space="preserve">em vigor entre [_DD/MM_]AAAA e [_DD/MM_]AAAA </w:t>
      </w:r>
    </w:p>
    <w:p w14:paraId="209C64CB" w14:textId="77777777" w:rsidR="007C050F" w:rsidRPr="000D0D06" w:rsidRDefault="007C050F" w:rsidP="007C050F">
      <w:pPr>
        <w:tabs>
          <w:tab w:val="num" w:pos="1134"/>
        </w:tabs>
        <w:ind w:left="1134" w:hanging="283"/>
        <w:rPr>
          <w:rFonts w:eastAsia="Times New Roman"/>
          <w:noProof/>
        </w:rPr>
      </w:pPr>
      <w:r w:rsidRPr="000D0D06">
        <w:rPr>
          <w:rFonts w:ascii="Wingdings" w:hAnsi="Wingdings"/>
          <w:noProof/>
        </w:rPr>
        <w:t></w:t>
      </w:r>
      <w:r w:rsidRPr="000D0D06">
        <w:rPr>
          <w:noProof/>
        </w:rPr>
        <w:tab/>
        <w:t xml:space="preserve">impacto financeiro entre AAAA e AAAA para as dotações de autorização e entre AAAA e AAAA para as dotações de pagamento. </w:t>
      </w:r>
    </w:p>
    <w:p w14:paraId="2AD394B7" w14:textId="77777777" w:rsidR="007C050F" w:rsidRPr="000D0D06" w:rsidRDefault="001936FC" w:rsidP="001936FC">
      <w:pPr>
        <w:pStyle w:val="ManualNumPar1"/>
        <w:rPr>
          <w:noProof/>
        </w:rPr>
      </w:pPr>
      <w:r w:rsidRPr="000D0D06">
        <w:rPr>
          <w:noProof/>
        </w:rPr>
        <w:t>6.</w:t>
      </w:r>
      <w:r w:rsidRPr="000D0D06">
        <w:rPr>
          <w:noProof/>
        </w:rPr>
        <w:tab/>
      </w:r>
      <w:r w:rsidRPr="000D0D06">
        <w:rPr>
          <w:rFonts w:ascii="Wingdings" w:hAnsi="Wingdings"/>
          <w:noProof/>
        </w:rPr>
        <w:t></w:t>
      </w:r>
      <w:r w:rsidRPr="000D0D06">
        <w:rPr>
          <w:i/>
          <w:noProof/>
        </w:rPr>
        <w:t xml:space="preserve"> </w:t>
      </w:r>
      <w:r w:rsidRPr="000D0D06">
        <w:rPr>
          <w:noProof/>
        </w:rPr>
        <w:t>Duração ilimitada</w:t>
      </w:r>
    </w:p>
    <w:p w14:paraId="11FD0993" w14:textId="77777777" w:rsidR="007C050F" w:rsidRPr="000D0D06" w:rsidRDefault="007C050F" w:rsidP="007C050F">
      <w:pPr>
        <w:tabs>
          <w:tab w:val="num" w:pos="1134"/>
        </w:tabs>
        <w:ind w:left="1134" w:hanging="283"/>
        <w:rPr>
          <w:rFonts w:eastAsia="Times New Roman"/>
          <w:noProof/>
        </w:rPr>
      </w:pPr>
      <w:r w:rsidRPr="000D0D06">
        <w:rPr>
          <w:noProof/>
        </w:rPr>
        <w:t>execução com um período de arranque entre AAAA e AAAA,</w:t>
      </w:r>
    </w:p>
    <w:p w14:paraId="3364FEC1" w14:textId="77777777" w:rsidR="007C050F" w:rsidRPr="000D0D06" w:rsidRDefault="007C050F" w:rsidP="007C050F">
      <w:pPr>
        <w:tabs>
          <w:tab w:val="num" w:pos="1134"/>
        </w:tabs>
        <w:ind w:left="1134" w:hanging="283"/>
        <w:rPr>
          <w:rFonts w:eastAsia="Times New Roman"/>
          <w:noProof/>
        </w:rPr>
      </w:pPr>
      <w:r w:rsidRPr="000D0D06">
        <w:rPr>
          <w:noProof/>
        </w:rPr>
        <w:t>seguido de um período de aplicação a ritmo de cruzeiro</w:t>
      </w:r>
    </w:p>
    <w:p w14:paraId="448E0E5A" w14:textId="77777777" w:rsidR="007C050F" w:rsidRPr="000D0D06" w:rsidRDefault="001936FC" w:rsidP="001936FC">
      <w:pPr>
        <w:pStyle w:val="ManualHeading2"/>
        <w:rPr>
          <w:noProof/>
        </w:rPr>
      </w:pPr>
      <w:r w:rsidRPr="000D0D06">
        <w:rPr>
          <w:noProof/>
        </w:rPr>
        <w:t>1.7.</w:t>
      </w:r>
      <w:r w:rsidRPr="000D0D06">
        <w:rPr>
          <w:noProof/>
        </w:rPr>
        <w:tab/>
        <w:t>Métodos de execução orçamental previstos</w:t>
      </w:r>
      <w:r w:rsidRPr="000D0D06">
        <w:rPr>
          <w:rStyle w:val="FootnoteReference"/>
          <w:noProof/>
        </w:rPr>
        <w:footnoteReference w:id="41"/>
      </w:r>
      <w:r w:rsidRPr="000D0D06">
        <w:rPr>
          <w:noProof/>
        </w:rPr>
        <w:t xml:space="preserve"> </w:t>
      </w:r>
    </w:p>
    <w:p w14:paraId="18C95D2D" w14:textId="77777777" w:rsidR="007C050F" w:rsidRPr="000D0D06" w:rsidRDefault="001936FC" w:rsidP="001936FC">
      <w:pPr>
        <w:pStyle w:val="ManualNumPar1"/>
        <w:rPr>
          <w:noProof/>
        </w:rPr>
      </w:pPr>
      <w:r w:rsidRPr="000D0D06">
        <w:rPr>
          <w:noProof/>
        </w:rPr>
        <w:t>7.</w:t>
      </w:r>
      <w:r w:rsidRPr="000D0D06">
        <w:rPr>
          <w:noProof/>
        </w:rPr>
        <w:tab/>
      </w:r>
      <w:r w:rsidRPr="000D0D06">
        <w:rPr>
          <w:rFonts w:ascii="Wingdings" w:hAnsi="Wingdings"/>
          <w:noProof/>
        </w:rPr>
        <w:t></w:t>
      </w:r>
      <w:r w:rsidRPr="000D0D06">
        <w:rPr>
          <w:i/>
          <w:noProof/>
        </w:rPr>
        <w:t xml:space="preserve"> </w:t>
      </w:r>
      <w:r w:rsidRPr="000D0D06">
        <w:rPr>
          <w:b/>
          <w:noProof/>
        </w:rPr>
        <w:t>Gestão direta</w:t>
      </w:r>
      <w:r w:rsidRPr="000D0D06">
        <w:rPr>
          <w:noProof/>
        </w:rPr>
        <w:t xml:space="preserve"> pela Comissão:</w:t>
      </w:r>
    </w:p>
    <w:p w14:paraId="00084FF5" w14:textId="77777777" w:rsidR="007C050F" w:rsidRPr="000D0D06" w:rsidRDefault="007C050F" w:rsidP="007C050F">
      <w:pPr>
        <w:tabs>
          <w:tab w:val="num" w:pos="1134"/>
        </w:tabs>
        <w:ind w:left="1134" w:hanging="283"/>
        <w:rPr>
          <w:rFonts w:eastAsia="Times New Roman" w:cs="EUAlbertina"/>
          <w:noProof/>
        </w:rPr>
      </w:pPr>
      <w:r w:rsidRPr="000D0D06">
        <w:rPr>
          <w:rFonts w:ascii="Wingdings" w:hAnsi="Wingdings"/>
          <w:noProof/>
        </w:rPr>
        <w:t></w:t>
      </w:r>
      <w:r w:rsidRPr="000D0D06">
        <w:rPr>
          <w:noProof/>
        </w:rPr>
        <w:t xml:space="preserve"> pelos seus serviços, incluindo o pessoal nas delegações da União </w:t>
      </w:r>
    </w:p>
    <w:p w14:paraId="59F01DDA" w14:textId="77777777" w:rsidR="007C050F" w:rsidRPr="000D0D06" w:rsidRDefault="007C050F" w:rsidP="007C050F">
      <w:pPr>
        <w:tabs>
          <w:tab w:val="num" w:pos="1134"/>
        </w:tabs>
        <w:ind w:left="1134" w:hanging="283"/>
        <w:rPr>
          <w:rFonts w:eastAsia="Times New Roman"/>
          <w:noProof/>
        </w:rPr>
      </w:pPr>
      <w:r w:rsidRPr="000D0D06">
        <w:rPr>
          <w:rFonts w:ascii="Wingdings" w:hAnsi="Wingdings"/>
          <w:noProof/>
        </w:rPr>
        <w:t></w:t>
      </w:r>
      <w:r w:rsidRPr="000D0D06">
        <w:rPr>
          <w:noProof/>
        </w:rPr>
        <w:tab/>
        <w:t xml:space="preserve">pelas agências de execução </w:t>
      </w:r>
    </w:p>
    <w:p w14:paraId="6BB628B5" w14:textId="77777777" w:rsidR="007C050F" w:rsidRPr="000D0D06" w:rsidRDefault="001936FC" w:rsidP="001936FC">
      <w:pPr>
        <w:pStyle w:val="ManualNumPar1"/>
        <w:rPr>
          <w:noProof/>
        </w:rPr>
      </w:pPr>
      <w:r w:rsidRPr="000D0D06">
        <w:rPr>
          <w:noProof/>
        </w:rPr>
        <w:t>8.</w:t>
      </w:r>
      <w:r w:rsidRPr="000D0D06">
        <w:rPr>
          <w:noProof/>
        </w:rPr>
        <w:tab/>
      </w:r>
      <w:r w:rsidRPr="000D0D06">
        <w:rPr>
          <w:rFonts w:ascii="Wingdings" w:hAnsi="Wingdings"/>
          <w:noProof/>
        </w:rPr>
        <w:t></w:t>
      </w:r>
      <w:r w:rsidRPr="000D0D06">
        <w:rPr>
          <w:b/>
          <w:i/>
          <w:noProof/>
        </w:rPr>
        <w:t xml:space="preserve"> </w:t>
      </w:r>
      <w:r w:rsidRPr="000D0D06">
        <w:rPr>
          <w:b/>
          <w:noProof/>
        </w:rPr>
        <w:t>Gestão partilhada</w:t>
      </w:r>
      <w:r w:rsidRPr="000D0D06">
        <w:rPr>
          <w:noProof/>
        </w:rPr>
        <w:t xml:space="preserve"> com os Estados-Membros </w:t>
      </w:r>
    </w:p>
    <w:p w14:paraId="4644A08A" w14:textId="77777777" w:rsidR="007C050F" w:rsidRPr="000D0D06" w:rsidRDefault="001936FC" w:rsidP="001936FC">
      <w:pPr>
        <w:pStyle w:val="ManualNumPar1"/>
        <w:rPr>
          <w:noProof/>
        </w:rPr>
      </w:pPr>
      <w:r w:rsidRPr="000D0D06">
        <w:rPr>
          <w:noProof/>
        </w:rPr>
        <w:t>9.</w:t>
      </w:r>
      <w:r w:rsidRPr="000D0D06">
        <w:rPr>
          <w:noProof/>
        </w:rPr>
        <w:tab/>
      </w:r>
      <w:r w:rsidRPr="000D0D06">
        <w:rPr>
          <w:rFonts w:ascii="Wingdings" w:hAnsi="Wingdings"/>
          <w:noProof/>
        </w:rPr>
        <w:t></w:t>
      </w:r>
      <w:r w:rsidRPr="000D0D06">
        <w:rPr>
          <w:i/>
          <w:noProof/>
        </w:rPr>
        <w:t xml:space="preserve"> </w:t>
      </w:r>
      <w:r w:rsidRPr="000D0D06">
        <w:rPr>
          <w:b/>
          <w:noProof/>
        </w:rPr>
        <w:t>Gestão indireta</w:t>
      </w:r>
      <w:r w:rsidRPr="000D0D06">
        <w:rPr>
          <w:noProof/>
        </w:rPr>
        <w:t xml:space="preserve"> por delegação de tarefas de execução orçamental:</w:t>
      </w:r>
    </w:p>
    <w:p w14:paraId="51CFA07A" w14:textId="77777777" w:rsidR="007C050F" w:rsidRPr="000D0D06" w:rsidRDefault="007C050F" w:rsidP="007C050F">
      <w:pPr>
        <w:tabs>
          <w:tab w:val="num" w:pos="1134"/>
        </w:tabs>
        <w:ind w:left="1134" w:hanging="283"/>
        <w:rPr>
          <w:rFonts w:eastAsia="Times New Roman"/>
          <w:noProof/>
        </w:rPr>
      </w:pPr>
      <w:r w:rsidRPr="000D0D06">
        <w:rPr>
          <w:rFonts w:ascii="Wingdings" w:hAnsi="Wingdings"/>
          <w:noProof/>
        </w:rPr>
        <w:t></w:t>
      </w:r>
      <w:r w:rsidRPr="000D0D06">
        <w:rPr>
          <w:noProof/>
        </w:rPr>
        <w:t xml:space="preserve"> em países terceiros ou nos organismos por estes designados</w:t>
      </w:r>
    </w:p>
    <w:p w14:paraId="254C5A10" w14:textId="77777777" w:rsidR="007C050F" w:rsidRPr="000D0D06" w:rsidRDefault="007C050F" w:rsidP="007C050F">
      <w:pPr>
        <w:tabs>
          <w:tab w:val="num" w:pos="1134"/>
        </w:tabs>
        <w:ind w:left="1134" w:hanging="283"/>
        <w:rPr>
          <w:rFonts w:eastAsia="Times New Roman"/>
          <w:noProof/>
        </w:rPr>
      </w:pPr>
      <w:r w:rsidRPr="000D0D06">
        <w:rPr>
          <w:rFonts w:ascii="Wingdings" w:hAnsi="Wingdings"/>
          <w:noProof/>
        </w:rPr>
        <w:t></w:t>
      </w:r>
      <w:r w:rsidRPr="000D0D06">
        <w:rPr>
          <w:noProof/>
        </w:rPr>
        <w:t xml:space="preserve"> em organizações internacionais e respetivas agências (a especificar)</w:t>
      </w:r>
    </w:p>
    <w:p w14:paraId="7D27E74F" w14:textId="77777777" w:rsidR="007C050F" w:rsidRPr="000D0D06" w:rsidRDefault="007C050F" w:rsidP="007C050F">
      <w:pPr>
        <w:tabs>
          <w:tab w:val="num" w:pos="1134"/>
        </w:tabs>
        <w:ind w:left="1134" w:hanging="283"/>
        <w:rPr>
          <w:rFonts w:eastAsia="Times New Roman"/>
          <w:noProof/>
        </w:rPr>
      </w:pPr>
      <w:r w:rsidRPr="000D0D06">
        <w:rPr>
          <w:rFonts w:ascii="Wingdings" w:hAnsi="Wingdings"/>
          <w:noProof/>
        </w:rPr>
        <w:t></w:t>
      </w:r>
      <w:r w:rsidRPr="000D0D06">
        <w:rPr>
          <w:noProof/>
        </w:rPr>
        <w:t xml:space="preserve"> no Banco Europeu de Investimento e Fundo Europeu de Investimento</w:t>
      </w:r>
    </w:p>
    <w:p w14:paraId="7EE1B72F" w14:textId="77777777" w:rsidR="007C050F" w:rsidRPr="000D0D06" w:rsidRDefault="007C050F" w:rsidP="007C050F">
      <w:pPr>
        <w:tabs>
          <w:tab w:val="num" w:pos="1134"/>
        </w:tabs>
        <w:ind w:left="1134" w:hanging="283"/>
        <w:rPr>
          <w:rFonts w:eastAsia="Times New Roman"/>
          <w:noProof/>
        </w:rPr>
      </w:pPr>
      <w:r w:rsidRPr="000D0D06">
        <w:rPr>
          <w:rFonts w:ascii="Wingdings" w:hAnsi="Wingdings"/>
          <w:noProof/>
        </w:rPr>
        <w:t></w:t>
      </w:r>
      <w:r w:rsidRPr="000D0D06">
        <w:rPr>
          <w:noProof/>
        </w:rPr>
        <w:t xml:space="preserve"> em organismos referidos nos artigos 70.º e 71.º do Regulamento Financeiro</w:t>
      </w:r>
    </w:p>
    <w:p w14:paraId="343D7F16" w14:textId="77777777" w:rsidR="007C050F" w:rsidRPr="000D0D06" w:rsidRDefault="007C050F" w:rsidP="007C050F">
      <w:pPr>
        <w:tabs>
          <w:tab w:val="num" w:pos="1134"/>
        </w:tabs>
        <w:ind w:left="1134" w:hanging="283"/>
        <w:rPr>
          <w:rFonts w:eastAsia="Times New Roman"/>
          <w:noProof/>
        </w:rPr>
      </w:pPr>
      <w:r w:rsidRPr="000D0D06">
        <w:rPr>
          <w:rFonts w:ascii="Wingdings" w:hAnsi="Wingdings"/>
          <w:noProof/>
        </w:rPr>
        <w:t></w:t>
      </w:r>
      <w:r w:rsidRPr="000D0D06">
        <w:rPr>
          <w:noProof/>
        </w:rPr>
        <w:t xml:space="preserve"> em organismos de direito público</w:t>
      </w:r>
    </w:p>
    <w:p w14:paraId="36412FF5" w14:textId="77777777" w:rsidR="007C050F" w:rsidRPr="000D0D06" w:rsidRDefault="007C050F" w:rsidP="007C050F">
      <w:pPr>
        <w:tabs>
          <w:tab w:val="num" w:pos="1134"/>
        </w:tabs>
        <w:ind w:left="1134" w:hanging="283"/>
        <w:rPr>
          <w:rFonts w:eastAsia="Times New Roman"/>
          <w:noProof/>
        </w:rPr>
      </w:pPr>
      <w:r w:rsidRPr="000D0D06">
        <w:rPr>
          <w:rFonts w:ascii="Wingdings" w:hAnsi="Wingdings"/>
          <w:noProof/>
        </w:rPr>
        <w:t></w:t>
      </w:r>
      <w:r w:rsidRPr="000D0D06">
        <w:rPr>
          <w:noProof/>
        </w:rPr>
        <w:t xml:space="preserve"> em organismos regidos pelo direito privado com uma missão de serviço público desde que prestem garantias financeiras adequadas</w:t>
      </w:r>
    </w:p>
    <w:p w14:paraId="7DD98FFC" w14:textId="77777777" w:rsidR="007C050F" w:rsidRPr="000D0D06" w:rsidRDefault="007C050F" w:rsidP="007C050F">
      <w:pPr>
        <w:tabs>
          <w:tab w:val="num" w:pos="1134"/>
        </w:tabs>
        <w:ind w:left="1134" w:hanging="283"/>
        <w:rPr>
          <w:rFonts w:eastAsia="Times New Roman"/>
          <w:noProof/>
        </w:rPr>
      </w:pPr>
      <w:r w:rsidRPr="000D0D06">
        <w:rPr>
          <w:rFonts w:ascii="Wingdings" w:hAnsi="Wingdings"/>
          <w:noProof/>
        </w:rPr>
        <w:t></w:t>
      </w:r>
      <w:r w:rsidRPr="000D0D06">
        <w:rPr>
          <w:noProof/>
        </w:rPr>
        <w:t xml:space="preserve"> em organismos regidos pelo direito privado de um Estado-Membro com a responsabilidade pela execução de uma parceria público-privada e que prestem garantias financeiras adequadas</w:t>
      </w:r>
    </w:p>
    <w:p w14:paraId="1E75A96A" w14:textId="77777777" w:rsidR="007C050F" w:rsidRPr="000D0D06" w:rsidRDefault="007C050F" w:rsidP="007C050F">
      <w:pPr>
        <w:tabs>
          <w:tab w:val="num" w:pos="1134"/>
        </w:tabs>
        <w:ind w:left="1134" w:hanging="283"/>
        <w:rPr>
          <w:rFonts w:eastAsia="Times New Roman"/>
          <w:noProof/>
        </w:rPr>
      </w:pPr>
      <w:r w:rsidRPr="000D0D06">
        <w:rPr>
          <w:rFonts w:ascii="Wingdings" w:hAnsi="Wingdings"/>
          <w:noProof/>
        </w:rPr>
        <w:t></w:t>
      </w:r>
      <w:r w:rsidRPr="000D0D06">
        <w:rPr>
          <w:noProof/>
        </w:rPr>
        <w:t xml:space="preserve"> em organismos ou pessoas encarregados da execução de ações específicas no quadro da política externa e de segurança comum por força do título V do Tratado da União Europeia, identificados no ato de base pertinente</w:t>
      </w:r>
    </w:p>
    <w:p w14:paraId="22F10C85" w14:textId="77777777" w:rsidR="007C050F" w:rsidRPr="000D0D06" w:rsidRDefault="007C050F" w:rsidP="007C050F">
      <w:pPr>
        <w:tabs>
          <w:tab w:val="num" w:pos="1134"/>
        </w:tabs>
        <w:ind w:left="1134" w:hanging="283"/>
        <w:rPr>
          <w:rFonts w:eastAsia="Times New Roman"/>
          <w:noProof/>
        </w:rPr>
      </w:pPr>
      <w:r w:rsidRPr="000D0D06">
        <w:rPr>
          <w:rFonts w:ascii="Wingdings" w:hAnsi="Wingdings"/>
          <w:noProof/>
        </w:rPr>
        <w:t></w:t>
      </w:r>
      <w:r w:rsidRPr="000D0D06">
        <w:rPr>
          <w:rFonts w:ascii="Wingdings" w:hAnsi="Wingdings"/>
          <w:noProof/>
        </w:rPr>
        <w:t></w:t>
      </w:r>
      <w:r w:rsidRPr="000D0D06">
        <w:rPr>
          <w:noProof/>
        </w:rPr>
        <w:t xml:space="preserve"> em organismos estabelecidos num Estado-Membro, regidos pelo direito privado de um Estado-Membro ou pelo direito da União e elegíveis para serem incumbidos, de acordo com regras setoriais, da execução de fundos da União ou de garantias orçamentais, na medida em que esses organismos sejam controlados por organismos de direito público ou por organismos regidos pelo direito privado investidos de uma missão de serviço público, e beneficiem de garantias financeiras adequadas, sob a forma de responsabilidade solidária pelos organismos de controlo, ou de garantias financeiras equivalentes, que podem ser limitadas, para cada ação, ao montante máximo do apoio da União</w:t>
      </w:r>
    </w:p>
    <w:p w14:paraId="147A08F6" w14:textId="77777777" w:rsidR="007C050F" w:rsidRPr="000D0D06" w:rsidRDefault="007C050F" w:rsidP="007C050F">
      <w:pPr>
        <w:rPr>
          <w:noProof/>
        </w:rPr>
        <w:sectPr w:rsidR="007C050F" w:rsidRPr="000D0D06" w:rsidSect="00053915">
          <w:pgSz w:w="11907" w:h="16840" w:code="9"/>
          <w:pgMar w:top="1134" w:right="1418" w:bottom="1134" w:left="1418" w:header="709" w:footer="709" w:gutter="0"/>
          <w:cols w:space="708"/>
          <w:docGrid w:linePitch="360"/>
        </w:sectPr>
      </w:pPr>
      <w:r w:rsidRPr="000D0D06">
        <w:rPr>
          <w:noProof/>
          <w:color w:val="008000"/>
        </w:rPr>
        <w:t>I</w:t>
      </w:r>
    </w:p>
    <w:p w14:paraId="28B67326" w14:textId="77777777" w:rsidR="007C050F" w:rsidRPr="000D0D06" w:rsidRDefault="001936FC" w:rsidP="001936FC">
      <w:pPr>
        <w:pStyle w:val="ManualHeading1"/>
        <w:rPr>
          <w:noProof/>
          <w:szCs w:val="24"/>
        </w:rPr>
      </w:pPr>
      <w:r w:rsidRPr="000D0D06">
        <w:rPr>
          <w:noProof/>
        </w:rPr>
        <w:t>2.</w:t>
      </w:r>
      <w:r w:rsidRPr="000D0D06">
        <w:rPr>
          <w:noProof/>
        </w:rPr>
        <w:tab/>
        <w:t xml:space="preserve">MEDIDAS DE GESTÃO </w:t>
      </w:r>
    </w:p>
    <w:p w14:paraId="7A6C51F7" w14:textId="77777777" w:rsidR="007C050F" w:rsidRPr="000D0D06" w:rsidRDefault="001936FC" w:rsidP="001936FC">
      <w:pPr>
        <w:pStyle w:val="ManualHeading2"/>
        <w:rPr>
          <w:noProof/>
        </w:rPr>
      </w:pPr>
      <w:r w:rsidRPr="000D0D06">
        <w:rPr>
          <w:noProof/>
        </w:rPr>
        <w:t>2.1.</w:t>
      </w:r>
      <w:r w:rsidRPr="000D0D06">
        <w:rPr>
          <w:noProof/>
        </w:rPr>
        <w:tab/>
        <w:t xml:space="preserve">Regras relativas ao acompanhamento e à comunicação de informações </w:t>
      </w:r>
    </w:p>
    <w:p w14:paraId="289176C7" w14:textId="77777777" w:rsidR="007C050F" w:rsidRPr="000D0D06" w:rsidRDefault="001936FC" w:rsidP="001936FC">
      <w:pPr>
        <w:pStyle w:val="ManualNumPar1"/>
        <w:rPr>
          <w:noProof/>
        </w:rPr>
      </w:pPr>
      <w:r w:rsidRPr="000D0D06">
        <w:rPr>
          <w:noProof/>
        </w:rPr>
        <w:t>10.</w:t>
      </w:r>
      <w:r w:rsidRPr="000D0D06">
        <w:rPr>
          <w:noProof/>
        </w:rPr>
        <w:tab/>
        <w:t>As alterações serão acompanhadas no âmbito da legislação alterada</w:t>
      </w:r>
    </w:p>
    <w:p w14:paraId="6F86887B" w14:textId="77777777" w:rsidR="007C050F" w:rsidRPr="000D0D06" w:rsidRDefault="001936FC" w:rsidP="001936FC">
      <w:pPr>
        <w:pStyle w:val="ManualHeading2"/>
        <w:rPr>
          <w:noProof/>
        </w:rPr>
      </w:pPr>
      <w:r w:rsidRPr="000D0D06">
        <w:rPr>
          <w:noProof/>
        </w:rPr>
        <w:t>2.2.</w:t>
      </w:r>
      <w:r w:rsidRPr="000D0D06">
        <w:rPr>
          <w:noProof/>
        </w:rPr>
        <w:tab/>
        <w:t xml:space="preserve">Sistemas de gestão e de controlo </w:t>
      </w:r>
    </w:p>
    <w:p w14:paraId="172ECEDF" w14:textId="77777777" w:rsidR="00850FE8" w:rsidRPr="000D0D06" w:rsidRDefault="001936FC" w:rsidP="001936FC">
      <w:pPr>
        <w:pStyle w:val="ManualHeading3"/>
        <w:rPr>
          <w:noProof/>
        </w:rPr>
      </w:pPr>
      <w:bookmarkStart w:id="18" w:name="_Toc514938046"/>
      <w:bookmarkStart w:id="19" w:name="_Toc520485045"/>
      <w:bookmarkStart w:id="20" w:name="_Toc160804587"/>
      <w:bookmarkStart w:id="21" w:name="_Toc167220279"/>
      <w:bookmarkStart w:id="22" w:name="_Toc177549012"/>
      <w:r w:rsidRPr="000D0D06">
        <w:rPr>
          <w:noProof/>
        </w:rPr>
        <w:t>2.2.1.</w:t>
      </w:r>
      <w:r w:rsidRPr="000D0D06">
        <w:rPr>
          <w:noProof/>
        </w:rPr>
        <w:tab/>
        <w:t>Justificação dos métodos de execução orçamental, dos mecanismos de execução do financiamento, das modalidades de pagamento e da estratégia de controlo propostos</w:t>
      </w:r>
      <w:bookmarkEnd w:id="18"/>
      <w:bookmarkEnd w:id="19"/>
      <w:bookmarkEnd w:id="20"/>
      <w:bookmarkEnd w:id="21"/>
      <w:bookmarkEnd w:id="22"/>
    </w:p>
    <w:p w14:paraId="79C301F9" w14:textId="77777777" w:rsidR="007C050F" w:rsidRPr="000D0D06" w:rsidRDefault="001936FC" w:rsidP="001936FC">
      <w:pPr>
        <w:pStyle w:val="ManualNumPar1"/>
        <w:rPr>
          <w:noProof/>
        </w:rPr>
      </w:pPr>
      <w:r w:rsidRPr="000D0D06">
        <w:rPr>
          <w:noProof/>
        </w:rPr>
        <w:t>11.</w:t>
      </w:r>
      <w:r w:rsidRPr="000D0D06">
        <w:rPr>
          <w:noProof/>
        </w:rPr>
        <w:tab/>
        <w:t>Os sistemas de gestão e controlo aplicáveis à legislação em vigor asseguram um controlo eficaz também das alterações</w:t>
      </w:r>
    </w:p>
    <w:p w14:paraId="492F99CE" w14:textId="77777777" w:rsidR="007C050F" w:rsidRPr="000D0D06" w:rsidRDefault="001936FC" w:rsidP="001936FC">
      <w:pPr>
        <w:pStyle w:val="ManualHeading3"/>
        <w:rPr>
          <w:noProof/>
        </w:rPr>
      </w:pPr>
      <w:r w:rsidRPr="000D0D06">
        <w:rPr>
          <w:noProof/>
        </w:rPr>
        <w:t>2.2.2.</w:t>
      </w:r>
      <w:r w:rsidRPr="000D0D06">
        <w:rPr>
          <w:noProof/>
        </w:rPr>
        <w:tab/>
        <w:t>Informações sobre os riscos identificados e os sistemas de controlo interno criados para os mitigar</w:t>
      </w:r>
    </w:p>
    <w:p w14:paraId="422C407D" w14:textId="77777777" w:rsidR="007C050F" w:rsidRPr="000D0D06" w:rsidRDefault="001936FC" w:rsidP="001936FC">
      <w:pPr>
        <w:pStyle w:val="ManualNumPar1"/>
        <w:rPr>
          <w:noProof/>
        </w:rPr>
      </w:pPr>
      <w:r w:rsidRPr="000D0D06">
        <w:rPr>
          <w:noProof/>
        </w:rPr>
        <w:t>12.</w:t>
      </w:r>
      <w:r w:rsidRPr="000D0D06">
        <w:rPr>
          <w:noProof/>
        </w:rPr>
        <w:tab/>
        <w:t>Não foram identificados riscos adicionais</w:t>
      </w:r>
    </w:p>
    <w:p w14:paraId="36B2CE48" w14:textId="77777777" w:rsidR="007C050F" w:rsidRPr="000D0D06" w:rsidRDefault="007C050F" w:rsidP="007C050F">
      <w:pPr>
        <w:pBdr>
          <w:top w:val="single" w:sz="4" w:space="1" w:color="auto"/>
          <w:left w:val="single" w:sz="4" w:space="4" w:color="auto"/>
          <w:bottom w:val="single" w:sz="4" w:space="1" w:color="auto"/>
          <w:right w:val="single" w:sz="4" w:space="4" w:color="auto"/>
        </w:pBdr>
        <w:ind w:left="850"/>
        <w:rPr>
          <w:noProof/>
        </w:rPr>
      </w:pPr>
    </w:p>
    <w:p w14:paraId="04A075F4" w14:textId="77777777" w:rsidR="007C050F" w:rsidRPr="000D0D06" w:rsidRDefault="001936FC" w:rsidP="001936FC">
      <w:pPr>
        <w:pStyle w:val="ManualHeading3"/>
        <w:rPr>
          <w:noProof/>
        </w:rPr>
      </w:pPr>
      <w:r w:rsidRPr="000D0D06">
        <w:rPr>
          <w:noProof/>
        </w:rPr>
        <w:t>2.2.3.</w:t>
      </w:r>
      <w:r w:rsidRPr="000D0D06">
        <w:rPr>
          <w:noProof/>
        </w:rPr>
        <w:tab/>
        <w:t xml:space="preserve">Estimativa e justificação da relação custo-eficácia dos controlos (rácio entre os custos de controlo e o valor dos respetivos fundos geridos) e avaliação dos níveis previstos de risco de erro (no pagamento e no encerramento) </w:t>
      </w:r>
    </w:p>
    <w:p w14:paraId="1AD9C44B" w14:textId="77777777" w:rsidR="007C050F" w:rsidRPr="000D0D06" w:rsidRDefault="001936FC" w:rsidP="001936FC">
      <w:pPr>
        <w:pStyle w:val="ManualNumPar1"/>
        <w:rPr>
          <w:noProof/>
        </w:rPr>
      </w:pPr>
      <w:r w:rsidRPr="000D0D06">
        <w:rPr>
          <w:noProof/>
        </w:rPr>
        <w:t>13.</w:t>
      </w:r>
      <w:r w:rsidRPr="000D0D06">
        <w:rPr>
          <w:noProof/>
        </w:rPr>
        <w:tab/>
        <w:t>O custo do controlo não será diferente do custo anterior</w:t>
      </w:r>
    </w:p>
    <w:p w14:paraId="2F4C42FF" w14:textId="77777777" w:rsidR="007C050F" w:rsidRPr="000D0D06" w:rsidRDefault="001936FC" w:rsidP="001936FC">
      <w:pPr>
        <w:pStyle w:val="ManualHeading2"/>
        <w:rPr>
          <w:noProof/>
        </w:rPr>
      </w:pPr>
      <w:r w:rsidRPr="000D0D06">
        <w:rPr>
          <w:noProof/>
        </w:rPr>
        <w:t>2.3.</w:t>
      </w:r>
      <w:r w:rsidRPr="000D0D06">
        <w:rPr>
          <w:noProof/>
        </w:rPr>
        <w:tab/>
        <w:t xml:space="preserve">Medidas de prevenção de fraudes e irregularidades </w:t>
      </w:r>
    </w:p>
    <w:p w14:paraId="1BB2EAA2" w14:textId="77777777" w:rsidR="007C050F" w:rsidRPr="000D0D06" w:rsidRDefault="001936FC" w:rsidP="001936FC">
      <w:pPr>
        <w:pStyle w:val="ManualNumPar1"/>
        <w:rPr>
          <w:noProof/>
        </w:rPr>
      </w:pPr>
      <w:r w:rsidRPr="000D0D06">
        <w:rPr>
          <w:noProof/>
        </w:rPr>
        <w:t>14.</w:t>
      </w:r>
      <w:r w:rsidRPr="000D0D06">
        <w:rPr>
          <w:noProof/>
        </w:rPr>
        <w:tab/>
        <w:t>As mesmas medidas preventivas continuam a ser aplicáveis às alterações</w:t>
      </w:r>
    </w:p>
    <w:p w14:paraId="39E012F5" w14:textId="77777777" w:rsidR="007C050F" w:rsidRPr="000D0D06" w:rsidRDefault="007C050F" w:rsidP="007C050F">
      <w:pPr>
        <w:rPr>
          <w:noProof/>
        </w:rPr>
        <w:sectPr w:rsidR="007C050F" w:rsidRPr="000D0D06" w:rsidSect="00053915">
          <w:pgSz w:w="11907" w:h="16840" w:code="9"/>
          <w:pgMar w:top="1134" w:right="1418" w:bottom="1134" w:left="1418" w:header="709" w:footer="709" w:gutter="0"/>
          <w:cols w:space="708"/>
          <w:docGrid w:linePitch="360"/>
        </w:sectPr>
      </w:pPr>
    </w:p>
    <w:p w14:paraId="64440D21" w14:textId="77777777" w:rsidR="007C050F" w:rsidRPr="000D0D06" w:rsidRDefault="001936FC" w:rsidP="001936FC">
      <w:pPr>
        <w:pStyle w:val="ManualHeading1"/>
        <w:rPr>
          <w:noProof/>
        </w:rPr>
      </w:pPr>
      <w:r w:rsidRPr="000D0D06">
        <w:rPr>
          <w:noProof/>
        </w:rPr>
        <w:t>3.</w:t>
      </w:r>
      <w:r w:rsidRPr="000D0D06">
        <w:rPr>
          <w:noProof/>
        </w:rPr>
        <w:tab/>
        <w:t xml:space="preserve">IMPACTO FINANCEIRO ESTIMADO DA PROPOSTA / INICIATIVA </w:t>
      </w:r>
    </w:p>
    <w:p w14:paraId="21B899CF" w14:textId="77777777" w:rsidR="007C050F" w:rsidRPr="000D0D06" w:rsidRDefault="001936FC" w:rsidP="001936FC">
      <w:pPr>
        <w:pStyle w:val="ManualHeading2"/>
        <w:rPr>
          <w:noProof/>
        </w:rPr>
      </w:pPr>
      <w:r w:rsidRPr="000D0D06">
        <w:rPr>
          <w:noProof/>
        </w:rPr>
        <w:t>3.1.</w:t>
      </w:r>
      <w:r w:rsidRPr="000D0D06">
        <w:rPr>
          <w:noProof/>
        </w:rPr>
        <w:tab/>
        <w:t xml:space="preserve">Rubricas do quadro financeiro plurianual e rubricas orçamentais de despesas envolvidas </w:t>
      </w:r>
    </w:p>
    <w:p w14:paraId="41F1667A" w14:textId="77777777" w:rsidR="007C050F" w:rsidRPr="000D0D06" w:rsidRDefault="007C050F" w:rsidP="007C050F">
      <w:pPr>
        <w:tabs>
          <w:tab w:val="num" w:pos="1134"/>
        </w:tabs>
        <w:ind w:left="1134" w:hanging="283"/>
        <w:rPr>
          <w:rFonts w:eastAsia="Times New Roman"/>
          <w:noProof/>
        </w:rPr>
      </w:pPr>
      <w:r w:rsidRPr="000D0D06">
        <w:rPr>
          <w:noProof/>
        </w:rPr>
        <w:t xml:space="preserve">Atuais rubricas orçamentais </w:t>
      </w:r>
    </w:p>
    <w:p w14:paraId="64F52CB6" w14:textId="77777777" w:rsidR="007C050F" w:rsidRPr="000D0D06" w:rsidRDefault="001936FC" w:rsidP="001936FC">
      <w:pPr>
        <w:pStyle w:val="ManualNumPar1"/>
        <w:rPr>
          <w:noProof/>
        </w:rPr>
      </w:pPr>
      <w:r w:rsidRPr="000D0D06">
        <w:rPr>
          <w:noProof/>
        </w:rPr>
        <w:t>15.</w:t>
      </w:r>
      <w:r w:rsidRPr="000D0D06">
        <w:rPr>
          <w:noProof/>
        </w:rPr>
        <w:tab/>
      </w:r>
      <w:r w:rsidRPr="000D0D06">
        <w:rPr>
          <w:noProof/>
          <w:u w:val="single"/>
        </w:rPr>
        <w:t>Segundo a ordem</w:t>
      </w:r>
      <w:r w:rsidRPr="000D0D06">
        <w:rPr>
          <w:noProof/>
        </w:rPr>
        <w:t xml:space="preserve"> das rubricas do quadro financeiro plurianual e das rubricas orçamentais correspondentes.</w:t>
      </w: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4002"/>
        <w:gridCol w:w="1092"/>
        <w:gridCol w:w="966"/>
        <w:gridCol w:w="1092"/>
        <w:gridCol w:w="966"/>
        <w:gridCol w:w="1463"/>
      </w:tblGrid>
      <w:tr w:rsidR="007C050F" w:rsidRPr="000D0D06" w14:paraId="0635A145" w14:textId="77777777">
        <w:trPr>
          <w:jc w:val="center"/>
        </w:trPr>
        <w:tc>
          <w:tcPr>
            <w:tcW w:w="1092" w:type="dxa"/>
            <w:vMerge w:val="restart"/>
            <w:vAlign w:val="center"/>
          </w:tcPr>
          <w:p w14:paraId="2CC12C84" w14:textId="77777777" w:rsidR="007C050F" w:rsidRPr="000D0D06" w:rsidRDefault="007C050F" w:rsidP="007C050F">
            <w:pPr>
              <w:spacing w:before="60" w:after="60"/>
              <w:jc w:val="center"/>
              <w:rPr>
                <w:noProof/>
              </w:rPr>
            </w:pPr>
            <w:r w:rsidRPr="000D0D06">
              <w:rPr>
                <w:noProof/>
                <w:sz w:val="18"/>
              </w:rPr>
              <w:t>Rubrica do quadro financeiro plurianual</w:t>
            </w:r>
          </w:p>
        </w:tc>
        <w:tc>
          <w:tcPr>
            <w:tcW w:w="4002" w:type="dxa"/>
            <w:vAlign w:val="center"/>
          </w:tcPr>
          <w:p w14:paraId="09D59B19" w14:textId="77777777" w:rsidR="007C050F" w:rsidRPr="000D0D06" w:rsidRDefault="007C050F" w:rsidP="007C050F">
            <w:pPr>
              <w:spacing w:before="60" w:after="60"/>
              <w:jc w:val="center"/>
              <w:rPr>
                <w:noProof/>
              </w:rPr>
            </w:pPr>
            <w:r w:rsidRPr="000D0D06">
              <w:rPr>
                <w:noProof/>
                <w:sz w:val="20"/>
              </w:rPr>
              <w:t>Rubrica orçamental</w:t>
            </w:r>
          </w:p>
        </w:tc>
        <w:tc>
          <w:tcPr>
            <w:tcW w:w="1092" w:type="dxa"/>
            <w:vAlign w:val="center"/>
          </w:tcPr>
          <w:p w14:paraId="62ABCB12" w14:textId="77777777" w:rsidR="007C050F" w:rsidRPr="000D0D06" w:rsidRDefault="007C050F" w:rsidP="007C050F">
            <w:pPr>
              <w:spacing w:before="60" w:after="60"/>
              <w:jc w:val="center"/>
              <w:rPr>
                <w:noProof/>
              </w:rPr>
            </w:pPr>
            <w:r w:rsidRPr="000D0D06">
              <w:rPr>
                <w:noProof/>
                <w:sz w:val="18"/>
              </w:rPr>
              <w:t>Natureza das despesas</w:t>
            </w:r>
          </w:p>
        </w:tc>
        <w:tc>
          <w:tcPr>
            <w:tcW w:w="4487" w:type="dxa"/>
            <w:gridSpan w:val="4"/>
            <w:vAlign w:val="center"/>
          </w:tcPr>
          <w:p w14:paraId="739A6C32" w14:textId="77777777" w:rsidR="007C050F" w:rsidRPr="000D0D06" w:rsidRDefault="007C050F" w:rsidP="007C050F">
            <w:pPr>
              <w:spacing w:before="60" w:after="60"/>
              <w:jc w:val="center"/>
              <w:rPr>
                <w:noProof/>
              </w:rPr>
            </w:pPr>
            <w:r w:rsidRPr="000D0D06">
              <w:rPr>
                <w:noProof/>
                <w:sz w:val="20"/>
              </w:rPr>
              <w:t xml:space="preserve">Participação </w:t>
            </w:r>
          </w:p>
        </w:tc>
      </w:tr>
      <w:tr w:rsidR="007C050F" w:rsidRPr="000D0D06" w14:paraId="7CD26AA2" w14:textId="77777777">
        <w:trPr>
          <w:cantSplit/>
          <w:jc w:val="center"/>
        </w:trPr>
        <w:tc>
          <w:tcPr>
            <w:tcW w:w="1092" w:type="dxa"/>
            <w:vMerge/>
            <w:vAlign w:val="center"/>
          </w:tcPr>
          <w:p w14:paraId="52788525" w14:textId="77777777" w:rsidR="007C050F" w:rsidRPr="000D0D06" w:rsidRDefault="007C050F" w:rsidP="007C050F">
            <w:pPr>
              <w:jc w:val="center"/>
              <w:rPr>
                <w:noProof/>
              </w:rPr>
            </w:pPr>
          </w:p>
        </w:tc>
        <w:tc>
          <w:tcPr>
            <w:tcW w:w="4002" w:type="dxa"/>
            <w:vAlign w:val="center"/>
          </w:tcPr>
          <w:p w14:paraId="7498B54E" w14:textId="3E33436E" w:rsidR="007C050F" w:rsidRPr="000D0D06" w:rsidRDefault="007C050F" w:rsidP="007C050F">
            <w:pPr>
              <w:rPr>
                <w:noProof/>
              </w:rPr>
            </w:pPr>
            <w:r w:rsidRPr="000D0D06">
              <w:rPr>
                <w:noProof/>
                <w:sz w:val="20"/>
              </w:rPr>
              <w:t>Número</w:t>
            </w:r>
            <w:r w:rsidRPr="000D0D06">
              <w:rPr>
                <w:noProof/>
              </w:rPr>
              <w:br/>
            </w:r>
          </w:p>
        </w:tc>
        <w:tc>
          <w:tcPr>
            <w:tcW w:w="1092" w:type="dxa"/>
            <w:vAlign w:val="center"/>
          </w:tcPr>
          <w:p w14:paraId="21705B83" w14:textId="77777777" w:rsidR="007C050F" w:rsidRPr="000D0D06" w:rsidRDefault="007C050F" w:rsidP="007C050F">
            <w:pPr>
              <w:jc w:val="center"/>
              <w:rPr>
                <w:noProof/>
              </w:rPr>
            </w:pPr>
            <w:r w:rsidRPr="000D0D06">
              <w:rPr>
                <w:noProof/>
                <w:sz w:val="18"/>
              </w:rPr>
              <w:t>DD/DND</w:t>
            </w:r>
            <w:r w:rsidRPr="000D0D06">
              <w:rPr>
                <w:rStyle w:val="FootnoteReference"/>
                <w:noProof/>
              </w:rPr>
              <w:footnoteReference w:id="42"/>
            </w:r>
            <w:r w:rsidRPr="000D0D06">
              <w:rPr>
                <w:noProof/>
              </w:rPr>
              <w:t>.</w:t>
            </w:r>
          </w:p>
        </w:tc>
        <w:tc>
          <w:tcPr>
            <w:tcW w:w="966" w:type="dxa"/>
            <w:vAlign w:val="center"/>
          </w:tcPr>
          <w:p w14:paraId="6E7372E6" w14:textId="77777777" w:rsidR="007C050F" w:rsidRPr="000D0D06" w:rsidRDefault="007C050F" w:rsidP="007C050F">
            <w:pPr>
              <w:jc w:val="center"/>
              <w:rPr>
                <w:b/>
                <w:noProof/>
                <w:sz w:val="18"/>
              </w:rPr>
            </w:pPr>
            <w:r w:rsidRPr="000D0D06">
              <w:rPr>
                <w:noProof/>
                <w:sz w:val="18"/>
              </w:rPr>
              <w:t>de países da EFTA</w:t>
            </w:r>
            <w:r w:rsidRPr="000D0D06">
              <w:rPr>
                <w:rStyle w:val="FootnoteReference"/>
                <w:noProof/>
              </w:rPr>
              <w:footnoteReference w:id="43"/>
            </w:r>
          </w:p>
        </w:tc>
        <w:tc>
          <w:tcPr>
            <w:tcW w:w="1092" w:type="dxa"/>
            <w:vAlign w:val="center"/>
          </w:tcPr>
          <w:p w14:paraId="5E0BD83D" w14:textId="77777777" w:rsidR="007C050F" w:rsidRPr="000D0D06" w:rsidRDefault="007C050F" w:rsidP="007C050F">
            <w:pPr>
              <w:jc w:val="center"/>
              <w:rPr>
                <w:noProof/>
                <w:sz w:val="18"/>
              </w:rPr>
            </w:pPr>
            <w:r w:rsidRPr="000D0D06">
              <w:rPr>
                <w:noProof/>
                <w:sz w:val="18"/>
              </w:rPr>
              <w:t>de países candidatos e candidatos potenciais</w:t>
            </w:r>
            <w:r w:rsidRPr="000D0D06">
              <w:rPr>
                <w:rStyle w:val="FootnoteReference"/>
                <w:noProof/>
              </w:rPr>
              <w:footnoteReference w:id="44"/>
            </w:r>
          </w:p>
        </w:tc>
        <w:tc>
          <w:tcPr>
            <w:tcW w:w="966" w:type="dxa"/>
            <w:vAlign w:val="center"/>
          </w:tcPr>
          <w:p w14:paraId="07739194" w14:textId="77777777" w:rsidR="007C050F" w:rsidRPr="000D0D06" w:rsidRDefault="007C050F" w:rsidP="007C050F">
            <w:pPr>
              <w:jc w:val="center"/>
              <w:rPr>
                <w:noProof/>
                <w:sz w:val="18"/>
              </w:rPr>
            </w:pPr>
            <w:r w:rsidRPr="000D0D06">
              <w:rPr>
                <w:noProof/>
                <w:sz w:val="18"/>
              </w:rPr>
              <w:t>de outros países terceiros</w:t>
            </w:r>
          </w:p>
        </w:tc>
        <w:tc>
          <w:tcPr>
            <w:tcW w:w="1463" w:type="dxa"/>
            <w:vAlign w:val="center"/>
          </w:tcPr>
          <w:p w14:paraId="77A48014" w14:textId="77777777" w:rsidR="007C050F" w:rsidRPr="000D0D06" w:rsidRDefault="007C050F" w:rsidP="007C050F">
            <w:pPr>
              <w:jc w:val="center"/>
              <w:rPr>
                <w:noProof/>
              </w:rPr>
            </w:pPr>
            <w:r w:rsidRPr="000D0D06">
              <w:rPr>
                <w:noProof/>
                <w:sz w:val="18"/>
              </w:rPr>
              <w:t>outras receitas afetadas</w:t>
            </w:r>
          </w:p>
        </w:tc>
      </w:tr>
      <w:tr w:rsidR="007C050F" w:rsidRPr="000D0D06" w14:paraId="5B7A58D3" w14:textId="77777777">
        <w:trPr>
          <w:jc w:val="center"/>
        </w:trPr>
        <w:tc>
          <w:tcPr>
            <w:tcW w:w="1092" w:type="dxa"/>
            <w:vAlign w:val="center"/>
          </w:tcPr>
          <w:p w14:paraId="2F51D44B" w14:textId="77777777" w:rsidR="007C050F" w:rsidRPr="000D0D06" w:rsidRDefault="007C050F" w:rsidP="007C050F">
            <w:pPr>
              <w:jc w:val="center"/>
              <w:rPr>
                <w:noProof/>
                <w:color w:val="0000FF"/>
              </w:rPr>
            </w:pPr>
          </w:p>
        </w:tc>
        <w:tc>
          <w:tcPr>
            <w:tcW w:w="4002" w:type="dxa"/>
            <w:vAlign w:val="center"/>
          </w:tcPr>
          <w:p w14:paraId="714A1C6E" w14:textId="77777777" w:rsidR="007C050F" w:rsidRPr="000D0D06" w:rsidRDefault="007C050F" w:rsidP="007C050F">
            <w:pPr>
              <w:spacing w:before="60"/>
              <w:rPr>
                <w:noProof/>
              </w:rPr>
            </w:pPr>
            <w:r w:rsidRPr="000D0D06">
              <w:rPr>
                <w:noProof/>
                <w:sz w:val="22"/>
              </w:rPr>
              <w:t>20 02 06 Despesas administrativas</w:t>
            </w:r>
          </w:p>
          <w:p w14:paraId="4331AA56" w14:textId="77777777" w:rsidR="007C050F" w:rsidRPr="000D0D06" w:rsidRDefault="007C050F" w:rsidP="007C050F">
            <w:pPr>
              <w:spacing w:after="60"/>
              <w:rPr>
                <w:noProof/>
              </w:rPr>
            </w:pPr>
          </w:p>
        </w:tc>
        <w:tc>
          <w:tcPr>
            <w:tcW w:w="1092" w:type="dxa"/>
            <w:vAlign w:val="center"/>
          </w:tcPr>
          <w:p w14:paraId="6360812D" w14:textId="77777777" w:rsidR="007C050F" w:rsidRPr="000D0D06" w:rsidRDefault="007C050F" w:rsidP="007C050F">
            <w:pPr>
              <w:jc w:val="center"/>
              <w:rPr>
                <w:noProof/>
                <w:color w:val="0000FF"/>
              </w:rPr>
            </w:pPr>
            <w:r w:rsidRPr="000D0D06">
              <w:rPr>
                <w:noProof/>
                <w:sz w:val="22"/>
              </w:rPr>
              <w:t>DND</w:t>
            </w:r>
          </w:p>
        </w:tc>
        <w:tc>
          <w:tcPr>
            <w:tcW w:w="966" w:type="dxa"/>
            <w:vAlign w:val="center"/>
          </w:tcPr>
          <w:p w14:paraId="084896AF" w14:textId="77777777" w:rsidR="007C050F" w:rsidRPr="000D0D06" w:rsidRDefault="007C050F" w:rsidP="007C050F">
            <w:pPr>
              <w:jc w:val="center"/>
              <w:rPr>
                <w:noProof/>
                <w:sz w:val="20"/>
                <w:szCs w:val="20"/>
              </w:rPr>
            </w:pPr>
            <w:r w:rsidRPr="000D0D06">
              <w:rPr>
                <w:noProof/>
                <w:sz w:val="20"/>
              </w:rPr>
              <w:t>NÃO</w:t>
            </w:r>
          </w:p>
        </w:tc>
        <w:tc>
          <w:tcPr>
            <w:tcW w:w="1092" w:type="dxa"/>
            <w:vAlign w:val="center"/>
          </w:tcPr>
          <w:p w14:paraId="63C96A4C" w14:textId="77777777" w:rsidR="007C050F" w:rsidRPr="000D0D06" w:rsidRDefault="007C050F" w:rsidP="007C050F">
            <w:pPr>
              <w:jc w:val="center"/>
              <w:rPr>
                <w:noProof/>
                <w:sz w:val="20"/>
                <w:szCs w:val="20"/>
              </w:rPr>
            </w:pPr>
            <w:r w:rsidRPr="000D0D06">
              <w:rPr>
                <w:noProof/>
                <w:sz w:val="20"/>
              </w:rPr>
              <w:t>NÃO</w:t>
            </w:r>
          </w:p>
        </w:tc>
        <w:tc>
          <w:tcPr>
            <w:tcW w:w="966" w:type="dxa"/>
            <w:vAlign w:val="center"/>
          </w:tcPr>
          <w:p w14:paraId="40FFE4B0" w14:textId="77777777" w:rsidR="007C050F" w:rsidRPr="000D0D06" w:rsidRDefault="007C050F" w:rsidP="007C050F">
            <w:pPr>
              <w:jc w:val="center"/>
              <w:rPr>
                <w:noProof/>
                <w:sz w:val="20"/>
                <w:szCs w:val="20"/>
              </w:rPr>
            </w:pPr>
            <w:r w:rsidRPr="000D0D06">
              <w:rPr>
                <w:noProof/>
                <w:sz w:val="20"/>
              </w:rPr>
              <w:t>NÃO</w:t>
            </w:r>
          </w:p>
        </w:tc>
        <w:tc>
          <w:tcPr>
            <w:tcW w:w="1463" w:type="dxa"/>
            <w:vAlign w:val="center"/>
          </w:tcPr>
          <w:p w14:paraId="33F5102D" w14:textId="77777777" w:rsidR="007C050F" w:rsidRPr="000D0D06" w:rsidRDefault="007C050F" w:rsidP="007C050F">
            <w:pPr>
              <w:jc w:val="center"/>
              <w:rPr>
                <w:noProof/>
                <w:sz w:val="20"/>
                <w:szCs w:val="20"/>
              </w:rPr>
            </w:pPr>
            <w:r w:rsidRPr="000D0D06">
              <w:rPr>
                <w:noProof/>
                <w:sz w:val="20"/>
              </w:rPr>
              <w:t>NÃO</w:t>
            </w:r>
          </w:p>
        </w:tc>
      </w:tr>
      <w:tr w:rsidR="007C050F" w:rsidRPr="000D0D06" w14:paraId="443AC60F" w14:textId="77777777">
        <w:trPr>
          <w:jc w:val="center"/>
        </w:trPr>
        <w:tc>
          <w:tcPr>
            <w:tcW w:w="1092" w:type="dxa"/>
            <w:vAlign w:val="center"/>
          </w:tcPr>
          <w:p w14:paraId="7FAE859E" w14:textId="77777777" w:rsidR="007C050F" w:rsidRPr="000D0D06" w:rsidRDefault="007C050F" w:rsidP="007C050F">
            <w:pPr>
              <w:jc w:val="center"/>
              <w:rPr>
                <w:noProof/>
                <w:color w:val="0000FF"/>
              </w:rPr>
            </w:pPr>
          </w:p>
        </w:tc>
        <w:tc>
          <w:tcPr>
            <w:tcW w:w="4002" w:type="dxa"/>
            <w:vAlign w:val="center"/>
          </w:tcPr>
          <w:p w14:paraId="6548FEF9" w14:textId="77777777" w:rsidR="007C050F" w:rsidRPr="000D0D06" w:rsidRDefault="007C050F" w:rsidP="007C050F">
            <w:pPr>
              <w:spacing w:after="60"/>
              <w:rPr>
                <w:noProof/>
              </w:rPr>
            </w:pPr>
          </w:p>
        </w:tc>
        <w:tc>
          <w:tcPr>
            <w:tcW w:w="1092" w:type="dxa"/>
            <w:vAlign w:val="center"/>
          </w:tcPr>
          <w:p w14:paraId="3C6A8AF9" w14:textId="77777777" w:rsidR="007C050F" w:rsidRPr="000D0D06" w:rsidRDefault="007C050F" w:rsidP="007C050F">
            <w:pPr>
              <w:jc w:val="center"/>
              <w:rPr>
                <w:noProof/>
                <w:color w:val="0000FF"/>
              </w:rPr>
            </w:pPr>
          </w:p>
        </w:tc>
        <w:tc>
          <w:tcPr>
            <w:tcW w:w="966" w:type="dxa"/>
            <w:vAlign w:val="center"/>
          </w:tcPr>
          <w:p w14:paraId="5E62373D" w14:textId="77777777" w:rsidR="007C050F" w:rsidRPr="000D0D06" w:rsidRDefault="007C050F" w:rsidP="007C050F">
            <w:pPr>
              <w:jc w:val="center"/>
              <w:rPr>
                <w:noProof/>
                <w:sz w:val="20"/>
                <w:szCs w:val="20"/>
              </w:rPr>
            </w:pPr>
          </w:p>
        </w:tc>
        <w:tc>
          <w:tcPr>
            <w:tcW w:w="1092" w:type="dxa"/>
            <w:vAlign w:val="center"/>
          </w:tcPr>
          <w:p w14:paraId="78EE159E" w14:textId="77777777" w:rsidR="007C050F" w:rsidRPr="000D0D06" w:rsidRDefault="007C050F" w:rsidP="007C050F">
            <w:pPr>
              <w:jc w:val="center"/>
              <w:rPr>
                <w:noProof/>
                <w:sz w:val="20"/>
                <w:szCs w:val="20"/>
              </w:rPr>
            </w:pPr>
          </w:p>
        </w:tc>
        <w:tc>
          <w:tcPr>
            <w:tcW w:w="966" w:type="dxa"/>
            <w:vAlign w:val="center"/>
          </w:tcPr>
          <w:p w14:paraId="60C05545" w14:textId="77777777" w:rsidR="007C050F" w:rsidRPr="000D0D06" w:rsidRDefault="007C050F" w:rsidP="007C050F">
            <w:pPr>
              <w:jc w:val="center"/>
              <w:rPr>
                <w:noProof/>
                <w:sz w:val="20"/>
                <w:szCs w:val="20"/>
              </w:rPr>
            </w:pPr>
          </w:p>
        </w:tc>
        <w:tc>
          <w:tcPr>
            <w:tcW w:w="1463" w:type="dxa"/>
            <w:vAlign w:val="center"/>
          </w:tcPr>
          <w:p w14:paraId="4D94101B" w14:textId="77777777" w:rsidR="007C050F" w:rsidRPr="000D0D06" w:rsidRDefault="007C050F" w:rsidP="007C050F">
            <w:pPr>
              <w:jc w:val="center"/>
              <w:rPr>
                <w:noProof/>
                <w:sz w:val="20"/>
                <w:szCs w:val="20"/>
              </w:rPr>
            </w:pPr>
          </w:p>
        </w:tc>
      </w:tr>
      <w:tr w:rsidR="007C050F" w:rsidRPr="000D0D06" w14:paraId="7869A79E" w14:textId="77777777">
        <w:trPr>
          <w:jc w:val="center"/>
        </w:trPr>
        <w:tc>
          <w:tcPr>
            <w:tcW w:w="1092" w:type="dxa"/>
            <w:vAlign w:val="center"/>
          </w:tcPr>
          <w:p w14:paraId="1DCCF6A8" w14:textId="77777777" w:rsidR="007C050F" w:rsidRPr="000D0D06" w:rsidRDefault="007C050F" w:rsidP="007C050F">
            <w:pPr>
              <w:jc w:val="center"/>
              <w:rPr>
                <w:noProof/>
                <w:color w:val="0000FF"/>
              </w:rPr>
            </w:pPr>
          </w:p>
        </w:tc>
        <w:tc>
          <w:tcPr>
            <w:tcW w:w="4002" w:type="dxa"/>
            <w:vAlign w:val="center"/>
          </w:tcPr>
          <w:p w14:paraId="5B1F5043" w14:textId="77777777" w:rsidR="007C050F" w:rsidRPr="000D0D06" w:rsidRDefault="007C050F" w:rsidP="007C050F">
            <w:pPr>
              <w:spacing w:after="60"/>
              <w:rPr>
                <w:noProof/>
              </w:rPr>
            </w:pPr>
          </w:p>
        </w:tc>
        <w:tc>
          <w:tcPr>
            <w:tcW w:w="1092" w:type="dxa"/>
            <w:vAlign w:val="center"/>
          </w:tcPr>
          <w:p w14:paraId="5B57143F" w14:textId="77777777" w:rsidR="007C050F" w:rsidRPr="000D0D06" w:rsidRDefault="007C050F" w:rsidP="007C050F">
            <w:pPr>
              <w:jc w:val="center"/>
              <w:rPr>
                <w:noProof/>
                <w:color w:val="0000FF"/>
              </w:rPr>
            </w:pPr>
          </w:p>
        </w:tc>
        <w:tc>
          <w:tcPr>
            <w:tcW w:w="966" w:type="dxa"/>
            <w:vAlign w:val="center"/>
          </w:tcPr>
          <w:p w14:paraId="36B0A308" w14:textId="77777777" w:rsidR="007C050F" w:rsidRPr="000D0D06" w:rsidRDefault="007C050F" w:rsidP="007C050F">
            <w:pPr>
              <w:jc w:val="center"/>
              <w:rPr>
                <w:noProof/>
                <w:sz w:val="20"/>
                <w:szCs w:val="20"/>
              </w:rPr>
            </w:pPr>
          </w:p>
        </w:tc>
        <w:tc>
          <w:tcPr>
            <w:tcW w:w="1092" w:type="dxa"/>
            <w:vAlign w:val="center"/>
          </w:tcPr>
          <w:p w14:paraId="316B4432" w14:textId="77777777" w:rsidR="007C050F" w:rsidRPr="000D0D06" w:rsidRDefault="007C050F" w:rsidP="007C050F">
            <w:pPr>
              <w:jc w:val="center"/>
              <w:rPr>
                <w:noProof/>
                <w:sz w:val="20"/>
                <w:szCs w:val="20"/>
              </w:rPr>
            </w:pPr>
          </w:p>
        </w:tc>
        <w:tc>
          <w:tcPr>
            <w:tcW w:w="966" w:type="dxa"/>
            <w:vAlign w:val="center"/>
          </w:tcPr>
          <w:p w14:paraId="7B240748" w14:textId="77777777" w:rsidR="007C050F" w:rsidRPr="000D0D06" w:rsidRDefault="007C050F" w:rsidP="007C050F">
            <w:pPr>
              <w:jc w:val="center"/>
              <w:rPr>
                <w:noProof/>
                <w:sz w:val="20"/>
                <w:szCs w:val="20"/>
              </w:rPr>
            </w:pPr>
          </w:p>
        </w:tc>
        <w:tc>
          <w:tcPr>
            <w:tcW w:w="1463" w:type="dxa"/>
            <w:vAlign w:val="center"/>
          </w:tcPr>
          <w:p w14:paraId="30383C2F" w14:textId="77777777" w:rsidR="007C050F" w:rsidRPr="000D0D06" w:rsidRDefault="007C050F" w:rsidP="007C050F">
            <w:pPr>
              <w:jc w:val="center"/>
              <w:rPr>
                <w:noProof/>
                <w:sz w:val="20"/>
                <w:szCs w:val="20"/>
              </w:rPr>
            </w:pPr>
          </w:p>
        </w:tc>
      </w:tr>
    </w:tbl>
    <w:p w14:paraId="085062B8" w14:textId="77777777" w:rsidR="007C050F" w:rsidRPr="000D0D06" w:rsidRDefault="007C050F" w:rsidP="007C050F">
      <w:pPr>
        <w:tabs>
          <w:tab w:val="num" w:pos="1134"/>
        </w:tabs>
        <w:ind w:left="1134" w:hanging="283"/>
        <w:rPr>
          <w:rFonts w:eastAsia="Times New Roman"/>
          <w:noProof/>
        </w:rPr>
      </w:pPr>
      <w:r w:rsidRPr="000D0D06">
        <w:rPr>
          <w:noProof/>
        </w:rPr>
        <w:t xml:space="preserve">Novas rubricas orçamentais, cuja criação é solicitada </w:t>
      </w:r>
    </w:p>
    <w:p w14:paraId="0EE7EC50" w14:textId="77777777" w:rsidR="007C050F" w:rsidRPr="000D0D06" w:rsidRDefault="001936FC" w:rsidP="001936FC">
      <w:pPr>
        <w:pStyle w:val="ManualNumPar1"/>
        <w:rPr>
          <w:noProof/>
          <w:sz w:val="20"/>
        </w:rPr>
      </w:pPr>
      <w:r w:rsidRPr="000D0D06">
        <w:rPr>
          <w:noProof/>
        </w:rPr>
        <w:t>16.</w:t>
      </w:r>
      <w:r w:rsidRPr="000D0D06">
        <w:rPr>
          <w:noProof/>
        </w:rPr>
        <w:tab/>
      </w:r>
      <w:r w:rsidRPr="000D0D06">
        <w:rPr>
          <w:noProof/>
          <w:u w:val="single"/>
        </w:rPr>
        <w:t>Segundo a ordem</w:t>
      </w:r>
      <w:r w:rsidRPr="000D0D06">
        <w:rPr>
          <w:noProof/>
        </w:rPr>
        <w:t xml:space="preserve"> das rubricas do quadro financeiro plurianual e das rubricas orçamentais correspondentes.</w:t>
      </w: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4002"/>
        <w:gridCol w:w="1092"/>
        <w:gridCol w:w="966"/>
        <w:gridCol w:w="1092"/>
        <w:gridCol w:w="966"/>
        <w:gridCol w:w="1463"/>
      </w:tblGrid>
      <w:tr w:rsidR="007C050F" w:rsidRPr="000D0D06" w14:paraId="6AAF13D6" w14:textId="77777777">
        <w:trPr>
          <w:jc w:val="center"/>
        </w:trPr>
        <w:tc>
          <w:tcPr>
            <w:tcW w:w="1080" w:type="dxa"/>
            <w:vMerge w:val="restart"/>
            <w:vAlign w:val="center"/>
          </w:tcPr>
          <w:p w14:paraId="726166C4" w14:textId="77777777" w:rsidR="007C050F" w:rsidRPr="000D0D06" w:rsidRDefault="007C050F" w:rsidP="007C050F">
            <w:pPr>
              <w:spacing w:before="60" w:after="60"/>
              <w:jc w:val="center"/>
              <w:rPr>
                <w:noProof/>
                <w:sz w:val="18"/>
                <w:szCs w:val="18"/>
              </w:rPr>
            </w:pPr>
            <w:r w:rsidRPr="000D0D06">
              <w:rPr>
                <w:noProof/>
                <w:sz w:val="18"/>
              </w:rPr>
              <w:t>Rubrica do quadro financeiro plurianual</w:t>
            </w:r>
          </w:p>
        </w:tc>
        <w:tc>
          <w:tcPr>
            <w:tcW w:w="3960" w:type="dxa"/>
            <w:vAlign w:val="center"/>
          </w:tcPr>
          <w:p w14:paraId="1DB065C4" w14:textId="77777777" w:rsidR="007C050F" w:rsidRPr="000D0D06" w:rsidRDefault="007C050F" w:rsidP="007C050F">
            <w:pPr>
              <w:spacing w:before="60" w:after="60"/>
              <w:jc w:val="center"/>
              <w:rPr>
                <w:noProof/>
              </w:rPr>
            </w:pPr>
            <w:r w:rsidRPr="000D0D06">
              <w:rPr>
                <w:noProof/>
                <w:sz w:val="20"/>
              </w:rPr>
              <w:t>Rubrica orçamental</w:t>
            </w:r>
          </w:p>
        </w:tc>
        <w:tc>
          <w:tcPr>
            <w:tcW w:w="1080" w:type="dxa"/>
            <w:vAlign w:val="center"/>
          </w:tcPr>
          <w:p w14:paraId="133CCDB9" w14:textId="77777777" w:rsidR="007C050F" w:rsidRPr="000D0D06" w:rsidRDefault="007C050F" w:rsidP="007C050F">
            <w:pPr>
              <w:spacing w:before="60" w:after="60"/>
              <w:jc w:val="center"/>
              <w:rPr>
                <w:noProof/>
              </w:rPr>
            </w:pPr>
            <w:r w:rsidRPr="000D0D06">
              <w:rPr>
                <w:noProof/>
                <w:sz w:val="18"/>
              </w:rPr>
              <w:t>Natureza das despesas</w:t>
            </w:r>
          </w:p>
        </w:tc>
        <w:tc>
          <w:tcPr>
            <w:tcW w:w="4440" w:type="dxa"/>
            <w:gridSpan w:val="4"/>
            <w:vAlign w:val="center"/>
          </w:tcPr>
          <w:p w14:paraId="1EACEA8E" w14:textId="77777777" w:rsidR="007C050F" w:rsidRPr="000D0D06" w:rsidRDefault="007C050F" w:rsidP="007C050F">
            <w:pPr>
              <w:spacing w:before="60" w:after="60"/>
              <w:jc w:val="center"/>
              <w:rPr>
                <w:noProof/>
              </w:rPr>
            </w:pPr>
            <w:r w:rsidRPr="000D0D06">
              <w:rPr>
                <w:noProof/>
                <w:sz w:val="20"/>
              </w:rPr>
              <w:t xml:space="preserve">Participação </w:t>
            </w:r>
          </w:p>
        </w:tc>
      </w:tr>
      <w:tr w:rsidR="007C050F" w:rsidRPr="000D0D06" w14:paraId="047E4E08" w14:textId="77777777">
        <w:trPr>
          <w:cantSplit/>
          <w:jc w:val="center"/>
        </w:trPr>
        <w:tc>
          <w:tcPr>
            <w:tcW w:w="1080" w:type="dxa"/>
            <w:vMerge/>
            <w:vAlign w:val="center"/>
          </w:tcPr>
          <w:p w14:paraId="5998F92B" w14:textId="77777777" w:rsidR="007C050F" w:rsidRPr="000D0D06" w:rsidRDefault="007C050F" w:rsidP="007C050F">
            <w:pPr>
              <w:jc w:val="center"/>
              <w:rPr>
                <w:noProof/>
              </w:rPr>
            </w:pPr>
          </w:p>
        </w:tc>
        <w:tc>
          <w:tcPr>
            <w:tcW w:w="3960" w:type="dxa"/>
            <w:vAlign w:val="center"/>
          </w:tcPr>
          <w:p w14:paraId="5C9BCD32" w14:textId="78A1433D" w:rsidR="007C050F" w:rsidRPr="000D0D06" w:rsidRDefault="007C050F" w:rsidP="007C050F">
            <w:pPr>
              <w:rPr>
                <w:noProof/>
              </w:rPr>
            </w:pPr>
            <w:r w:rsidRPr="000D0D06">
              <w:rPr>
                <w:noProof/>
                <w:sz w:val="20"/>
              </w:rPr>
              <w:t>Número</w:t>
            </w:r>
            <w:r w:rsidRPr="000D0D06">
              <w:rPr>
                <w:noProof/>
              </w:rPr>
              <w:br/>
            </w:r>
          </w:p>
        </w:tc>
        <w:tc>
          <w:tcPr>
            <w:tcW w:w="1080" w:type="dxa"/>
            <w:vAlign w:val="center"/>
          </w:tcPr>
          <w:p w14:paraId="601BEA8D" w14:textId="77777777" w:rsidR="007C050F" w:rsidRPr="000D0D06" w:rsidRDefault="007C050F" w:rsidP="007C050F">
            <w:pPr>
              <w:jc w:val="center"/>
              <w:rPr>
                <w:noProof/>
              </w:rPr>
            </w:pPr>
            <w:r w:rsidRPr="000D0D06">
              <w:rPr>
                <w:noProof/>
                <w:sz w:val="18"/>
              </w:rPr>
              <w:t>DD/DND</w:t>
            </w:r>
          </w:p>
        </w:tc>
        <w:tc>
          <w:tcPr>
            <w:tcW w:w="956" w:type="dxa"/>
            <w:vAlign w:val="center"/>
          </w:tcPr>
          <w:p w14:paraId="2A0218F0" w14:textId="77777777" w:rsidR="007C050F" w:rsidRPr="000D0D06" w:rsidRDefault="007C050F" w:rsidP="007C050F">
            <w:pPr>
              <w:jc w:val="center"/>
              <w:rPr>
                <w:noProof/>
                <w:sz w:val="18"/>
              </w:rPr>
            </w:pPr>
            <w:r w:rsidRPr="000D0D06">
              <w:rPr>
                <w:noProof/>
                <w:sz w:val="18"/>
              </w:rPr>
              <w:t>de países da EFTA</w:t>
            </w:r>
          </w:p>
        </w:tc>
        <w:tc>
          <w:tcPr>
            <w:tcW w:w="1080" w:type="dxa"/>
            <w:vAlign w:val="center"/>
          </w:tcPr>
          <w:p w14:paraId="2D837060" w14:textId="77777777" w:rsidR="007C050F" w:rsidRPr="000D0D06" w:rsidRDefault="007C050F" w:rsidP="007C050F">
            <w:pPr>
              <w:jc w:val="center"/>
              <w:rPr>
                <w:noProof/>
                <w:sz w:val="18"/>
              </w:rPr>
            </w:pPr>
            <w:r w:rsidRPr="000D0D06">
              <w:rPr>
                <w:noProof/>
                <w:sz w:val="18"/>
              </w:rPr>
              <w:t>de países candidatos e candidatos potenciais</w:t>
            </w:r>
          </w:p>
        </w:tc>
        <w:tc>
          <w:tcPr>
            <w:tcW w:w="956" w:type="dxa"/>
            <w:vAlign w:val="center"/>
          </w:tcPr>
          <w:p w14:paraId="267AEDC4" w14:textId="77777777" w:rsidR="007C050F" w:rsidRPr="000D0D06" w:rsidRDefault="007C050F" w:rsidP="007C050F">
            <w:pPr>
              <w:jc w:val="center"/>
              <w:rPr>
                <w:noProof/>
                <w:sz w:val="18"/>
              </w:rPr>
            </w:pPr>
            <w:r w:rsidRPr="000D0D06">
              <w:rPr>
                <w:noProof/>
                <w:sz w:val="18"/>
              </w:rPr>
              <w:t>de outros países terceiros</w:t>
            </w:r>
          </w:p>
        </w:tc>
        <w:tc>
          <w:tcPr>
            <w:tcW w:w="1448" w:type="dxa"/>
            <w:vAlign w:val="center"/>
          </w:tcPr>
          <w:p w14:paraId="55003857" w14:textId="77777777" w:rsidR="007C050F" w:rsidRPr="000D0D06" w:rsidRDefault="007C050F" w:rsidP="007C050F">
            <w:pPr>
              <w:jc w:val="center"/>
              <w:rPr>
                <w:noProof/>
              </w:rPr>
            </w:pPr>
            <w:r w:rsidRPr="000D0D06">
              <w:rPr>
                <w:noProof/>
                <w:sz w:val="18"/>
              </w:rPr>
              <w:t xml:space="preserve">outras receitas afetadas </w:t>
            </w:r>
          </w:p>
        </w:tc>
      </w:tr>
      <w:tr w:rsidR="007C050F" w:rsidRPr="000D0D06" w14:paraId="253E0F42" w14:textId="77777777">
        <w:trPr>
          <w:cantSplit/>
          <w:jc w:val="center"/>
        </w:trPr>
        <w:tc>
          <w:tcPr>
            <w:tcW w:w="1080" w:type="dxa"/>
            <w:vAlign w:val="center"/>
          </w:tcPr>
          <w:p w14:paraId="7C843602" w14:textId="77777777" w:rsidR="007C050F" w:rsidRPr="000D0D06" w:rsidRDefault="007C050F" w:rsidP="007C050F">
            <w:pPr>
              <w:jc w:val="center"/>
              <w:rPr>
                <w:noProof/>
                <w:color w:val="0000FF"/>
              </w:rPr>
            </w:pPr>
          </w:p>
        </w:tc>
        <w:tc>
          <w:tcPr>
            <w:tcW w:w="3960" w:type="dxa"/>
            <w:vAlign w:val="center"/>
          </w:tcPr>
          <w:p w14:paraId="7718F843" w14:textId="77777777" w:rsidR="007C050F" w:rsidRPr="000D0D06" w:rsidRDefault="007C050F" w:rsidP="007C050F">
            <w:pPr>
              <w:spacing w:after="60"/>
              <w:rPr>
                <w:noProof/>
              </w:rPr>
            </w:pPr>
          </w:p>
        </w:tc>
        <w:tc>
          <w:tcPr>
            <w:tcW w:w="1080" w:type="dxa"/>
            <w:vAlign w:val="center"/>
          </w:tcPr>
          <w:p w14:paraId="13F92731" w14:textId="77777777" w:rsidR="007C050F" w:rsidRPr="000D0D06" w:rsidRDefault="007C050F" w:rsidP="007C050F">
            <w:pPr>
              <w:jc w:val="center"/>
              <w:rPr>
                <w:noProof/>
                <w:color w:val="0000FF"/>
              </w:rPr>
            </w:pPr>
          </w:p>
        </w:tc>
        <w:tc>
          <w:tcPr>
            <w:tcW w:w="956" w:type="dxa"/>
            <w:vAlign w:val="center"/>
          </w:tcPr>
          <w:p w14:paraId="58613839" w14:textId="77777777" w:rsidR="007C050F" w:rsidRPr="000D0D06" w:rsidRDefault="007C050F" w:rsidP="007C050F">
            <w:pPr>
              <w:jc w:val="center"/>
              <w:rPr>
                <w:noProof/>
                <w:sz w:val="20"/>
                <w:szCs w:val="20"/>
              </w:rPr>
            </w:pPr>
          </w:p>
        </w:tc>
        <w:tc>
          <w:tcPr>
            <w:tcW w:w="1080" w:type="dxa"/>
            <w:vAlign w:val="center"/>
          </w:tcPr>
          <w:p w14:paraId="24B6D01B" w14:textId="77777777" w:rsidR="007C050F" w:rsidRPr="000D0D06" w:rsidRDefault="007C050F" w:rsidP="007C050F">
            <w:pPr>
              <w:jc w:val="center"/>
              <w:rPr>
                <w:noProof/>
                <w:sz w:val="20"/>
                <w:szCs w:val="20"/>
              </w:rPr>
            </w:pPr>
          </w:p>
        </w:tc>
        <w:tc>
          <w:tcPr>
            <w:tcW w:w="956" w:type="dxa"/>
            <w:vAlign w:val="center"/>
          </w:tcPr>
          <w:p w14:paraId="145A56C8" w14:textId="77777777" w:rsidR="007C050F" w:rsidRPr="000D0D06" w:rsidRDefault="007C050F" w:rsidP="007C050F">
            <w:pPr>
              <w:jc w:val="center"/>
              <w:rPr>
                <w:noProof/>
                <w:sz w:val="20"/>
                <w:szCs w:val="20"/>
              </w:rPr>
            </w:pPr>
          </w:p>
        </w:tc>
        <w:tc>
          <w:tcPr>
            <w:tcW w:w="1448" w:type="dxa"/>
            <w:vAlign w:val="center"/>
          </w:tcPr>
          <w:p w14:paraId="68BFE842" w14:textId="77777777" w:rsidR="007C050F" w:rsidRPr="000D0D06" w:rsidRDefault="007C050F" w:rsidP="007C050F">
            <w:pPr>
              <w:jc w:val="center"/>
              <w:rPr>
                <w:noProof/>
                <w:sz w:val="20"/>
                <w:szCs w:val="20"/>
              </w:rPr>
            </w:pPr>
          </w:p>
        </w:tc>
      </w:tr>
      <w:tr w:rsidR="007C050F" w:rsidRPr="000D0D06" w14:paraId="0156DF65" w14:textId="77777777">
        <w:trPr>
          <w:cantSplit/>
          <w:jc w:val="center"/>
        </w:trPr>
        <w:tc>
          <w:tcPr>
            <w:tcW w:w="1080" w:type="dxa"/>
            <w:vAlign w:val="center"/>
          </w:tcPr>
          <w:p w14:paraId="58DC244D" w14:textId="77777777" w:rsidR="007C050F" w:rsidRPr="000D0D06" w:rsidRDefault="007C050F" w:rsidP="007C050F">
            <w:pPr>
              <w:jc w:val="center"/>
              <w:rPr>
                <w:noProof/>
                <w:color w:val="0000FF"/>
              </w:rPr>
            </w:pPr>
          </w:p>
        </w:tc>
        <w:tc>
          <w:tcPr>
            <w:tcW w:w="3960" w:type="dxa"/>
            <w:vAlign w:val="center"/>
          </w:tcPr>
          <w:p w14:paraId="10698933" w14:textId="77777777" w:rsidR="007C050F" w:rsidRPr="000D0D06" w:rsidRDefault="007C050F" w:rsidP="007C050F">
            <w:pPr>
              <w:spacing w:after="60"/>
              <w:rPr>
                <w:noProof/>
              </w:rPr>
            </w:pPr>
          </w:p>
        </w:tc>
        <w:tc>
          <w:tcPr>
            <w:tcW w:w="1080" w:type="dxa"/>
            <w:vAlign w:val="center"/>
          </w:tcPr>
          <w:p w14:paraId="3BC11A3B" w14:textId="77777777" w:rsidR="007C050F" w:rsidRPr="000D0D06" w:rsidRDefault="007C050F" w:rsidP="007C050F">
            <w:pPr>
              <w:jc w:val="center"/>
              <w:rPr>
                <w:noProof/>
                <w:color w:val="0000FF"/>
              </w:rPr>
            </w:pPr>
          </w:p>
        </w:tc>
        <w:tc>
          <w:tcPr>
            <w:tcW w:w="956" w:type="dxa"/>
            <w:vAlign w:val="center"/>
          </w:tcPr>
          <w:p w14:paraId="7A1825D1" w14:textId="77777777" w:rsidR="007C050F" w:rsidRPr="000D0D06" w:rsidRDefault="007C050F" w:rsidP="007C050F">
            <w:pPr>
              <w:jc w:val="center"/>
              <w:rPr>
                <w:noProof/>
                <w:sz w:val="20"/>
                <w:szCs w:val="20"/>
              </w:rPr>
            </w:pPr>
          </w:p>
        </w:tc>
        <w:tc>
          <w:tcPr>
            <w:tcW w:w="1080" w:type="dxa"/>
            <w:vAlign w:val="center"/>
          </w:tcPr>
          <w:p w14:paraId="0B6FC1B5" w14:textId="77777777" w:rsidR="007C050F" w:rsidRPr="000D0D06" w:rsidRDefault="007C050F" w:rsidP="007C050F">
            <w:pPr>
              <w:jc w:val="center"/>
              <w:rPr>
                <w:noProof/>
                <w:sz w:val="20"/>
                <w:szCs w:val="20"/>
              </w:rPr>
            </w:pPr>
          </w:p>
        </w:tc>
        <w:tc>
          <w:tcPr>
            <w:tcW w:w="956" w:type="dxa"/>
            <w:vAlign w:val="center"/>
          </w:tcPr>
          <w:p w14:paraId="5966FD1E" w14:textId="77777777" w:rsidR="007C050F" w:rsidRPr="000D0D06" w:rsidRDefault="007C050F" w:rsidP="007C050F">
            <w:pPr>
              <w:jc w:val="center"/>
              <w:rPr>
                <w:noProof/>
                <w:sz w:val="20"/>
                <w:szCs w:val="20"/>
              </w:rPr>
            </w:pPr>
          </w:p>
        </w:tc>
        <w:tc>
          <w:tcPr>
            <w:tcW w:w="1448" w:type="dxa"/>
            <w:vAlign w:val="center"/>
          </w:tcPr>
          <w:p w14:paraId="5F0942DC" w14:textId="77777777" w:rsidR="007C050F" w:rsidRPr="000D0D06" w:rsidRDefault="007C050F" w:rsidP="007C050F">
            <w:pPr>
              <w:jc w:val="center"/>
              <w:rPr>
                <w:noProof/>
                <w:sz w:val="20"/>
                <w:szCs w:val="20"/>
              </w:rPr>
            </w:pPr>
          </w:p>
        </w:tc>
      </w:tr>
      <w:tr w:rsidR="007C050F" w:rsidRPr="000D0D06" w14:paraId="3A562397" w14:textId="77777777">
        <w:trPr>
          <w:jc w:val="center"/>
        </w:trPr>
        <w:tc>
          <w:tcPr>
            <w:tcW w:w="1080" w:type="dxa"/>
            <w:vAlign w:val="center"/>
          </w:tcPr>
          <w:p w14:paraId="7CC4E7A0" w14:textId="77777777" w:rsidR="007C050F" w:rsidRPr="000D0D06" w:rsidRDefault="007C050F" w:rsidP="007C050F">
            <w:pPr>
              <w:jc w:val="center"/>
              <w:rPr>
                <w:noProof/>
                <w:color w:val="0000FF"/>
              </w:rPr>
            </w:pPr>
          </w:p>
        </w:tc>
        <w:tc>
          <w:tcPr>
            <w:tcW w:w="3960" w:type="dxa"/>
            <w:vAlign w:val="center"/>
          </w:tcPr>
          <w:p w14:paraId="28F6DF56" w14:textId="77777777" w:rsidR="007C050F" w:rsidRPr="000D0D06" w:rsidRDefault="007C050F" w:rsidP="007C050F">
            <w:pPr>
              <w:spacing w:after="60"/>
              <w:rPr>
                <w:noProof/>
                <w:color w:val="0000FF"/>
              </w:rPr>
            </w:pPr>
          </w:p>
        </w:tc>
        <w:tc>
          <w:tcPr>
            <w:tcW w:w="1080" w:type="dxa"/>
            <w:vAlign w:val="center"/>
          </w:tcPr>
          <w:p w14:paraId="21E2AF26" w14:textId="77777777" w:rsidR="007C050F" w:rsidRPr="000D0D06" w:rsidRDefault="007C050F" w:rsidP="007C050F">
            <w:pPr>
              <w:jc w:val="center"/>
              <w:rPr>
                <w:noProof/>
                <w:color w:val="0000FF"/>
              </w:rPr>
            </w:pPr>
          </w:p>
        </w:tc>
        <w:tc>
          <w:tcPr>
            <w:tcW w:w="956" w:type="dxa"/>
            <w:vAlign w:val="center"/>
          </w:tcPr>
          <w:p w14:paraId="10661488" w14:textId="77777777" w:rsidR="007C050F" w:rsidRPr="000D0D06" w:rsidRDefault="007C050F" w:rsidP="007C050F">
            <w:pPr>
              <w:jc w:val="center"/>
              <w:rPr>
                <w:noProof/>
                <w:sz w:val="20"/>
                <w:szCs w:val="20"/>
              </w:rPr>
            </w:pPr>
          </w:p>
        </w:tc>
        <w:tc>
          <w:tcPr>
            <w:tcW w:w="1080" w:type="dxa"/>
            <w:vAlign w:val="center"/>
          </w:tcPr>
          <w:p w14:paraId="372E6313" w14:textId="77777777" w:rsidR="007C050F" w:rsidRPr="000D0D06" w:rsidRDefault="007C050F" w:rsidP="007C050F">
            <w:pPr>
              <w:jc w:val="center"/>
              <w:rPr>
                <w:noProof/>
                <w:color w:val="0000FF"/>
                <w:sz w:val="20"/>
                <w:szCs w:val="20"/>
              </w:rPr>
            </w:pPr>
          </w:p>
        </w:tc>
        <w:tc>
          <w:tcPr>
            <w:tcW w:w="956" w:type="dxa"/>
            <w:vAlign w:val="center"/>
          </w:tcPr>
          <w:p w14:paraId="099B9630" w14:textId="77777777" w:rsidR="007C050F" w:rsidRPr="000D0D06" w:rsidRDefault="007C050F" w:rsidP="007C050F">
            <w:pPr>
              <w:jc w:val="center"/>
              <w:rPr>
                <w:noProof/>
                <w:color w:val="0000FF"/>
                <w:sz w:val="20"/>
                <w:szCs w:val="20"/>
              </w:rPr>
            </w:pPr>
          </w:p>
        </w:tc>
        <w:tc>
          <w:tcPr>
            <w:tcW w:w="1448" w:type="dxa"/>
            <w:vAlign w:val="center"/>
          </w:tcPr>
          <w:p w14:paraId="30DD7173" w14:textId="77777777" w:rsidR="007C050F" w:rsidRPr="000D0D06" w:rsidRDefault="007C050F" w:rsidP="007C050F">
            <w:pPr>
              <w:jc w:val="center"/>
              <w:rPr>
                <w:noProof/>
                <w:sz w:val="20"/>
                <w:szCs w:val="20"/>
              </w:rPr>
            </w:pPr>
          </w:p>
        </w:tc>
      </w:tr>
    </w:tbl>
    <w:p w14:paraId="15A03764" w14:textId="77777777" w:rsidR="007C050F" w:rsidRPr="000D0D06" w:rsidRDefault="007C050F" w:rsidP="007C050F">
      <w:pPr>
        <w:rPr>
          <w:noProof/>
        </w:rPr>
        <w:sectPr w:rsidR="007C050F" w:rsidRPr="000D0D06" w:rsidSect="00053915">
          <w:pgSz w:w="11907" w:h="16840" w:code="1"/>
          <w:pgMar w:top="1134" w:right="1418" w:bottom="1134" w:left="1418" w:header="709" w:footer="709" w:gutter="0"/>
          <w:cols w:space="708"/>
          <w:docGrid w:linePitch="360"/>
        </w:sectPr>
      </w:pPr>
    </w:p>
    <w:p w14:paraId="3E79C182" w14:textId="77777777" w:rsidR="007C050F" w:rsidRPr="000D0D06" w:rsidRDefault="001936FC" w:rsidP="001936FC">
      <w:pPr>
        <w:pStyle w:val="ManualHeading2"/>
        <w:rPr>
          <w:noProof/>
          <w:szCs w:val="24"/>
        </w:rPr>
      </w:pPr>
      <w:r w:rsidRPr="000D0D06">
        <w:rPr>
          <w:noProof/>
        </w:rPr>
        <w:t>3.2.</w:t>
      </w:r>
      <w:r w:rsidRPr="000D0D06">
        <w:rPr>
          <w:noProof/>
        </w:rPr>
        <w:tab/>
        <w:t xml:space="preserve">Impacto financeiro estimado da proposta nas dotações </w:t>
      </w:r>
    </w:p>
    <w:p w14:paraId="60016B52" w14:textId="77777777" w:rsidR="007C050F" w:rsidRPr="000D0D06" w:rsidRDefault="001936FC" w:rsidP="001936FC">
      <w:pPr>
        <w:pStyle w:val="ManualHeading3"/>
        <w:rPr>
          <w:noProof/>
        </w:rPr>
      </w:pPr>
      <w:r w:rsidRPr="000D0D06">
        <w:rPr>
          <w:noProof/>
        </w:rPr>
        <w:t>3.2.1.</w:t>
      </w:r>
      <w:r w:rsidRPr="000D0D06">
        <w:rPr>
          <w:noProof/>
        </w:rPr>
        <w:tab/>
        <w:t xml:space="preserve">Síntese do impacto estimado nas dotações operacionais </w:t>
      </w:r>
    </w:p>
    <w:p w14:paraId="317F137D" w14:textId="77777777" w:rsidR="007C050F" w:rsidRPr="000D0D06" w:rsidRDefault="007C050F" w:rsidP="007C050F">
      <w:pPr>
        <w:tabs>
          <w:tab w:val="num" w:pos="1134"/>
        </w:tabs>
        <w:ind w:left="1134" w:hanging="283"/>
        <w:rPr>
          <w:rFonts w:eastAsia="Times New Roman"/>
          <w:noProof/>
        </w:rPr>
      </w:pPr>
      <w:r w:rsidRPr="000D0D06">
        <w:rPr>
          <w:rFonts w:ascii="Wingdings" w:hAnsi="Wingdings"/>
          <w:noProof/>
        </w:rPr>
        <w:t></w:t>
      </w:r>
      <w:r w:rsidRPr="000D0D06">
        <w:rPr>
          <w:noProof/>
        </w:rPr>
        <w:tab/>
        <w:t xml:space="preserve">A proposta / iniciativa não acarreta a utilização de dotações operacionais </w:t>
      </w:r>
    </w:p>
    <w:p w14:paraId="731B6F0F" w14:textId="77777777" w:rsidR="007C050F" w:rsidRPr="000D0D06" w:rsidRDefault="007C050F" w:rsidP="007C050F">
      <w:pPr>
        <w:tabs>
          <w:tab w:val="num" w:pos="1134"/>
        </w:tabs>
        <w:ind w:left="1134" w:hanging="283"/>
        <w:rPr>
          <w:rFonts w:eastAsia="Times New Roman"/>
          <w:noProof/>
        </w:rPr>
      </w:pPr>
      <w:r w:rsidRPr="000D0D06">
        <w:rPr>
          <w:rFonts w:ascii="Wingdings" w:hAnsi="Wingdings"/>
          <w:noProof/>
        </w:rPr>
        <w:t></w:t>
      </w:r>
      <w:r w:rsidRPr="000D0D06">
        <w:rPr>
          <w:noProof/>
        </w:rPr>
        <w:tab/>
        <w:t>A proposta / iniciativa acarreta a utilização de dotações operacionais, como se explica seguidamente</w:t>
      </w:r>
    </w:p>
    <w:p w14:paraId="7E808BAE" w14:textId="77777777" w:rsidR="007C050F" w:rsidRPr="000D0D06" w:rsidRDefault="001936FC" w:rsidP="001936FC">
      <w:pPr>
        <w:pStyle w:val="ManualHeading4"/>
        <w:rPr>
          <w:iCs/>
          <w:noProof/>
        </w:rPr>
      </w:pPr>
      <w:r w:rsidRPr="000D0D06">
        <w:rPr>
          <w:noProof/>
        </w:rPr>
        <w:t>3.2.1.1.</w:t>
      </w:r>
      <w:r w:rsidRPr="000D0D06">
        <w:rPr>
          <w:noProof/>
        </w:rPr>
        <w:tab/>
        <w:t>Dotações provenientes do orçamento votado</w:t>
      </w:r>
    </w:p>
    <w:p w14:paraId="247B8E85" w14:textId="77777777" w:rsidR="007C050F" w:rsidRPr="000D0D06" w:rsidRDefault="007C050F" w:rsidP="007C050F">
      <w:pPr>
        <w:jc w:val="right"/>
        <w:rPr>
          <w:noProof/>
          <w:sz w:val="18"/>
          <w:szCs w:val="18"/>
        </w:rPr>
      </w:pPr>
      <w:r w:rsidRPr="000D0D06">
        <w:rPr>
          <w:noProof/>
          <w:sz w:val="18"/>
        </w:rPr>
        <w:t>Em milhões de EUR (três casas decimais)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7C050F" w:rsidRPr="000D0D06" w14:paraId="3E000E41" w14:textId="77777777">
        <w:tc>
          <w:tcPr>
            <w:tcW w:w="1739" w:type="pct"/>
            <w:shd w:val="thinDiagStripe" w:color="C0C0C0" w:fill="auto"/>
            <w:vAlign w:val="center"/>
          </w:tcPr>
          <w:p w14:paraId="331744FB" w14:textId="77777777" w:rsidR="007C050F" w:rsidRPr="000D0D06" w:rsidRDefault="007C050F" w:rsidP="007C050F">
            <w:pPr>
              <w:spacing w:before="60" w:after="60"/>
              <w:jc w:val="center"/>
              <w:rPr>
                <w:b/>
                <w:noProof/>
              </w:rPr>
            </w:pPr>
            <w:r w:rsidRPr="000D0D06">
              <w:rPr>
                <w:b/>
                <w:noProof/>
                <w:sz w:val="22"/>
              </w:rPr>
              <w:t xml:space="preserve">Rubrica do quadro financeiro plurianual </w:t>
            </w:r>
          </w:p>
        </w:tc>
        <w:tc>
          <w:tcPr>
            <w:tcW w:w="396" w:type="pct"/>
            <w:vAlign w:val="center"/>
          </w:tcPr>
          <w:p w14:paraId="1EBE21A9" w14:textId="77777777" w:rsidR="007C050F" w:rsidRPr="000D0D06" w:rsidRDefault="007C050F" w:rsidP="007C050F">
            <w:pPr>
              <w:spacing w:before="60" w:after="60"/>
              <w:jc w:val="center"/>
              <w:rPr>
                <w:noProof/>
              </w:rPr>
            </w:pPr>
            <w:r w:rsidRPr="000D0D06">
              <w:rPr>
                <w:noProof/>
                <w:sz w:val="22"/>
              </w:rPr>
              <w:t>Número</w:t>
            </w:r>
          </w:p>
        </w:tc>
        <w:tc>
          <w:tcPr>
            <w:tcW w:w="2865" w:type="pct"/>
            <w:vAlign w:val="center"/>
          </w:tcPr>
          <w:p w14:paraId="7F1E0704" w14:textId="77777777" w:rsidR="007C050F" w:rsidRPr="000D0D06" w:rsidRDefault="007C050F" w:rsidP="007C050F">
            <w:pPr>
              <w:spacing w:before="60" w:after="60"/>
              <w:rPr>
                <w:noProof/>
              </w:rPr>
            </w:pPr>
          </w:p>
        </w:tc>
      </w:tr>
    </w:tbl>
    <w:p w14:paraId="232F9960" w14:textId="77777777" w:rsidR="007C050F" w:rsidRPr="000D0D06" w:rsidRDefault="007C050F" w:rsidP="007C050F">
      <w:pPr>
        <w:rPr>
          <w:noProof/>
          <w:sz w:val="16"/>
        </w:rPr>
      </w:pPr>
    </w:p>
    <w:tbl>
      <w:tblPr>
        <w:tblW w:w="5000" w:type="pct"/>
        <w:tblLook w:val="04A0" w:firstRow="1" w:lastRow="0" w:firstColumn="1" w:lastColumn="0" w:noHBand="0" w:noVBand="1"/>
      </w:tblPr>
      <w:tblGrid>
        <w:gridCol w:w="4035"/>
        <w:gridCol w:w="1504"/>
        <w:gridCol w:w="1411"/>
        <w:gridCol w:w="1411"/>
        <w:gridCol w:w="1411"/>
        <w:gridCol w:w="1411"/>
        <w:gridCol w:w="1359"/>
        <w:gridCol w:w="1678"/>
      </w:tblGrid>
      <w:tr w:rsidR="007C050F" w:rsidRPr="000D0D06" w14:paraId="3398040D" w14:textId="77777777">
        <w:trPr>
          <w:trHeight w:val="420"/>
        </w:trPr>
        <w:tc>
          <w:tcPr>
            <w:tcW w:w="2444" w:type="pct"/>
            <w:gridSpan w:val="3"/>
            <w:vMerge w:val="restart"/>
            <w:tcBorders>
              <w:top w:val="single" w:sz="8" w:space="0" w:color="auto"/>
              <w:left w:val="single" w:sz="8" w:space="0" w:color="auto"/>
              <w:bottom w:val="single" w:sz="8" w:space="0" w:color="auto"/>
              <w:right w:val="single" w:sz="8" w:space="0" w:color="auto"/>
            </w:tcBorders>
            <w:vAlign w:val="center"/>
            <w:hideMark/>
          </w:tcPr>
          <w:p w14:paraId="741BAF78" w14:textId="77777777" w:rsidR="007C050F" w:rsidRPr="000D0D06" w:rsidRDefault="007C050F" w:rsidP="007C050F">
            <w:pPr>
              <w:spacing w:before="0" w:after="0"/>
              <w:jc w:val="center"/>
              <w:rPr>
                <w:noProof/>
                <w:color w:val="000000"/>
                <w:sz w:val="22"/>
              </w:rPr>
            </w:pPr>
            <w:r w:rsidRPr="000D0D06">
              <w:rPr>
                <w:noProof/>
                <w:color w:val="000000"/>
                <w:sz w:val="22"/>
              </w:rPr>
              <w:t>DG: &lt;…….&gt;</w:t>
            </w:r>
          </w:p>
        </w:tc>
        <w:tc>
          <w:tcPr>
            <w:tcW w:w="496" w:type="pct"/>
            <w:tcBorders>
              <w:top w:val="single" w:sz="8" w:space="0" w:color="auto"/>
              <w:left w:val="nil"/>
              <w:bottom w:val="single" w:sz="8" w:space="0" w:color="auto"/>
              <w:right w:val="single" w:sz="8" w:space="0" w:color="auto"/>
            </w:tcBorders>
            <w:vAlign w:val="center"/>
            <w:hideMark/>
          </w:tcPr>
          <w:p w14:paraId="65278641" w14:textId="77777777" w:rsidR="007C050F" w:rsidRPr="000D0D06" w:rsidRDefault="007C050F" w:rsidP="007C050F">
            <w:pPr>
              <w:spacing w:before="0" w:after="0"/>
              <w:jc w:val="center"/>
              <w:rPr>
                <w:noProof/>
                <w:color w:val="000000"/>
                <w:sz w:val="20"/>
                <w:szCs w:val="20"/>
              </w:rPr>
            </w:pPr>
            <w:r w:rsidRPr="000D0D06">
              <w:rPr>
                <w:noProof/>
                <w:color w:val="000000"/>
                <w:sz w:val="20"/>
              </w:rPr>
              <w:t>Ano</w:t>
            </w:r>
          </w:p>
        </w:tc>
        <w:tc>
          <w:tcPr>
            <w:tcW w:w="496" w:type="pct"/>
            <w:tcBorders>
              <w:top w:val="single" w:sz="8" w:space="0" w:color="auto"/>
              <w:left w:val="nil"/>
              <w:bottom w:val="single" w:sz="8" w:space="0" w:color="auto"/>
              <w:right w:val="single" w:sz="8" w:space="0" w:color="auto"/>
            </w:tcBorders>
            <w:vAlign w:val="center"/>
            <w:hideMark/>
          </w:tcPr>
          <w:p w14:paraId="3856489A" w14:textId="77777777" w:rsidR="007C050F" w:rsidRPr="000D0D06" w:rsidRDefault="007C050F" w:rsidP="007C050F">
            <w:pPr>
              <w:spacing w:before="0" w:after="0"/>
              <w:jc w:val="center"/>
              <w:rPr>
                <w:noProof/>
                <w:color w:val="000000"/>
                <w:sz w:val="20"/>
                <w:szCs w:val="20"/>
              </w:rPr>
            </w:pPr>
            <w:r w:rsidRPr="000D0D06">
              <w:rPr>
                <w:noProof/>
                <w:color w:val="000000"/>
                <w:sz w:val="20"/>
              </w:rPr>
              <w:t>Ano</w:t>
            </w:r>
          </w:p>
        </w:tc>
        <w:tc>
          <w:tcPr>
            <w:tcW w:w="496" w:type="pct"/>
            <w:tcBorders>
              <w:top w:val="single" w:sz="8" w:space="0" w:color="auto"/>
              <w:left w:val="nil"/>
              <w:bottom w:val="single" w:sz="8" w:space="0" w:color="auto"/>
              <w:right w:val="single" w:sz="8" w:space="0" w:color="auto"/>
            </w:tcBorders>
            <w:vAlign w:val="center"/>
            <w:hideMark/>
          </w:tcPr>
          <w:p w14:paraId="612BFF61" w14:textId="77777777" w:rsidR="007C050F" w:rsidRPr="000D0D06" w:rsidRDefault="007C050F" w:rsidP="007C050F">
            <w:pPr>
              <w:spacing w:before="0" w:after="0"/>
              <w:jc w:val="center"/>
              <w:rPr>
                <w:noProof/>
                <w:color w:val="000000"/>
                <w:sz w:val="20"/>
                <w:szCs w:val="20"/>
              </w:rPr>
            </w:pPr>
            <w:r w:rsidRPr="000D0D06">
              <w:rPr>
                <w:noProof/>
                <w:color w:val="000000"/>
                <w:sz w:val="20"/>
              </w:rPr>
              <w:t>Ano</w:t>
            </w:r>
          </w:p>
        </w:tc>
        <w:tc>
          <w:tcPr>
            <w:tcW w:w="478" w:type="pct"/>
            <w:tcBorders>
              <w:top w:val="single" w:sz="8" w:space="0" w:color="auto"/>
              <w:left w:val="nil"/>
              <w:bottom w:val="single" w:sz="8" w:space="0" w:color="auto"/>
              <w:right w:val="single" w:sz="8" w:space="0" w:color="auto"/>
            </w:tcBorders>
            <w:vAlign w:val="center"/>
            <w:hideMark/>
          </w:tcPr>
          <w:p w14:paraId="6FF1185B" w14:textId="77777777" w:rsidR="007C050F" w:rsidRPr="000D0D06" w:rsidRDefault="007C050F" w:rsidP="007C050F">
            <w:pPr>
              <w:spacing w:before="0" w:after="0"/>
              <w:jc w:val="center"/>
              <w:rPr>
                <w:noProof/>
                <w:color w:val="000000"/>
                <w:sz w:val="20"/>
                <w:szCs w:val="20"/>
              </w:rPr>
            </w:pPr>
            <w:r w:rsidRPr="000D0D06">
              <w:rPr>
                <w:noProof/>
                <w:color w:val="000000"/>
                <w:sz w:val="20"/>
              </w:rPr>
              <w:t>Ano</w:t>
            </w:r>
          </w:p>
        </w:tc>
        <w:tc>
          <w:tcPr>
            <w:tcW w:w="590" w:type="pct"/>
            <w:vMerge w:val="restart"/>
            <w:tcBorders>
              <w:top w:val="single" w:sz="8" w:space="0" w:color="auto"/>
              <w:left w:val="single" w:sz="8" w:space="0" w:color="auto"/>
              <w:bottom w:val="single" w:sz="8" w:space="0" w:color="auto"/>
              <w:right w:val="single" w:sz="8" w:space="0" w:color="auto"/>
            </w:tcBorders>
            <w:vAlign w:val="center"/>
            <w:hideMark/>
          </w:tcPr>
          <w:p w14:paraId="0F405F63" w14:textId="77777777" w:rsidR="007C050F" w:rsidRPr="000D0D06" w:rsidRDefault="007C050F" w:rsidP="007C050F">
            <w:pPr>
              <w:spacing w:before="0" w:after="0"/>
              <w:jc w:val="center"/>
              <w:rPr>
                <w:b/>
                <w:bCs/>
                <w:noProof/>
                <w:color w:val="000000"/>
                <w:sz w:val="20"/>
                <w:szCs w:val="20"/>
              </w:rPr>
            </w:pPr>
            <w:r w:rsidRPr="000D0D06">
              <w:rPr>
                <w:b/>
                <w:noProof/>
                <w:color w:val="000000"/>
                <w:sz w:val="20"/>
              </w:rPr>
              <w:t>TOTAL QFP 2021-2027</w:t>
            </w:r>
          </w:p>
        </w:tc>
      </w:tr>
      <w:tr w:rsidR="007C050F" w:rsidRPr="000D0D06" w14:paraId="7BE46A49" w14:textId="77777777">
        <w:trPr>
          <w:trHeight w:val="288"/>
        </w:trPr>
        <w:tc>
          <w:tcPr>
            <w:tcW w:w="2444" w:type="pct"/>
            <w:gridSpan w:val="3"/>
            <w:vMerge/>
            <w:vAlign w:val="center"/>
            <w:hideMark/>
          </w:tcPr>
          <w:p w14:paraId="69E02B34" w14:textId="77777777" w:rsidR="007C050F" w:rsidRPr="000D0D06" w:rsidRDefault="007C050F" w:rsidP="007C050F">
            <w:pPr>
              <w:spacing w:before="0" w:after="0"/>
              <w:jc w:val="left"/>
              <w:rPr>
                <w:noProof/>
                <w:color w:val="000000"/>
                <w:sz w:val="22"/>
                <w:lang w:eastAsia="en-IE"/>
              </w:rPr>
            </w:pPr>
          </w:p>
        </w:tc>
        <w:tc>
          <w:tcPr>
            <w:tcW w:w="496" w:type="pct"/>
            <w:tcBorders>
              <w:top w:val="nil"/>
              <w:left w:val="nil"/>
              <w:bottom w:val="single" w:sz="8" w:space="0" w:color="auto"/>
              <w:right w:val="single" w:sz="8" w:space="0" w:color="auto"/>
            </w:tcBorders>
            <w:vAlign w:val="center"/>
            <w:hideMark/>
          </w:tcPr>
          <w:p w14:paraId="57E66AD7" w14:textId="77777777" w:rsidR="007C050F" w:rsidRPr="000D0D06" w:rsidRDefault="007C050F" w:rsidP="007C050F">
            <w:pPr>
              <w:spacing w:before="0" w:after="0"/>
              <w:jc w:val="center"/>
              <w:rPr>
                <w:b/>
                <w:bCs/>
                <w:noProof/>
                <w:color w:val="000000"/>
                <w:sz w:val="20"/>
                <w:szCs w:val="20"/>
              </w:rPr>
            </w:pPr>
            <w:r w:rsidRPr="000D0D06">
              <w:rPr>
                <w:b/>
                <w:noProof/>
                <w:color w:val="000000"/>
                <w:sz w:val="20"/>
              </w:rPr>
              <w:t>2024</w:t>
            </w:r>
          </w:p>
        </w:tc>
        <w:tc>
          <w:tcPr>
            <w:tcW w:w="496" w:type="pct"/>
            <w:tcBorders>
              <w:top w:val="nil"/>
              <w:left w:val="nil"/>
              <w:bottom w:val="single" w:sz="8" w:space="0" w:color="auto"/>
              <w:right w:val="single" w:sz="8" w:space="0" w:color="auto"/>
            </w:tcBorders>
            <w:vAlign w:val="center"/>
            <w:hideMark/>
          </w:tcPr>
          <w:p w14:paraId="3D9DAB19" w14:textId="77777777" w:rsidR="007C050F" w:rsidRPr="000D0D06" w:rsidRDefault="007C050F" w:rsidP="007C050F">
            <w:pPr>
              <w:spacing w:before="0" w:after="0"/>
              <w:jc w:val="center"/>
              <w:rPr>
                <w:b/>
                <w:bCs/>
                <w:noProof/>
                <w:color w:val="000000"/>
                <w:sz w:val="20"/>
                <w:szCs w:val="20"/>
              </w:rPr>
            </w:pPr>
            <w:r w:rsidRPr="000D0D06">
              <w:rPr>
                <w:b/>
                <w:noProof/>
                <w:color w:val="000000"/>
                <w:sz w:val="20"/>
              </w:rPr>
              <w:t>2025</w:t>
            </w:r>
          </w:p>
        </w:tc>
        <w:tc>
          <w:tcPr>
            <w:tcW w:w="496" w:type="pct"/>
            <w:tcBorders>
              <w:top w:val="nil"/>
              <w:left w:val="nil"/>
              <w:bottom w:val="single" w:sz="8" w:space="0" w:color="auto"/>
              <w:right w:val="single" w:sz="8" w:space="0" w:color="auto"/>
            </w:tcBorders>
            <w:vAlign w:val="center"/>
            <w:hideMark/>
          </w:tcPr>
          <w:p w14:paraId="64B9B49F" w14:textId="77777777" w:rsidR="007C050F" w:rsidRPr="000D0D06" w:rsidRDefault="007C050F" w:rsidP="007C050F">
            <w:pPr>
              <w:spacing w:before="0" w:after="0"/>
              <w:jc w:val="center"/>
              <w:rPr>
                <w:b/>
                <w:bCs/>
                <w:noProof/>
                <w:color w:val="000000"/>
                <w:sz w:val="20"/>
                <w:szCs w:val="20"/>
              </w:rPr>
            </w:pPr>
            <w:r w:rsidRPr="000D0D06">
              <w:rPr>
                <w:b/>
                <w:noProof/>
                <w:color w:val="000000"/>
                <w:sz w:val="20"/>
              </w:rPr>
              <w:t>2026</w:t>
            </w:r>
          </w:p>
        </w:tc>
        <w:tc>
          <w:tcPr>
            <w:tcW w:w="478" w:type="pct"/>
            <w:tcBorders>
              <w:top w:val="nil"/>
              <w:left w:val="nil"/>
              <w:bottom w:val="single" w:sz="8" w:space="0" w:color="auto"/>
              <w:right w:val="single" w:sz="8" w:space="0" w:color="auto"/>
            </w:tcBorders>
            <w:vAlign w:val="center"/>
            <w:hideMark/>
          </w:tcPr>
          <w:p w14:paraId="43533019" w14:textId="77777777" w:rsidR="007C050F" w:rsidRPr="000D0D06" w:rsidRDefault="007C050F" w:rsidP="007C050F">
            <w:pPr>
              <w:spacing w:before="0" w:after="0"/>
              <w:jc w:val="center"/>
              <w:rPr>
                <w:b/>
                <w:bCs/>
                <w:noProof/>
                <w:color w:val="000000"/>
                <w:sz w:val="20"/>
                <w:szCs w:val="20"/>
              </w:rPr>
            </w:pPr>
            <w:r w:rsidRPr="000D0D06">
              <w:rPr>
                <w:b/>
                <w:noProof/>
                <w:color w:val="000000"/>
                <w:sz w:val="20"/>
              </w:rPr>
              <w:t>2027</w:t>
            </w:r>
          </w:p>
        </w:tc>
        <w:tc>
          <w:tcPr>
            <w:tcW w:w="590" w:type="pct"/>
            <w:vMerge/>
            <w:vAlign w:val="center"/>
            <w:hideMark/>
          </w:tcPr>
          <w:p w14:paraId="6968FDFB" w14:textId="77777777" w:rsidR="007C050F" w:rsidRPr="000D0D06" w:rsidRDefault="007C050F" w:rsidP="007C050F">
            <w:pPr>
              <w:spacing w:before="0" w:after="0"/>
              <w:jc w:val="left"/>
              <w:rPr>
                <w:b/>
                <w:bCs/>
                <w:noProof/>
                <w:color w:val="000000"/>
                <w:sz w:val="20"/>
                <w:szCs w:val="20"/>
                <w:lang w:eastAsia="en-IE"/>
              </w:rPr>
            </w:pPr>
          </w:p>
        </w:tc>
      </w:tr>
      <w:tr w:rsidR="007C050F" w:rsidRPr="000D0D06" w14:paraId="7D310AAD" w14:textId="77777777">
        <w:trPr>
          <w:trHeight w:val="300"/>
        </w:trPr>
        <w:tc>
          <w:tcPr>
            <w:tcW w:w="5000" w:type="pct"/>
            <w:gridSpan w:val="8"/>
            <w:tcBorders>
              <w:top w:val="single" w:sz="8" w:space="0" w:color="auto"/>
              <w:left w:val="single" w:sz="8" w:space="0" w:color="auto"/>
              <w:bottom w:val="single" w:sz="8" w:space="0" w:color="auto"/>
              <w:right w:val="single" w:sz="8" w:space="0" w:color="auto"/>
            </w:tcBorders>
            <w:vAlign w:val="center"/>
            <w:hideMark/>
          </w:tcPr>
          <w:p w14:paraId="04CE6623" w14:textId="77777777" w:rsidR="007C050F" w:rsidRPr="000D0D06" w:rsidRDefault="007C050F" w:rsidP="007C050F">
            <w:pPr>
              <w:spacing w:before="0" w:after="0"/>
              <w:jc w:val="left"/>
              <w:rPr>
                <w:noProof/>
                <w:color w:val="000000"/>
                <w:sz w:val="21"/>
                <w:szCs w:val="21"/>
              </w:rPr>
            </w:pPr>
            <w:r w:rsidRPr="000D0D06">
              <w:rPr>
                <w:noProof/>
                <w:color w:val="000000"/>
                <w:sz w:val="21"/>
              </w:rPr>
              <w:t xml:space="preserve">Dotações operacionais </w:t>
            </w:r>
          </w:p>
        </w:tc>
      </w:tr>
      <w:tr w:rsidR="007C050F" w:rsidRPr="000D0D06" w14:paraId="179D1AE6" w14:textId="77777777">
        <w:trPr>
          <w:trHeight w:val="288"/>
        </w:trPr>
        <w:tc>
          <w:tcPr>
            <w:tcW w:w="1419" w:type="pct"/>
            <w:vMerge w:val="restart"/>
            <w:tcBorders>
              <w:top w:val="nil"/>
              <w:left w:val="single" w:sz="8" w:space="0" w:color="auto"/>
              <w:bottom w:val="single" w:sz="8" w:space="0" w:color="auto"/>
              <w:right w:val="single" w:sz="8" w:space="0" w:color="auto"/>
            </w:tcBorders>
            <w:noWrap/>
            <w:vAlign w:val="center"/>
            <w:hideMark/>
          </w:tcPr>
          <w:p w14:paraId="5D73975E" w14:textId="77777777" w:rsidR="007C050F" w:rsidRPr="000D0D06" w:rsidRDefault="007C050F" w:rsidP="007C050F">
            <w:pPr>
              <w:spacing w:before="0" w:after="0"/>
              <w:jc w:val="left"/>
              <w:rPr>
                <w:noProof/>
                <w:color w:val="000000"/>
                <w:sz w:val="22"/>
              </w:rPr>
            </w:pPr>
            <w:r w:rsidRPr="000D0D06">
              <w:rPr>
                <w:noProof/>
                <w:color w:val="000000"/>
                <w:sz w:val="22"/>
              </w:rPr>
              <w:t>Rubrica orçamental</w:t>
            </w:r>
          </w:p>
        </w:tc>
        <w:tc>
          <w:tcPr>
            <w:tcW w:w="529" w:type="pct"/>
            <w:tcBorders>
              <w:top w:val="nil"/>
              <w:left w:val="nil"/>
              <w:bottom w:val="single" w:sz="8" w:space="0" w:color="auto"/>
              <w:right w:val="single" w:sz="8" w:space="0" w:color="auto"/>
            </w:tcBorders>
            <w:vAlign w:val="center"/>
            <w:hideMark/>
          </w:tcPr>
          <w:p w14:paraId="3682C931" w14:textId="77777777" w:rsidR="007C050F" w:rsidRPr="000D0D06" w:rsidRDefault="007C050F" w:rsidP="007C050F">
            <w:pPr>
              <w:spacing w:before="0" w:after="0"/>
              <w:rPr>
                <w:noProof/>
                <w:color w:val="000000"/>
                <w:sz w:val="18"/>
                <w:szCs w:val="18"/>
              </w:rPr>
            </w:pPr>
            <w:r w:rsidRPr="000D0D06">
              <w:rPr>
                <w:noProof/>
                <w:color w:val="000000"/>
                <w:sz w:val="18"/>
              </w:rPr>
              <w:t>Autorizações</w:t>
            </w:r>
          </w:p>
        </w:tc>
        <w:tc>
          <w:tcPr>
            <w:tcW w:w="496" w:type="pct"/>
            <w:tcBorders>
              <w:top w:val="single" w:sz="8" w:space="0" w:color="auto"/>
              <w:left w:val="nil"/>
              <w:bottom w:val="single" w:sz="8" w:space="0" w:color="auto"/>
              <w:right w:val="single" w:sz="8" w:space="0" w:color="auto"/>
            </w:tcBorders>
            <w:vAlign w:val="center"/>
            <w:hideMark/>
          </w:tcPr>
          <w:p w14:paraId="526D20AF" w14:textId="77777777" w:rsidR="007C050F" w:rsidRPr="000D0D06" w:rsidRDefault="007C050F" w:rsidP="007C050F">
            <w:pPr>
              <w:spacing w:before="0" w:after="0"/>
              <w:jc w:val="center"/>
              <w:rPr>
                <w:noProof/>
                <w:color w:val="000000"/>
                <w:sz w:val="14"/>
                <w:szCs w:val="14"/>
              </w:rPr>
            </w:pPr>
            <w:r w:rsidRPr="000D0D06">
              <w:rPr>
                <w:noProof/>
                <w:color w:val="000000"/>
                <w:sz w:val="14"/>
              </w:rPr>
              <w:t>(1a)</w:t>
            </w:r>
          </w:p>
        </w:tc>
        <w:tc>
          <w:tcPr>
            <w:tcW w:w="496" w:type="pct"/>
            <w:tcBorders>
              <w:top w:val="nil"/>
              <w:left w:val="nil"/>
              <w:bottom w:val="single" w:sz="8" w:space="0" w:color="auto"/>
              <w:right w:val="single" w:sz="8" w:space="0" w:color="auto"/>
            </w:tcBorders>
            <w:vAlign w:val="center"/>
            <w:hideMark/>
          </w:tcPr>
          <w:p w14:paraId="3F8BC925" w14:textId="77777777" w:rsidR="007C050F" w:rsidRPr="000D0D06" w:rsidRDefault="007C050F" w:rsidP="007C050F">
            <w:pPr>
              <w:spacing w:before="0" w:after="0"/>
              <w:jc w:val="right"/>
              <w:rPr>
                <w:noProof/>
                <w:color w:val="000000"/>
                <w:sz w:val="20"/>
                <w:szCs w:val="20"/>
              </w:rPr>
            </w:pPr>
            <w:r w:rsidRPr="000D0D06">
              <w:rPr>
                <w:noProof/>
                <w:color w:val="000000"/>
                <w:sz w:val="20"/>
              </w:rPr>
              <w:t xml:space="preserve"> </w:t>
            </w:r>
          </w:p>
        </w:tc>
        <w:tc>
          <w:tcPr>
            <w:tcW w:w="496" w:type="pct"/>
            <w:tcBorders>
              <w:top w:val="nil"/>
              <w:left w:val="nil"/>
              <w:bottom w:val="single" w:sz="8" w:space="0" w:color="auto"/>
              <w:right w:val="single" w:sz="8" w:space="0" w:color="auto"/>
            </w:tcBorders>
            <w:vAlign w:val="center"/>
            <w:hideMark/>
          </w:tcPr>
          <w:p w14:paraId="70B055AC" w14:textId="77777777" w:rsidR="007C050F" w:rsidRPr="000D0D06" w:rsidRDefault="007C050F" w:rsidP="007C050F">
            <w:pPr>
              <w:spacing w:before="0" w:after="0"/>
              <w:jc w:val="right"/>
              <w:rPr>
                <w:noProof/>
                <w:color w:val="000000"/>
                <w:sz w:val="20"/>
                <w:szCs w:val="20"/>
              </w:rPr>
            </w:pPr>
            <w:r w:rsidRPr="000D0D06">
              <w:rPr>
                <w:noProof/>
                <w:color w:val="000000"/>
                <w:sz w:val="20"/>
              </w:rPr>
              <w:t xml:space="preserve"> </w:t>
            </w:r>
          </w:p>
        </w:tc>
        <w:tc>
          <w:tcPr>
            <w:tcW w:w="496" w:type="pct"/>
            <w:tcBorders>
              <w:top w:val="nil"/>
              <w:left w:val="nil"/>
              <w:bottom w:val="single" w:sz="8" w:space="0" w:color="auto"/>
              <w:right w:val="single" w:sz="8" w:space="0" w:color="auto"/>
            </w:tcBorders>
            <w:vAlign w:val="center"/>
            <w:hideMark/>
          </w:tcPr>
          <w:p w14:paraId="37D3A165" w14:textId="77777777" w:rsidR="007C050F" w:rsidRPr="000D0D06" w:rsidRDefault="007C050F" w:rsidP="007C050F">
            <w:pPr>
              <w:spacing w:before="0" w:after="0"/>
              <w:jc w:val="right"/>
              <w:rPr>
                <w:noProof/>
                <w:color w:val="000000"/>
                <w:sz w:val="20"/>
                <w:szCs w:val="20"/>
              </w:rPr>
            </w:pPr>
            <w:r w:rsidRPr="000D0D06">
              <w:rPr>
                <w:noProof/>
                <w:color w:val="000000"/>
                <w:sz w:val="20"/>
              </w:rPr>
              <w:t xml:space="preserve"> </w:t>
            </w:r>
          </w:p>
        </w:tc>
        <w:tc>
          <w:tcPr>
            <w:tcW w:w="478" w:type="pct"/>
            <w:tcBorders>
              <w:top w:val="nil"/>
              <w:left w:val="nil"/>
              <w:bottom w:val="single" w:sz="8" w:space="0" w:color="auto"/>
              <w:right w:val="single" w:sz="8" w:space="0" w:color="auto"/>
            </w:tcBorders>
            <w:vAlign w:val="center"/>
            <w:hideMark/>
          </w:tcPr>
          <w:p w14:paraId="4CE3678C" w14:textId="77777777" w:rsidR="007C050F" w:rsidRPr="000D0D06" w:rsidRDefault="007C050F" w:rsidP="007C050F">
            <w:pPr>
              <w:spacing w:before="0" w:after="0"/>
              <w:jc w:val="right"/>
              <w:rPr>
                <w:noProof/>
                <w:color w:val="000000"/>
                <w:sz w:val="20"/>
                <w:szCs w:val="20"/>
              </w:rPr>
            </w:pPr>
            <w:r w:rsidRPr="000D0D06">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14:paraId="4B08471E"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r>
      <w:tr w:rsidR="007C050F" w:rsidRPr="000D0D06" w14:paraId="2CBDC803" w14:textId="77777777">
        <w:trPr>
          <w:trHeight w:val="315"/>
        </w:trPr>
        <w:tc>
          <w:tcPr>
            <w:tcW w:w="1419" w:type="pct"/>
            <w:vMerge/>
            <w:vAlign w:val="center"/>
            <w:hideMark/>
          </w:tcPr>
          <w:p w14:paraId="011DAA99" w14:textId="77777777" w:rsidR="007C050F" w:rsidRPr="000D0D06" w:rsidRDefault="007C050F" w:rsidP="007C050F">
            <w:pPr>
              <w:spacing w:before="0" w:after="0"/>
              <w:jc w:val="left"/>
              <w:rPr>
                <w:noProof/>
                <w:color w:val="000000"/>
                <w:sz w:val="22"/>
                <w:lang w:eastAsia="en-IE"/>
              </w:rPr>
            </w:pPr>
          </w:p>
        </w:tc>
        <w:tc>
          <w:tcPr>
            <w:tcW w:w="529" w:type="pct"/>
            <w:tcBorders>
              <w:top w:val="nil"/>
              <w:left w:val="nil"/>
              <w:bottom w:val="single" w:sz="8" w:space="0" w:color="auto"/>
              <w:right w:val="single" w:sz="8" w:space="0" w:color="auto"/>
            </w:tcBorders>
            <w:vAlign w:val="center"/>
            <w:hideMark/>
          </w:tcPr>
          <w:p w14:paraId="6A26562B" w14:textId="77777777" w:rsidR="007C050F" w:rsidRPr="000D0D06" w:rsidRDefault="007C050F" w:rsidP="007C050F">
            <w:pPr>
              <w:spacing w:before="0" w:after="0"/>
              <w:rPr>
                <w:noProof/>
                <w:color w:val="000000"/>
                <w:sz w:val="18"/>
                <w:szCs w:val="18"/>
              </w:rPr>
            </w:pPr>
            <w:r w:rsidRPr="000D0D06">
              <w:rPr>
                <w:noProof/>
                <w:color w:val="000000"/>
                <w:sz w:val="18"/>
              </w:rPr>
              <w:t>Pagamentos</w:t>
            </w:r>
          </w:p>
        </w:tc>
        <w:tc>
          <w:tcPr>
            <w:tcW w:w="496" w:type="pct"/>
            <w:tcBorders>
              <w:top w:val="single" w:sz="8" w:space="0" w:color="auto"/>
              <w:left w:val="nil"/>
              <w:bottom w:val="single" w:sz="8" w:space="0" w:color="auto"/>
              <w:right w:val="single" w:sz="8" w:space="0" w:color="auto"/>
            </w:tcBorders>
            <w:vAlign w:val="center"/>
            <w:hideMark/>
          </w:tcPr>
          <w:p w14:paraId="5BC49E5D" w14:textId="77777777" w:rsidR="007C050F" w:rsidRPr="000D0D06" w:rsidRDefault="007C050F" w:rsidP="007C050F">
            <w:pPr>
              <w:spacing w:before="0" w:after="0"/>
              <w:jc w:val="center"/>
              <w:rPr>
                <w:noProof/>
                <w:color w:val="000000"/>
                <w:sz w:val="14"/>
                <w:szCs w:val="14"/>
              </w:rPr>
            </w:pPr>
            <w:r w:rsidRPr="000D0D06">
              <w:rPr>
                <w:noProof/>
                <w:color w:val="000000"/>
                <w:sz w:val="14"/>
              </w:rPr>
              <w:t>(2a)</w:t>
            </w:r>
          </w:p>
        </w:tc>
        <w:tc>
          <w:tcPr>
            <w:tcW w:w="496" w:type="pct"/>
            <w:tcBorders>
              <w:top w:val="nil"/>
              <w:left w:val="nil"/>
              <w:bottom w:val="single" w:sz="8" w:space="0" w:color="auto"/>
              <w:right w:val="single" w:sz="8" w:space="0" w:color="auto"/>
            </w:tcBorders>
            <w:vAlign w:val="center"/>
            <w:hideMark/>
          </w:tcPr>
          <w:p w14:paraId="20FC4CEC" w14:textId="77777777" w:rsidR="007C050F" w:rsidRPr="000D0D06" w:rsidRDefault="007C050F" w:rsidP="007C050F">
            <w:pPr>
              <w:spacing w:before="0" w:after="0"/>
              <w:jc w:val="right"/>
              <w:rPr>
                <w:noProof/>
                <w:color w:val="000000"/>
                <w:sz w:val="20"/>
                <w:szCs w:val="20"/>
              </w:rPr>
            </w:pPr>
            <w:r w:rsidRPr="000D0D06">
              <w:rPr>
                <w:noProof/>
                <w:color w:val="000000"/>
                <w:sz w:val="20"/>
              </w:rPr>
              <w:t xml:space="preserve"> </w:t>
            </w:r>
          </w:p>
        </w:tc>
        <w:tc>
          <w:tcPr>
            <w:tcW w:w="496" w:type="pct"/>
            <w:tcBorders>
              <w:top w:val="nil"/>
              <w:left w:val="nil"/>
              <w:bottom w:val="single" w:sz="8" w:space="0" w:color="auto"/>
              <w:right w:val="single" w:sz="8" w:space="0" w:color="auto"/>
            </w:tcBorders>
            <w:vAlign w:val="center"/>
            <w:hideMark/>
          </w:tcPr>
          <w:p w14:paraId="0A1FCC3C" w14:textId="77777777" w:rsidR="007C050F" w:rsidRPr="000D0D06" w:rsidRDefault="007C050F" w:rsidP="007C050F">
            <w:pPr>
              <w:spacing w:before="0" w:after="0"/>
              <w:jc w:val="right"/>
              <w:rPr>
                <w:noProof/>
                <w:color w:val="000000"/>
                <w:sz w:val="20"/>
                <w:szCs w:val="20"/>
              </w:rPr>
            </w:pPr>
            <w:r w:rsidRPr="000D0D06">
              <w:rPr>
                <w:noProof/>
                <w:color w:val="000000"/>
                <w:sz w:val="20"/>
              </w:rPr>
              <w:t xml:space="preserve"> </w:t>
            </w:r>
          </w:p>
        </w:tc>
        <w:tc>
          <w:tcPr>
            <w:tcW w:w="496" w:type="pct"/>
            <w:tcBorders>
              <w:top w:val="nil"/>
              <w:left w:val="nil"/>
              <w:bottom w:val="single" w:sz="8" w:space="0" w:color="auto"/>
              <w:right w:val="single" w:sz="8" w:space="0" w:color="auto"/>
            </w:tcBorders>
            <w:vAlign w:val="center"/>
            <w:hideMark/>
          </w:tcPr>
          <w:p w14:paraId="00EACCC1" w14:textId="77777777" w:rsidR="007C050F" w:rsidRPr="000D0D06" w:rsidRDefault="007C050F" w:rsidP="007C050F">
            <w:pPr>
              <w:spacing w:before="0" w:after="0"/>
              <w:jc w:val="right"/>
              <w:rPr>
                <w:noProof/>
                <w:color w:val="000000"/>
                <w:sz w:val="20"/>
                <w:szCs w:val="20"/>
              </w:rPr>
            </w:pPr>
            <w:r w:rsidRPr="000D0D06">
              <w:rPr>
                <w:noProof/>
                <w:color w:val="000000"/>
                <w:sz w:val="20"/>
              </w:rPr>
              <w:t xml:space="preserve"> </w:t>
            </w:r>
          </w:p>
        </w:tc>
        <w:tc>
          <w:tcPr>
            <w:tcW w:w="478" w:type="pct"/>
            <w:tcBorders>
              <w:top w:val="nil"/>
              <w:left w:val="nil"/>
              <w:bottom w:val="single" w:sz="8" w:space="0" w:color="auto"/>
              <w:right w:val="single" w:sz="8" w:space="0" w:color="auto"/>
            </w:tcBorders>
            <w:vAlign w:val="center"/>
            <w:hideMark/>
          </w:tcPr>
          <w:p w14:paraId="4ABDA902" w14:textId="77777777" w:rsidR="007C050F" w:rsidRPr="000D0D06" w:rsidRDefault="007C050F" w:rsidP="007C050F">
            <w:pPr>
              <w:spacing w:before="0" w:after="0"/>
              <w:jc w:val="right"/>
              <w:rPr>
                <w:noProof/>
                <w:color w:val="000000"/>
                <w:sz w:val="20"/>
                <w:szCs w:val="20"/>
              </w:rPr>
            </w:pPr>
            <w:r w:rsidRPr="000D0D06">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14:paraId="69098199"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r>
      <w:tr w:rsidR="007C050F" w:rsidRPr="000D0D06" w14:paraId="16D3031B" w14:textId="77777777">
        <w:trPr>
          <w:trHeight w:val="315"/>
        </w:trPr>
        <w:tc>
          <w:tcPr>
            <w:tcW w:w="1419" w:type="pct"/>
            <w:vMerge w:val="restart"/>
            <w:tcBorders>
              <w:top w:val="nil"/>
              <w:left w:val="single" w:sz="8" w:space="0" w:color="auto"/>
              <w:bottom w:val="single" w:sz="8" w:space="0" w:color="auto"/>
              <w:right w:val="single" w:sz="8" w:space="0" w:color="auto"/>
            </w:tcBorders>
            <w:vAlign w:val="center"/>
            <w:hideMark/>
          </w:tcPr>
          <w:p w14:paraId="07AEF77B" w14:textId="77777777" w:rsidR="007C050F" w:rsidRPr="000D0D06" w:rsidRDefault="007C050F" w:rsidP="007C050F">
            <w:pPr>
              <w:spacing w:before="0" w:after="0"/>
              <w:rPr>
                <w:noProof/>
                <w:color w:val="000000"/>
                <w:sz w:val="20"/>
                <w:szCs w:val="20"/>
              </w:rPr>
            </w:pPr>
            <w:r w:rsidRPr="000D0D06">
              <w:rPr>
                <w:noProof/>
                <w:color w:val="000000"/>
                <w:sz w:val="20"/>
              </w:rPr>
              <w:t>Rubrica orçamental</w:t>
            </w:r>
          </w:p>
        </w:tc>
        <w:tc>
          <w:tcPr>
            <w:tcW w:w="529" w:type="pct"/>
            <w:tcBorders>
              <w:top w:val="nil"/>
              <w:left w:val="nil"/>
              <w:bottom w:val="single" w:sz="8" w:space="0" w:color="auto"/>
              <w:right w:val="single" w:sz="8" w:space="0" w:color="auto"/>
            </w:tcBorders>
            <w:vAlign w:val="center"/>
            <w:hideMark/>
          </w:tcPr>
          <w:p w14:paraId="5E58DBBC" w14:textId="77777777" w:rsidR="007C050F" w:rsidRPr="000D0D06" w:rsidRDefault="007C050F" w:rsidP="007C050F">
            <w:pPr>
              <w:spacing w:before="0" w:after="0"/>
              <w:rPr>
                <w:noProof/>
                <w:color w:val="000000"/>
                <w:sz w:val="18"/>
                <w:szCs w:val="18"/>
              </w:rPr>
            </w:pPr>
            <w:r w:rsidRPr="000D0D06">
              <w:rPr>
                <w:noProof/>
                <w:color w:val="000000"/>
                <w:sz w:val="18"/>
              </w:rPr>
              <w:t>Autorizações</w:t>
            </w:r>
          </w:p>
        </w:tc>
        <w:tc>
          <w:tcPr>
            <w:tcW w:w="496" w:type="pct"/>
            <w:tcBorders>
              <w:top w:val="single" w:sz="8" w:space="0" w:color="auto"/>
              <w:left w:val="nil"/>
              <w:bottom w:val="single" w:sz="8" w:space="0" w:color="auto"/>
              <w:right w:val="single" w:sz="8" w:space="0" w:color="auto"/>
            </w:tcBorders>
            <w:vAlign w:val="center"/>
            <w:hideMark/>
          </w:tcPr>
          <w:p w14:paraId="11F2A207" w14:textId="77777777" w:rsidR="007C050F" w:rsidRPr="000D0D06" w:rsidRDefault="007C050F" w:rsidP="007C050F">
            <w:pPr>
              <w:spacing w:before="0" w:after="0"/>
              <w:jc w:val="center"/>
              <w:rPr>
                <w:noProof/>
                <w:color w:val="000000"/>
                <w:sz w:val="14"/>
                <w:szCs w:val="14"/>
              </w:rPr>
            </w:pPr>
            <w:r w:rsidRPr="000D0D06">
              <w:rPr>
                <w:noProof/>
                <w:color w:val="000000"/>
                <w:sz w:val="14"/>
              </w:rPr>
              <w:t>(1b)</w:t>
            </w:r>
          </w:p>
        </w:tc>
        <w:tc>
          <w:tcPr>
            <w:tcW w:w="496" w:type="pct"/>
            <w:tcBorders>
              <w:top w:val="nil"/>
              <w:left w:val="nil"/>
              <w:bottom w:val="single" w:sz="8" w:space="0" w:color="auto"/>
              <w:right w:val="single" w:sz="8" w:space="0" w:color="auto"/>
            </w:tcBorders>
            <w:vAlign w:val="center"/>
            <w:hideMark/>
          </w:tcPr>
          <w:p w14:paraId="243E9B25" w14:textId="77777777" w:rsidR="007C050F" w:rsidRPr="000D0D06" w:rsidRDefault="007C050F" w:rsidP="007C050F">
            <w:pPr>
              <w:spacing w:before="0" w:after="0"/>
              <w:jc w:val="right"/>
              <w:rPr>
                <w:noProof/>
                <w:color w:val="000000"/>
                <w:sz w:val="20"/>
                <w:szCs w:val="20"/>
              </w:rPr>
            </w:pPr>
            <w:r w:rsidRPr="000D0D06">
              <w:rPr>
                <w:noProof/>
                <w:color w:val="000000"/>
                <w:sz w:val="20"/>
              </w:rPr>
              <w:t xml:space="preserve"> </w:t>
            </w:r>
          </w:p>
        </w:tc>
        <w:tc>
          <w:tcPr>
            <w:tcW w:w="496" w:type="pct"/>
            <w:tcBorders>
              <w:top w:val="nil"/>
              <w:left w:val="nil"/>
              <w:bottom w:val="single" w:sz="8" w:space="0" w:color="auto"/>
              <w:right w:val="single" w:sz="8" w:space="0" w:color="auto"/>
            </w:tcBorders>
            <w:vAlign w:val="center"/>
            <w:hideMark/>
          </w:tcPr>
          <w:p w14:paraId="10D2A18D" w14:textId="77777777" w:rsidR="007C050F" w:rsidRPr="000D0D06" w:rsidRDefault="007C050F" w:rsidP="007C050F">
            <w:pPr>
              <w:spacing w:before="0" w:after="0"/>
              <w:jc w:val="right"/>
              <w:rPr>
                <w:noProof/>
                <w:color w:val="000000"/>
                <w:sz w:val="20"/>
                <w:szCs w:val="20"/>
              </w:rPr>
            </w:pPr>
            <w:r w:rsidRPr="000D0D06">
              <w:rPr>
                <w:noProof/>
                <w:color w:val="000000"/>
                <w:sz w:val="20"/>
              </w:rPr>
              <w:t xml:space="preserve"> </w:t>
            </w:r>
          </w:p>
        </w:tc>
        <w:tc>
          <w:tcPr>
            <w:tcW w:w="496" w:type="pct"/>
            <w:tcBorders>
              <w:top w:val="nil"/>
              <w:left w:val="nil"/>
              <w:bottom w:val="single" w:sz="8" w:space="0" w:color="auto"/>
              <w:right w:val="single" w:sz="8" w:space="0" w:color="auto"/>
            </w:tcBorders>
            <w:vAlign w:val="center"/>
            <w:hideMark/>
          </w:tcPr>
          <w:p w14:paraId="7B8C6028" w14:textId="77777777" w:rsidR="007C050F" w:rsidRPr="000D0D06" w:rsidRDefault="007C050F" w:rsidP="007C050F">
            <w:pPr>
              <w:spacing w:before="0" w:after="0"/>
              <w:jc w:val="right"/>
              <w:rPr>
                <w:noProof/>
                <w:color w:val="000000"/>
                <w:sz w:val="20"/>
                <w:szCs w:val="20"/>
              </w:rPr>
            </w:pPr>
            <w:r w:rsidRPr="000D0D06">
              <w:rPr>
                <w:noProof/>
                <w:color w:val="000000"/>
                <w:sz w:val="20"/>
              </w:rPr>
              <w:t xml:space="preserve"> </w:t>
            </w:r>
          </w:p>
        </w:tc>
        <w:tc>
          <w:tcPr>
            <w:tcW w:w="478" w:type="pct"/>
            <w:tcBorders>
              <w:top w:val="nil"/>
              <w:left w:val="nil"/>
              <w:bottom w:val="single" w:sz="8" w:space="0" w:color="auto"/>
              <w:right w:val="single" w:sz="8" w:space="0" w:color="auto"/>
            </w:tcBorders>
            <w:vAlign w:val="center"/>
            <w:hideMark/>
          </w:tcPr>
          <w:p w14:paraId="5351D8BD" w14:textId="77777777" w:rsidR="007C050F" w:rsidRPr="000D0D06" w:rsidRDefault="007C050F" w:rsidP="007C050F">
            <w:pPr>
              <w:spacing w:before="0" w:after="0"/>
              <w:jc w:val="right"/>
              <w:rPr>
                <w:noProof/>
                <w:color w:val="000000"/>
                <w:sz w:val="20"/>
                <w:szCs w:val="20"/>
              </w:rPr>
            </w:pPr>
            <w:r w:rsidRPr="000D0D06">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14:paraId="05F4AE65"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r>
      <w:tr w:rsidR="007C050F" w:rsidRPr="000D0D06" w14:paraId="689A2825" w14:textId="77777777">
        <w:trPr>
          <w:trHeight w:val="315"/>
        </w:trPr>
        <w:tc>
          <w:tcPr>
            <w:tcW w:w="1419" w:type="pct"/>
            <w:vMerge/>
            <w:vAlign w:val="center"/>
            <w:hideMark/>
          </w:tcPr>
          <w:p w14:paraId="382ACEF1" w14:textId="77777777" w:rsidR="007C050F" w:rsidRPr="000D0D06" w:rsidRDefault="007C050F" w:rsidP="007C050F">
            <w:pPr>
              <w:spacing w:before="0" w:after="0"/>
              <w:jc w:val="left"/>
              <w:rPr>
                <w:noProof/>
                <w:color w:val="000000"/>
                <w:sz w:val="20"/>
                <w:szCs w:val="20"/>
                <w:lang w:eastAsia="en-IE"/>
              </w:rPr>
            </w:pPr>
          </w:p>
        </w:tc>
        <w:tc>
          <w:tcPr>
            <w:tcW w:w="529" w:type="pct"/>
            <w:tcBorders>
              <w:top w:val="nil"/>
              <w:left w:val="nil"/>
              <w:bottom w:val="single" w:sz="8" w:space="0" w:color="auto"/>
              <w:right w:val="single" w:sz="8" w:space="0" w:color="auto"/>
            </w:tcBorders>
            <w:vAlign w:val="center"/>
            <w:hideMark/>
          </w:tcPr>
          <w:p w14:paraId="5D51CCDD" w14:textId="77777777" w:rsidR="007C050F" w:rsidRPr="000D0D06" w:rsidRDefault="007C050F" w:rsidP="007C050F">
            <w:pPr>
              <w:spacing w:before="0" w:after="0"/>
              <w:rPr>
                <w:noProof/>
                <w:color w:val="000000"/>
                <w:sz w:val="18"/>
                <w:szCs w:val="18"/>
              </w:rPr>
            </w:pPr>
            <w:r w:rsidRPr="000D0D06">
              <w:rPr>
                <w:noProof/>
                <w:color w:val="000000"/>
                <w:sz w:val="18"/>
              </w:rPr>
              <w:t>Pagamentos</w:t>
            </w:r>
          </w:p>
        </w:tc>
        <w:tc>
          <w:tcPr>
            <w:tcW w:w="496" w:type="pct"/>
            <w:tcBorders>
              <w:top w:val="single" w:sz="8" w:space="0" w:color="auto"/>
              <w:left w:val="nil"/>
              <w:bottom w:val="single" w:sz="8" w:space="0" w:color="auto"/>
              <w:right w:val="single" w:sz="8" w:space="0" w:color="auto"/>
            </w:tcBorders>
            <w:vAlign w:val="center"/>
            <w:hideMark/>
          </w:tcPr>
          <w:p w14:paraId="262D27E8" w14:textId="77777777" w:rsidR="007C050F" w:rsidRPr="000D0D06" w:rsidRDefault="007C050F" w:rsidP="007C050F">
            <w:pPr>
              <w:spacing w:before="0" w:after="0"/>
              <w:jc w:val="center"/>
              <w:rPr>
                <w:noProof/>
                <w:color w:val="000000"/>
                <w:sz w:val="14"/>
                <w:szCs w:val="14"/>
              </w:rPr>
            </w:pPr>
            <w:r w:rsidRPr="000D0D06">
              <w:rPr>
                <w:noProof/>
                <w:color w:val="000000"/>
                <w:sz w:val="14"/>
              </w:rPr>
              <w:t>(2b)</w:t>
            </w:r>
          </w:p>
        </w:tc>
        <w:tc>
          <w:tcPr>
            <w:tcW w:w="496" w:type="pct"/>
            <w:tcBorders>
              <w:top w:val="nil"/>
              <w:left w:val="nil"/>
              <w:bottom w:val="single" w:sz="8" w:space="0" w:color="auto"/>
              <w:right w:val="single" w:sz="8" w:space="0" w:color="auto"/>
            </w:tcBorders>
            <w:vAlign w:val="center"/>
            <w:hideMark/>
          </w:tcPr>
          <w:p w14:paraId="2D60BF28" w14:textId="77777777" w:rsidR="007C050F" w:rsidRPr="000D0D06" w:rsidRDefault="007C050F" w:rsidP="007C050F">
            <w:pPr>
              <w:spacing w:before="0" w:after="0"/>
              <w:jc w:val="right"/>
              <w:rPr>
                <w:noProof/>
                <w:color w:val="000000"/>
                <w:sz w:val="20"/>
                <w:szCs w:val="20"/>
              </w:rPr>
            </w:pPr>
            <w:r w:rsidRPr="000D0D06">
              <w:rPr>
                <w:noProof/>
                <w:color w:val="000000"/>
                <w:sz w:val="20"/>
              </w:rPr>
              <w:t xml:space="preserve"> </w:t>
            </w:r>
          </w:p>
        </w:tc>
        <w:tc>
          <w:tcPr>
            <w:tcW w:w="496" w:type="pct"/>
            <w:tcBorders>
              <w:top w:val="nil"/>
              <w:left w:val="nil"/>
              <w:bottom w:val="single" w:sz="8" w:space="0" w:color="auto"/>
              <w:right w:val="single" w:sz="8" w:space="0" w:color="auto"/>
            </w:tcBorders>
            <w:vAlign w:val="center"/>
            <w:hideMark/>
          </w:tcPr>
          <w:p w14:paraId="73922D22" w14:textId="77777777" w:rsidR="007C050F" w:rsidRPr="000D0D06" w:rsidRDefault="007C050F" w:rsidP="007C050F">
            <w:pPr>
              <w:spacing w:before="0" w:after="0"/>
              <w:jc w:val="right"/>
              <w:rPr>
                <w:noProof/>
                <w:color w:val="000000"/>
                <w:sz w:val="20"/>
                <w:szCs w:val="20"/>
              </w:rPr>
            </w:pPr>
            <w:r w:rsidRPr="000D0D06">
              <w:rPr>
                <w:noProof/>
                <w:color w:val="000000"/>
                <w:sz w:val="20"/>
              </w:rPr>
              <w:t xml:space="preserve"> </w:t>
            </w:r>
          </w:p>
        </w:tc>
        <w:tc>
          <w:tcPr>
            <w:tcW w:w="496" w:type="pct"/>
            <w:tcBorders>
              <w:top w:val="nil"/>
              <w:left w:val="nil"/>
              <w:bottom w:val="single" w:sz="8" w:space="0" w:color="auto"/>
              <w:right w:val="single" w:sz="8" w:space="0" w:color="auto"/>
            </w:tcBorders>
            <w:vAlign w:val="center"/>
            <w:hideMark/>
          </w:tcPr>
          <w:p w14:paraId="49DA55C1" w14:textId="77777777" w:rsidR="007C050F" w:rsidRPr="000D0D06" w:rsidRDefault="007C050F" w:rsidP="007C050F">
            <w:pPr>
              <w:spacing w:before="0" w:after="0"/>
              <w:jc w:val="right"/>
              <w:rPr>
                <w:noProof/>
                <w:color w:val="000000"/>
                <w:sz w:val="20"/>
                <w:szCs w:val="20"/>
              </w:rPr>
            </w:pPr>
            <w:r w:rsidRPr="000D0D06">
              <w:rPr>
                <w:noProof/>
                <w:color w:val="000000"/>
                <w:sz w:val="20"/>
              </w:rPr>
              <w:t xml:space="preserve"> </w:t>
            </w:r>
          </w:p>
        </w:tc>
        <w:tc>
          <w:tcPr>
            <w:tcW w:w="478" w:type="pct"/>
            <w:tcBorders>
              <w:top w:val="nil"/>
              <w:left w:val="nil"/>
              <w:bottom w:val="single" w:sz="8" w:space="0" w:color="auto"/>
              <w:right w:val="single" w:sz="8" w:space="0" w:color="auto"/>
            </w:tcBorders>
            <w:vAlign w:val="center"/>
            <w:hideMark/>
          </w:tcPr>
          <w:p w14:paraId="5818B63D" w14:textId="77777777" w:rsidR="007C050F" w:rsidRPr="000D0D06" w:rsidRDefault="007C050F" w:rsidP="007C050F">
            <w:pPr>
              <w:spacing w:before="0" w:after="0"/>
              <w:jc w:val="right"/>
              <w:rPr>
                <w:noProof/>
                <w:color w:val="000000"/>
                <w:sz w:val="20"/>
                <w:szCs w:val="20"/>
              </w:rPr>
            </w:pPr>
            <w:r w:rsidRPr="000D0D06">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14:paraId="471415EE"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r>
      <w:tr w:rsidR="007C050F" w:rsidRPr="000D0D06" w14:paraId="784C672C" w14:textId="77777777">
        <w:trPr>
          <w:trHeight w:val="288"/>
        </w:trPr>
        <w:tc>
          <w:tcPr>
            <w:tcW w:w="5000" w:type="pct"/>
            <w:gridSpan w:val="8"/>
            <w:tcBorders>
              <w:top w:val="single" w:sz="8" w:space="0" w:color="auto"/>
              <w:left w:val="single" w:sz="8" w:space="0" w:color="auto"/>
              <w:bottom w:val="single" w:sz="8" w:space="0" w:color="auto"/>
              <w:right w:val="single" w:sz="8" w:space="0" w:color="auto"/>
            </w:tcBorders>
            <w:noWrap/>
            <w:vAlign w:val="bottom"/>
            <w:hideMark/>
          </w:tcPr>
          <w:p w14:paraId="7D0307BA" w14:textId="77777777" w:rsidR="007C050F" w:rsidRPr="000D0D06" w:rsidRDefault="007C050F" w:rsidP="007C050F">
            <w:pPr>
              <w:spacing w:before="0" w:after="0"/>
              <w:jc w:val="left"/>
              <w:rPr>
                <w:noProof/>
                <w:color w:val="000000"/>
                <w:sz w:val="22"/>
              </w:rPr>
            </w:pPr>
            <w:r w:rsidRPr="000D0D06">
              <w:rPr>
                <w:noProof/>
                <w:color w:val="000000"/>
                <w:sz w:val="22"/>
              </w:rPr>
              <w:t>Dotações de natureza administrativa financiadas a partir da dotação de programas específicos</w:t>
            </w:r>
            <w:r w:rsidRPr="000D0D06">
              <w:rPr>
                <w:rStyle w:val="FootnoteReference"/>
                <w:noProof/>
              </w:rPr>
              <w:footnoteReference w:id="45"/>
            </w:r>
          </w:p>
        </w:tc>
      </w:tr>
      <w:tr w:rsidR="007C050F" w:rsidRPr="000D0D06" w14:paraId="3CAFFA7F" w14:textId="77777777">
        <w:trPr>
          <w:trHeight w:val="288"/>
        </w:trPr>
        <w:tc>
          <w:tcPr>
            <w:tcW w:w="1419" w:type="pct"/>
            <w:tcBorders>
              <w:top w:val="nil"/>
              <w:left w:val="single" w:sz="8" w:space="0" w:color="auto"/>
              <w:bottom w:val="single" w:sz="8" w:space="0" w:color="auto"/>
              <w:right w:val="single" w:sz="8" w:space="0" w:color="auto"/>
            </w:tcBorders>
            <w:vAlign w:val="center"/>
            <w:hideMark/>
          </w:tcPr>
          <w:p w14:paraId="261F05E3" w14:textId="77777777" w:rsidR="007C050F" w:rsidRPr="000D0D06" w:rsidRDefault="007C050F" w:rsidP="007C050F">
            <w:pPr>
              <w:spacing w:before="0" w:after="0"/>
              <w:rPr>
                <w:noProof/>
                <w:color w:val="000000"/>
                <w:sz w:val="20"/>
                <w:szCs w:val="20"/>
              </w:rPr>
            </w:pPr>
            <w:r w:rsidRPr="000D0D06">
              <w:rPr>
                <w:noProof/>
                <w:color w:val="000000"/>
                <w:sz w:val="20"/>
              </w:rPr>
              <w:t>Rubrica orçamental</w:t>
            </w:r>
          </w:p>
        </w:tc>
        <w:tc>
          <w:tcPr>
            <w:tcW w:w="529" w:type="pct"/>
            <w:tcBorders>
              <w:top w:val="nil"/>
              <w:left w:val="nil"/>
              <w:bottom w:val="single" w:sz="8" w:space="0" w:color="auto"/>
              <w:right w:val="single" w:sz="8" w:space="0" w:color="auto"/>
            </w:tcBorders>
            <w:vAlign w:val="center"/>
            <w:hideMark/>
          </w:tcPr>
          <w:p w14:paraId="0F319588" w14:textId="77777777" w:rsidR="007C050F" w:rsidRPr="000D0D06" w:rsidRDefault="007C050F" w:rsidP="007C050F">
            <w:pPr>
              <w:spacing w:before="0" w:after="0"/>
              <w:jc w:val="right"/>
              <w:rPr>
                <w:noProof/>
                <w:color w:val="000000"/>
                <w:sz w:val="18"/>
                <w:szCs w:val="18"/>
              </w:rPr>
            </w:pPr>
            <w:r w:rsidRPr="000D0D06">
              <w:rPr>
                <w:noProof/>
                <w:color w:val="000000"/>
                <w:sz w:val="18"/>
              </w:rPr>
              <w:t xml:space="preserve"> </w:t>
            </w:r>
          </w:p>
        </w:tc>
        <w:tc>
          <w:tcPr>
            <w:tcW w:w="496" w:type="pct"/>
            <w:tcBorders>
              <w:top w:val="single" w:sz="8" w:space="0" w:color="auto"/>
              <w:left w:val="nil"/>
              <w:bottom w:val="single" w:sz="8" w:space="0" w:color="auto"/>
              <w:right w:val="single" w:sz="8" w:space="0" w:color="auto"/>
            </w:tcBorders>
            <w:vAlign w:val="center"/>
            <w:hideMark/>
          </w:tcPr>
          <w:p w14:paraId="7C42417E" w14:textId="77777777" w:rsidR="007C050F" w:rsidRPr="000D0D06" w:rsidRDefault="007C050F" w:rsidP="007C050F">
            <w:pPr>
              <w:spacing w:before="0" w:after="0"/>
              <w:jc w:val="center"/>
              <w:rPr>
                <w:noProof/>
                <w:color w:val="000000"/>
                <w:sz w:val="14"/>
                <w:szCs w:val="14"/>
              </w:rPr>
            </w:pPr>
            <w:r w:rsidRPr="000D0D06">
              <w:rPr>
                <w:noProof/>
                <w:color w:val="000000"/>
                <w:sz w:val="14"/>
              </w:rPr>
              <w:t>3)</w:t>
            </w:r>
          </w:p>
        </w:tc>
        <w:tc>
          <w:tcPr>
            <w:tcW w:w="496" w:type="pct"/>
            <w:tcBorders>
              <w:top w:val="nil"/>
              <w:left w:val="nil"/>
              <w:bottom w:val="single" w:sz="8" w:space="0" w:color="auto"/>
              <w:right w:val="single" w:sz="8" w:space="0" w:color="auto"/>
            </w:tcBorders>
            <w:vAlign w:val="center"/>
            <w:hideMark/>
          </w:tcPr>
          <w:p w14:paraId="14D77CBB"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 xml:space="preserve"> </w:t>
            </w:r>
          </w:p>
        </w:tc>
        <w:tc>
          <w:tcPr>
            <w:tcW w:w="496" w:type="pct"/>
            <w:tcBorders>
              <w:top w:val="nil"/>
              <w:left w:val="nil"/>
              <w:bottom w:val="single" w:sz="8" w:space="0" w:color="auto"/>
              <w:right w:val="single" w:sz="8" w:space="0" w:color="auto"/>
            </w:tcBorders>
            <w:vAlign w:val="center"/>
            <w:hideMark/>
          </w:tcPr>
          <w:p w14:paraId="29D8D273"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 xml:space="preserve"> </w:t>
            </w:r>
          </w:p>
        </w:tc>
        <w:tc>
          <w:tcPr>
            <w:tcW w:w="496" w:type="pct"/>
            <w:tcBorders>
              <w:top w:val="nil"/>
              <w:left w:val="nil"/>
              <w:bottom w:val="single" w:sz="8" w:space="0" w:color="auto"/>
              <w:right w:val="single" w:sz="8" w:space="0" w:color="auto"/>
            </w:tcBorders>
            <w:vAlign w:val="center"/>
            <w:hideMark/>
          </w:tcPr>
          <w:p w14:paraId="7E0E484F"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 xml:space="preserve"> </w:t>
            </w:r>
          </w:p>
        </w:tc>
        <w:tc>
          <w:tcPr>
            <w:tcW w:w="478" w:type="pct"/>
            <w:tcBorders>
              <w:top w:val="nil"/>
              <w:left w:val="nil"/>
              <w:bottom w:val="single" w:sz="8" w:space="0" w:color="auto"/>
              <w:right w:val="single" w:sz="8" w:space="0" w:color="auto"/>
            </w:tcBorders>
            <w:vAlign w:val="center"/>
            <w:hideMark/>
          </w:tcPr>
          <w:p w14:paraId="04F90A4B"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14:paraId="610CA201"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r>
      <w:tr w:rsidR="007C050F" w:rsidRPr="000D0D06" w14:paraId="557C69B4" w14:textId="77777777">
        <w:trPr>
          <w:trHeight w:val="288"/>
        </w:trPr>
        <w:tc>
          <w:tcPr>
            <w:tcW w:w="1419" w:type="pct"/>
            <w:vMerge w:val="restart"/>
            <w:tcBorders>
              <w:top w:val="nil"/>
              <w:left w:val="single" w:sz="8" w:space="0" w:color="auto"/>
              <w:right w:val="single" w:sz="8" w:space="0" w:color="auto"/>
            </w:tcBorders>
            <w:vAlign w:val="center"/>
            <w:hideMark/>
          </w:tcPr>
          <w:p w14:paraId="4629B6D3" w14:textId="77777777" w:rsidR="007C050F" w:rsidRPr="000D0D06" w:rsidRDefault="007C050F" w:rsidP="007C050F">
            <w:pPr>
              <w:spacing w:before="0" w:after="0"/>
              <w:jc w:val="center"/>
              <w:rPr>
                <w:b/>
                <w:bCs/>
                <w:noProof/>
                <w:color w:val="000000"/>
                <w:sz w:val="22"/>
              </w:rPr>
            </w:pPr>
            <w:r w:rsidRPr="000D0D06">
              <w:rPr>
                <w:b/>
                <w:noProof/>
                <w:color w:val="000000"/>
                <w:sz w:val="22"/>
              </w:rPr>
              <w:t>TOTAL das dotações</w:t>
            </w:r>
          </w:p>
          <w:p w14:paraId="49578A94" w14:textId="77777777" w:rsidR="007C050F" w:rsidRPr="000D0D06" w:rsidRDefault="007C050F" w:rsidP="007C050F">
            <w:pPr>
              <w:spacing w:before="0" w:after="0"/>
              <w:jc w:val="center"/>
              <w:rPr>
                <w:b/>
                <w:bCs/>
                <w:noProof/>
                <w:color w:val="000000"/>
                <w:sz w:val="22"/>
              </w:rPr>
            </w:pPr>
            <w:r w:rsidRPr="000D0D06">
              <w:rPr>
                <w:b/>
                <w:noProof/>
                <w:color w:val="000000"/>
                <w:sz w:val="22"/>
              </w:rPr>
              <w:t>para a DG</w:t>
            </w:r>
            <w:r w:rsidRPr="000D0D06">
              <w:rPr>
                <w:noProof/>
                <w:color w:val="000000"/>
                <w:sz w:val="22"/>
              </w:rPr>
              <w:t xml:space="preserve"> &lt;…….&gt;</w:t>
            </w:r>
          </w:p>
        </w:tc>
        <w:tc>
          <w:tcPr>
            <w:tcW w:w="529" w:type="pct"/>
            <w:tcBorders>
              <w:top w:val="nil"/>
              <w:left w:val="nil"/>
              <w:bottom w:val="single" w:sz="8" w:space="0" w:color="auto"/>
              <w:right w:val="single" w:sz="8" w:space="0" w:color="auto"/>
            </w:tcBorders>
            <w:vAlign w:val="center"/>
            <w:hideMark/>
          </w:tcPr>
          <w:p w14:paraId="3E6C2602" w14:textId="77777777" w:rsidR="007C050F" w:rsidRPr="000D0D06" w:rsidRDefault="007C050F" w:rsidP="007C050F">
            <w:pPr>
              <w:spacing w:before="0" w:after="0"/>
              <w:rPr>
                <w:noProof/>
                <w:color w:val="000000"/>
                <w:sz w:val="18"/>
                <w:szCs w:val="18"/>
              </w:rPr>
            </w:pPr>
            <w:r w:rsidRPr="000D0D06">
              <w:rPr>
                <w:noProof/>
                <w:color w:val="000000"/>
                <w:sz w:val="18"/>
              </w:rPr>
              <w:t>Autorizações</w:t>
            </w:r>
          </w:p>
        </w:tc>
        <w:tc>
          <w:tcPr>
            <w:tcW w:w="496" w:type="pct"/>
            <w:tcBorders>
              <w:top w:val="single" w:sz="8" w:space="0" w:color="auto"/>
              <w:left w:val="nil"/>
              <w:bottom w:val="single" w:sz="8" w:space="0" w:color="auto"/>
              <w:right w:val="single" w:sz="8" w:space="0" w:color="auto"/>
            </w:tcBorders>
            <w:vAlign w:val="center"/>
            <w:hideMark/>
          </w:tcPr>
          <w:p w14:paraId="55FAF730" w14:textId="77777777" w:rsidR="007C050F" w:rsidRPr="000D0D06" w:rsidRDefault="007C050F" w:rsidP="007C050F">
            <w:pPr>
              <w:spacing w:before="0" w:after="0"/>
              <w:jc w:val="center"/>
              <w:rPr>
                <w:noProof/>
                <w:color w:val="000000"/>
                <w:sz w:val="14"/>
                <w:szCs w:val="14"/>
              </w:rPr>
            </w:pPr>
            <w:r w:rsidRPr="000D0D06">
              <w:rPr>
                <w:noProof/>
                <w:color w:val="000000"/>
                <w:sz w:val="14"/>
              </w:rPr>
              <w:t>=1a+1b+3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14:paraId="17E9CBD3"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14:paraId="7F3D19E4"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14:paraId="66174187"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14:paraId="2539C212"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14:paraId="33D6E0D7"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r>
      <w:tr w:rsidR="007C050F" w:rsidRPr="000D0D06" w14:paraId="23FDCB8C" w14:textId="77777777">
        <w:trPr>
          <w:trHeight w:val="288"/>
        </w:trPr>
        <w:tc>
          <w:tcPr>
            <w:tcW w:w="1419" w:type="pct"/>
            <w:vMerge/>
            <w:vAlign w:val="center"/>
            <w:hideMark/>
          </w:tcPr>
          <w:p w14:paraId="20EFF0D0" w14:textId="77777777" w:rsidR="007C050F" w:rsidRPr="000D0D06" w:rsidRDefault="007C050F" w:rsidP="007C050F">
            <w:pPr>
              <w:spacing w:before="0" w:after="0"/>
              <w:jc w:val="center"/>
              <w:rPr>
                <w:b/>
                <w:bCs/>
                <w:noProof/>
                <w:color w:val="000000"/>
                <w:sz w:val="22"/>
                <w:lang w:eastAsia="en-IE"/>
              </w:rPr>
            </w:pPr>
          </w:p>
        </w:tc>
        <w:tc>
          <w:tcPr>
            <w:tcW w:w="529" w:type="pct"/>
            <w:tcBorders>
              <w:top w:val="nil"/>
              <w:left w:val="single" w:sz="8" w:space="0" w:color="auto"/>
              <w:bottom w:val="single" w:sz="8" w:space="0" w:color="auto"/>
              <w:right w:val="single" w:sz="8" w:space="0" w:color="auto"/>
            </w:tcBorders>
            <w:vAlign w:val="center"/>
            <w:hideMark/>
          </w:tcPr>
          <w:p w14:paraId="2FF62DE9" w14:textId="77777777" w:rsidR="007C050F" w:rsidRPr="000D0D06" w:rsidRDefault="007C050F" w:rsidP="007C050F">
            <w:pPr>
              <w:spacing w:before="0" w:after="0"/>
              <w:rPr>
                <w:noProof/>
                <w:color w:val="000000"/>
                <w:sz w:val="18"/>
                <w:szCs w:val="18"/>
              </w:rPr>
            </w:pPr>
            <w:r w:rsidRPr="000D0D06">
              <w:rPr>
                <w:noProof/>
                <w:color w:val="000000"/>
                <w:sz w:val="18"/>
              </w:rPr>
              <w:t>Pagamentos</w:t>
            </w:r>
          </w:p>
        </w:tc>
        <w:tc>
          <w:tcPr>
            <w:tcW w:w="496" w:type="pct"/>
            <w:tcBorders>
              <w:top w:val="single" w:sz="8" w:space="0" w:color="auto"/>
              <w:left w:val="nil"/>
              <w:bottom w:val="single" w:sz="8" w:space="0" w:color="auto"/>
              <w:right w:val="single" w:sz="8" w:space="0" w:color="auto"/>
            </w:tcBorders>
            <w:vAlign w:val="center"/>
            <w:hideMark/>
          </w:tcPr>
          <w:p w14:paraId="124C0F07" w14:textId="77777777" w:rsidR="007C050F" w:rsidRPr="000D0D06" w:rsidRDefault="007C050F" w:rsidP="007C050F">
            <w:pPr>
              <w:spacing w:before="0" w:after="0"/>
              <w:jc w:val="center"/>
              <w:rPr>
                <w:noProof/>
                <w:color w:val="000000"/>
                <w:sz w:val="14"/>
                <w:szCs w:val="14"/>
              </w:rPr>
            </w:pPr>
            <w:r w:rsidRPr="000D0D06">
              <w:rPr>
                <w:noProof/>
                <w:color w:val="000000"/>
                <w:sz w:val="14"/>
              </w:rPr>
              <w:t>=2a+2b+3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14:paraId="0AE928AF"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14:paraId="2DCA6A56"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14:paraId="495E37E3"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14:paraId="3E92E6B7"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14:paraId="24A9DFDC"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r>
    </w:tbl>
    <w:p w14:paraId="5A767E6B" w14:textId="77777777" w:rsidR="007C050F" w:rsidRPr="000D0D06" w:rsidRDefault="007C050F" w:rsidP="007C050F">
      <w:pPr>
        <w:rPr>
          <w:noProof/>
          <w:color w:val="008000"/>
        </w:rPr>
      </w:pPr>
      <w:r w:rsidRPr="000D0D06">
        <w:rPr>
          <w:noProof/>
          <w:color w:val="008000"/>
        </w:rPr>
        <w:t>================================================================================================</w:t>
      </w:r>
    </w:p>
    <w:p w14:paraId="0EDCB06E" w14:textId="77777777" w:rsidR="007C050F" w:rsidRPr="000D0D06" w:rsidRDefault="007C050F" w:rsidP="007C050F">
      <w:pPr>
        <w:jc w:val="left"/>
        <w:rPr>
          <w:noProof/>
          <w:color w:val="008000"/>
        </w:rPr>
      </w:pPr>
      <w:r w:rsidRPr="000D0D06">
        <w:rPr>
          <w:noProof/>
          <w:color w:val="008000"/>
        </w:rPr>
        <w:t>Esta secção deve ser preenchida com «dados orçamentais de natureza administrativa» a inserir em primeiro lugar no anexo da ficha financeira e digital legislativa (anexo 5</w:t>
      </w:r>
      <w:r w:rsidRPr="000D0D06">
        <w:rPr>
          <w:rStyle w:val="FootnoteReference"/>
          <w:noProof/>
        </w:rPr>
        <w:footnoteReference w:id="46"/>
      </w:r>
      <w:r w:rsidRPr="000D0D06">
        <w:rPr>
          <w:noProof/>
          <w:color w:val="008000"/>
        </w:rPr>
        <w:t xml:space="preserve"> da Decisão da Comissão relativa às regras internas para a execução da secção «Comissão Europeia» do orçamento geral da União Europeia), que é carregado no DECIDE para efeitos das consultas interserviços.</w:t>
      </w:r>
    </w:p>
    <w:tbl>
      <w:tblPr>
        <w:tblW w:w="5000" w:type="pct"/>
        <w:tblLook w:val="04A0" w:firstRow="1" w:lastRow="0" w:firstColumn="1" w:lastColumn="0" w:noHBand="0" w:noVBand="1"/>
      </w:tblPr>
      <w:tblGrid>
        <w:gridCol w:w="4702"/>
        <w:gridCol w:w="2645"/>
        <w:gridCol w:w="637"/>
        <w:gridCol w:w="640"/>
        <w:gridCol w:w="1069"/>
        <w:gridCol w:w="1069"/>
        <w:gridCol w:w="1069"/>
        <w:gridCol w:w="1069"/>
        <w:gridCol w:w="1320"/>
      </w:tblGrid>
      <w:tr w:rsidR="007C050F" w:rsidRPr="000D0D06" w14:paraId="3AF59532" w14:textId="77777777">
        <w:trPr>
          <w:trHeight w:val="288"/>
        </w:trPr>
        <w:tc>
          <w:tcPr>
            <w:tcW w:w="3032" w:type="pct"/>
            <w:gridSpan w:val="4"/>
            <w:vMerge w:val="restart"/>
            <w:tcBorders>
              <w:top w:val="single" w:sz="8" w:space="0" w:color="auto"/>
              <w:left w:val="single" w:sz="8" w:space="0" w:color="auto"/>
              <w:bottom w:val="single" w:sz="8" w:space="0" w:color="auto"/>
              <w:right w:val="single" w:sz="8" w:space="0" w:color="auto"/>
            </w:tcBorders>
            <w:vAlign w:val="center"/>
            <w:hideMark/>
          </w:tcPr>
          <w:p w14:paraId="43693278" w14:textId="77777777" w:rsidR="007C050F" w:rsidRPr="000D0D06" w:rsidRDefault="007C050F" w:rsidP="007C050F">
            <w:pPr>
              <w:spacing w:before="0" w:after="0"/>
              <w:jc w:val="center"/>
              <w:rPr>
                <w:noProof/>
                <w:color w:val="000000"/>
                <w:szCs w:val="24"/>
              </w:rPr>
            </w:pPr>
            <w:r w:rsidRPr="000D0D06">
              <w:rPr>
                <w:noProof/>
                <w:color w:val="000000"/>
              </w:rPr>
              <w:t>DG: &lt;…….&gt;</w:t>
            </w:r>
          </w:p>
        </w:tc>
        <w:tc>
          <w:tcPr>
            <w:tcW w:w="376" w:type="pct"/>
            <w:tcBorders>
              <w:top w:val="single" w:sz="8" w:space="0" w:color="auto"/>
              <w:left w:val="nil"/>
              <w:bottom w:val="nil"/>
              <w:right w:val="single" w:sz="8" w:space="0" w:color="auto"/>
            </w:tcBorders>
            <w:vAlign w:val="center"/>
            <w:hideMark/>
          </w:tcPr>
          <w:p w14:paraId="35C1FC83" w14:textId="77777777" w:rsidR="007C050F" w:rsidRPr="000D0D06" w:rsidRDefault="007C050F" w:rsidP="007C050F">
            <w:pPr>
              <w:spacing w:before="0" w:after="0"/>
              <w:jc w:val="center"/>
              <w:rPr>
                <w:noProof/>
                <w:color w:val="000000"/>
                <w:sz w:val="20"/>
                <w:szCs w:val="20"/>
              </w:rPr>
            </w:pPr>
            <w:r w:rsidRPr="000D0D06">
              <w:rPr>
                <w:noProof/>
                <w:color w:val="000000"/>
                <w:sz w:val="20"/>
              </w:rPr>
              <w:t>Ano</w:t>
            </w:r>
          </w:p>
        </w:tc>
        <w:tc>
          <w:tcPr>
            <w:tcW w:w="376" w:type="pct"/>
            <w:tcBorders>
              <w:top w:val="single" w:sz="8" w:space="0" w:color="auto"/>
              <w:left w:val="nil"/>
              <w:bottom w:val="nil"/>
              <w:right w:val="single" w:sz="8" w:space="0" w:color="auto"/>
            </w:tcBorders>
            <w:vAlign w:val="center"/>
            <w:hideMark/>
          </w:tcPr>
          <w:p w14:paraId="6E00FC0A" w14:textId="77777777" w:rsidR="007C050F" w:rsidRPr="000D0D06" w:rsidRDefault="007C050F" w:rsidP="007C050F">
            <w:pPr>
              <w:spacing w:before="0" w:after="0"/>
              <w:jc w:val="center"/>
              <w:rPr>
                <w:noProof/>
                <w:color w:val="000000"/>
                <w:sz w:val="20"/>
                <w:szCs w:val="20"/>
              </w:rPr>
            </w:pPr>
            <w:r w:rsidRPr="000D0D06">
              <w:rPr>
                <w:noProof/>
                <w:color w:val="000000"/>
                <w:sz w:val="20"/>
              </w:rPr>
              <w:t>Ano</w:t>
            </w:r>
          </w:p>
        </w:tc>
        <w:tc>
          <w:tcPr>
            <w:tcW w:w="376" w:type="pct"/>
            <w:tcBorders>
              <w:top w:val="single" w:sz="8" w:space="0" w:color="auto"/>
              <w:left w:val="nil"/>
              <w:bottom w:val="nil"/>
              <w:right w:val="single" w:sz="8" w:space="0" w:color="auto"/>
            </w:tcBorders>
            <w:vAlign w:val="center"/>
            <w:hideMark/>
          </w:tcPr>
          <w:p w14:paraId="36D1EC4B" w14:textId="77777777" w:rsidR="007C050F" w:rsidRPr="000D0D06" w:rsidRDefault="007C050F" w:rsidP="007C050F">
            <w:pPr>
              <w:spacing w:before="0" w:after="0"/>
              <w:jc w:val="center"/>
              <w:rPr>
                <w:noProof/>
                <w:color w:val="000000"/>
                <w:sz w:val="20"/>
                <w:szCs w:val="20"/>
              </w:rPr>
            </w:pPr>
            <w:r w:rsidRPr="000D0D06">
              <w:rPr>
                <w:noProof/>
                <w:color w:val="000000"/>
                <w:sz w:val="20"/>
              </w:rPr>
              <w:t>Ano</w:t>
            </w:r>
          </w:p>
        </w:tc>
        <w:tc>
          <w:tcPr>
            <w:tcW w:w="376" w:type="pct"/>
            <w:tcBorders>
              <w:top w:val="single" w:sz="8" w:space="0" w:color="auto"/>
              <w:left w:val="nil"/>
              <w:bottom w:val="nil"/>
              <w:right w:val="single" w:sz="8" w:space="0" w:color="auto"/>
            </w:tcBorders>
            <w:vAlign w:val="center"/>
            <w:hideMark/>
          </w:tcPr>
          <w:p w14:paraId="2E62B903" w14:textId="77777777" w:rsidR="007C050F" w:rsidRPr="000D0D06" w:rsidRDefault="007C050F" w:rsidP="007C050F">
            <w:pPr>
              <w:spacing w:before="0" w:after="0"/>
              <w:jc w:val="center"/>
              <w:rPr>
                <w:noProof/>
                <w:color w:val="000000"/>
                <w:sz w:val="20"/>
                <w:szCs w:val="20"/>
              </w:rPr>
            </w:pPr>
            <w:r w:rsidRPr="000D0D06">
              <w:rPr>
                <w:noProof/>
                <w:color w:val="000000"/>
                <w:sz w:val="20"/>
              </w:rPr>
              <w:t>Ano</w:t>
            </w:r>
          </w:p>
        </w:tc>
        <w:tc>
          <w:tcPr>
            <w:tcW w:w="465" w:type="pct"/>
            <w:vMerge w:val="restart"/>
            <w:tcBorders>
              <w:top w:val="single" w:sz="8" w:space="0" w:color="auto"/>
              <w:left w:val="single" w:sz="8" w:space="0" w:color="auto"/>
              <w:bottom w:val="single" w:sz="8" w:space="0" w:color="000000"/>
              <w:right w:val="single" w:sz="8" w:space="0" w:color="auto"/>
            </w:tcBorders>
            <w:vAlign w:val="center"/>
            <w:hideMark/>
          </w:tcPr>
          <w:p w14:paraId="1C6071AC" w14:textId="77777777" w:rsidR="007C050F" w:rsidRPr="000D0D06" w:rsidRDefault="007C050F" w:rsidP="007C050F">
            <w:pPr>
              <w:spacing w:before="0" w:after="0"/>
              <w:jc w:val="center"/>
              <w:rPr>
                <w:b/>
                <w:bCs/>
                <w:noProof/>
                <w:color w:val="000000"/>
                <w:sz w:val="20"/>
                <w:szCs w:val="20"/>
              </w:rPr>
            </w:pPr>
            <w:r w:rsidRPr="000D0D06">
              <w:rPr>
                <w:b/>
                <w:noProof/>
                <w:color w:val="000000"/>
                <w:sz w:val="20"/>
              </w:rPr>
              <w:t>TOTAL QFP 2021-2027</w:t>
            </w:r>
          </w:p>
        </w:tc>
      </w:tr>
      <w:tr w:rsidR="007C050F" w:rsidRPr="000D0D06" w14:paraId="11FD5859" w14:textId="77777777">
        <w:trPr>
          <w:trHeight w:val="300"/>
        </w:trPr>
        <w:tc>
          <w:tcPr>
            <w:tcW w:w="3032" w:type="pct"/>
            <w:gridSpan w:val="4"/>
            <w:vMerge/>
            <w:tcBorders>
              <w:top w:val="single" w:sz="8" w:space="0" w:color="auto"/>
              <w:left w:val="single" w:sz="8" w:space="0" w:color="auto"/>
              <w:bottom w:val="single" w:sz="8" w:space="0" w:color="auto"/>
              <w:right w:val="single" w:sz="8" w:space="0" w:color="auto"/>
            </w:tcBorders>
            <w:vAlign w:val="center"/>
            <w:hideMark/>
          </w:tcPr>
          <w:p w14:paraId="7A698477" w14:textId="77777777" w:rsidR="007C050F" w:rsidRPr="000D0D06" w:rsidRDefault="007C050F" w:rsidP="007C050F">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vAlign w:val="center"/>
            <w:hideMark/>
          </w:tcPr>
          <w:p w14:paraId="3D0BB940" w14:textId="77777777" w:rsidR="007C050F" w:rsidRPr="000D0D06" w:rsidRDefault="007C050F" w:rsidP="007C050F">
            <w:pPr>
              <w:spacing w:before="0" w:after="0"/>
              <w:jc w:val="center"/>
              <w:rPr>
                <w:b/>
                <w:bCs/>
                <w:noProof/>
                <w:color w:val="000000"/>
                <w:sz w:val="20"/>
                <w:szCs w:val="20"/>
              </w:rPr>
            </w:pPr>
            <w:r w:rsidRPr="000D0D06">
              <w:rPr>
                <w:b/>
                <w:noProof/>
                <w:color w:val="000000"/>
                <w:sz w:val="20"/>
              </w:rPr>
              <w:t>2024</w:t>
            </w:r>
          </w:p>
        </w:tc>
        <w:tc>
          <w:tcPr>
            <w:tcW w:w="376" w:type="pct"/>
            <w:tcBorders>
              <w:top w:val="nil"/>
              <w:left w:val="nil"/>
              <w:bottom w:val="single" w:sz="8" w:space="0" w:color="auto"/>
              <w:right w:val="single" w:sz="8" w:space="0" w:color="auto"/>
            </w:tcBorders>
            <w:vAlign w:val="center"/>
            <w:hideMark/>
          </w:tcPr>
          <w:p w14:paraId="05CE9502" w14:textId="77777777" w:rsidR="007C050F" w:rsidRPr="000D0D06" w:rsidRDefault="007C050F" w:rsidP="007C050F">
            <w:pPr>
              <w:spacing w:before="0" w:after="0"/>
              <w:jc w:val="center"/>
              <w:rPr>
                <w:b/>
                <w:bCs/>
                <w:noProof/>
                <w:color w:val="000000"/>
                <w:sz w:val="20"/>
                <w:szCs w:val="20"/>
              </w:rPr>
            </w:pPr>
            <w:r w:rsidRPr="000D0D06">
              <w:rPr>
                <w:b/>
                <w:noProof/>
                <w:color w:val="000000"/>
                <w:sz w:val="20"/>
              </w:rPr>
              <w:t>2025</w:t>
            </w:r>
          </w:p>
        </w:tc>
        <w:tc>
          <w:tcPr>
            <w:tcW w:w="376" w:type="pct"/>
            <w:tcBorders>
              <w:top w:val="nil"/>
              <w:left w:val="nil"/>
              <w:bottom w:val="single" w:sz="8" w:space="0" w:color="auto"/>
              <w:right w:val="single" w:sz="8" w:space="0" w:color="auto"/>
            </w:tcBorders>
            <w:vAlign w:val="center"/>
            <w:hideMark/>
          </w:tcPr>
          <w:p w14:paraId="61372F83" w14:textId="77777777" w:rsidR="007C050F" w:rsidRPr="000D0D06" w:rsidRDefault="007C050F" w:rsidP="007C050F">
            <w:pPr>
              <w:spacing w:before="0" w:after="0"/>
              <w:jc w:val="center"/>
              <w:rPr>
                <w:b/>
                <w:bCs/>
                <w:noProof/>
                <w:color w:val="000000"/>
                <w:sz w:val="20"/>
                <w:szCs w:val="20"/>
              </w:rPr>
            </w:pPr>
            <w:r w:rsidRPr="000D0D06">
              <w:rPr>
                <w:b/>
                <w:noProof/>
                <w:color w:val="000000"/>
                <w:sz w:val="20"/>
              </w:rPr>
              <w:t>2026</w:t>
            </w:r>
          </w:p>
        </w:tc>
        <w:tc>
          <w:tcPr>
            <w:tcW w:w="376" w:type="pct"/>
            <w:tcBorders>
              <w:top w:val="nil"/>
              <w:left w:val="nil"/>
              <w:bottom w:val="single" w:sz="8" w:space="0" w:color="auto"/>
              <w:right w:val="single" w:sz="8" w:space="0" w:color="auto"/>
            </w:tcBorders>
            <w:vAlign w:val="center"/>
            <w:hideMark/>
          </w:tcPr>
          <w:p w14:paraId="1D26A0DD" w14:textId="77777777" w:rsidR="007C050F" w:rsidRPr="000D0D06" w:rsidRDefault="007C050F" w:rsidP="007C050F">
            <w:pPr>
              <w:spacing w:before="0" w:after="0"/>
              <w:jc w:val="center"/>
              <w:rPr>
                <w:b/>
                <w:bCs/>
                <w:noProof/>
                <w:color w:val="000000"/>
                <w:sz w:val="20"/>
                <w:szCs w:val="20"/>
              </w:rPr>
            </w:pPr>
            <w:r w:rsidRPr="000D0D06">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14:paraId="6DF603D1" w14:textId="77777777" w:rsidR="007C050F" w:rsidRPr="000D0D06" w:rsidRDefault="007C050F" w:rsidP="007C050F">
            <w:pPr>
              <w:spacing w:before="0" w:after="0"/>
              <w:jc w:val="left"/>
              <w:rPr>
                <w:b/>
                <w:bCs/>
                <w:noProof/>
                <w:color w:val="000000"/>
                <w:sz w:val="20"/>
                <w:szCs w:val="20"/>
                <w:lang w:eastAsia="en-IE"/>
              </w:rPr>
            </w:pPr>
          </w:p>
        </w:tc>
      </w:tr>
      <w:tr w:rsidR="007C050F" w:rsidRPr="000D0D06" w14:paraId="2E086D7E" w14:textId="77777777">
        <w:trPr>
          <w:trHeight w:val="300"/>
        </w:trPr>
        <w:tc>
          <w:tcPr>
            <w:tcW w:w="3032" w:type="pct"/>
            <w:gridSpan w:val="4"/>
            <w:tcBorders>
              <w:top w:val="single" w:sz="8" w:space="0" w:color="auto"/>
              <w:left w:val="single" w:sz="8" w:space="0" w:color="auto"/>
              <w:bottom w:val="single" w:sz="8" w:space="0" w:color="auto"/>
              <w:right w:val="single" w:sz="8" w:space="0" w:color="auto"/>
            </w:tcBorders>
            <w:vAlign w:val="center"/>
            <w:hideMark/>
          </w:tcPr>
          <w:p w14:paraId="3F3305B4" w14:textId="77777777" w:rsidR="007C050F" w:rsidRPr="000D0D06" w:rsidRDefault="007C050F" w:rsidP="007C050F">
            <w:pPr>
              <w:spacing w:before="0" w:after="0"/>
              <w:jc w:val="left"/>
              <w:rPr>
                <w:rFonts w:ascii="Wingdings" w:hAnsi="Wingdings" w:cs="Calibri"/>
                <w:noProof/>
                <w:color w:val="000000"/>
                <w:sz w:val="22"/>
              </w:rPr>
            </w:pPr>
            <w:r w:rsidRPr="000D0D06">
              <w:rPr>
                <w:rFonts w:ascii="Wingdings" w:hAnsi="Wingdings"/>
                <w:noProof/>
                <w:color w:val="000000"/>
                <w:sz w:val="22"/>
              </w:rPr>
              <w:t></w:t>
            </w:r>
            <w:r w:rsidRPr="000D0D06">
              <w:rPr>
                <w:noProof/>
                <w:color w:val="000000"/>
                <w:sz w:val="22"/>
              </w:rPr>
              <w:t xml:space="preserve"> Recursos humanos </w:t>
            </w:r>
          </w:p>
        </w:tc>
        <w:tc>
          <w:tcPr>
            <w:tcW w:w="376" w:type="pct"/>
            <w:tcBorders>
              <w:top w:val="nil"/>
              <w:left w:val="nil"/>
              <w:bottom w:val="single" w:sz="8" w:space="0" w:color="auto"/>
              <w:right w:val="single" w:sz="8" w:space="0" w:color="auto"/>
            </w:tcBorders>
            <w:shd w:val="clear" w:color="000000" w:fill="D9D9D9"/>
            <w:vAlign w:val="center"/>
            <w:hideMark/>
          </w:tcPr>
          <w:p w14:paraId="236EAD26" w14:textId="77777777" w:rsidR="007C050F" w:rsidRPr="000D0D06" w:rsidRDefault="007C050F" w:rsidP="007C050F">
            <w:pPr>
              <w:spacing w:before="0" w:after="0"/>
              <w:jc w:val="right"/>
              <w:rPr>
                <w:noProof/>
                <w:color w:val="000000"/>
                <w:sz w:val="20"/>
                <w:szCs w:val="20"/>
              </w:rPr>
            </w:pPr>
            <w:r w:rsidRPr="000D0D06">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67F54DB7" w14:textId="77777777" w:rsidR="007C050F" w:rsidRPr="000D0D06" w:rsidRDefault="007C050F" w:rsidP="007C050F">
            <w:pPr>
              <w:spacing w:before="0" w:after="0"/>
              <w:jc w:val="right"/>
              <w:rPr>
                <w:noProof/>
                <w:color w:val="000000"/>
                <w:sz w:val="20"/>
                <w:szCs w:val="20"/>
              </w:rPr>
            </w:pPr>
            <w:r w:rsidRPr="000D0D06">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48B34730" w14:textId="77777777" w:rsidR="007C050F" w:rsidRPr="000D0D06" w:rsidRDefault="007C050F" w:rsidP="007C050F">
            <w:pPr>
              <w:spacing w:before="0" w:after="0"/>
              <w:jc w:val="right"/>
              <w:rPr>
                <w:noProof/>
                <w:color w:val="000000"/>
                <w:sz w:val="20"/>
                <w:szCs w:val="20"/>
              </w:rPr>
            </w:pPr>
            <w:r w:rsidRPr="000D0D06">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20BED0E2" w14:textId="77777777" w:rsidR="007C050F" w:rsidRPr="000D0D06" w:rsidRDefault="007C050F" w:rsidP="007C050F">
            <w:pPr>
              <w:spacing w:before="0" w:after="0"/>
              <w:jc w:val="right"/>
              <w:rPr>
                <w:noProof/>
                <w:color w:val="000000"/>
                <w:sz w:val="20"/>
                <w:szCs w:val="20"/>
              </w:rPr>
            </w:pPr>
            <w:r w:rsidRPr="000D0D06">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14:paraId="53603CC7"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r>
      <w:tr w:rsidR="007C050F" w:rsidRPr="000D0D06" w14:paraId="1E029B1E" w14:textId="77777777">
        <w:trPr>
          <w:trHeight w:val="300"/>
        </w:trPr>
        <w:tc>
          <w:tcPr>
            <w:tcW w:w="3032" w:type="pct"/>
            <w:gridSpan w:val="4"/>
            <w:tcBorders>
              <w:top w:val="single" w:sz="8" w:space="0" w:color="auto"/>
              <w:left w:val="single" w:sz="8" w:space="0" w:color="auto"/>
              <w:bottom w:val="single" w:sz="8" w:space="0" w:color="auto"/>
              <w:right w:val="single" w:sz="8" w:space="0" w:color="auto"/>
            </w:tcBorders>
            <w:vAlign w:val="center"/>
            <w:hideMark/>
          </w:tcPr>
          <w:p w14:paraId="145D5464" w14:textId="77777777" w:rsidR="007C050F" w:rsidRPr="000D0D06" w:rsidRDefault="007C050F" w:rsidP="007C050F">
            <w:pPr>
              <w:spacing w:before="0" w:after="0"/>
              <w:jc w:val="left"/>
              <w:rPr>
                <w:rFonts w:ascii="Wingdings" w:hAnsi="Wingdings" w:cs="Calibri"/>
                <w:noProof/>
                <w:color w:val="000000"/>
                <w:sz w:val="22"/>
              </w:rPr>
            </w:pPr>
            <w:r w:rsidRPr="000D0D06">
              <w:rPr>
                <w:rFonts w:ascii="Wingdings" w:hAnsi="Wingdings"/>
                <w:noProof/>
                <w:color w:val="000000"/>
                <w:sz w:val="22"/>
              </w:rPr>
              <w:t></w:t>
            </w:r>
            <w:r w:rsidRPr="000D0D06">
              <w:rPr>
                <w:noProof/>
                <w:color w:val="000000"/>
                <w:sz w:val="22"/>
              </w:rPr>
              <w:t xml:space="preserve"> Outras despesas administrativas </w:t>
            </w:r>
          </w:p>
        </w:tc>
        <w:tc>
          <w:tcPr>
            <w:tcW w:w="376" w:type="pct"/>
            <w:tcBorders>
              <w:top w:val="nil"/>
              <w:left w:val="nil"/>
              <w:bottom w:val="single" w:sz="8" w:space="0" w:color="auto"/>
              <w:right w:val="single" w:sz="8" w:space="0" w:color="auto"/>
            </w:tcBorders>
            <w:shd w:val="clear" w:color="000000" w:fill="D9D9D9"/>
            <w:vAlign w:val="center"/>
            <w:hideMark/>
          </w:tcPr>
          <w:p w14:paraId="5B7B3D18" w14:textId="77777777" w:rsidR="007C050F" w:rsidRPr="000D0D06" w:rsidRDefault="007C050F" w:rsidP="007C050F">
            <w:pPr>
              <w:spacing w:before="0" w:after="0"/>
              <w:jc w:val="right"/>
              <w:rPr>
                <w:noProof/>
                <w:color w:val="000000"/>
                <w:sz w:val="20"/>
                <w:szCs w:val="20"/>
              </w:rPr>
            </w:pPr>
            <w:r w:rsidRPr="000D0D06">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21E3A779" w14:textId="77777777" w:rsidR="007C050F" w:rsidRPr="000D0D06" w:rsidRDefault="007C050F" w:rsidP="007C050F">
            <w:pPr>
              <w:spacing w:before="0" w:after="0"/>
              <w:jc w:val="right"/>
              <w:rPr>
                <w:noProof/>
                <w:color w:val="000000"/>
                <w:sz w:val="20"/>
                <w:szCs w:val="20"/>
              </w:rPr>
            </w:pPr>
            <w:r w:rsidRPr="000D0D06">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359C9A0F" w14:textId="77777777" w:rsidR="007C050F" w:rsidRPr="000D0D06" w:rsidRDefault="007C050F" w:rsidP="007C050F">
            <w:pPr>
              <w:spacing w:before="0" w:after="0"/>
              <w:jc w:val="right"/>
              <w:rPr>
                <w:noProof/>
                <w:color w:val="000000"/>
                <w:sz w:val="20"/>
                <w:szCs w:val="20"/>
              </w:rPr>
            </w:pPr>
            <w:r w:rsidRPr="000D0D06">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53CF07C4" w14:textId="77777777" w:rsidR="007C050F" w:rsidRPr="000D0D06" w:rsidRDefault="007C050F" w:rsidP="007C050F">
            <w:pPr>
              <w:spacing w:before="0" w:after="0"/>
              <w:jc w:val="right"/>
              <w:rPr>
                <w:noProof/>
                <w:color w:val="000000"/>
                <w:sz w:val="20"/>
                <w:szCs w:val="20"/>
              </w:rPr>
            </w:pPr>
            <w:r w:rsidRPr="000D0D06">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14:paraId="4869CDA2"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r>
      <w:tr w:rsidR="007C050F" w:rsidRPr="000D0D06" w14:paraId="2BC8D2E7" w14:textId="77777777">
        <w:trPr>
          <w:trHeight w:val="300"/>
        </w:trPr>
        <w:tc>
          <w:tcPr>
            <w:tcW w:w="1653" w:type="pct"/>
            <w:tcBorders>
              <w:top w:val="nil"/>
              <w:left w:val="single" w:sz="8" w:space="0" w:color="auto"/>
              <w:bottom w:val="single" w:sz="8" w:space="0" w:color="auto"/>
              <w:right w:val="single" w:sz="8" w:space="0" w:color="auto"/>
            </w:tcBorders>
            <w:vAlign w:val="center"/>
            <w:hideMark/>
          </w:tcPr>
          <w:p w14:paraId="65058A83" w14:textId="77777777" w:rsidR="007C050F" w:rsidRPr="000D0D06" w:rsidRDefault="007C050F" w:rsidP="007C050F">
            <w:pPr>
              <w:spacing w:before="0" w:after="0"/>
              <w:jc w:val="center"/>
              <w:rPr>
                <w:b/>
                <w:bCs/>
                <w:noProof/>
                <w:color w:val="000000"/>
                <w:sz w:val="22"/>
              </w:rPr>
            </w:pPr>
            <w:r w:rsidRPr="000D0D06">
              <w:rPr>
                <w:b/>
                <w:noProof/>
                <w:color w:val="000000"/>
                <w:sz w:val="22"/>
              </w:rPr>
              <w:t>TOTAL DG</w:t>
            </w:r>
            <w:r w:rsidRPr="000D0D06">
              <w:rPr>
                <w:noProof/>
                <w:color w:val="000000"/>
                <w:sz w:val="22"/>
              </w:rPr>
              <w:t xml:space="preserve"> &lt;…….&gt;</w:t>
            </w:r>
          </w:p>
        </w:tc>
        <w:tc>
          <w:tcPr>
            <w:tcW w:w="1378" w:type="pct"/>
            <w:gridSpan w:val="3"/>
            <w:tcBorders>
              <w:top w:val="single" w:sz="8" w:space="0" w:color="auto"/>
              <w:left w:val="nil"/>
              <w:bottom w:val="single" w:sz="8" w:space="0" w:color="auto"/>
              <w:right w:val="single" w:sz="8" w:space="0" w:color="auto"/>
            </w:tcBorders>
            <w:vAlign w:val="center"/>
            <w:hideMark/>
          </w:tcPr>
          <w:p w14:paraId="209FC1C5" w14:textId="77777777" w:rsidR="007C050F" w:rsidRPr="000D0D06" w:rsidRDefault="007C050F" w:rsidP="007C050F">
            <w:pPr>
              <w:spacing w:before="0" w:after="0"/>
              <w:jc w:val="left"/>
              <w:rPr>
                <w:noProof/>
                <w:color w:val="000000"/>
                <w:sz w:val="18"/>
                <w:szCs w:val="18"/>
              </w:rPr>
            </w:pPr>
            <w:r w:rsidRPr="000D0D06">
              <w:rPr>
                <w:noProof/>
                <w:color w:val="000000"/>
                <w:sz w:val="18"/>
              </w:rPr>
              <w:t xml:space="preserve">Dotações </w:t>
            </w:r>
          </w:p>
        </w:tc>
        <w:tc>
          <w:tcPr>
            <w:tcW w:w="376" w:type="pct"/>
            <w:tcBorders>
              <w:top w:val="nil"/>
              <w:left w:val="nil"/>
              <w:bottom w:val="single" w:sz="8" w:space="0" w:color="auto"/>
              <w:right w:val="single" w:sz="8" w:space="0" w:color="auto"/>
            </w:tcBorders>
            <w:shd w:val="clear" w:color="000000" w:fill="D9D9D9"/>
            <w:vAlign w:val="center"/>
            <w:hideMark/>
          </w:tcPr>
          <w:p w14:paraId="2BD977E9"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50D9FB36"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55873117"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3E731D77"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14:paraId="613E3D76"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r>
      <w:tr w:rsidR="007C050F" w:rsidRPr="000D0D06" w14:paraId="0EF602CD" w14:textId="77777777">
        <w:trPr>
          <w:trHeight w:val="300"/>
        </w:trPr>
        <w:tc>
          <w:tcPr>
            <w:tcW w:w="1653" w:type="pct"/>
            <w:tcBorders>
              <w:top w:val="nil"/>
              <w:left w:val="nil"/>
              <w:bottom w:val="nil"/>
              <w:right w:val="nil"/>
            </w:tcBorders>
            <w:noWrap/>
            <w:vAlign w:val="bottom"/>
            <w:hideMark/>
          </w:tcPr>
          <w:p w14:paraId="524FA522" w14:textId="77777777" w:rsidR="007C050F" w:rsidRPr="000D0D06" w:rsidRDefault="007C050F" w:rsidP="007C050F">
            <w:pPr>
              <w:spacing w:before="0" w:after="0"/>
              <w:jc w:val="right"/>
              <w:rPr>
                <w:b/>
                <w:bCs/>
                <w:noProof/>
                <w:color w:val="000000"/>
                <w:sz w:val="20"/>
                <w:szCs w:val="20"/>
                <w:lang w:eastAsia="en-IE"/>
              </w:rPr>
            </w:pPr>
          </w:p>
        </w:tc>
        <w:tc>
          <w:tcPr>
            <w:tcW w:w="929" w:type="pct"/>
            <w:tcBorders>
              <w:top w:val="nil"/>
              <w:left w:val="nil"/>
              <w:bottom w:val="nil"/>
              <w:right w:val="nil"/>
            </w:tcBorders>
            <w:noWrap/>
            <w:vAlign w:val="bottom"/>
            <w:hideMark/>
          </w:tcPr>
          <w:p w14:paraId="547EF28D" w14:textId="77777777" w:rsidR="007C050F" w:rsidRPr="000D0D06" w:rsidRDefault="007C050F" w:rsidP="007C050F">
            <w:pPr>
              <w:spacing w:before="0" w:after="0"/>
              <w:jc w:val="left"/>
              <w:rPr>
                <w:noProof/>
                <w:sz w:val="20"/>
                <w:szCs w:val="20"/>
                <w:lang w:eastAsia="en-IE"/>
              </w:rPr>
            </w:pPr>
          </w:p>
        </w:tc>
        <w:tc>
          <w:tcPr>
            <w:tcW w:w="224" w:type="pct"/>
            <w:tcBorders>
              <w:top w:val="nil"/>
              <w:left w:val="nil"/>
              <w:bottom w:val="nil"/>
              <w:right w:val="nil"/>
            </w:tcBorders>
            <w:noWrap/>
            <w:vAlign w:val="bottom"/>
            <w:hideMark/>
          </w:tcPr>
          <w:p w14:paraId="252BE5F6" w14:textId="77777777" w:rsidR="007C050F" w:rsidRPr="000D0D06" w:rsidRDefault="007C050F" w:rsidP="007C050F">
            <w:pPr>
              <w:spacing w:before="0" w:after="0"/>
              <w:jc w:val="left"/>
              <w:rPr>
                <w:noProof/>
                <w:sz w:val="20"/>
                <w:szCs w:val="20"/>
                <w:lang w:eastAsia="en-IE"/>
              </w:rPr>
            </w:pPr>
          </w:p>
        </w:tc>
        <w:tc>
          <w:tcPr>
            <w:tcW w:w="225" w:type="pct"/>
            <w:tcBorders>
              <w:top w:val="nil"/>
              <w:left w:val="nil"/>
              <w:bottom w:val="nil"/>
              <w:right w:val="nil"/>
            </w:tcBorders>
            <w:noWrap/>
            <w:vAlign w:val="bottom"/>
            <w:hideMark/>
          </w:tcPr>
          <w:p w14:paraId="2021E6EF" w14:textId="77777777" w:rsidR="007C050F" w:rsidRPr="000D0D06" w:rsidRDefault="007C050F" w:rsidP="007C050F">
            <w:pPr>
              <w:spacing w:before="0" w:after="0"/>
              <w:jc w:val="left"/>
              <w:rPr>
                <w:noProof/>
                <w:sz w:val="20"/>
                <w:szCs w:val="20"/>
                <w:lang w:eastAsia="en-IE"/>
              </w:rPr>
            </w:pPr>
          </w:p>
        </w:tc>
        <w:tc>
          <w:tcPr>
            <w:tcW w:w="376" w:type="pct"/>
            <w:tcBorders>
              <w:top w:val="nil"/>
              <w:left w:val="nil"/>
              <w:bottom w:val="nil"/>
              <w:right w:val="nil"/>
            </w:tcBorders>
            <w:noWrap/>
            <w:vAlign w:val="bottom"/>
            <w:hideMark/>
          </w:tcPr>
          <w:p w14:paraId="4FA52D20" w14:textId="77777777" w:rsidR="007C050F" w:rsidRPr="000D0D06" w:rsidRDefault="007C050F" w:rsidP="007C050F">
            <w:pPr>
              <w:spacing w:before="0" w:after="0"/>
              <w:jc w:val="left"/>
              <w:rPr>
                <w:noProof/>
                <w:sz w:val="20"/>
                <w:szCs w:val="20"/>
                <w:lang w:eastAsia="en-IE"/>
              </w:rPr>
            </w:pPr>
          </w:p>
        </w:tc>
        <w:tc>
          <w:tcPr>
            <w:tcW w:w="376" w:type="pct"/>
            <w:tcBorders>
              <w:top w:val="nil"/>
              <w:left w:val="nil"/>
              <w:bottom w:val="nil"/>
              <w:right w:val="nil"/>
            </w:tcBorders>
            <w:noWrap/>
            <w:vAlign w:val="bottom"/>
            <w:hideMark/>
          </w:tcPr>
          <w:p w14:paraId="0EC0F759" w14:textId="77777777" w:rsidR="007C050F" w:rsidRPr="000D0D06" w:rsidRDefault="007C050F" w:rsidP="007C050F">
            <w:pPr>
              <w:spacing w:before="0" w:after="0"/>
              <w:jc w:val="left"/>
              <w:rPr>
                <w:noProof/>
                <w:sz w:val="20"/>
                <w:szCs w:val="20"/>
                <w:lang w:eastAsia="en-IE"/>
              </w:rPr>
            </w:pPr>
          </w:p>
        </w:tc>
        <w:tc>
          <w:tcPr>
            <w:tcW w:w="376" w:type="pct"/>
            <w:tcBorders>
              <w:top w:val="nil"/>
              <w:left w:val="nil"/>
              <w:bottom w:val="nil"/>
              <w:right w:val="nil"/>
            </w:tcBorders>
            <w:noWrap/>
            <w:vAlign w:val="bottom"/>
            <w:hideMark/>
          </w:tcPr>
          <w:p w14:paraId="1BDDD931" w14:textId="77777777" w:rsidR="007C050F" w:rsidRPr="000D0D06" w:rsidRDefault="007C050F" w:rsidP="007C050F">
            <w:pPr>
              <w:spacing w:before="0" w:after="0"/>
              <w:jc w:val="left"/>
              <w:rPr>
                <w:noProof/>
                <w:sz w:val="20"/>
                <w:szCs w:val="20"/>
                <w:lang w:eastAsia="en-IE"/>
              </w:rPr>
            </w:pPr>
          </w:p>
        </w:tc>
        <w:tc>
          <w:tcPr>
            <w:tcW w:w="376" w:type="pct"/>
            <w:tcBorders>
              <w:top w:val="nil"/>
              <w:left w:val="nil"/>
              <w:bottom w:val="nil"/>
              <w:right w:val="nil"/>
            </w:tcBorders>
            <w:noWrap/>
            <w:vAlign w:val="bottom"/>
            <w:hideMark/>
          </w:tcPr>
          <w:p w14:paraId="28E1E7B2" w14:textId="77777777" w:rsidR="007C050F" w:rsidRPr="000D0D06" w:rsidRDefault="007C050F" w:rsidP="007C050F">
            <w:pPr>
              <w:spacing w:before="0" w:after="0"/>
              <w:jc w:val="left"/>
              <w:rPr>
                <w:noProof/>
                <w:sz w:val="20"/>
                <w:szCs w:val="20"/>
                <w:lang w:eastAsia="en-IE"/>
              </w:rPr>
            </w:pPr>
          </w:p>
        </w:tc>
        <w:tc>
          <w:tcPr>
            <w:tcW w:w="465" w:type="pct"/>
            <w:tcBorders>
              <w:top w:val="nil"/>
              <w:left w:val="nil"/>
              <w:bottom w:val="nil"/>
              <w:right w:val="nil"/>
            </w:tcBorders>
            <w:noWrap/>
            <w:vAlign w:val="bottom"/>
            <w:hideMark/>
          </w:tcPr>
          <w:p w14:paraId="7D8268A8" w14:textId="77777777" w:rsidR="007C050F" w:rsidRPr="000D0D06" w:rsidRDefault="007C050F" w:rsidP="007C050F">
            <w:pPr>
              <w:spacing w:before="0" w:after="0"/>
              <w:jc w:val="left"/>
              <w:rPr>
                <w:noProof/>
                <w:sz w:val="20"/>
                <w:szCs w:val="20"/>
                <w:lang w:eastAsia="en-IE"/>
              </w:rPr>
            </w:pPr>
          </w:p>
        </w:tc>
      </w:tr>
      <w:tr w:rsidR="007C050F" w:rsidRPr="000D0D06" w14:paraId="46E0128F" w14:textId="77777777">
        <w:trPr>
          <w:trHeight w:val="315"/>
        </w:trPr>
        <w:tc>
          <w:tcPr>
            <w:tcW w:w="3032" w:type="pct"/>
            <w:gridSpan w:val="4"/>
            <w:vMerge w:val="restart"/>
            <w:tcBorders>
              <w:top w:val="single" w:sz="8" w:space="0" w:color="auto"/>
              <w:left w:val="single" w:sz="8" w:space="0" w:color="auto"/>
              <w:bottom w:val="single" w:sz="8" w:space="0" w:color="auto"/>
              <w:right w:val="single" w:sz="8" w:space="0" w:color="auto"/>
            </w:tcBorders>
            <w:vAlign w:val="center"/>
            <w:hideMark/>
          </w:tcPr>
          <w:p w14:paraId="0ED61910" w14:textId="77777777" w:rsidR="007C050F" w:rsidRPr="000D0D06" w:rsidRDefault="007C050F" w:rsidP="007C050F">
            <w:pPr>
              <w:spacing w:before="0" w:after="0"/>
              <w:jc w:val="center"/>
              <w:rPr>
                <w:noProof/>
                <w:color w:val="000000"/>
                <w:szCs w:val="24"/>
              </w:rPr>
            </w:pPr>
            <w:r w:rsidRPr="000D0D06">
              <w:rPr>
                <w:noProof/>
                <w:color w:val="000000"/>
              </w:rPr>
              <w:t>DG: &lt;…….&gt;</w:t>
            </w:r>
          </w:p>
        </w:tc>
        <w:tc>
          <w:tcPr>
            <w:tcW w:w="376" w:type="pct"/>
            <w:tcBorders>
              <w:top w:val="single" w:sz="8" w:space="0" w:color="auto"/>
              <w:left w:val="nil"/>
              <w:bottom w:val="nil"/>
              <w:right w:val="single" w:sz="8" w:space="0" w:color="auto"/>
            </w:tcBorders>
            <w:vAlign w:val="center"/>
            <w:hideMark/>
          </w:tcPr>
          <w:p w14:paraId="468C4331" w14:textId="77777777" w:rsidR="007C050F" w:rsidRPr="000D0D06" w:rsidRDefault="007C050F" w:rsidP="007C050F">
            <w:pPr>
              <w:spacing w:before="0" w:after="0"/>
              <w:jc w:val="center"/>
              <w:rPr>
                <w:noProof/>
                <w:color w:val="000000"/>
                <w:sz w:val="20"/>
                <w:szCs w:val="20"/>
              </w:rPr>
            </w:pPr>
            <w:r w:rsidRPr="000D0D06">
              <w:rPr>
                <w:noProof/>
                <w:color w:val="000000"/>
                <w:sz w:val="20"/>
              </w:rPr>
              <w:t>Ano</w:t>
            </w:r>
          </w:p>
        </w:tc>
        <w:tc>
          <w:tcPr>
            <w:tcW w:w="376" w:type="pct"/>
            <w:tcBorders>
              <w:top w:val="single" w:sz="8" w:space="0" w:color="auto"/>
              <w:left w:val="nil"/>
              <w:bottom w:val="nil"/>
              <w:right w:val="single" w:sz="8" w:space="0" w:color="auto"/>
            </w:tcBorders>
            <w:vAlign w:val="center"/>
            <w:hideMark/>
          </w:tcPr>
          <w:p w14:paraId="0DFA9A7A" w14:textId="77777777" w:rsidR="007C050F" w:rsidRPr="000D0D06" w:rsidRDefault="007C050F" w:rsidP="007C050F">
            <w:pPr>
              <w:spacing w:before="0" w:after="0"/>
              <w:jc w:val="center"/>
              <w:rPr>
                <w:noProof/>
                <w:color w:val="000000"/>
                <w:sz w:val="20"/>
                <w:szCs w:val="20"/>
              </w:rPr>
            </w:pPr>
            <w:r w:rsidRPr="000D0D06">
              <w:rPr>
                <w:noProof/>
                <w:color w:val="000000"/>
                <w:sz w:val="20"/>
              </w:rPr>
              <w:t>Ano</w:t>
            </w:r>
          </w:p>
        </w:tc>
        <w:tc>
          <w:tcPr>
            <w:tcW w:w="376" w:type="pct"/>
            <w:tcBorders>
              <w:top w:val="single" w:sz="8" w:space="0" w:color="auto"/>
              <w:left w:val="nil"/>
              <w:bottom w:val="nil"/>
              <w:right w:val="single" w:sz="8" w:space="0" w:color="auto"/>
            </w:tcBorders>
            <w:vAlign w:val="center"/>
            <w:hideMark/>
          </w:tcPr>
          <w:p w14:paraId="6204EE78" w14:textId="77777777" w:rsidR="007C050F" w:rsidRPr="000D0D06" w:rsidRDefault="007C050F" w:rsidP="007C050F">
            <w:pPr>
              <w:spacing w:before="0" w:after="0"/>
              <w:jc w:val="center"/>
              <w:rPr>
                <w:noProof/>
                <w:color w:val="000000"/>
                <w:sz w:val="20"/>
                <w:szCs w:val="20"/>
              </w:rPr>
            </w:pPr>
            <w:r w:rsidRPr="000D0D06">
              <w:rPr>
                <w:noProof/>
                <w:color w:val="000000"/>
                <w:sz w:val="20"/>
              </w:rPr>
              <w:t>Ano</w:t>
            </w:r>
          </w:p>
        </w:tc>
        <w:tc>
          <w:tcPr>
            <w:tcW w:w="376" w:type="pct"/>
            <w:tcBorders>
              <w:top w:val="single" w:sz="8" w:space="0" w:color="auto"/>
              <w:left w:val="nil"/>
              <w:bottom w:val="nil"/>
              <w:right w:val="single" w:sz="8" w:space="0" w:color="auto"/>
            </w:tcBorders>
            <w:vAlign w:val="center"/>
            <w:hideMark/>
          </w:tcPr>
          <w:p w14:paraId="723D5B9D" w14:textId="77777777" w:rsidR="007C050F" w:rsidRPr="000D0D06" w:rsidRDefault="007C050F" w:rsidP="007C050F">
            <w:pPr>
              <w:spacing w:before="0" w:after="0"/>
              <w:jc w:val="center"/>
              <w:rPr>
                <w:noProof/>
                <w:color w:val="000000"/>
                <w:sz w:val="20"/>
                <w:szCs w:val="20"/>
              </w:rPr>
            </w:pPr>
            <w:r w:rsidRPr="000D0D06">
              <w:rPr>
                <w:noProof/>
                <w:color w:val="000000"/>
                <w:sz w:val="20"/>
              </w:rPr>
              <w:t>Ano</w:t>
            </w:r>
          </w:p>
        </w:tc>
        <w:tc>
          <w:tcPr>
            <w:tcW w:w="465" w:type="pct"/>
            <w:vMerge w:val="restart"/>
            <w:tcBorders>
              <w:top w:val="single" w:sz="8" w:space="0" w:color="auto"/>
              <w:left w:val="single" w:sz="8" w:space="0" w:color="auto"/>
              <w:bottom w:val="single" w:sz="8" w:space="0" w:color="000000"/>
              <w:right w:val="single" w:sz="8" w:space="0" w:color="auto"/>
            </w:tcBorders>
            <w:vAlign w:val="center"/>
            <w:hideMark/>
          </w:tcPr>
          <w:p w14:paraId="36F09710" w14:textId="77777777" w:rsidR="007C050F" w:rsidRPr="000D0D06" w:rsidRDefault="007C050F" w:rsidP="007C050F">
            <w:pPr>
              <w:spacing w:before="0" w:after="0"/>
              <w:jc w:val="center"/>
              <w:rPr>
                <w:b/>
                <w:bCs/>
                <w:noProof/>
                <w:color w:val="000000"/>
                <w:sz w:val="20"/>
                <w:szCs w:val="20"/>
              </w:rPr>
            </w:pPr>
            <w:r w:rsidRPr="000D0D06">
              <w:rPr>
                <w:b/>
                <w:noProof/>
                <w:color w:val="000000"/>
                <w:sz w:val="20"/>
              </w:rPr>
              <w:t>TOTAL QFP 2021-2027</w:t>
            </w:r>
          </w:p>
        </w:tc>
      </w:tr>
      <w:tr w:rsidR="007C050F" w:rsidRPr="000D0D06" w14:paraId="3A6EF269" w14:textId="77777777">
        <w:trPr>
          <w:trHeight w:val="300"/>
        </w:trPr>
        <w:tc>
          <w:tcPr>
            <w:tcW w:w="3032" w:type="pct"/>
            <w:gridSpan w:val="4"/>
            <w:vMerge/>
            <w:tcBorders>
              <w:top w:val="single" w:sz="8" w:space="0" w:color="auto"/>
              <w:left w:val="single" w:sz="8" w:space="0" w:color="auto"/>
              <w:bottom w:val="single" w:sz="8" w:space="0" w:color="auto"/>
              <w:right w:val="single" w:sz="8" w:space="0" w:color="auto"/>
            </w:tcBorders>
            <w:vAlign w:val="center"/>
            <w:hideMark/>
          </w:tcPr>
          <w:p w14:paraId="1D34D84F" w14:textId="77777777" w:rsidR="007C050F" w:rsidRPr="000D0D06" w:rsidRDefault="007C050F" w:rsidP="007C050F">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vAlign w:val="center"/>
            <w:hideMark/>
          </w:tcPr>
          <w:p w14:paraId="0F5B18CE" w14:textId="77777777" w:rsidR="007C050F" w:rsidRPr="000D0D06" w:rsidRDefault="007C050F" w:rsidP="007C050F">
            <w:pPr>
              <w:spacing w:before="0" w:after="0"/>
              <w:jc w:val="center"/>
              <w:rPr>
                <w:b/>
                <w:bCs/>
                <w:noProof/>
                <w:color w:val="000000"/>
                <w:sz w:val="20"/>
                <w:szCs w:val="20"/>
              </w:rPr>
            </w:pPr>
            <w:r w:rsidRPr="000D0D06">
              <w:rPr>
                <w:b/>
                <w:noProof/>
                <w:color w:val="000000"/>
                <w:sz w:val="20"/>
              </w:rPr>
              <w:t>2024</w:t>
            </w:r>
          </w:p>
        </w:tc>
        <w:tc>
          <w:tcPr>
            <w:tcW w:w="376" w:type="pct"/>
            <w:tcBorders>
              <w:top w:val="nil"/>
              <w:left w:val="nil"/>
              <w:bottom w:val="single" w:sz="8" w:space="0" w:color="auto"/>
              <w:right w:val="single" w:sz="8" w:space="0" w:color="auto"/>
            </w:tcBorders>
            <w:vAlign w:val="center"/>
            <w:hideMark/>
          </w:tcPr>
          <w:p w14:paraId="34D362F7" w14:textId="77777777" w:rsidR="007C050F" w:rsidRPr="000D0D06" w:rsidRDefault="007C050F" w:rsidP="007C050F">
            <w:pPr>
              <w:spacing w:before="0" w:after="0"/>
              <w:jc w:val="center"/>
              <w:rPr>
                <w:b/>
                <w:bCs/>
                <w:noProof/>
                <w:color w:val="000000"/>
                <w:sz w:val="20"/>
                <w:szCs w:val="20"/>
              </w:rPr>
            </w:pPr>
            <w:r w:rsidRPr="000D0D06">
              <w:rPr>
                <w:b/>
                <w:noProof/>
                <w:color w:val="000000"/>
                <w:sz w:val="20"/>
              </w:rPr>
              <w:t>2025</w:t>
            </w:r>
          </w:p>
        </w:tc>
        <w:tc>
          <w:tcPr>
            <w:tcW w:w="376" w:type="pct"/>
            <w:tcBorders>
              <w:top w:val="nil"/>
              <w:left w:val="nil"/>
              <w:bottom w:val="single" w:sz="8" w:space="0" w:color="auto"/>
              <w:right w:val="single" w:sz="8" w:space="0" w:color="auto"/>
            </w:tcBorders>
            <w:vAlign w:val="center"/>
            <w:hideMark/>
          </w:tcPr>
          <w:p w14:paraId="2C886630" w14:textId="77777777" w:rsidR="007C050F" w:rsidRPr="000D0D06" w:rsidRDefault="007C050F" w:rsidP="007C050F">
            <w:pPr>
              <w:spacing w:before="0" w:after="0"/>
              <w:jc w:val="center"/>
              <w:rPr>
                <w:b/>
                <w:bCs/>
                <w:noProof/>
                <w:color w:val="000000"/>
                <w:sz w:val="20"/>
                <w:szCs w:val="20"/>
              </w:rPr>
            </w:pPr>
            <w:r w:rsidRPr="000D0D06">
              <w:rPr>
                <w:b/>
                <w:noProof/>
                <w:color w:val="000000"/>
                <w:sz w:val="20"/>
              </w:rPr>
              <w:t>2026</w:t>
            </w:r>
          </w:p>
        </w:tc>
        <w:tc>
          <w:tcPr>
            <w:tcW w:w="376" w:type="pct"/>
            <w:tcBorders>
              <w:top w:val="nil"/>
              <w:left w:val="nil"/>
              <w:bottom w:val="single" w:sz="8" w:space="0" w:color="auto"/>
              <w:right w:val="single" w:sz="8" w:space="0" w:color="auto"/>
            </w:tcBorders>
            <w:vAlign w:val="center"/>
            <w:hideMark/>
          </w:tcPr>
          <w:p w14:paraId="07C50BB8" w14:textId="77777777" w:rsidR="007C050F" w:rsidRPr="000D0D06" w:rsidRDefault="007C050F" w:rsidP="007C050F">
            <w:pPr>
              <w:spacing w:before="0" w:after="0"/>
              <w:jc w:val="center"/>
              <w:rPr>
                <w:b/>
                <w:bCs/>
                <w:noProof/>
                <w:color w:val="000000"/>
                <w:sz w:val="20"/>
                <w:szCs w:val="20"/>
              </w:rPr>
            </w:pPr>
            <w:r w:rsidRPr="000D0D06">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14:paraId="2D5F41E0" w14:textId="77777777" w:rsidR="007C050F" w:rsidRPr="000D0D06" w:rsidRDefault="007C050F" w:rsidP="007C050F">
            <w:pPr>
              <w:spacing w:before="0" w:after="0"/>
              <w:jc w:val="left"/>
              <w:rPr>
                <w:b/>
                <w:bCs/>
                <w:noProof/>
                <w:color w:val="000000"/>
                <w:sz w:val="20"/>
                <w:szCs w:val="20"/>
                <w:lang w:eastAsia="en-IE"/>
              </w:rPr>
            </w:pPr>
          </w:p>
        </w:tc>
      </w:tr>
      <w:tr w:rsidR="007C050F" w:rsidRPr="000D0D06" w14:paraId="0043424C" w14:textId="77777777">
        <w:trPr>
          <w:trHeight w:val="300"/>
        </w:trPr>
        <w:tc>
          <w:tcPr>
            <w:tcW w:w="3032" w:type="pct"/>
            <w:gridSpan w:val="4"/>
            <w:tcBorders>
              <w:top w:val="single" w:sz="8" w:space="0" w:color="auto"/>
              <w:left w:val="single" w:sz="8" w:space="0" w:color="auto"/>
              <w:bottom w:val="single" w:sz="8" w:space="0" w:color="auto"/>
              <w:right w:val="single" w:sz="8" w:space="0" w:color="auto"/>
            </w:tcBorders>
            <w:vAlign w:val="center"/>
            <w:hideMark/>
          </w:tcPr>
          <w:p w14:paraId="4D567D49" w14:textId="77777777" w:rsidR="007C050F" w:rsidRPr="000D0D06" w:rsidRDefault="007C050F" w:rsidP="007C050F">
            <w:pPr>
              <w:spacing w:before="0" w:after="0"/>
              <w:jc w:val="left"/>
              <w:rPr>
                <w:rFonts w:ascii="Wingdings" w:hAnsi="Wingdings" w:cs="Calibri"/>
                <w:noProof/>
                <w:color w:val="000000"/>
                <w:sz w:val="22"/>
              </w:rPr>
            </w:pPr>
            <w:r w:rsidRPr="000D0D06">
              <w:rPr>
                <w:rFonts w:ascii="Wingdings" w:hAnsi="Wingdings"/>
                <w:noProof/>
                <w:color w:val="000000"/>
                <w:sz w:val="22"/>
              </w:rPr>
              <w:t></w:t>
            </w:r>
            <w:r w:rsidRPr="000D0D06">
              <w:rPr>
                <w:noProof/>
                <w:color w:val="000000"/>
                <w:sz w:val="22"/>
              </w:rPr>
              <w:t xml:space="preserve"> Recursos humanos </w:t>
            </w:r>
          </w:p>
        </w:tc>
        <w:tc>
          <w:tcPr>
            <w:tcW w:w="376" w:type="pct"/>
            <w:tcBorders>
              <w:top w:val="nil"/>
              <w:left w:val="nil"/>
              <w:bottom w:val="single" w:sz="8" w:space="0" w:color="auto"/>
              <w:right w:val="single" w:sz="8" w:space="0" w:color="auto"/>
            </w:tcBorders>
            <w:shd w:val="clear" w:color="000000" w:fill="D9D9D9"/>
            <w:vAlign w:val="center"/>
            <w:hideMark/>
          </w:tcPr>
          <w:p w14:paraId="0A113CE1" w14:textId="77777777" w:rsidR="007C050F" w:rsidRPr="000D0D06" w:rsidRDefault="007C050F" w:rsidP="007C050F">
            <w:pPr>
              <w:spacing w:before="0" w:after="0"/>
              <w:jc w:val="right"/>
              <w:rPr>
                <w:noProof/>
                <w:color w:val="000000"/>
                <w:sz w:val="20"/>
                <w:szCs w:val="20"/>
              </w:rPr>
            </w:pPr>
            <w:r w:rsidRPr="000D0D06">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525931AB" w14:textId="77777777" w:rsidR="007C050F" w:rsidRPr="000D0D06" w:rsidRDefault="007C050F" w:rsidP="007C050F">
            <w:pPr>
              <w:spacing w:before="0" w:after="0"/>
              <w:jc w:val="right"/>
              <w:rPr>
                <w:noProof/>
                <w:color w:val="000000"/>
                <w:sz w:val="20"/>
                <w:szCs w:val="20"/>
              </w:rPr>
            </w:pPr>
            <w:r w:rsidRPr="000D0D06">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42D35439" w14:textId="77777777" w:rsidR="007C050F" w:rsidRPr="000D0D06" w:rsidRDefault="007C050F" w:rsidP="007C050F">
            <w:pPr>
              <w:spacing w:before="0" w:after="0"/>
              <w:jc w:val="right"/>
              <w:rPr>
                <w:noProof/>
                <w:color w:val="000000"/>
                <w:sz w:val="20"/>
                <w:szCs w:val="20"/>
              </w:rPr>
            </w:pPr>
            <w:r w:rsidRPr="000D0D06">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4052E626" w14:textId="77777777" w:rsidR="007C050F" w:rsidRPr="000D0D06" w:rsidRDefault="007C050F" w:rsidP="007C050F">
            <w:pPr>
              <w:spacing w:before="0" w:after="0"/>
              <w:jc w:val="right"/>
              <w:rPr>
                <w:noProof/>
                <w:color w:val="000000"/>
                <w:sz w:val="20"/>
                <w:szCs w:val="20"/>
              </w:rPr>
            </w:pPr>
            <w:r w:rsidRPr="000D0D06">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14:paraId="475418AB"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r>
      <w:tr w:rsidR="007C050F" w:rsidRPr="000D0D06" w14:paraId="60D8F8AB" w14:textId="77777777">
        <w:trPr>
          <w:trHeight w:val="300"/>
        </w:trPr>
        <w:tc>
          <w:tcPr>
            <w:tcW w:w="3032" w:type="pct"/>
            <w:gridSpan w:val="4"/>
            <w:tcBorders>
              <w:top w:val="single" w:sz="8" w:space="0" w:color="auto"/>
              <w:left w:val="single" w:sz="8" w:space="0" w:color="auto"/>
              <w:bottom w:val="single" w:sz="8" w:space="0" w:color="auto"/>
              <w:right w:val="single" w:sz="8" w:space="0" w:color="auto"/>
            </w:tcBorders>
            <w:vAlign w:val="center"/>
            <w:hideMark/>
          </w:tcPr>
          <w:p w14:paraId="2F531FD9" w14:textId="77777777" w:rsidR="007C050F" w:rsidRPr="000D0D06" w:rsidRDefault="007C050F" w:rsidP="007C050F">
            <w:pPr>
              <w:spacing w:before="0" w:after="0"/>
              <w:jc w:val="left"/>
              <w:rPr>
                <w:rFonts w:ascii="Wingdings" w:hAnsi="Wingdings" w:cs="Calibri"/>
                <w:noProof/>
                <w:color w:val="000000"/>
                <w:sz w:val="22"/>
              </w:rPr>
            </w:pPr>
            <w:r w:rsidRPr="000D0D06">
              <w:rPr>
                <w:rFonts w:ascii="Wingdings" w:hAnsi="Wingdings"/>
                <w:noProof/>
                <w:color w:val="000000"/>
                <w:sz w:val="22"/>
              </w:rPr>
              <w:t></w:t>
            </w:r>
            <w:r w:rsidRPr="000D0D06">
              <w:rPr>
                <w:noProof/>
                <w:color w:val="000000"/>
                <w:sz w:val="22"/>
              </w:rPr>
              <w:t xml:space="preserve"> Outras despesas administrativas </w:t>
            </w:r>
          </w:p>
        </w:tc>
        <w:tc>
          <w:tcPr>
            <w:tcW w:w="376" w:type="pct"/>
            <w:tcBorders>
              <w:top w:val="nil"/>
              <w:left w:val="nil"/>
              <w:bottom w:val="single" w:sz="8" w:space="0" w:color="auto"/>
              <w:right w:val="single" w:sz="8" w:space="0" w:color="auto"/>
            </w:tcBorders>
            <w:shd w:val="clear" w:color="000000" w:fill="D9D9D9"/>
            <w:vAlign w:val="center"/>
            <w:hideMark/>
          </w:tcPr>
          <w:p w14:paraId="22F99131" w14:textId="77777777" w:rsidR="007C050F" w:rsidRPr="000D0D06" w:rsidRDefault="007C050F" w:rsidP="007C050F">
            <w:pPr>
              <w:spacing w:before="0" w:after="0"/>
              <w:jc w:val="right"/>
              <w:rPr>
                <w:noProof/>
                <w:color w:val="000000"/>
                <w:sz w:val="20"/>
                <w:szCs w:val="20"/>
              </w:rPr>
            </w:pPr>
            <w:r w:rsidRPr="000D0D06">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5B43BFFE" w14:textId="77777777" w:rsidR="007C050F" w:rsidRPr="000D0D06" w:rsidRDefault="007C050F" w:rsidP="007C050F">
            <w:pPr>
              <w:spacing w:before="0" w:after="0"/>
              <w:jc w:val="right"/>
              <w:rPr>
                <w:noProof/>
                <w:color w:val="000000"/>
                <w:sz w:val="20"/>
                <w:szCs w:val="20"/>
              </w:rPr>
            </w:pPr>
            <w:r w:rsidRPr="000D0D06">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51296025" w14:textId="77777777" w:rsidR="007C050F" w:rsidRPr="000D0D06" w:rsidRDefault="007C050F" w:rsidP="007C050F">
            <w:pPr>
              <w:spacing w:before="0" w:after="0"/>
              <w:jc w:val="right"/>
              <w:rPr>
                <w:noProof/>
                <w:color w:val="000000"/>
                <w:sz w:val="20"/>
                <w:szCs w:val="20"/>
              </w:rPr>
            </w:pPr>
            <w:r w:rsidRPr="000D0D06">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3B5A425C" w14:textId="77777777" w:rsidR="007C050F" w:rsidRPr="000D0D06" w:rsidRDefault="007C050F" w:rsidP="007C050F">
            <w:pPr>
              <w:spacing w:before="0" w:after="0"/>
              <w:jc w:val="right"/>
              <w:rPr>
                <w:noProof/>
                <w:color w:val="000000"/>
                <w:sz w:val="20"/>
                <w:szCs w:val="20"/>
              </w:rPr>
            </w:pPr>
            <w:r w:rsidRPr="000D0D06">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14:paraId="10B091E0"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r>
      <w:tr w:rsidR="007C050F" w:rsidRPr="000D0D06" w14:paraId="7E8E0FBD" w14:textId="77777777">
        <w:trPr>
          <w:trHeight w:val="300"/>
        </w:trPr>
        <w:tc>
          <w:tcPr>
            <w:tcW w:w="1653" w:type="pct"/>
            <w:tcBorders>
              <w:top w:val="nil"/>
              <w:left w:val="single" w:sz="8" w:space="0" w:color="auto"/>
              <w:bottom w:val="single" w:sz="8" w:space="0" w:color="auto"/>
              <w:right w:val="single" w:sz="8" w:space="0" w:color="auto"/>
            </w:tcBorders>
            <w:vAlign w:val="center"/>
            <w:hideMark/>
          </w:tcPr>
          <w:p w14:paraId="7EC89E18" w14:textId="77777777" w:rsidR="007C050F" w:rsidRPr="000D0D06" w:rsidRDefault="007C050F" w:rsidP="007C050F">
            <w:pPr>
              <w:spacing w:before="0" w:after="0"/>
              <w:jc w:val="center"/>
              <w:rPr>
                <w:b/>
                <w:bCs/>
                <w:noProof/>
                <w:color w:val="000000"/>
                <w:sz w:val="22"/>
              </w:rPr>
            </w:pPr>
            <w:r w:rsidRPr="000D0D06">
              <w:rPr>
                <w:b/>
                <w:noProof/>
                <w:color w:val="000000"/>
                <w:sz w:val="22"/>
              </w:rPr>
              <w:t>TOTAL DG</w:t>
            </w:r>
            <w:r w:rsidRPr="000D0D06">
              <w:rPr>
                <w:noProof/>
                <w:color w:val="000000"/>
                <w:sz w:val="22"/>
              </w:rPr>
              <w:t xml:space="preserve"> &lt;…….&gt;</w:t>
            </w:r>
          </w:p>
        </w:tc>
        <w:tc>
          <w:tcPr>
            <w:tcW w:w="1378" w:type="pct"/>
            <w:gridSpan w:val="3"/>
            <w:tcBorders>
              <w:top w:val="single" w:sz="8" w:space="0" w:color="auto"/>
              <w:left w:val="nil"/>
              <w:bottom w:val="single" w:sz="8" w:space="0" w:color="auto"/>
              <w:right w:val="single" w:sz="8" w:space="0" w:color="auto"/>
            </w:tcBorders>
            <w:vAlign w:val="center"/>
            <w:hideMark/>
          </w:tcPr>
          <w:p w14:paraId="71660716" w14:textId="77777777" w:rsidR="007C050F" w:rsidRPr="000D0D06" w:rsidRDefault="007C050F" w:rsidP="007C050F">
            <w:pPr>
              <w:spacing w:before="0" w:after="0"/>
              <w:jc w:val="left"/>
              <w:rPr>
                <w:noProof/>
                <w:color w:val="000000"/>
                <w:sz w:val="18"/>
                <w:szCs w:val="18"/>
              </w:rPr>
            </w:pPr>
            <w:r w:rsidRPr="000D0D06">
              <w:rPr>
                <w:noProof/>
                <w:color w:val="000000"/>
                <w:sz w:val="18"/>
              </w:rPr>
              <w:t xml:space="preserve">Dotações </w:t>
            </w:r>
          </w:p>
        </w:tc>
        <w:tc>
          <w:tcPr>
            <w:tcW w:w="376" w:type="pct"/>
            <w:tcBorders>
              <w:top w:val="nil"/>
              <w:left w:val="nil"/>
              <w:bottom w:val="single" w:sz="8" w:space="0" w:color="auto"/>
              <w:right w:val="single" w:sz="8" w:space="0" w:color="auto"/>
            </w:tcBorders>
            <w:shd w:val="clear" w:color="000000" w:fill="D9D9D9"/>
            <w:vAlign w:val="center"/>
            <w:hideMark/>
          </w:tcPr>
          <w:p w14:paraId="722AC74F"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6E2D0653"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50589C42"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726F5E6C"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14:paraId="35865C42"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r>
      <w:tr w:rsidR="007C050F" w:rsidRPr="000D0D06" w14:paraId="58A8A204" w14:textId="77777777">
        <w:trPr>
          <w:trHeight w:val="300"/>
        </w:trPr>
        <w:tc>
          <w:tcPr>
            <w:tcW w:w="1653" w:type="pct"/>
            <w:tcBorders>
              <w:top w:val="nil"/>
              <w:left w:val="nil"/>
              <w:bottom w:val="nil"/>
              <w:right w:val="nil"/>
            </w:tcBorders>
            <w:noWrap/>
            <w:vAlign w:val="bottom"/>
            <w:hideMark/>
          </w:tcPr>
          <w:p w14:paraId="2AFEB59B" w14:textId="77777777" w:rsidR="007C050F" w:rsidRPr="000D0D06" w:rsidRDefault="007C050F" w:rsidP="007C050F">
            <w:pPr>
              <w:spacing w:before="0" w:after="0"/>
              <w:jc w:val="right"/>
              <w:rPr>
                <w:b/>
                <w:bCs/>
                <w:noProof/>
                <w:color w:val="000000"/>
                <w:sz w:val="20"/>
                <w:szCs w:val="20"/>
                <w:lang w:eastAsia="en-IE"/>
              </w:rPr>
            </w:pPr>
          </w:p>
        </w:tc>
        <w:tc>
          <w:tcPr>
            <w:tcW w:w="929" w:type="pct"/>
            <w:tcBorders>
              <w:top w:val="nil"/>
              <w:left w:val="nil"/>
              <w:bottom w:val="nil"/>
              <w:right w:val="nil"/>
            </w:tcBorders>
            <w:noWrap/>
            <w:vAlign w:val="bottom"/>
            <w:hideMark/>
          </w:tcPr>
          <w:p w14:paraId="0889BD2D" w14:textId="77777777" w:rsidR="007C050F" w:rsidRPr="000D0D06" w:rsidRDefault="007C050F" w:rsidP="007C050F">
            <w:pPr>
              <w:spacing w:before="0" w:after="0"/>
              <w:jc w:val="left"/>
              <w:rPr>
                <w:noProof/>
                <w:sz w:val="20"/>
                <w:szCs w:val="20"/>
                <w:lang w:eastAsia="en-IE"/>
              </w:rPr>
            </w:pPr>
          </w:p>
        </w:tc>
        <w:tc>
          <w:tcPr>
            <w:tcW w:w="224" w:type="pct"/>
            <w:tcBorders>
              <w:top w:val="nil"/>
              <w:left w:val="nil"/>
              <w:bottom w:val="nil"/>
              <w:right w:val="nil"/>
            </w:tcBorders>
            <w:noWrap/>
            <w:vAlign w:val="bottom"/>
            <w:hideMark/>
          </w:tcPr>
          <w:p w14:paraId="272B0DDD" w14:textId="77777777" w:rsidR="007C050F" w:rsidRPr="000D0D06" w:rsidRDefault="007C050F" w:rsidP="007C050F">
            <w:pPr>
              <w:spacing w:before="0" w:after="0"/>
              <w:jc w:val="left"/>
              <w:rPr>
                <w:noProof/>
                <w:sz w:val="20"/>
                <w:szCs w:val="20"/>
                <w:lang w:eastAsia="en-IE"/>
              </w:rPr>
            </w:pPr>
          </w:p>
        </w:tc>
        <w:tc>
          <w:tcPr>
            <w:tcW w:w="225" w:type="pct"/>
            <w:tcBorders>
              <w:top w:val="nil"/>
              <w:left w:val="nil"/>
              <w:bottom w:val="nil"/>
              <w:right w:val="nil"/>
            </w:tcBorders>
            <w:noWrap/>
            <w:vAlign w:val="bottom"/>
            <w:hideMark/>
          </w:tcPr>
          <w:p w14:paraId="39BF98B3" w14:textId="77777777" w:rsidR="007C050F" w:rsidRPr="000D0D06" w:rsidRDefault="007C050F" w:rsidP="007C050F">
            <w:pPr>
              <w:spacing w:before="0" w:after="0"/>
              <w:jc w:val="left"/>
              <w:rPr>
                <w:noProof/>
                <w:sz w:val="20"/>
                <w:szCs w:val="20"/>
                <w:lang w:eastAsia="en-IE"/>
              </w:rPr>
            </w:pPr>
          </w:p>
        </w:tc>
        <w:tc>
          <w:tcPr>
            <w:tcW w:w="376" w:type="pct"/>
            <w:tcBorders>
              <w:top w:val="nil"/>
              <w:left w:val="nil"/>
              <w:bottom w:val="nil"/>
              <w:right w:val="nil"/>
            </w:tcBorders>
            <w:noWrap/>
            <w:vAlign w:val="bottom"/>
            <w:hideMark/>
          </w:tcPr>
          <w:p w14:paraId="0651D476" w14:textId="77777777" w:rsidR="007C050F" w:rsidRPr="000D0D06" w:rsidRDefault="007C050F" w:rsidP="007C050F">
            <w:pPr>
              <w:spacing w:before="0" w:after="0"/>
              <w:jc w:val="left"/>
              <w:rPr>
                <w:noProof/>
                <w:sz w:val="20"/>
                <w:szCs w:val="20"/>
                <w:lang w:eastAsia="en-IE"/>
              </w:rPr>
            </w:pPr>
          </w:p>
        </w:tc>
        <w:tc>
          <w:tcPr>
            <w:tcW w:w="376" w:type="pct"/>
            <w:tcBorders>
              <w:top w:val="nil"/>
              <w:left w:val="nil"/>
              <w:bottom w:val="nil"/>
              <w:right w:val="nil"/>
            </w:tcBorders>
            <w:noWrap/>
            <w:vAlign w:val="bottom"/>
            <w:hideMark/>
          </w:tcPr>
          <w:p w14:paraId="0C5066A5" w14:textId="77777777" w:rsidR="007C050F" w:rsidRPr="000D0D06" w:rsidRDefault="007C050F" w:rsidP="007C050F">
            <w:pPr>
              <w:spacing w:before="0" w:after="0"/>
              <w:jc w:val="left"/>
              <w:rPr>
                <w:noProof/>
                <w:sz w:val="20"/>
                <w:szCs w:val="20"/>
                <w:lang w:eastAsia="en-IE"/>
              </w:rPr>
            </w:pPr>
          </w:p>
        </w:tc>
        <w:tc>
          <w:tcPr>
            <w:tcW w:w="376" w:type="pct"/>
            <w:tcBorders>
              <w:top w:val="nil"/>
              <w:left w:val="nil"/>
              <w:bottom w:val="nil"/>
              <w:right w:val="nil"/>
            </w:tcBorders>
            <w:noWrap/>
            <w:vAlign w:val="bottom"/>
            <w:hideMark/>
          </w:tcPr>
          <w:p w14:paraId="037E8F21" w14:textId="77777777" w:rsidR="007C050F" w:rsidRPr="000D0D06" w:rsidRDefault="007C050F" w:rsidP="007C050F">
            <w:pPr>
              <w:spacing w:before="0" w:after="0"/>
              <w:jc w:val="left"/>
              <w:rPr>
                <w:noProof/>
                <w:sz w:val="20"/>
                <w:szCs w:val="20"/>
                <w:lang w:eastAsia="en-IE"/>
              </w:rPr>
            </w:pPr>
          </w:p>
        </w:tc>
        <w:tc>
          <w:tcPr>
            <w:tcW w:w="376" w:type="pct"/>
            <w:tcBorders>
              <w:top w:val="nil"/>
              <w:left w:val="nil"/>
              <w:bottom w:val="nil"/>
              <w:right w:val="nil"/>
            </w:tcBorders>
            <w:noWrap/>
            <w:vAlign w:val="bottom"/>
            <w:hideMark/>
          </w:tcPr>
          <w:p w14:paraId="29458788" w14:textId="77777777" w:rsidR="007C050F" w:rsidRPr="000D0D06" w:rsidRDefault="007C050F" w:rsidP="007C050F">
            <w:pPr>
              <w:spacing w:before="0" w:after="0"/>
              <w:jc w:val="left"/>
              <w:rPr>
                <w:noProof/>
                <w:sz w:val="20"/>
                <w:szCs w:val="20"/>
                <w:lang w:eastAsia="en-IE"/>
              </w:rPr>
            </w:pPr>
          </w:p>
        </w:tc>
        <w:tc>
          <w:tcPr>
            <w:tcW w:w="465" w:type="pct"/>
            <w:tcBorders>
              <w:top w:val="nil"/>
              <w:left w:val="nil"/>
              <w:bottom w:val="nil"/>
              <w:right w:val="nil"/>
            </w:tcBorders>
            <w:noWrap/>
            <w:vAlign w:val="bottom"/>
            <w:hideMark/>
          </w:tcPr>
          <w:p w14:paraId="6B6D3C21" w14:textId="77777777" w:rsidR="007C050F" w:rsidRPr="000D0D06" w:rsidRDefault="007C050F" w:rsidP="007C050F">
            <w:pPr>
              <w:spacing w:before="0" w:after="0"/>
              <w:jc w:val="left"/>
              <w:rPr>
                <w:noProof/>
                <w:sz w:val="20"/>
                <w:szCs w:val="20"/>
                <w:lang w:eastAsia="en-IE"/>
              </w:rPr>
            </w:pPr>
          </w:p>
        </w:tc>
      </w:tr>
      <w:tr w:rsidR="007C050F" w:rsidRPr="000D0D06" w14:paraId="27EBB98D" w14:textId="77777777">
        <w:trPr>
          <w:trHeight w:val="900"/>
        </w:trPr>
        <w:tc>
          <w:tcPr>
            <w:tcW w:w="2583" w:type="pct"/>
            <w:gridSpan w:val="2"/>
            <w:tcBorders>
              <w:top w:val="single" w:sz="8" w:space="0" w:color="auto"/>
              <w:left w:val="single" w:sz="8" w:space="0" w:color="auto"/>
              <w:bottom w:val="single" w:sz="8" w:space="0" w:color="auto"/>
              <w:right w:val="single" w:sz="8" w:space="0" w:color="auto"/>
            </w:tcBorders>
            <w:shd w:val="thinDiagStripe" w:color="C0C0C0" w:fill="F1F1F1"/>
            <w:vAlign w:val="center"/>
            <w:hideMark/>
          </w:tcPr>
          <w:p w14:paraId="585C602C" w14:textId="77777777" w:rsidR="007C050F" w:rsidRPr="000D0D06" w:rsidRDefault="007C050F" w:rsidP="007C050F">
            <w:pPr>
              <w:spacing w:before="0" w:after="0"/>
              <w:jc w:val="center"/>
              <w:rPr>
                <w:b/>
                <w:bCs/>
                <w:noProof/>
                <w:color w:val="000000"/>
                <w:sz w:val="22"/>
              </w:rPr>
            </w:pPr>
            <w:r w:rsidRPr="000D0D06">
              <w:rPr>
                <w:b/>
                <w:noProof/>
                <w:color w:val="000000"/>
                <w:sz w:val="22"/>
              </w:rPr>
              <w:t xml:space="preserve">TOTAL das dotações da RUBRICA 7 do quadro financeiro plurianual </w:t>
            </w:r>
          </w:p>
        </w:tc>
        <w:tc>
          <w:tcPr>
            <w:tcW w:w="449" w:type="pct"/>
            <w:gridSpan w:val="2"/>
            <w:tcBorders>
              <w:top w:val="single" w:sz="8" w:space="0" w:color="auto"/>
              <w:left w:val="nil"/>
              <w:bottom w:val="single" w:sz="8" w:space="0" w:color="auto"/>
              <w:right w:val="single" w:sz="8" w:space="0" w:color="auto"/>
            </w:tcBorders>
            <w:vAlign w:val="center"/>
            <w:hideMark/>
          </w:tcPr>
          <w:p w14:paraId="6AE26753" w14:textId="77777777" w:rsidR="007C050F" w:rsidRPr="000D0D06" w:rsidRDefault="007C050F" w:rsidP="007C050F">
            <w:pPr>
              <w:spacing w:before="0" w:after="0"/>
              <w:jc w:val="center"/>
              <w:rPr>
                <w:noProof/>
                <w:color w:val="000000"/>
                <w:sz w:val="18"/>
                <w:szCs w:val="18"/>
              </w:rPr>
            </w:pPr>
            <w:r w:rsidRPr="000D0D06">
              <w:rPr>
                <w:noProof/>
                <w:color w:val="000000"/>
                <w:sz w:val="18"/>
              </w:rPr>
              <w:t>(Total das autorizações = total dos pagamentos)</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14:paraId="0AA2D836"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14:paraId="244D493D"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14:paraId="43FF76C9"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14:paraId="3A7CDDC1"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c>
          <w:tcPr>
            <w:tcW w:w="465" w:type="pct"/>
            <w:tcBorders>
              <w:top w:val="single" w:sz="8" w:space="0" w:color="auto"/>
              <w:left w:val="nil"/>
              <w:bottom w:val="single" w:sz="8" w:space="0" w:color="auto"/>
              <w:right w:val="single" w:sz="8" w:space="0" w:color="auto"/>
            </w:tcBorders>
            <w:shd w:val="clear" w:color="000000" w:fill="D9D9D9"/>
            <w:vAlign w:val="center"/>
            <w:hideMark/>
          </w:tcPr>
          <w:p w14:paraId="6353FBB2"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r>
    </w:tbl>
    <w:p w14:paraId="193A208E" w14:textId="77777777" w:rsidR="007C050F" w:rsidRPr="000D0D06" w:rsidRDefault="007C050F" w:rsidP="007C050F">
      <w:pPr>
        <w:jc w:val="right"/>
        <w:rPr>
          <w:noProof/>
          <w:sz w:val="20"/>
        </w:rPr>
      </w:pPr>
      <w:r w:rsidRPr="000D0D06">
        <w:rPr>
          <w:noProof/>
          <w:sz w:val="20"/>
        </w:rPr>
        <w:t>Em milhões de EUR (três casas decimais)</w:t>
      </w:r>
    </w:p>
    <w:tbl>
      <w:tblPr>
        <w:tblW w:w="5000" w:type="pct"/>
        <w:tblLook w:val="04A0" w:firstRow="1" w:lastRow="0" w:firstColumn="1" w:lastColumn="0" w:noHBand="0" w:noVBand="1"/>
      </w:tblPr>
      <w:tblGrid>
        <w:gridCol w:w="5607"/>
        <w:gridCol w:w="2080"/>
        <w:gridCol w:w="1255"/>
        <w:gridCol w:w="1254"/>
        <w:gridCol w:w="1254"/>
        <w:gridCol w:w="1254"/>
        <w:gridCol w:w="1516"/>
      </w:tblGrid>
      <w:tr w:rsidR="007C050F" w:rsidRPr="000D0D06" w14:paraId="46DE3BA3" w14:textId="77777777">
        <w:trPr>
          <w:trHeight w:val="288"/>
        </w:trPr>
        <w:tc>
          <w:tcPr>
            <w:tcW w:w="2702" w:type="pct"/>
            <w:gridSpan w:val="2"/>
            <w:vMerge w:val="restart"/>
            <w:tcBorders>
              <w:top w:val="single" w:sz="8" w:space="0" w:color="auto"/>
              <w:left w:val="single" w:sz="8" w:space="0" w:color="auto"/>
              <w:bottom w:val="single" w:sz="8" w:space="0" w:color="auto"/>
              <w:right w:val="single" w:sz="8" w:space="0" w:color="auto"/>
            </w:tcBorders>
            <w:vAlign w:val="center"/>
            <w:hideMark/>
          </w:tcPr>
          <w:p w14:paraId="65FFA241" w14:textId="77777777" w:rsidR="007C050F" w:rsidRPr="000D0D06" w:rsidRDefault="007C050F" w:rsidP="007C050F">
            <w:pPr>
              <w:spacing w:before="0" w:after="0"/>
              <w:jc w:val="center"/>
              <w:rPr>
                <w:noProof/>
                <w:color w:val="000000"/>
                <w:szCs w:val="24"/>
              </w:rPr>
            </w:pPr>
            <w:r w:rsidRPr="000D0D06">
              <w:rPr>
                <w:noProof/>
                <w:color w:val="000000"/>
              </w:rPr>
              <w:t xml:space="preserve"> </w:t>
            </w:r>
          </w:p>
        </w:tc>
        <w:tc>
          <w:tcPr>
            <w:tcW w:w="441" w:type="pct"/>
            <w:tcBorders>
              <w:top w:val="single" w:sz="8" w:space="0" w:color="auto"/>
              <w:left w:val="nil"/>
              <w:bottom w:val="nil"/>
              <w:right w:val="single" w:sz="8" w:space="0" w:color="auto"/>
            </w:tcBorders>
            <w:vAlign w:val="center"/>
            <w:hideMark/>
          </w:tcPr>
          <w:p w14:paraId="1B007A12" w14:textId="77777777" w:rsidR="007C050F" w:rsidRPr="000D0D06" w:rsidRDefault="007C050F" w:rsidP="007C050F">
            <w:pPr>
              <w:spacing w:before="0" w:after="0"/>
              <w:jc w:val="center"/>
              <w:rPr>
                <w:noProof/>
                <w:color w:val="000000"/>
                <w:sz w:val="20"/>
                <w:szCs w:val="20"/>
              </w:rPr>
            </w:pPr>
            <w:r w:rsidRPr="000D0D06">
              <w:rPr>
                <w:noProof/>
                <w:color w:val="000000"/>
                <w:sz w:val="20"/>
              </w:rPr>
              <w:t>Ano</w:t>
            </w:r>
          </w:p>
        </w:tc>
        <w:tc>
          <w:tcPr>
            <w:tcW w:w="441" w:type="pct"/>
            <w:tcBorders>
              <w:top w:val="single" w:sz="8" w:space="0" w:color="auto"/>
              <w:left w:val="nil"/>
              <w:bottom w:val="nil"/>
              <w:right w:val="single" w:sz="8" w:space="0" w:color="auto"/>
            </w:tcBorders>
            <w:vAlign w:val="center"/>
            <w:hideMark/>
          </w:tcPr>
          <w:p w14:paraId="7C57D1F0" w14:textId="77777777" w:rsidR="007C050F" w:rsidRPr="000D0D06" w:rsidRDefault="007C050F" w:rsidP="007C050F">
            <w:pPr>
              <w:spacing w:before="0" w:after="0"/>
              <w:jc w:val="center"/>
              <w:rPr>
                <w:noProof/>
                <w:color w:val="000000"/>
                <w:sz w:val="20"/>
                <w:szCs w:val="20"/>
              </w:rPr>
            </w:pPr>
            <w:r w:rsidRPr="000D0D06">
              <w:rPr>
                <w:noProof/>
                <w:color w:val="000000"/>
                <w:sz w:val="20"/>
              </w:rPr>
              <w:t>Ano</w:t>
            </w:r>
          </w:p>
        </w:tc>
        <w:tc>
          <w:tcPr>
            <w:tcW w:w="441" w:type="pct"/>
            <w:tcBorders>
              <w:top w:val="single" w:sz="8" w:space="0" w:color="auto"/>
              <w:left w:val="nil"/>
              <w:bottom w:val="nil"/>
              <w:right w:val="single" w:sz="8" w:space="0" w:color="auto"/>
            </w:tcBorders>
            <w:vAlign w:val="center"/>
            <w:hideMark/>
          </w:tcPr>
          <w:p w14:paraId="501DD661" w14:textId="77777777" w:rsidR="007C050F" w:rsidRPr="000D0D06" w:rsidRDefault="007C050F" w:rsidP="007C050F">
            <w:pPr>
              <w:spacing w:before="0" w:after="0"/>
              <w:jc w:val="center"/>
              <w:rPr>
                <w:noProof/>
                <w:color w:val="000000"/>
                <w:sz w:val="20"/>
                <w:szCs w:val="20"/>
              </w:rPr>
            </w:pPr>
            <w:r w:rsidRPr="000D0D06">
              <w:rPr>
                <w:noProof/>
                <w:color w:val="000000"/>
                <w:sz w:val="20"/>
              </w:rPr>
              <w:t>Ano</w:t>
            </w:r>
          </w:p>
        </w:tc>
        <w:tc>
          <w:tcPr>
            <w:tcW w:w="441" w:type="pct"/>
            <w:tcBorders>
              <w:top w:val="single" w:sz="8" w:space="0" w:color="auto"/>
              <w:left w:val="nil"/>
              <w:bottom w:val="nil"/>
              <w:right w:val="single" w:sz="8" w:space="0" w:color="auto"/>
            </w:tcBorders>
            <w:vAlign w:val="center"/>
            <w:hideMark/>
          </w:tcPr>
          <w:p w14:paraId="23B61A30" w14:textId="77777777" w:rsidR="007C050F" w:rsidRPr="000D0D06" w:rsidRDefault="007C050F" w:rsidP="007C050F">
            <w:pPr>
              <w:spacing w:before="0" w:after="0"/>
              <w:jc w:val="center"/>
              <w:rPr>
                <w:noProof/>
                <w:color w:val="000000"/>
                <w:sz w:val="20"/>
                <w:szCs w:val="20"/>
              </w:rPr>
            </w:pPr>
            <w:r w:rsidRPr="000D0D06">
              <w:rPr>
                <w:noProof/>
                <w:color w:val="000000"/>
                <w:sz w:val="20"/>
              </w:rPr>
              <w:t>Ano</w:t>
            </w:r>
          </w:p>
        </w:tc>
        <w:tc>
          <w:tcPr>
            <w:tcW w:w="533" w:type="pct"/>
            <w:vMerge w:val="restart"/>
            <w:tcBorders>
              <w:top w:val="single" w:sz="8" w:space="0" w:color="auto"/>
              <w:left w:val="single" w:sz="8" w:space="0" w:color="auto"/>
              <w:bottom w:val="single" w:sz="8" w:space="0" w:color="000000"/>
              <w:right w:val="single" w:sz="8" w:space="0" w:color="auto"/>
            </w:tcBorders>
            <w:vAlign w:val="center"/>
            <w:hideMark/>
          </w:tcPr>
          <w:p w14:paraId="1C1759D7" w14:textId="77777777" w:rsidR="007C050F" w:rsidRPr="000D0D06" w:rsidRDefault="007C050F" w:rsidP="007C050F">
            <w:pPr>
              <w:spacing w:before="0" w:after="0"/>
              <w:jc w:val="center"/>
              <w:rPr>
                <w:b/>
                <w:bCs/>
                <w:noProof/>
                <w:color w:val="000000"/>
                <w:sz w:val="20"/>
                <w:szCs w:val="20"/>
              </w:rPr>
            </w:pPr>
            <w:r w:rsidRPr="000D0D06">
              <w:rPr>
                <w:b/>
                <w:noProof/>
                <w:color w:val="000000"/>
                <w:sz w:val="20"/>
              </w:rPr>
              <w:t>TOTAL QFP 2021-2027</w:t>
            </w:r>
          </w:p>
        </w:tc>
      </w:tr>
      <w:tr w:rsidR="007C050F" w:rsidRPr="000D0D06" w14:paraId="0D8EDFB5" w14:textId="77777777">
        <w:trPr>
          <w:trHeight w:val="300"/>
        </w:trPr>
        <w:tc>
          <w:tcPr>
            <w:tcW w:w="2702" w:type="pct"/>
            <w:gridSpan w:val="2"/>
            <w:vMerge/>
            <w:tcBorders>
              <w:top w:val="single" w:sz="8" w:space="0" w:color="auto"/>
              <w:left w:val="single" w:sz="8" w:space="0" w:color="auto"/>
              <w:bottom w:val="single" w:sz="8" w:space="0" w:color="auto"/>
              <w:right w:val="single" w:sz="8" w:space="0" w:color="auto"/>
            </w:tcBorders>
            <w:vAlign w:val="center"/>
            <w:hideMark/>
          </w:tcPr>
          <w:p w14:paraId="56A2AE56" w14:textId="77777777" w:rsidR="007C050F" w:rsidRPr="000D0D06" w:rsidRDefault="007C050F" w:rsidP="007C050F">
            <w:pPr>
              <w:spacing w:before="0" w:after="0"/>
              <w:jc w:val="left"/>
              <w:rPr>
                <w:noProof/>
                <w:color w:val="000000"/>
                <w:szCs w:val="24"/>
                <w:lang w:eastAsia="en-IE"/>
              </w:rPr>
            </w:pPr>
          </w:p>
        </w:tc>
        <w:tc>
          <w:tcPr>
            <w:tcW w:w="441" w:type="pct"/>
            <w:tcBorders>
              <w:top w:val="nil"/>
              <w:left w:val="nil"/>
              <w:bottom w:val="single" w:sz="8" w:space="0" w:color="auto"/>
              <w:right w:val="single" w:sz="8" w:space="0" w:color="auto"/>
            </w:tcBorders>
            <w:vAlign w:val="center"/>
            <w:hideMark/>
          </w:tcPr>
          <w:p w14:paraId="3A06F614" w14:textId="77777777" w:rsidR="007C050F" w:rsidRPr="000D0D06" w:rsidRDefault="007C050F" w:rsidP="007C050F">
            <w:pPr>
              <w:spacing w:before="0" w:after="0"/>
              <w:jc w:val="center"/>
              <w:rPr>
                <w:b/>
                <w:bCs/>
                <w:noProof/>
                <w:color w:val="000000"/>
                <w:sz w:val="20"/>
                <w:szCs w:val="20"/>
              </w:rPr>
            </w:pPr>
            <w:r w:rsidRPr="000D0D06">
              <w:rPr>
                <w:b/>
                <w:noProof/>
                <w:color w:val="000000"/>
                <w:sz w:val="20"/>
              </w:rPr>
              <w:t>2024</w:t>
            </w:r>
          </w:p>
        </w:tc>
        <w:tc>
          <w:tcPr>
            <w:tcW w:w="441" w:type="pct"/>
            <w:tcBorders>
              <w:top w:val="nil"/>
              <w:left w:val="nil"/>
              <w:bottom w:val="single" w:sz="8" w:space="0" w:color="auto"/>
              <w:right w:val="single" w:sz="8" w:space="0" w:color="auto"/>
            </w:tcBorders>
            <w:vAlign w:val="center"/>
            <w:hideMark/>
          </w:tcPr>
          <w:p w14:paraId="381B3921" w14:textId="77777777" w:rsidR="007C050F" w:rsidRPr="000D0D06" w:rsidRDefault="007C050F" w:rsidP="007C050F">
            <w:pPr>
              <w:spacing w:before="0" w:after="0"/>
              <w:jc w:val="center"/>
              <w:rPr>
                <w:b/>
                <w:bCs/>
                <w:noProof/>
                <w:color w:val="000000"/>
                <w:sz w:val="20"/>
                <w:szCs w:val="20"/>
              </w:rPr>
            </w:pPr>
            <w:r w:rsidRPr="000D0D06">
              <w:rPr>
                <w:b/>
                <w:noProof/>
                <w:color w:val="000000"/>
                <w:sz w:val="20"/>
              </w:rPr>
              <w:t>2025</w:t>
            </w:r>
          </w:p>
        </w:tc>
        <w:tc>
          <w:tcPr>
            <w:tcW w:w="441" w:type="pct"/>
            <w:tcBorders>
              <w:top w:val="nil"/>
              <w:left w:val="nil"/>
              <w:bottom w:val="single" w:sz="8" w:space="0" w:color="auto"/>
              <w:right w:val="single" w:sz="8" w:space="0" w:color="auto"/>
            </w:tcBorders>
            <w:vAlign w:val="center"/>
            <w:hideMark/>
          </w:tcPr>
          <w:p w14:paraId="076B74FE" w14:textId="77777777" w:rsidR="007C050F" w:rsidRPr="000D0D06" w:rsidRDefault="007C050F" w:rsidP="007C050F">
            <w:pPr>
              <w:spacing w:before="0" w:after="0"/>
              <w:jc w:val="center"/>
              <w:rPr>
                <w:b/>
                <w:bCs/>
                <w:noProof/>
                <w:color w:val="000000"/>
                <w:sz w:val="20"/>
                <w:szCs w:val="20"/>
              </w:rPr>
            </w:pPr>
            <w:r w:rsidRPr="000D0D06">
              <w:rPr>
                <w:b/>
                <w:noProof/>
                <w:color w:val="000000"/>
                <w:sz w:val="20"/>
              </w:rPr>
              <w:t>2026</w:t>
            </w:r>
          </w:p>
        </w:tc>
        <w:tc>
          <w:tcPr>
            <w:tcW w:w="441" w:type="pct"/>
            <w:tcBorders>
              <w:top w:val="nil"/>
              <w:left w:val="nil"/>
              <w:bottom w:val="single" w:sz="8" w:space="0" w:color="auto"/>
              <w:right w:val="single" w:sz="8" w:space="0" w:color="auto"/>
            </w:tcBorders>
            <w:vAlign w:val="center"/>
            <w:hideMark/>
          </w:tcPr>
          <w:p w14:paraId="4073EB1F" w14:textId="77777777" w:rsidR="007C050F" w:rsidRPr="000D0D06" w:rsidRDefault="007C050F" w:rsidP="007C050F">
            <w:pPr>
              <w:spacing w:before="0" w:after="0"/>
              <w:jc w:val="center"/>
              <w:rPr>
                <w:b/>
                <w:bCs/>
                <w:noProof/>
                <w:color w:val="000000"/>
                <w:sz w:val="20"/>
                <w:szCs w:val="20"/>
              </w:rPr>
            </w:pPr>
            <w:r w:rsidRPr="000D0D06">
              <w:rPr>
                <w:b/>
                <w:noProof/>
                <w:color w:val="000000"/>
                <w:sz w:val="20"/>
              </w:rPr>
              <w:t>2027</w:t>
            </w:r>
          </w:p>
        </w:tc>
        <w:tc>
          <w:tcPr>
            <w:tcW w:w="533" w:type="pct"/>
            <w:vMerge/>
            <w:tcBorders>
              <w:top w:val="single" w:sz="8" w:space="0" w:color="auto"/>
              <w:left w:val="single" w:sz="8" w:space="0" w:color="auto"/>
              <w:bottom w:val="single" w:sz="8" w:space="0" w:color="000000"/>
              <w:right w:val="single" w:sz="8" w:space="0" w:color="auto"/>
            </w:tcBorders>
            <w:vAlign w:val="center"/>
            <w:hideMark/>
          </w:tcPr>
          <w:p w14:paraId="3A0FDC9A" w14:textId="77777777" w:rsidR="007C050F" w:rsidRPr="000D0D06" w:rsidRDefault="007C050F" w:rsidP="007C050F">
            <w:pPr>
              <w:spacing w:before="0" w:after="0"/>
              <w:jc w:val="left"/>
              <w:rPr>
                <w:b/>
                <w:bCs/>
                <w:noProof/>
                <w:color w:val="000000"/>
                <w:sz w:val="20"/>
                <w:szCs w:val="20"/>
                <w:lang w:eastAsia="en-IE"/>
              </w:rPr>
            </w:pPr>
          </w:p>
        </w:tc>
      </w:tr>
      <w:tr w:rsidR="007C050F" w:rsidRPr="000D0D06" w14:paraId="0F2F3DDE" w14:textId="77777777">
        <w:trPr>
          <w:trHeight w:val="564"/>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14:paraId="3D28DB7A" w14:textId="77777777" w:rsidR="007C050F" w:rsidRPr="000D0D06" w:rsidRDefault="007C050F" w:rsidP="007C050F">
            <w:pPr>
              <w:spacing w:before="0" w:after="0"/>
              <w:jc w:val="center"/>
              <w:rPr>
                <w:b/>
                <w:bCs/>
                <w:noProof/>
                <w:color w:val="000000"/>
                <w:sz w:val="22"/>
              </w:rPr>
            </w:pPr>
            <w:r w:rsidRPr="000D0D06">
              <w:rPr>
                <w:b/>
                <w:noProof/>
                <w:color w:val="000000"/>
                <w:sz w:val="22"/>
              </w:rPr>
              <w:t>TOTAL das dotações das RUBRICAS 1 a 7</w:t>
            </w:r>
          </w:p>
        </w:tc>
        <w:tc>
          <w:tcPr>
            <w:tcW w:w="731" w:type="pct"/>
            <w:tcBorders>
              <w:top w:val="single" w:sz="8" w:space="0" w:color="auto"/>
              <w:left w:val="nil"/>
              <w:bottom w:val="single" w:sz="8" w:space="0" w:color="auto"/>
              <w:right w:val="single" w:sz="8" w:space="0" w:color="auto"/>
            </w:tcBorders>
            <w:vAlign w:val="center"/>
            <w:hideMark/>
          </w:tcPr>
          <w:p w14:paraId="63789E0D" w14:textId="77777777" w:rsidR="007C050F" w:rsidRPr="000D0D06" w:rsidRDefault="007C050F" w:rsidP="007C050F">
            <w:pPr>
              <w:spacing w:before="0" w:after="0"/>
              <w:rPr>
                <w:noProof/>
                <w:color w:val="000000"/>
                <w:sz w:val="18"/>
                <w:szCs w:val="18"/>
              </w:rPr>
            </w:pPr>
            <w:r w:rsidRPr="000D0D06">
              <w:rPr>
                <w:noProof/>
                <w:color w:val="000000"/>
                <w:sz w:val="18"/>
              </w:rPr>
              <w:t>Autorizações</w:t>
            </w:r>
          </w:p>
        </w:tc>
        <w:tc>
          <w:tcPr>
            <w:tcW w:w="441" w:type="pct"/>
            <w:tcBorders>
              <w:top w:val="nil"/>
              <w:left w:val="nil"/>
              <w:bottom w:val="single" w:sz="8" w:space="0" w:color="auto"/>
              <w:right w:val="single" w:sz="8" w:space="0" w:color="auto"/>
            </w:tcBorders>
            <w:shd w:val="clear" w:color="000000" w:fill="D9D9D9"/>
            <w:vAlign w:val="center"/>
            <w:hideMark/>
          </w:tcPr>
          <w:p w14:paraId="2554448C" w14:textId="77777777" w:rsidR="007C050F" w:rsidRPr="000D0D06" w:rsidRDefault="007C050F" w:rsidP="007C050F">
            <w:pPr>
              <w:spacing w:before="0" w:after="0"/>
              <w:jc w:val="right"/>
              <w:rPr>
                <w:b/>
                <w:bCs/>
                <w:noProof/>
                <w:color w:val="000000"/>
                <w:szCs w:val="24"/>
              </w:rPr>
            </w:pPr>
            <w:r w:rsidRPr="000D0D06">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14:paraId="2CD670F3" w14:textId="77777777" w:rsidR="007C050F" w:rsidRPr="000D0D06" w:rsidRDefault="007C050F" w:rsidP="007C050F">
            <w:pPr>
              <w:spacing w:before="0" w:after="0"/>
              <w:jc w:val="right"/>
              <w:rPr>
                <w:b/>
                <w:bCs/>
                <w:noProof/>
                <w:color w:val="000000"/>
                <w:szCs w:val="24"/>
              </w:rPr>
            </w:pPr>
            <w:r w:rsidRPr="000D0D06">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14:paraId="39B7D5B2" w14:textId="77777777" w:rsidR="007C050F" w:rsidRPr="000D0D06" w:rsidRDefault="007C050F" w:rsidP="007C050F">
            <w:pPr>
              <w:spacing w:before="0" w:after="0"/>
              <w:jc w:val="right"/>
              <w:rPr>
                <w:b/>
                <w:bCs/>
                <w:noProof/>
                <w:color w:val="000000"/>
                <w:szCs w:val="24"/>
              </w:rPr>
            </w:pPr>
            <w:r w:rsidRPr="000D0D06">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14:paraId="5C8DE913" w14:textId="77777777" w:rsidR="007C050F" w:rsidRPr="000D0D06" w:rsidRDefault="007C050F" w:rsidP="007C050F">
            <w:pPr>
              <w:spacing w:before="0" w:after="0"/>
              <w:jc w:val="right"/>
              <w:rPr>
                <w:b/>
                <w:bCs/>
                <w:noProof/>
                <w:color w:val="000000"/>
                <w:szCs w:val="24"/>
              </w:rPr>
            </w:pPr>
            <w:r w:rsidRPr="000D0D06">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14:paraId="4B336ED2" w14:textId="77777777" w:rsidR="007C050F" w:rsidRPr="000D0D06" w:rsidRDefault="007C050F" w:rsidP="007C050F">
            <w:pPr>
              <w:spacing w:before="0" w:after="0"/>
              <w:jc w:val="right"/>
              <w:rPr>
                <w:b/>
                <w:bCs/>
                <w:noProof/>
                <w:color w:val="000000"/>
                <w:szCs w:val="24"/>
              </w:rPr>
            </w:pPr>
            <w:r w:rsidRPr="000D0D06">
              <w:rPr>
                <w:b/>
                <w:noProof/>
                <w:color w:val="000000"/>
              </w:rPr>
              <w:t>0,000</w:t>
            </w:r>
          </w:p>
        </w:tc>
      </w:tr>
      <w:tr w:rsidR="007C050F" w:rsidRPr="000D0D06" w14:paraId="6864FEF3" w14:textId="77777777">
        <w:trPr>
          <w:trHeight w:val="540"/>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14:paraId="22651D61" w14:textId="77777777" w:rsidR="007C050F" w:rsidRPr="000D0D06" w:rsidRDefault="007C050F" w:rsidP="007C050F">
            <w:pPr>
              <w:spacing w:before="0" w:after="0"/>
              <w:jc w:val="center"/>
              <w:rPr>
                <w:noProof/>
                <w:color w:val="000000"/>
                <w:sz w:val="22"/>
              </w:rPr>
            </w:pPr>
            <w:r w:rsidRPr="000D0D06">
              <w:rPr>
                <w:noProof/>
                <w:color w:val="000000"/>
                <w:sz w:val="22"/>
              </w:rPr>
              <w:t>do quadro financeiro plurianual</w:t>
            </w:r>
            <w:r w:rsidRPr="000D0D06">
              <w:rPr>
                <w:b/>
                <w:noProof/>
                <w:color w:val="000000"/>
                <w:sz w:val="22"/>
              </w:rPr>
              <w:t xml:space="preserve"> </w:t>
            </w:r>
          </w:p>
        </w:tc>
        <w:tc>
          <w:tcPr>
            <w:tcW w:w="731" w:type="pct"/>
            <w:tcBorders>
              <w:top w:val="single" w:sz="8" w:space="0" w:color="auto"/>
              <w:left w:val="nil"/>
              <w:bottom w:val="single" w:sz="8" w:space="0" w:color="auto"/>
              <w:right w:val="single" w:sz="8" w:space="0" w:color="auto"/>
            </w:tcBorders>
            <w:vAlign w:val="center"/>
            <w:hideMark/>
          </w:tcPr>
          <w:p w14:paraId="1C24E0C4" w14:textId="77777777" w:rsidR="007C050F" w:rsidRPr="000D0D06" w:rsidRDefault="007C050F" w:rsidP="007C050F">
            <w:pPr>
              <w:spacing w:before="0" w:after="0"/>
              <w:rPr>
                <w:noProof/>
                <w:color w:val="000000"/>
                <w:sz w:val="18"/>
                <w:szCs w:val="18"/>
              </w:rPr>
            </w:pPr>
            <w:r w:rsidRPr="000D0D06">
              <w:rPr>
                <w:noProof/>
                <w:color w:val="000000"/>
                <w:sz w:val="18"/>
              </w:rPr>
              <w:t>Pagamentos</w:t>
            </w:r>
          </w:p>
        </w:tc>
        <w:tc>
          <w:tcPr>
            <w:tcW w:w="441" w:type="pct"/>
            <w:tcBorders>
              <w:top w:val="nil"/>
              <w:left w:val="nil"/>
              <w:bottom w:val="single" w:sz="8" w:space="0" w:color="auto"/>
              <w:right w:val="single" w:sz="8" w:space="0" w:color="auto"/>
            </w:tcBorders>
            <w:shd w:val="clear" w:color="000000" w:fill="D9D9D9"/>
            <w:vAlign w:val="center"/>
            <w:hideMark/>
          </w:tcPr>
          <w:p w14:paraId="4DCF8077" w14:textId="77777777" w:rsidR="007C050F" w:rsidRPr="000D0D06" w:rsidRDefault="007C050F" w:rsidP="007C050F">
            <w:pPr>
              <w:spacing w:before="0" w:after="0"/>
              <w:jc w:val="right"/>
              <w:rPr>
                <w:b/>
                <w:bCs/>
                <w:noProof/>
                <w:color w:val="000000"/>
                <w:szCs w:val="24"/>
              </w:rPr>
            </w:pPr>
            <w:r w:rsidRPr="000D0D06">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14:paraId="2C803717" w14:textId="77777777" w:rsidR="007C050F" w:rsidRPr="000D0D06" w:rsidRDefault="007C050F" w:rsidP="007C050F">
            <w:pPr>
              <w:spacing w:before="0" w:after="0"/>
              <w:jc w:val="right"/>
              <w:rPr>
                <w:b/>
                <w:bCs/>
                <w:noProof/>
                <w:color w:val="000000"/>
                <w:szCs w:val="24"/>
              </w:rPr>
            </w:pPr>
            <w:r w:rsidRPr="000D0D06">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14:paraId="4DCE295F" w14:textId="77777777" w:rsidR="007C050F" w:rsidRPr="000D0D06" w:rsidRDefault="007C050F" w:rsidP="007C050F">
            <w:pPr>
              <w:spacing w:before="0" w:after="0"/>
              <w:jc w:val="right"/>
              <w:rPr>
                <w:b/>
                <w:bCs/>
                <w:noProof/>
                <w:color w:val="000000"/>
                <w:szCs w:val="24"/>
              </w:rPr>
            </w:pPr>
            <w:r w:rsidRPr="000D0D06">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14:paraId="79160E4E" w14:textId="77777777" w:rsidR="007C050F" w:rsidRPr="000D0D06" w:rsidRDefault="007C050F" w:rsidP="007C050F">
            <w:pPr>
              <w:spacing w:before="0" w:after="0"/>
              <w:jc w:val="right"/>
              <w:rPr>
                <w:b/>
                <w:bCs/>
                <w:noProof/>
                <w:color w:val="000000"/>
                <w:szCs w:val="24"/>
              </w:rPr>
            </w:pPr>
            <w:r w:rsidRPr="000D0D06">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14:paraId="5E2FBCA5" w14:textId="77777777" w:rsidR="007C050F" w:rsidRPr="000D0D06" w:rsidRDefault="007C050F" w:rsidP="007C050F">
            <w:pPr>
              <w:spacing w:before="0" w:after="0"/>
              <w:jc w:val="right"/>
              <w:rPr>
                <w:b/>
                <w:bCs/>
                <w:noProof/>
                <w:color w:val="000000"/>
                <w:szCs w:val="24"/>
              </w:rPr>
            </w:pPr>
            <w:r w:rsidRPr="000D0D06">
              <w:rPr>
                <w:b/>
                <w:noProof/>
                <w:color w:val="000000"/>
              </w:rPr>
              <w:t>0,000</w:t>
            </w:r>
          </w:p>
        </w:tc>
      </w:tr>
    </w:tbl>
    <w:p w14:paraId="05959788" w14:textId="77777777" w:rsidR="007C050F" w:rsidRPr="000D0D06" w:rsidRDefault="001936FC" w:rsidP="001936FC">
      <w:pPr>
        <w:pStyle w:val="ManualHeading4"/>
        <w:rPr>
          <w:noProof/>
        </w:rPr>
      </w:pPr>
      <w:r w:rsidRPr="000D0D06">
        <w:rPr>
          <w:noProof/>
        </w:rPr>
        <w:t>3.2.1.2.</w:t>
      </w:r>
      <w:r w:rsidRPr="000D0D06">
        <w:rPr>
          <w:noProof/>
        </w:rPr>
        <w:tab/>
        <w:t>Dotações provenientes de receitas afetadas externas</w:t>
      </w:r>
    </w:p>
    <w:p w14:paraId="56E2FB6B" w14:textId="77777777" w:rsidR="007C050F" w:rsidRPr="000D0D06" w:rsidRDefault="007C050F" w:rsidP="007C050F">
      <w:pPr>
        <w:jc w:val="right"/>
        <w:rPr>
          <w:noProof/>
          <w:sz w:val="18"/>
          <w:szCs w:val="18"/>
        </w:rPr>
      </w:pPr>
      <w:r w:rsidRPr="000D0D06">
        <w:rPr>
          <w:noProof/>
          <w:sz w:val="18"/>
        </w:rPr>
        <w:t>Em milhões de EUR (três casas decimais)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7C050F" w:rsidRPr="000D0D06" w14:paraId="781FA307" w14:textId="77777777">
        <w:trPr>
          <w:jc w:val="center"/>
        </w:trPr>
        <w:tc>
          <w:tcPr>
            <w:tcW w:w="1739" w:type="pct"/>
            <w:shd w:val="thinDiagStripe" w:color="C0C0C0" w:fill="auto"/>
            <w:vAlign w:val="center"/>
          </w:tcPr>
          <w:p w14:paraId="5CD42EDB" w14:textId="77777777" w:rsidR="007C050F" w:rsidRPr="000D0D06" w:rsidRDefault="007C050F" w:rsidP="007C050F">
            <w:pPr>
              <w:spacing w:before="60" w:after="60"/>
              <w:jc w:val="center"/>
              <w:rPr>
                <w:b/>
                <w:noProof/>
              </w:rPr>
            </w:pPr>
            <w:r w:rsidRPr="000D0D06">
              <w:rPr>
                <w:b/>
                <w:noProof/>
                <w:sz w:val="22"/>
              </w:rPr>
              <w:t xml:space="preserve">Rubrica do quadro financeiro plurianual </w:t>
            </w:r>
          </w:p>
        </w:tc>
        <w:tc>
          <w:tcPr>
            <w:tcW w:w="396" w:type="pct"/>
            <w:vAlign w:val="center"/>
          </w:tcPr>
          <w:p w14:paraId="5316727B" w14:textId="77777777" w:rsidR="007C050F" w:rsidRPr="000D0D06" w:rsidRDefault="007C050F" w:rsidP="007C050F">
            <w:pPr>
              <w:spacing w:before="60" w:after="60"/>
              <w:jc w:val="center"/>
              <w:rPr>
                <w:noProof/>
              </w:rPr>
            </w:pPr>
            <w:r w:rsidRPr="000D0D06">
              <w:rPr>
                <w:noProof/>
                <w:sz w:val="22"/>
              </w:rPr>
              <w:t>Número</w:t>
            </w:r>
          </w:p>
        </w:tc>
        <w:tc>
          <w:tcPr>
            <w:tcW w:w="2865" w:type="pct"/>
            <w:vAlign w:val="center"/>
          </w:tcPr>
          <w:p w14:paraId="1F32BA3E" w14:textId="77777777" w:rsidR="007C050F" w:rsidRPr="000D0D06" w:rsidRDefault="007C050F" w:rsidP="007C050F">
            <w:pPr>
              <w:spacing w:before="60" w:after="60"/>
              <w:rPr>
                <w:noProof/>
              </w:rPr>
            </w:pPr>
          </w:p>
        </w:tc>
      </w:tr>
    </w:tbl>
    <w:p w14:paraId="70BE40D2" w14:textId="77777777" w:rsidR="007C050F" w:rsidRPr="000D0D06" w:rsidRDefault="007C050F" w:rsidP="007C050F">
      <w:pPr>
        <w:rPr>
          <w:noProof/>
          <w:sz w:val="16"/>
        </w:rPr>
      </w:pPr>
    </w:p>
    <w:tbl>
      <w:tblPr>
        <w:tblW w:w="5000" w:type="pct"/>
        <w:tblLook w:val="04A0" w:firstRow="1" w:lastRow="0" w:firstColumn="1" w:lastColumn="0" w:noHBand="0" w:noVBand="1"/>
      </w:tblPr>
      <w:tblGrid>
        <w:gridCol w:w="4036"/>
        <w:gridCol w:w="708"/>
        <w:gridCol w:w="796"/>
        <w:gridCol w:w="284"/>
        <w:gridCol w:w="1126"/>
        <w:gridCol w:w="1411"/>
        <w:gridCol w:w="1411"/>
        <w:gridCol w:w="1411"/>
        <w:gridCol w:w="1359"/>
        <w:gridCol w:w="1678"/>
      </w:tblGrid>
      <w:tr w:rsidR="007C050F" w:rsidRPr="000D0D06" w14:paraId="0E3D01E0" w14:textId="77777777">
        <w:trPr>
          <w:trHeight w:val="420"/>
        </w:trPr>
        <w:tc>
          <w:tcPr>
            <w:tcW w:w="2444" w:type="pct"/>
            <w:gridSpan w:val="5"/>
            <w:vMerge w:val="restart"/>
            <w:tcBorders>
              <w:top w:val="single" w:sz="8" w:space="0" w:color="auto"/>
              <w:left w:val="single" w:sz="8" w:space="0" w:color="auto"/>
              <w:bottom w:val="single" w:sz="8" w:space="0" w:color="auto"/>
              <w:right w:val="single" w:sz="8" w:space="0" w:color="auto"/>
            </w:tcBorders>
            <w:vAlign w:val="center"/>
            <w:hideMark/>
          </w:tcPr>
          <w:p w14:paraId="4DC9AD1A" w14:textId="77777777" w:rsidR="007C050F" w:rsidRPr="000D0D06" w:rsidRDefault="007C050F" w:rsidP="007C050F">
            <w:pPr>
              <w:spacing w:before="0" w:after="0"/>
              <w:jc w:val="center"/>
              <w:rPr>
                <w:noProof/>
                <w:color w:val="000000"/>
                <w:sz w:val="22"/>
              </w:rPr>
            </w:pPr>
            <w:r w:rsidRPr="000D0D06">
              <w:rPr>
                <w:noProof/>
                <w:color w:val="000000"/>
                <w:sz w:val="22"/>
              </w:rPr>
              <w:t>DG: &lt;…….&gt;</w:t>
            </w:r>
          </w:p>
        </w:tc>
        <w:tc>
          <w:tcPr>
            <w:tcW w:w="496" w:type="pct"/>
            <w:tcBorders>
              <w:top w:val="single" w:sz="8" w:space="0" w:color="auto"/>
              <w:left w:val="nil"/>
              <w:bottom w:val="single" w:sz="8" w:space="0" w:color="auto"/>
              <w:right w:val="single" w:sz="8" w:space="0" w:color="auto"/>
            </w:tcBorders>
            <w:vAlign w:val="center"/>
            <w:hideMark/>
          </w:tcPr>
          <w:p w14:paraId="4D029F2D" w14:textId="77777777" w:rsidR="007C050F" w:rsidRPr="000D0D06" w:rsidRDefault="007C050F" w:rsidP="007C050F">
            <w:pPr>
              <w:spacing w:before="0" w:after="0"/>
              <w:jc w:val="center"/>
              <w:rPr>
                <w:noProof/>
                <w:color w:val="000000"/>
                <w:sz w:val="20"/>
                <w:szCs w:val="20"/>
              </w:rPr>
            </w:pPr>
            <w:r w:rsidRPr="000D0D06">
              <w:rPr>
                <w:noProof/>
                <w:color w:val="000000"/>
                <w:sz w:val="20"/>
              </w:rPr>
              <w:t>Ano</w:t>
            </w:r>
          </w:p>
        </w:tc>
        <w:tc>
          <w:tcPr>
            <w:tcW w:w="496" w:type="pct"/>
            <w:tcBorders>
              <w:top w:val="single" w:sz="8" w:space="0" w:color="auto"/>
              <w:left w:val="nil"/>
              <w:bottom w:val="single" w:sz="8" w:space="0" w:color="auto"/>
              <w:right w:val="single" w:sz="8" w:space="0" w:color="auto"/>
            </w:tcBorders>
            <w:vAlign w:val="center"/>
            <w:hideMark/>
          </w:tcPr>
          <w:p w14:paraId="78A16E4A" w14:textId="77777777" w:rsidR="007C050F" w:rsidRPr="000D0D06" w:rsidRDefault="007C050F" w:rsidP="007C050F">
            <w:pPr>
              <w:spacing w:before="0" w:after="0"/>
              <w:jc w:val="center"/>
              <w:rPr>
                <w:noProof/>
                <w:color w:val="000000"/>
                <w:sz w:val="20"/>
                <w:szCs w:val="20"/>
              </w:rPr>
            </w:pPr>
            <w:r w:rsidRPr="000D0D06">
              <w:rPr>
                <w:noProof/>
                <w:color w:val="000000"/>
                <w:sz w:val="20"/>
              </w:rPr>
              <w:t>Ano</w:t>
            </w:r>
          </w:p>
        </w:tc>
        <w:tc>
          <w:tcPr>
            <w:tcW w:w="496" w:type="pct"/>
            <w:tcBorders>
              <w:top w:val="single" w:sz="8" w:space="0" w:color="auto"/>
              <w:left w:val="nil"/>
              <w:bottom w:val="single" w:sz="8" w:space="0" w:color="auto"/>
              <w:right w:val="single" w:sz="8" w:space="0" w:color="auto"/>
            </w:tcBorders>
            <w:vAlign w:val="center"/>
            <w:hideMark/>
          </w:tcPr>
          <w:p w14:paraId="64111121" w14:textId="77777777" w:rsidR="007C050F" w:rsidRPr="000D0D06" w:rsidRDefault="007C050F" w:rsidP="007C050F">
            <w:pPr>
              <w:spacing w:before="0" w:after="0"/>
              <w:jc w:val="center"/>
              <w:rPr>
                <w:noProof/>
                <w:color w:val="000000"/>
                <w:sz w:val="20"/>
                <w:szCs w:val="20"/>
              </w:rPr>
            </w:pPr>
            <w:r w:rsidRPr="000D0D06">
              <w:rPr>
                <w:noProof/>
                <w:color w:val="000000"/>
                <w:sz w:val="20"/>
              </w:rPr>
              <w:t>Ano</w:t>
            </w:r>
          </w:p>
        </w:tc>
        <w:tc>
          <w:tcPr>
            <w:tcW w:w="478" w:type="pct"/>
            <w:tcBorders>
              <w:top w:val="single" w:sz="8" w:space="0" w:color="auto"/>
              <w:left w:val="nil"/>
              <w:bottom w:val="single" w:sz="8" w:space="0" w:color="auto"/>
              <w:right w:val="single" w:sz="8" w:space="0" w:color="auto"/>
            </w:tcBorders>
            <w:vAlign w:val="center"/>
            <w:hideMark/>
          </w:tcPr>
          <w:p w14:paraId="7DCB0FC0" w14:textId="77777777" w:rsidR="007C050F" w:rsidRPr="000D0D06" w:rsidRDefault="007C050F" w:rsidP="007C050F">
            <w:pPr>
              <w:spacing w:before="0" w:after="0"/>
              <w:jc w:val="center"/>
              <w:rPr>
                <w:noProof/>
                <w:color w:val="000000"/>
                <w:sz w:val="20"/>
                <w:szCs w:val="20"/>
              </w:rPr>
            </w:pPr>
            <w:r w:rsidRPr="000D0D06">
              <w:rPr>
                <w:noProof/>
                <w:color w:val="000000"/>
                <w:sz w:val="20"/>
              </w:rPr>
              <w:t>Ano</w:t>
            </w:r>
          </w:p>
        </w:tc>
        <w:tc>
          <w:tcPr>
            <w:tcW w:w="590" w:type="pct"/>
            <w:vMerge w:val="restart"/>
            <w:tcBorders>
              <w:top w:val="single" w:sz="8" w:space="0" w:color="auto"/>
              <w:left w:val="single" w:sz="8" w:space="0" w:color="auto"/>
              <w:bottom w:val="single" w:sz="8" w:space="0" w:color="auto"/>
              <w:right w:val="single" w:sz="8" w:space="0" w:color="auto"/>
            </w:tcBorders>
            <w:vAlign w:val="center"/>
            <w:hideMark/>
          </w:tcPr>
          <w:p w14:paraId="7228471C" w14:textId="77777777" w:rsidR="007C050F" w:rsidRPr="000D0D06" w:rsidRDefault="007C050F" w:rsidP="007C050F">
            <w:pPr>
              <w:spacing w:before="0" w:after="0"/>
              <w:jc w:val="center"/>
              <w:rPr>
                <w:b/>
                <w:bCs/>
                <w:noProof/>
                <w:color w:val="000000"/>
                <w:sz w:val="20"/>
                <w:szCs w:val="20"/>
              </w:rPr>
            </w:pPr>
            <w:r w:rsidRPr="000D0D06">
              <w:rPr>
                <w:b/>
                <w:noProof/>
                <w:color w:val="000000"/>
                <w:sz w:val="20"/>
              </w:rPr>
              <w:t>TOTAL QFP 2021-2027</w:t>
            </w:r>
          </w:p>
        </w:tc>
      </w:tr>
      <w:tr w:rsidR="007C050F" w:rsidRPr="000D0D06" w14:paraId="79E2DDF8" w14:textId="77777777">
        <w:trPr>
          <w:trHeight w:val="288"/>
        </w:trPr>
        <w:tc>
          <w:tcPr>
            <w:tcW w:w="2444" w:type="pct"/>
            <w:gridSpan w:val="5"/>
            <w:vMerge/>
            <w:vAlign w:val="center"/>
            <w:hideMark/>
          </w:tcPr>
          <w:p w14:paraId="557D95DC" w14:textId="77777777" w:rsidR="007C050F" w:rsidRPr="000D0D06" w:rsidRDefault="007C050F" w:rsidP="007C050F">
            <w:pPr>
              <w:spacing w:before="0" w:after="0"/>
              <w:jc w:val="left"/>
              <w:rPr>
                <w:noProof/>
                <w:color w:val="000000"/>
                <w:sz w:val="22"/>
                <w:lang w:eastAsia="en-IE"/>
              </w:rPr>
            </w:pPr>
          </w:p>
        </w:tc>
        <w:tc>
          <w:tcPr>
            <w:tcW w:w="496" w:type="pct"/>
            <w:tcBorders>
              <w:top w:val="nil"/>
              <w:left w:val="nil"/>
              <w:bottom w:val="single" w:sz="8" w:space="0" w:color="auto"/>
              <w:right w:val="single" w:sz="8" w:space="0" w:color="auto"/>
            </w:tcBorders>
            <w:vAlign w:val="center"/>
            <w:hideMark/>
          </w:tcPr>
          <w:p w14:paraId="4DEB0E8F" w14:textId="77777777" w:rsidR="007C050F" w:rsidRPr="000D0D06" w:rsidRDefault="007C050F" w:rsidP="007C050F">
            <w:pPr>
              <w:spacing w:before="0" w:after="0"/>
              <w:jc w:val="center"/>
              <w:rPr>
                <w:b/>
                <w:bCs/>
                <w:noProof/>
                <w:color w:val="000000"/>
                <w:sz w:val="20"/>
                <w:szCs w:val="20"/>
              </w:rPr>
            </w:pPr>
            <w:r w:rsidRPr="000D0D06">
              <w:rPr>
                <w:b/>
                <w:noProof/>
                <w:color w:val="000000"/>
                <w:sz w:val="20"/>
              </w:rPr>
              <w:t>2024</w:t>
            </w:r>
          </w:p>
        </w:tc>
        <w:tc>
          <w:tcPr>
            <w:tcW w:w="496" w:type="pct"/>
            <w:tcBorders>
              <w:top w:val="nil"/>
              <w:left w:val="nil"/>
              <w:bottom w:val="single" w:sz="8" w:space="0" w:color="auto"/>
              <w:right w:val="single" w:sz="8" w:space="0" w:color="auto"/>
            </w:tcBorders>
            <w:vAlign w:val="center"/>
            <w:hideMark/>
          </w:tcPr>
          <w:p w14:paraId="4D9A6488" w14:textId="77777777" w:rsidR="007C050F" w:rsidRPr="000D0D06" w:rsidRDefault="007C050F" w:rsidP="007C050F">
            <w:pPr>
              <w:spacing w:before="0" w:after="0"/>
              <w:jc w:val="center"/>
              <w:rPr>
                <w:b/>
                <w:bCs/>
                <w:noProof/>
                <w:color w:val="000000"/>
                <w:sz w:val="20"/>
                <w:szCs w:val="20"/>
              </w:rPr>
            </w:pPr>
            <w:r w:rsidRPr="000D0D06">
              <w:rPr>
                <w:b/>
                <w:noProof/>
                <w:color w:val="000000"/>
                <w:sz w:val="20"/>
              </w:rPr>
              <w:t>2025</w:t>
            </w:r>
          </w:p>
        </w:tc>
        <w:tc>
          <w:tcPr>
            <w:tcW w:w="496" w:type="pct"/>
            <w:tcBorders>
              <w:top w:val="nil"/>
              <w:left w:val="nil"/>
              <w:bottom w:val="single" w:sz="8" w:space="0" w:color="auto"/>
              <w:right w:val="single" w:sz="8" w:space="0" w:color="auto"/>
            </w:tcBorders>
            <w:vAlign w:val="center"/>
            <w:hideMark/>
          </w:tcPr>
          <w:p w14:paraId="370F946B" w14:textId="77777777" w:rsidR="007C050F" w:rsidRPr="000D0D06" w:rsidRDefault="007C050F" w:rsidP="007C050F">
            <w:pPr>
              <w:spacing w:before="0" w:after="0"/>
              <w:jc w:val="center"/>
              <w:rPr>
                <w:b/>
                <w:bCs/>
                <w:noProof/>
                <w:color w:val="000000"/>
                <w:sz w:val="20"/>
                <w:szCs w:val="20"/>
              </w:rPr>
            </w:pPr>
            <w:r w:rsidRPr="000D0D06">
              <w:rPr>
                <w:b/>
                <w:noProof/>
                <w:color w:val="000000"/>
                <w:sz w:val="20"/>
              </w:rPr>
              <w:t>2026</w:t>
            </w:r>
          </w:p>
        </w:tc>
        <w:tc>
          <w:tcPr>
            <w:tcW w:w="478" w:type="pct"/>
            <w:tcBorders>
              <w:top w:val="nil"/>
              <w:left w:val="nil"/>
              <w:bottom w:val="single" w:sz="8" w:space="0" w:color="auto"/>
              <w:right w:val="single" w:sz="8" w:space="0" w:color="auto"/>
            </w:tcBorders>
            <w:vAlign w:val="center"/>
            <w:hideMark/>
          </w:tcPr>
          <w:p w14:paraId="6BBD8CA2" w14:textId="77777777" w:rsidR="007C050F" w:rsidRPr="000D0D06" w:rsidRDefault="007C050F" w:rsidP="007C050F">
            <w:pPr>
              <w:spacing w:before="0" w:after="0"/>
              <w:jc w:val="center"/>
              <w:rPr>
                <w:b/>
                <w:bCs/>
                <w:noProof/>
                <w:color w:val="000000"/>
                <w:sz w:val="20"/>
                <w:szCs w:val="20"/>
              </w:rPr>
            </w:pPr>
            <w:r w:rsidRPr="000D0D06">
              <w:rPr>
                <w:b/>
                <w:noProof/>
                <w:color w:val="000000"/>
                <w:sz w:val="20"/>
              </w:rPr>
              <w:t>2027</w:t>
            </w:r>
          </w:p>
        </w:tc>
        <w:tc>
          <w:tcPr>
            <w:tcW w:w="590" w:type="pct"/>
            <w:vMerge/>
            <w:vAlign w:val="center"/>
            <w:hideMark/>
          </w:tcPr>
          <w:p w14:paraId="61C912CB" w14:textId="77777777" w:rsidR="007C050F" w:rsidRPr="000D0D06" w:rsidRDefault="007C050F" w:rsidP="007C050F">
            <w:pPr>
              <w:spacing w:before="0" w:after="0"/>
              <w:jc w:val="left"/>
              <w:rPr>
                <w:b/>
                <w:bCs/>
                <w:noProof/>
                <w:color w:val="000000"/>
                <w:sz w:val="20"/>
                <w:szCs w:val="20"/>
                <w:lang w:eastAsia="en-IE"/>
              </w:rPr>
            </w:pPr>
          </w:p>
        </w:tc>
      </w:tr>
      <w:tr w:rsidR="007C050F" w:rsidRPr="000D0D06" w14:paraId="7FE4B2CD" w14:textId="77777777">
        <w:trPr>
          <w:trHeight w:val="300"/>
        </w:trPr>
        <w:tc>
          <w:tcPr>
            <w:tcW w:w="5000" w:type="pct"/>
            <w:gridSpan w:val="10"/>
            <w:tcBorders>
              <w:top w:val="single" w:sz="8" w:space="0" w:color="auto"/>
              <w:left w:val="single" w:sz="8" w:space="0" w:color="auto"/>
              <w:bottom w:val="single" w:sz="8" w:space="0" w:color="auto"/>
              <w:right w:val="single" w:sz="8" w:space="0" w:color="auto"/>
            </w:tcBorders>
            <w:vAlign w:val="center"/>
            <w:hideMark/>
          </w:tcPr>
          <w:p w14:paraId="0F6A6656" w14:textId="77777777" w:rsidR="007C050F" w:rsidRPr="000D0D06" w:rsidRDefault="007C050F" w:rsidP="007C050F">
            <w:pPr>
              <w:spacing w:before="0" w:after="0"/>
              <w:jc w:val="left"/>
              <w:rPr>
                <w:noProof/>
                <w:color w:val="000000"/>
                <w:sz w:val="21"/>
                <w:szCs w:val="21"/>
              </w:rPr>
            </w:pPr>
            <w:r w:rsidRPr="000D0D06">
              <w:rPr>
                <w:noProof/>
                <w:color w:val="000000"/>
                <w:sz w:val="21"/>
              </w:rPr>
              <w:t xml:space="preserve">Dotações operacionais </w:t>
            </w:r>
          </w:p>
        </w:tc>
      </w:tr>
      <w:tr w:rsidR="007C050F" w:rsidRPr="000D0D06" w14:paraId="640185D1" w14:textId="77777777">
        <w:trPr>
          <w:trHeight w:val="288"/>
        </w:trPr>
        <w:tc>
          <w:tcPr>
            <w:tcW w:w="1419" w:type="pct"/>
            <w:vMerge w:val="restart"/>
            <w:tcBorders>
              <w:top w:val="nil"/>
              <w:left w:val="single" w:sz="8" w:space="0" w:color="auto"/>
              <w:bottom w:val="single" w:sz="8" w:space="0" w:color="auto"/>
              <w:right w:val="single" w:sz="8" w:space="0" w:color="auto"/>
            </w:tcBorders>
            <w:noWrap/>
            <w:vAlign w:val="center"/>
            <w:hideMark/>
          </w:tcPr>
          <w:p w14:paraId="03AC6035" w14:textId="77777777" w:rsidR="007C050F" w:rsidRPr="000D0D06" w:rsidRDefault="007C050F" w:rsidP="007C050F">
            <w:pPr>
              <w:spacing w:before="0" w:after="0"/>
              <w:jc w:val="left"/>
              <w:rPr>
                <w:noProof/>
                <w:color w:val="000000"/>
                <w:sz w:val="22"/>
              </w:rPr>
            </w:pPr>
            <w:r w:rsidRPr="000D0D06">
              <w:rPr>
                <w:noProof/>
                <w:color w:val="000000"/>
                <w:sz w:val="22"/>
              </w:rPr>
              <w:t>Rubrica orçamental</w:t>
            </w:r>
          </w:p>
        </w:tc>
        <w:tc>
          <w:tcPr>
            <w:tcW w:w="529" w:type="pct"/>
            <w:gridSpan w:val="2"/>
            <w:tcBorders>
              <w:top w:val="nil"/>
              <w:left w:val="nil"/>
              <w:bottom w:val="single" w:sz="8" w:space="0" w:color="auto"/>
              <w:right w:val="single" w:sz="8" w:space="0" w:color="auto"/>
            </w:tcBorders>
            <w:vAlign w:val="center"/>
            <w:hideMark/>
          </w:tcPr>
          <w:p w14:paraId="06F37CF1" w14:textId="77777777" w:rsidR="007C050F" w:rsidRPr="000D0D06" w:rsidRDefault="007C050F" w:rsidP="007C050F">
            <w:pPr>
              <w:spacing w:before="0" w:after="0"/>
              <w:rPr>
                <w:noProof/>
                <w:color w:val="000000"/>
                <w:sz w:val="18"/>
                <w:szCs w:val="18"/>
              </w:rPr>
            </w:pPr>
            <w:r w:rsidRPr="000D0D06">
              <w:rPr>
                <w:noProof/>
                <w:color w:val="000000"/>
                <w:sz w:val="18"/>
              </w:rPr>
              <w:t>Autorizações</w:t>
            </w:r>
          </w:p>
        </w:tc>
        <w:tc>
          <w:tcPr>
            <w:tcW w:w="496" w:type="pct"/>
            <w:gridSpan w:val="2"/>
            <w:tcBorders>
              <w:top w:val="single" w:sz="8" w:space="0" w:color="auto"/>
              <w:left w:val="nil"/>
              <w:bottom w:val="single" w:sz="8" w:space="0" w:color="auto"/>
              <w:right w:val="single" w:sz="8" w:space="0" w:color="auto"/>
            </w:tcBorders>
            <w:vAlign w:val="center"/>
            <w:hideMark/>
          </w:tcPr>
          <w:p w14:paraId="460CD90E" w14:textId="77777777" w:rsidR="007C050F" w:rsidRPr="000D0D06" w:rsidRDefault="007C050F" w:rsidP="007C050F">
            <w:pPr>
              <w:spacing w:before="0" w:after="0"/>
              <w:jc w:val="center"/>
              <w:rPr>
                <w:noProof/>
                <w:color w:val="000000"/>
                <w:sz w:val="14"/>
                <w:szCs w:val="14"/>
              </w:rPr>
            </w:pPr>
            <w:r w:rsidRPr="000D0D06">
              <w:rPr>
                <w:noProof/>
                <w:color w:val="000000"/>
                <w:sz w:val="14"/>
              </w:rPr>
              <w:t>(1a)</w:t>
            </w:r>
          </w:p>
        </w:tc>
        <w:tc>
          <w:tcPr>
            <w:tcW w:w="496" w:type="pct"/>
            <w:tcBorders>
              <w:top w:val="nil"/>
              <w:left w:val="nil"/>
              <w:bottom w:val="single" w:sz="8" w:space="0" w:color="auto"/>
              <w:right w:val="single" w:sz="8" w:space="0" w:color="auto"/>
            </w:tcBorders>
            <w:vAlign w:val="center"/>
            <w:hideMark/>
          </w:tcPr>
          <w:p w14:paraId="75EFCE11" w14:textId="77777777" w:rsidR="007C050F" w:rsidRPr="000D0D06" w:rsidRDefault="007C050F" w:rsidP="007C050F">
            <w:pPr>
              <w:spacing w:before="0" w:after="0"/>
              <w:jc w:val="right"/>
              <w:rPr>
                <w:noProof/>
                <w:color w:val="000000"/>
                <w:sz w:val="20"/>
                <w:szCs w:val="20"/>
              </w:rPr>
            </w:pPr>
            <w:r w:rsidRPr="000D0D06">
              <w:rPr>
                <w:noProof/>
                <w:color w:val="000000"/>
                <w:sz w:val="20"/>
              </w:rPr>
              <w:t xml:space="preserve"> </w:t>
            </w:r>
          </w:p>
        </w:tc>
        <w:tc>
          <w:tcPr>
            <w:tcW w:w="496" w:type="pct"/>
            <w:tcBorders>
              <w:top w:val="nil"/>
              <w:left w:val="nil"/>
              <w:bottom w:val="single" w:sz="8" w:space="0" w:color="auto"/>
              <w:right w:val="single" w:sz="8" w:space="0" w:color="auto"/>
            </w:tcBorders>
            <w:vAlign w:val="center"/>
            <w:hideMark/>
          </w:tcPr>
          <w:p w14:paraId="0BC1562B" w14:textId="77777777" w:rsidR="007C050F" w:rsidRPr="000D0D06" w:rsidRDefault="007C050F" w:rsidP="007C050F">
            <w:pPr>
              <w:spacing w:before="0" w:after="0"/>
              <w:jc w:val="right"/>
              <w:rPr>
                <w:noProof/>
                <w:color w:val="000000"/>
                <w:sz w:val="20"/>
                <w:szCs w:val="20"/>
              </w:rPr>
            </w:pPr>
            <w:r w:rsidRPr="000D0D06">
              <w:rPr>
                <w:noProof/>
                <w:color w:val="000000"/>
                <w:sz w:val="20"/>
              </w:rPr>
              <w:t xml:space="preserve"> </w:t>
            </w:r>
          </w:p>
        </w:tc>
        <w:tc>
          <w:tcPr>
            <w:tcW w:w="496" w:type="pct"/>
            <w:tcBorders>
              <w:top w:val="nil"/>
              <w:left w:val="nil"/>
              <w:bottom w:val="single" w:sz="8" w:space="0" w:color="auto"/>
              <w:right w:val="single" w:sz="8" w:space="0" w:color="auto"/>
            </w:tcBorders>
            <w:vAlign w:val="center"/>
            <w:hideMark/>
          </w:tcPr>
          <w:p w14:paraId="131369FE" w14:textId="77777777" w:rsidR="007C050F" w:rsidRPr="000D0D06" w:rsidRDefault="007C050F" w:rsidP="007C050F">
            <w:pPr>
              <w:spacing w:before="0" w:after="0"/>
              <w:jc w:val="right"/>
              <w:rPr>
                <w:noProof/>
                <w:color w:val="000000"/>
                <w:sz w:val="20"/>
                <w:szCs w:val="20"/>
              </w:rPr>
            </w:pPr>
            <w:r w:rsidRPr="000D0D06">
              <w:rPr>
                <w:noProof/>
                <w:color w:val="000000"/>
                <w:sz w:val="20"/>
              </w:rPr>
              <w:t xml:space="preserve"> </w:t>
            </w:r>
          </w:p>
        </w:tc>
        <w:tc>
          <w:tcPr>
            <w:tcW w:w="478" w:type="pct"/>
            <w:tcBorders>
              <w:top w:val="nil"/>
              <w:left w:val="nil"/>
              <w:bottom w:val="single" w:sz="8" w:space="0" w:color="auto"/>
              <w:right w:val="single" w:sz="8" w:space="0" w:color="auto"/>
            </w:tcBorders>
            <w:vAlign w:val="center"/>
            <w:hideMark/>
          </w:tcPr>
          <w:p w14:paraId="6AD5FBDB" w14:textId="77777777" w:rsidR="007C050F" w:rsidRPr="000D0D06" w:rsidRDefault="007C050F" w:rsidP="007C050F">
            <w:pPr>
              <w:spacing w:before="0" w:after="0"/>
              <w:jc w:val="right"/>
              <w:rPr>
                <w:noProof/>
                <w:color w:val="000000"/>
                <w:sz w:val="20"/>
                <w:szCs w:val="20"/>
              </w:rPr>
            </w:pPr>
            <w:r w:rsidRPr="000D0D06">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14:paraId="2E2BDE72"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r>
      <w:tr w:rsidR="007C050F" w:rsidRPr="000D0D06" w14:paraId="761C6B0C" w14:textId="77777777">
        <w:trPr>
          <w:trHeight w:val="315"/>
        </w:trPr>
        <w:tc>
          <w:tcPr>
            <w:tcW w:w="1419" w:type="pct"/>
            <w:vMerge/>
            <w:vAlign w:val="center"/>
            <w:hideMark/>
          </w:tcPr>
          <w:p w14:paraId="29778AEE" w14:textId="77777777" w:rsidR="007C050F" w:rsidRPr="000D0D06" w:rsidRDefault="007C050F" w:rsidP="007C050F">
            <w:pPr>
              <w:spacing w:before="0" w:after="0"/>
              <w:jc w:val="left"/>
              <w:rPr>
                <w:noProof/>
                <w:color w:val="000000"/>
                <w:sz w:val="22"/>
                <w:lang w:eastAsia="en-IE"/>
              </w:rPr>
            </w:pPr>
          </w:p>
        </w:tc>
        <w:tc>
          <w:tcPr>
            <w:tcW w:w="529" w:type="pct"/>
            <w:gridSpan w:val="2"/>
            <w:tcBorders>
              <w:top w:val="nil"/>
              <w:left w:val="nil"/>
              <w:bottom w:val="single" w:sz="8" w:space="0" w:color="auto"/>
              <w:right w:val="single" w:sz="8" w:space="0" w:color="auto"/>
            </w:tcBorders>
            <w:vAlign w:val="center"/>
            <w:hideMark/>
          </w:tcPr>
          <w:p w14:paraId="6A19846E" w14:textId="77777777" w:rsidR="007C050F" w:rsidRPr="000D0D06" w:rsidRDefault="007C050F" w:rsidP="007C050F">
            <w:pPr>
              <w:spacing w:before="0" w:after="0"/>
              <w:rPr>
                <w:noProof/>
                <w:color w:val="000000"/>
                <w:sz w:val="18"/>
                <w:szCs w:val="18"/>
              </w:rPr>
            </w:pPr>
            <w:r w:rsidRPr="000D0D06">
              <w:rPr>
                <w:noProof/>
                <w:color w:val="000000"/>
                <w:sz w:val="18"/>
              </w:rPr>
              <w:t>Pagamentos</w:t>
            </w:r>
          </w:p>
        </w:tc>
        <w:tc>
          <w:tcPr>
            <w:tcW w:w="496" w:type="pct"/>
            <w:gridSpan w:val="2"/>
            <w:tcBorders>
              <w:top w:val="single" w:sz="8" w:space="0" w:color="auto"/>
              <w:left w:val="nil"/>
              <w:bottom w:val="single" w:sz="8" w:space="0" w:color="auto"/>
              <w:right w:val="single" w:sz="8" w:space="0" w:color="auto"/>
            </w:tcBorders>
            <w:vAlign w:val="center"/>
            <w:hideMark/>
          </w:tcPr>
          <w:p w14:paraId="6FFA6419" w14:textId="77777777" w:rsidR="007C050F" w:rsidRPr="000D0D06" w:rsidRDefault="007C050F" w:rsidP="007C050F">
            <w:pPr>
              <w:spacing w:before="0" w:after="0"/>
              <w:jc w:val="center"/>
              <w:rPr>
                <w:noProof/>
                <w:color w:val="000000"/>
                <w:sz w:val="14"/>
                <w:szCs w:val="14"/>
              </w:rPr>
            </w:pPr>
            <w:r w:rsidRPr="000D0D06">
              <w:rPr>
                <w:noProof/>
                <w:color w:val="000000"/>
                <w:sz w:val="14"/>
              </w:rPr>
              <w:t>(2a)</w:t>
            </w:r>
          </w:p>
        </w:tc>
        <w:tc>
          <w:tcPr>
            <w:tcW w:w="496" w:type="pct"/>
            <w:tcBorders>
              <w:top w:val="nil"/>
              <w:left w:val="nil"/>
              <w:bottom w:val="single" w:sz="8" w:space="0" w:color="auto"/>
              <w:right w:val="single" w:sz="8" w:space="0" w:color="auto"/>
            </w:tcBorders>
            <w:vAlign w:val="center"/>
            <w:hideMark/>
          </w:tcPr>
          <w:p w14:paraId="73DF01C0" w14:textId="77777777" w:rsidR="007C050F" w:rsidRPr="000D0D06" w:rsidRDefault="007C050F" w:rsidP="007C050F">
            <w:pPr>
              <w:spacing w:before="0" w:after="0"/>
              <w:jc w:val="right"/>
              <w:rPr>
                <w:noProof/>
                <w:color w:val="000000"/>
                <w:sz w:val="20"/>
                <w:szCs w:val="20"/>
              </w:rPr>
            </w:pPr>
            <w:r w:rsidRPr="000D0D06">
              <w:rPr>
                <w:noProof/>
                <w:color w:val="000000"/>
                <w:sz w:val="20"/>
              </w:rPr>
              <w:t xml:space="preserve"> </w:t>
            </w:r>
          </w:p>
        </w:tc>
        <w:tc>
          <w:tcPr>
            <w:tcW w:w="496" w:type="pct"/>
            <w:tcBorders>
              <w:top w:val="nil"/>
              <w:left w:val="nil"/>
              <w:bottom w:val="single" w:sz="8" w:space="0" w:color="auto"/>
              <w:right w:val="single" w:sz="8" w:space="0" w:color="auto"/>
            </w:tcBorders>
            <w:vAlign w:val="center"/>
            <w:hideMark/>
          </w:tcPr>
          <w:p w14:paraId="4D530787" w14:textId="77777777" w:rsidR="007C050F" w:rsidRPr="000D0D06" w:rsidRDefault="007C050F" w:rsidP="007C050F">
            <w:pPr>
              <w:spacing w:before="0" w:after="0"/>
              <w:jc w:val="right"/>
              <w:rPr>
                <w:noProof/>
                <w:color w:val="000000"/>
                <w:sz w:val="20"/>
                <w:szCs w:val="20"/>
              </w:rPr>
            </w:pPr>
            <w:r w:rsidRPr="000D0D06">
              <w:rPr>
                <w:noProof/>
                <w:color w:val="000000"/>
                <w:sz w:val="20"/>
              </w:rPr>
              <w:t xml:space="preserve"> </w:t>
            </w:r>
          </w:p>
        </w:tc>
        <w:tc>
          <w:tcPr>
            <w:tcW w:w="496" w:type="pct"/>
            <w:tcBorders>
              <w:top w:val="nil"/>
              <w:left w:val="nil"/>
              <w:bottom w:val="single" w:sz="8" w:space="0" w:color="auto"/>
              <w:right w:val="single" w:sz="8" w:space="0" w:color="auto"/>
            </w:tcBorders>
            <w:vAlign w:val="center"/>
            <w:hideMark/>
          </w:tcPr>
          <w:p w14:paraId="0554ABB9" w14:textId="77777777" w:rsidR="007C050F" w:rsidRPr="000D0D06" w:rsidRDefault="007C050F" w:rsidP="007C050F">
            <w:pPr>
              <w:spacing w:before="0" w:after="0"/>
              <w:jc w:val="right"/>
              <w:rPr>
                <w:noProof/>
                <w:color w:val="000000"/>
                <w:sz w:val="20"/>
                <w:szCs w:val="20"/>
              </w:rPr>
            </w:pPr>
            <w:r w:rsidRPr="000D0D06">
              <w:rPr>
                <w:noProof/>
                <w:color w:val="000000"/>
                <w:sz w:val="20"/>
              </w:rPr>
              <w:t xml:space="preserve"> </w:t>
            </w:r>
          </w:p>
        </w:tc>
        <w:tc>
          <w:tcPr>
            <w:tcW w:w="478" w:type="pct"/>
            <w:tcBorders>
              <w:top w:val="nil"/>
              <w:left w:val="nil"/>
              <w:bottom w:val="single" w:sz="8" w:space="0" w:color="auto"/>
              <w:right w:val="single" w:sz="8" w:space="0" w:color="auto"/>
            </w:tcBorders>
            <w:vAlign w:val="center"/>
            <w:hideMark/>
          </w:tcPr>
          <w:p w14:paraId="1C4C9E58" w14:textId="77777777" w:rsidR="007C050F" w:rsidRPr="000D0D06" w:rsidRDefault="007C050F" w:rsidP="007C050F">
            <w:pPr>
              <w:spacing w:before="0" w:after="0"/>
              <w:jc w:val="right"/>
              <w:rPr>
                <w:noProof/>
                <w:color w:val="000000"/>
                <w:sz w:val="20"/>
                <w:szCs w:val="20"/>
              </w:rPr>
            </w:pPr>
            <w:r w:rsidRPr="000D0D06">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14:paraId="42634A0B"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r>
      <w:tr w:rsidR="007C050F" w:rsidRPr="000D0D06" w14:paraId="746E1590" w14:textId="77777777">
        <w:trPr>
          <w:trHeight w:val="315"/>
        </w:trPr>
        <w:tc>
          <w:tcPr>
            <w:tcW w:w="1419" w:type="pct"/>
            <w:vMerge w:val="restart"/>
            <w:tcBorders>
              <w:top w:val="nil"/>
              <w:left w:val="single" w:sz="8" w:space="0" w:color="auto"/>
              <w:bottom w:val="single" w:sz="8" w:space="0" w:color="auto"/>
              <w:right w:val="single" w:sz="8" w:space="0" w:color="auto"/>
            </w:tcBorders>
            <w:vAlign w:val="center"/>
            <w:hideMark/>
          </w:tcPr>
          <w:p w14:paraId="3B43B082" w14:textId="77777777" w:rsidR="007C050F" w:rsidRPr="000D0D06" w:rsidRDefault="007C050F" w:rsidP="007C050F">
            <w:pPr>
              <w:spacing w:before="0" w:after="0"/>
              <w:rPr>
                <w:noProof/>
                <w:color w:val="000000"/>
                <w:sz w:val="20"/>
                <w:szCs w:val="20"/>
              </w:rPr>
            </w:pPr>
            <w:r w:rsidRPr="000D0D06">
              <w:rPr>
                <w:noProof/>
                <w:color w:val="000000"/>
                <w:sz w:val="20"/>
              </w:rPr>
              <w:t>Rubrica orçamental</w:t>
            </w:r>
          </w:p>
        </w:tc>
        <w:tc>
          <w:tcPr>
            <w:tcW w:w="529" w:type="pct"/>
            <w:gridSpan w:val="2"/>
            <w:tcBorders>
              <w:top w:val="nil"/>
              <w:left w:val="nil"/>
              <w:bottom w:val="single" w:sz="8" w:space="0" w:color="auto"/>
              <w:right w:val="single" w:sz="8" w:space="0" w:color="auto"/>
            </w:tcBorders>
            <w:vAlign w:val="center"/>
            <w:hideMark/>
          </w:tcPr>
          <w:p w14:paraId="2ED73C86" w14:textId="77777777" w:rsidR="007C050F" w:rsidRPr="000D0D06" w:rsidRDefault="007C050F" w:rsidP="007C050F">
            <w:pPr>
              <w:spacing w:before="0" w:after="0"/>
              <w:rPr>
                <w:noProof/>
                <w:color w:val="000000"/>
                <w:sz w:val="18"/>
                <w:szCs w:val="18"/>
              </w:rPr>
            </w:pPr>
            <w:r w:rsidRPr="000D0D06">
              <w:rPr>
                <w:noProof/>
                <w:color w:val="000000"/>
                <w:sz w:val="18"/>
              </w:rPr>
              <w:t>Autorizações</w:t>
            </w:r>
          </w:p>
        </w:tc>
        <w:tc>
          <w:tcPr>
            <w:tcW w:w="496" w:type="pct"/>
            <w:gridSpan w:val="2"/>
            <w:tcBorders>
              <w:top w:val="single" w:sz="8" w:space="0" w:color="auto"/>
              <w:left w:val="nil"/>
              <w:bottom w:val="single" w:sz="8" w:space="0" w:color="auto"/>
              <w:right w:val="single" w:sz="8" w:space="0" w:color="auto"/>
            </w:tcBorders>
            <w:vAlign w:val="center"/>
            <w:hideMark/>
          </w:tcPr>
          <w:p w14:paraId="1239BD98" w14:textId="77777777" w:rsidR="007C050F" w:rsidRPr="000D0D06" w:rsidRDefault="007C050F" w:rsidP="007C050F">
            <w:pPr>
              <w:spacing w:before="0" w:after="0"/>
              <w:jc w:val="center"/>
              <w:rPr>
                <w:noProof/>
                <w:color w:val="000000"/>
                <w:sz w:val="14"/>
                <w:szCs w:val="14"/>
              </w:rPr>
            </w:pPr>
            <w:r w:rsidRPr="000D0D06">
              <w:rPr>
                <w:noProof/>
                <w:color w:val="000000"/>
                <w:sz w:val="14"/>
              </w:rPr>
              <w:t>(1b)</w:t>
            </w:r>
          </w:p>
        </w:tc>
        <w:tc>
          <w:tcPr>
            <w:tcW w:w="496" w:type="pct"/>
            <w:tcBorders>
              <w:top w:val="nil"/>
              <w:left w:val="nil"/>
              <w:bottom w:val="single" w:sz="8" w:space="0" w:color="auto"/>
              <w:right w:val="single" w:sz="8" w:space="0" w:color="auto"/>
            </w:tcBorders>
            <w:vAlign w:val="center"/>
            <w:hideMark/>
          </w:tcPr>
          <w:p w14:paraId="4C2B2CAF" w14:textId="77777777" w:rsidR="007C050F" w:rsidRPr="000D0D06" w:rsidRDefault="007C050F" w:rsidP="007C050F">
            <w:pPr>
              <w:spacing w:before="0" w:after="0"/>
              <w:jc w:val="right"/>
              <w:rPr>
                <w:noProof/>
                <w:color w:val="000000"/>
                <w:sz w:val="20"/>
                <w:szCs w:val="20"/>
              </w:rPr>
            </w:pPr>
            <w:r w:rsidRPr="000D0D06">
              <w:rPr>
                <w:noProof/>
                <w:color w:val="000000"/>
                <w:sz w:val="20"/>
              </w:rPr>
              <w:t xml:space="preserve"> </w:t>
            </w:r>
          </w:p>
        </w:tc>
        <w:tc>
          <w:tcPr>
            <w:tcW w:w="496" w:type="pct"/>
            <w:tcBorders>
              <w:top w:val="nil"/>
              <w:left w:val="nil"/>
              <w:bottom w:val="single" w:sz="8" w:space="0" w:color="auto"/>
              <w:right w:val="single" w:sz="8" w:space="0" w:color="auto"/>
            </w:tcBorders>
            <w:vAlign w:val="center"/>
            <w:hideMark/>
          </w:tcPr>
          <w:p w14:paraId="2F5E25D1" w14:textId="77777777" w:rsidR="007C050F" w:rsidRPr="000D0D06" w:rsidRDefault="007C050F" w:rsidP="007C050F">
            <w:pPr>
              <w:spacing w:before="0" w:after="0"/>
              <w:jc w:val="right"/>
              <w:rPr>
                <w:noProof/>
                <w:color w:val="000000"/>
                <w:sz w:val="20"/>
                <w:szCs w:val="20"/>
              </w:rPr>
            </w:pPr>
            <w:r w:rsidRPr="000D0D06">
              <w:rPr>
                <w:noProof/>
                <w:color w:val="000000"/>
                <w:sz w:val="20"/>
              </w:rPr>
              <w:t xml:space="preserve"> </w:t>
            </w:r>
          </w:p>
        </w:tc>
        <w:tc>
          <w:tcPr>
            <w:tcW w:w="496" w:type="pct"/>
            <w:tcBorders>
              <w:top w:val="nil"/>
              <w:left w:val="nil"/>
              <w:bottom w:val="single" w:sz="8" w:space="0" w:color="auto"/>
              <w:right w:val="single" w:sz="8" w:space="0" w:color="auto"/>
            </w:tcBorders>
            <w:vAlign w:val="center"/>
            <w:hideMark/>
          </w:tcPr>
          <w:p w14:paraId="49DDA083" w14:textId="77777777" w:rsidR="007C050F" w:rsidRPr="000D0D06" w:rsidRDefault="007C050F" w:rsidP="007C050F">
            <w:pPr>
              <w:spacing w:before="0" w:after="0"/>
              <w:jc w:val="right"/>
              <w:rPr>
                <w:noProof/>
                <w:color w:val="000000"/>
                <w:sz w:val="20"/>
                <w:szCs w:val="20"/>
              </w:rPr>
            </w:pPr>
            <w:r w:rsidRPr="000D0D06">
              <w:rPr>
                <w:noProof/>
                <w:color w:val="000000"/>
                <w:sz w:val="20"/>
              </w:rPr>
              <w:t xml:space="preserve"> </w:t>
            </w:r>
          </w:p>
        </w:tc>
        <w:tc>
          <w:tcPr>
            <w:tcW w:w="478" w:type="pct"/>
            <w:tcBorders>
              <w:top w:val="nil"/>
              <w:left w:val="nil"/>
              <w:bottom w:val="single" w:sz="8" w:space="0" w:color="auto"/>
              <w:right w:val="single" w:sz="8" w:space="0" w:color="auto"/>
            </w:tcBorders>
            <w:vAlign w:val="center"/>
            <w:hideMark/>
          </w:tcPr>
          <w:p w14:paraId="56639668" w14:textId="77777777" w:rsidR="007C050F" w:rsidRPr="000D0D06" w:rsidRDefault="007C050F" w:rsidP="007C050F">
            <w:pPr>
              <w:spacing w:before="0" w:after="0"/>
              <w:jc w:val="right"/>
              <w:rPr>
                <w:noProof/>
                <w:color w:val="000000"/>
                <w:sz w:val="20"/>
                <w:szCs w:val="20"/>
              </w:rPr>
            </w:pPr>
            <w:r w:rsidRPr="000D0D06">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14:paraId="458E054C"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r>
      <w:tr w:rsidR="007C050F" w:rsidRPr="000D0D06" w14:paraId="0A4138EB" w14:textId="77777777">
        <w:trPr>
          <w:trHeight w:val="315"/>
        </w:trPr>
        <w:tc>
          <w:tcPr>
            <w:tcW w:w="1419" w:type="pct"/>
            <w:vMerge/>
            <w:vAlign w:val="center"/>
            <w:hideMark/>
          </w:tcPr>
          <w:p w14:paraId="3E3E372A" w14:textId="77777777" w:rsidR="007C050F" w:rsidRPr="000D0D06" w:rsidRDefault="007C050F" w:rsidP="007C050F">
            <w:pPr>
              <w:spacing w:before="0" w:after="0"/>
              <w:jc w:val="left"/>
              <w:rPr>
                <w:noProof/>
                <w:color w:val="000000"/>
                <w:sz w:val="20"/>
                <w:szCs w:val="20"/>
                <w:lang w:eastAsia="en-IE"/>
              </w:rPr>
            </w:pPr>
          </w:p>
        </w:tc>
        <w:tc>
          <w:tcPr>
            <w:tcW w:w="529" w:type="pct"/>
            <w:gridSpan w:val="2"/>
            <w:tcBorders>
              <w:top w:val="nil"/>
              <w:left w:val="nil"/>
              <w:bottom w:val="single" w:sz="8" w:space="0" w:color="auto"/>
              <w:right w:val="single" w:sz="8" w:space="0" w:color="auto"/>
            </w:tcBorders>
            <w:vAlign w:val="center"/>
            <w:hideMark/>
          </w:tcPr>
          <w:p w14:paraId="73D717DA" w14:textId="77777777" w:rsidR="007C050F" w:rsidRPr="000D0D06" w:rsidRDefault="007C050F" w:rsidP="007C050F">
            <w:pPr>
              <w:spacing w:before="0" w:after="0"/>
              <w:rPr>
                <w:noProof/>
                <w:color w:val="000000"/>
                <w:sz w:val="18"/>
                <w:szCs w:val="18"/>
              </w:rPr>
            </w:pPr>
            <w:r w:rsidRPr="000D0D06">
              <w:rPr>
                <w:noProof/>
                <w:color w:val="000000"/>
                <w:sz w:val="18"/>
              </w:rPr>
              <w:t>Pagamentos</w:t>
            </w:r>
          </w:p>
        </w:tc>
        <w:tc>
          <w:tcPr>
            <w:tcW w:w="496" w:type="pct"/>
            <w:gridSpan w:val="2"/>
            <w:tcBorders>
              <w:top w:val="single" w:sz="8" w:space="0" w:color="auto"/>
              <w:left w:val="nil"/>
              <w:bottom w:val="single" w:sz="8" w:space="0" w:color="auto"/>
              <w:right w:val="single" w:sz="8" w:space="0" w:color="auto"/>
            </w:tcBorders>
            <w:vAlign w:val="center"/>
            <w:hideMark/>
          </w:tcPr>
          <w:p w14:paraId="1DBAFEFB" w14:textId="77777777" w:rsidR="007C050F" w:rsidRPr="000D0D06" w:rsidRDefault="007C050F" w:rsidP="007C050F">
            <w:pPr>
              <w:spacing w:before="0" w:after="0"/>
              <w:jc w:val="center"/>
              <w:rPr>
                <w:noProof/>
                <w:color w:val="000000"/>
                <w:sz w:val="14"/>
                <w:szCs w:val="14"/>
              </w:rPr>
            </w:pPr>
            <w:r w:rsidRPr="000D0D06">
              <w:rPr>
                <w:noProof/>
                <w:color w:val="000000"/>
                <w:sz w:val="14"/>
              </w:rPr>
              <w:t>(2b)</w:t>
            </w:r>
          </w:p>
        </w:tc>
        <w:tc>
          <w:tcPr>
            <w:tcW w:w="496" w:type="pct"/>
            <w:tcBorders>
              <w:top w:val="nil"/>
              <w:left w:val="nil"/>
              <w:bottom w:val="single" w:sz="8" w:space="0" w:color="auto"/>
              <w:right w:val="single" w:sz="8" w:space="0" w:color="auto"/>
            </w:tcBorders>
            <w:vAlign w:val="center"/>
            <w:hideMark/>
          </w:tcPr>
          <w:p w14:paraId="29D4B588" w14:textId="77777777" w:rsidR="007C050F" w:rsidRPr="000D0D06" w:rsidRDefault="007C050F" w:rsidP="007C050F">
            <w:pPr>
              <w:spacing w:before="0" w:after="0"/>
              <w:jc w:val="right"/>
              <w:rPr>
                <w:noProof/>
                <w:color w:val="000000"/>
                <w:sz w:val="20"/>
                <w:szCs w:val="20"/>
              </w:rPr>
            </w:pPr>
            <w:r w:rsidRPr="000D0D06">
              <w:rPr>
                <w:noProof/>
                <w:color w:val="000000"/>
                <w:sz w:val="20"/>
              </w:rPr>
              <w:t xml:space="preserve"> </w:t>
            </w:r>
          </w:p>
        </w:tc>
        <w:tc>
          <w:tcPr>
            <w:tcW w:w="496" w:type="pct"/>
            <w:tcBorders>
              <w:top w:val="nil"/>
              <w:left w:val="nil"/>
              <w:bottom w:val="single" w:sz="8" w:space="0" w:color="auto"/>
              <w:right w:val="single" w:sz="8" w:space="0" w:color="auto"/>
            </w:tcBorders>
            <w:vAlign w:val="center"/>
            <w:hideMark/>
          </w:tcPr>
          <w:p w14:paraId="6044EDC8" w14:textId="77777777" w:rsidR="007C050F" w:rsidRPr="000D0D06" w:rsidRDefault="007C050F" w:rsidP="007C050F">
            <w:pPr>
              <w:spacing w:before="0" w:after="0"/>
              <w:jc w:val="right"/>
              <w:rPr>
                <w:noProof/>
                <w:color w:val="000000"/>
                <w:sz w:val="20"/>
                <w:szCs w:val="20"/>
              </w:rPr>
            </w:pPr>
            <w:r w:rsidRPr="000D0D06">
              <w:rPr>
                <w:noProof/>
                <w:color w:val="000000"/>
                <w:sz w:val="20"/>
              </w:rPr>
              <w:t xml:space="preserve"> </w:t>
            </w:r>
          </w:p>
        </w:tc>
        <w:tc>
          <w:tcPr>
            <w:tcW w:w="496" w:type="pct"/>
            <w:tcBorders>
              <w:top w:val="nil"/>
              <w:left w:val="nil"/>
              <w:bottom w:val="single" w:sz="8" w:space="0" w:color="auto"/>
              <w:right w:val="single" w:sz="8" w:space="0" w:color="auto"/>
            </w:tcBorders>
            <w:vAlign w:val="center"/>
            <w:hideMark/>
          </w:tcPr>
          <w:p w14:paraId="4F630785" w14:textId="77777777" w:rsidR="007C050F" w:rsidRPr="000D0D06" w:rsidRDefault="007C050F" w:rsidP="007C050F">
            <w:pPr>
              <w:spacing w:before="0" w:after="0"/>
              <w:jc w:val="right"/>
              <w:rPr>
                <w:noProof/>
                <w:color w:val="000000"/>
                <w:sz w:val="20"/>
                <w:szCs w:val="20"/>
              </w:rPr>
            </w:pPr>
            <w:r w:rsidRPr="000D0D06">
              <w:rPr>
                <w:noProof/>
                <w:color w:val="000000"/>
                <w:sz w:val="20"/>
              </w:rPr>
              <w:t xml:space="preserve"> </w:t>
            </w:r>
          </w:p>
        </w:tc>
        <w:tc>
          <w:tcPr>
            <w:tcW w:w="478" w:type="pct"/>
            <w:tcBorders>
              <w:top w:val="nil"/>
              <w:left w:val="nil"/>
              <w:bottom w:val="single" w:sz="8" w:space="0" w:color="auto"/>
              <w:right w:val="single" w:sz="8" w:space="0" w:color="auto"/>
            </w:tcBorders>
            <w:vAlign w:val="center"/>
            <w:hideMark/>
          </w:tcPr>
          <w:p w14:paraId="25244871" w14:textId="77777777" w:rsidR="007C050F" w:rsidRPr="000D0D06" w:rsidRDefault="007C050F" w:rsidP="007C050F">
            <w:pPr>
              <w:spacing w:before="0" w:after="0"/>
              <w:jc w:val="right"/>
              <w:rPr>
                <w:noProof/>
                <w:color w:val="000000"/>
                <w:sz w:val="20"/>
                <w:szCs w:val="20"/>
              </w:rPr>
            </w:pPr>
            <w:r w:rsidRPr="000D0D06">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14:paraId="7BFBE9B1"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r>
      <w:tr w:rsidR="007C050F" w:rsidRPr="000D0D06" w14:paraId="159EBC55" w14:textId="77777777">
        <w:trPr>
          <w:trHeight w:val="288"/>
        </w:trPr>
        <w:tc>
          <w:tcPr>
            <w:tcW w:w="5000" w:type="pct"/>
            <w:gridSpan w:val="10"/>
            <w:tcBorders>
              <w:top w:val="single" w:sz="8" w:space="0" w:color="auto"/>
              <w:left w:val="single" w:sz="8" w:space="0" w:color="auto"/>
              <w:bottom w:val="single" w:sz="8" w:space="0" w:color="auto"/>
              <w:right w:val="single" w:sz="8" w:space="0" w:color="auto"/>
            </w:tcBorders>
            <w:noWrap/>
            <w:vAlign w:val="bottom"/>
            <w:hideMark/>
          </w:tcPr>
          <w:p w14:paraId="03314E8A" w14:textId="77777777" w:rsidR="007C050F" w:rsidRPr="000D0D06" w:rsidRDefault="007C050F" w:rsidP="007C050F">
            <w:pPr>
              <w:spacing w:before="0" w:after="0"/>
              <w:jc w:val="left"/>
              <w:rPr>
                <w:noProof/>
                <w:color w:val="000000"/>
                <w:sz w:val="22"/>
              </w:rPr>
            </w:pPr>
            <w:r w:rsidRPr="000D0D06">
              <w:rPr>
                <w:noProof/>
                <w:color w:val="000000"/>
                <w:sz w:val="22"/>
              </w:rPr>
              <w:t>Dotações de natureza administrativa financiadas a partir da dotação de programas específicos</w:t>
            </w:r>
            <w:r w:rsidRPr="000D0D06">
              <w:rPr>
                <w:rStyle w:val="FootnoteReference"/>
                <w:noProof/>
              </w:rPr>
              <w:footnoteReference w:id="47"/>
            </w:r>
          </w:p>
        </w:tc>
      </w:tr>
      <w:tr w:rsidR="007C050F" w:rsidRPr="000D0D06" w14:paraId="253A4D31" w14:textId="77777777">
        <w:trPr>
          <w:trHeight w:val="288"/>
        </w:trPr>
        <w:tc>
          <w:tcPr>
            <w:tcW w:w="1419" w:type="pct"/>
            <w:tcBorders>
              <w:top w:val="nil"/>
              <w:left w:val="single" w:sz="8" w:space="0" w:color="auto"/>
              <w:bottom w:val="single" w:sz="8" w:space="0" w:color="auto"/>
              <w:right w:val="single" w:sz="8" w:space="0" w:color="auto"/>
            </w:tcBorders>
            <w:vAlign w:val="center"/>
            <w:hideMark/>
          </w:tcPr>
          <w:p w14:paraId="05ABC534" w14:textId="77777777" w:rsidR="007C050F" w:rsidRPr="000D0D06" w:rsidRDefault="007C050F" w:rsidP="007C050F">
            <w:pPr>
              <w:spacing w:before="0" w:after="0"/>
              <w:rPr>
                <w:noProof/>
                <w:color w:val="000000"/>
                <w:sz w:val="20"/>
                <w:szCs w:val="20"/>
              </w:rPr>
            </w:pPr>
            <w:r w:rsidRPr="000D0D06">
              <w:rPr>
                <w:noProof/>
                <w:color w:val="000000"/>
                <w:sz w:val="20"/>
              </w:rPr>
              <w:t>Rubrica orçamental</w:t>
            </w:r>
          </w:p>
        </w:tc>
        <w:tc>
          <w:tcPr>
            <w:tcW w:w="529" w:type="pct"/>
            <w:gridSpan w:val="2"/>
            <w:tcBorders>
              <w:top w:val="nil"/>
              <w:left w:val="nil"/>
              <w:bottom w:val="single" w:sz="8" w:space="0" w:color="auto"/>
              <w:right w:val="single" w:sz="8" w:space="0" w:color="auto"/>
            </w:tcBorders>
            <w:vAlign w:val="center"/>
            <w:hideMark/>
          </w:tcPr>
          <w:p w14:paraId="29B9087A" w14:textId="77777777" w:rsidR="007C050F" w:rsidRPr="000D0D06" w:rsidRDefault="007C050F" w:rsidP="007C050F">
            <w:pPr>
              <w:spacing w:before="0" w:after="0"/>
              <w:jc w:val="right"/>
              <w:rPr>
                <w:noProof/>
                <w:color w:val="000000"/>
                <w:sz w:val="18"/>
                <w:szCs w:val="18"/>
              </w:rPr>
            </w:pPr>
            <w:r w:rsidRPr="000D0D06">
              <w:rPr>
                <w:noProof/>
                <w:color w:val="000000"/>
                <w:sz w:val="18"/>
              </w:rPr>
              <w:t xml:space="preserve"> </w:t>
            </w:r>
          </w:p>
        </w:tc>
        <w:tc>
          <w:tcPr>
            <w:tcW w:w="496" w:type="pct"/>
            <w:gridSpan w:val="2"/>
            <w:tcBorders>
              <w:top w:val="single" w:sz="8" w:space="0" w:color="auto"/>
              <w:left w:val="nil"/>
              <w:bottom w:val="single" w:sz="8" w:space="0" w:color="auto"/>
              <w:right w:val="single" w:sz="8" w:space="0" w:color="auto"/>
            </w:tcBorders>
            <w:vAlign w:val="center"/>
            <w:hideMark/>
          </w:tcPr>
          <w:p w14:paraId="3A86E6B8" w14:textId="77777777" w:rsidR="007C050F" w:rsidRPr="000D0D06" w:rsidRDefault="007C050F" w:rsidP="007C050F">
            <w:pPr>
              <w:spacing w:before="0" w:after="0"/>
              <w:jc w:val="center"/>
              <w:rPr>
                <w:noProof/>
                <w:color w:val="000000"/>
                <w:sz w:val="14"/>
                <w:szCs w:val="14"/>
              </w:rPr>
            </w:pPr>
            <w:r w:rsidRPr="000D0D06">
              <w:rPr>
                <w:noProof/>
                <w:color w:val="000000"/>
                <w:sz w:val="14"/>
              </w:rPr>
              <w:t>3)</w:t>
            </w:r>
          </w:p>
        </w:tc>
        <w:tc>
          <w:tcPr>
            <w:tcW w:w="496" w:type="pct"/>
            <w:tcBorders>
              <w:top w:val="nil"/>
              <w:left w:val="nil"/>
              <w:bottom w:val="single" w:sz="8" w:space="0" w:color="auto"/>
              <w:right w:val="single" w:sz="8" w:space="0" w:color="auto"/>
            </w:tcBorders>
            <w:vAlign w:val="center"/>
            <w:hideMark/>
          </w:tcPr>
          <w:p w14:paraId="644DF5BC"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 xml:space="preserve"> </w:t>
            </w:r>
          </w:p>
        </w:tc>
        <w:tc>
          <w:tcPr>
            <w:tcW w:w="496" w:type="pct"/>
            <w:tcBorders>
              <w:top w:val="nil"/>
              <w:left w:val="nil"/>
              <w:bottom w:val="single" w:sz="8" w:space="0" w:color="auto"/>
              <w:right w:val="single" w:sz="8" w:space="0" w:color="auto"/>
            </w:tcBorders>
            <w:vAlign w:val="center"/>
            <w:hideMark/>
          </w:tcPr>
          <w:p w14:paraId="1DD925C9"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 xml:space="preserve"> </w:t>
            </w:r>
          </w:p>
        </w:tc>
        <w:tc>
          <w:tcPr>
            <w:tcW w:w="496" w:type="pct"/>
            <w:tcBorders>
              <w:top w:val="nil"/>
              <w:left w:val="nil"/>
              <w:bottom w:val="single" w:sz="8" w:space="0" w:color="auto"/>
              <w:right w:val="single" w:sz="8" w:space="0" w:color="auto"/>
            </w:tcBorders>
            <w:vAlign w:val="center"/>
            <w:hideMark/>
          </w:tcPr>
          <w:p w14:paraId="2E8B467E"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 xml:space="preserve"> </w:t>
            </w:r>
          </w:p>
        </w:tc>
        <w:tc>
          <w:tcPr>
            <w:tcW w:w="478" w:type="pct"/>
            <w:tcBorders>
              <w:top w:val="nil"/>
              <w:left w:val="nil"/>
              <w:bottom w:val="single" w:sz="8" w:space="0" w:color="auto"/>
              <w:right w:val="single" w:sz="8" w:space="0" w:color="auto"/>
            </w:tcBorders>
            <w:vAlign w:val="center"/>
            <w:hideMark/>
          </w:tcPr>
          <w:p w14:paraId="301C2BA3"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14:paraId="43C2DA37"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r>
      <w:tr w:rsidR="007C050F" w:rsidRPr="000D0D06" w14:paraId="2F823866" w14:textId="77777777">
        <w:trPr>
          <w:trHeight w:val="288"/>
        </w:trPr>
        <w:tc>
          <w:tcPr>
            <w:tcW w:w="1419" w:type="pct"/>
            <w:vMerge w:val="restart"/>
            <w:tcBorders>
              <w:top w:val="nil"/>
              <w:left w:val="single" w:sz="8" w:space="0" w:color="auto"/>
              <w:right w:val="single" w:sz="8" w:space="0" w:color="auto"/>
            </w:tcBorders>
            <w:vAlign w:val="center"/>
            <w:hideMark/>
          </w:tcPr>
          <w:p w14:paraId="48B02924" w14:textId="77777777" w:rsidR="007C050F" w:rsidRPr="000D0D06" w:rsidRDefault="007C050F" w:rsidP="007C050F">
            <w:pPr>
              <w:spacing w:before="0" w:after="0"/>
              <w:jc w:val="center"/>
              <w:rPr>
                <w:b/>
                <w:bCs/>
                <w:noProof/>
                <w:color w:val="000000"/>
                <w:sz w:val="22"/>
              </w:rPr>
            </w:pPr>
            <w:r w:rsidRPr="000D0D06">
              <w:rPr>
                <w:b/>
                <w:noProof/>
                <w:color w:val="000000"/>
                <w:sz w:val="22"/>
              </w:rPr>
              <w:t>TOTAL das dotações</w:t>
            </w:r>
          </w:p>
          <w:p w14:paraId="292729D7" w14:textId="77777777" w:rsidR="007C050F" w:rsidRPr="000D0D06" w:rsidRDefault="007C050F" w:rsidP="007C050F">
            <w:pPr>
              <w:spacing w:before="0" w:after="0"/>
              <w:jc w:val="center"/>
              <w:rPr>
                <w:b/>
                <w:bCs/>
                <w:noProof/>
                <w:color w:val="000000"/>
                <w:sz w:val="22"/>
              </w:rPr>
            </w:pPr>
            <w:r w:rsidRPr="000D0D06">
              <w:rPr>
                <w:b/>
                <w:noProof/>
                <w:color w:val="000000"/>
                <w:sz w:val="22"/>
              </w:rPr>
              <w:t>para a DG</w:t>
            </w:r>
            <w:r w:rsidRPr="000D0D06">
              <w:rPr>
                <w:noProof/>
                <w:color w:val="000000"/>
                <w:sz w:val="22"/>
              </w:rPr>
              <w:t xml:space="preserve"> &lt;…….&gt;</w:t>
            </w:r>
          </w:p>
        </w:tc>
        <w:tc>
          <w:tcPr>
            <w:tcW w:w="529" w:type="pct"/>
            <w:gridSpan w:val="2"/>
            <w:tcBorders>
              <w:top w:val="nil"/>
              <w:left w:val="nil"/>
              <w:bottom w:val="single" w:sz="8" w:space="0" w:color="auto"/>
              <w:right w:val="single" w:sz="8" w:space="0" w:color="auto"/>
            </w:tcBorders>
            <w:vAlign w:val="center"/>
            <w:hideMark/>
          </w:tcPr>
          <w:p w14:paraId="5E7CD5D3" w14:textId="77777777" w:rsidR="007C050F" w:rsidRPr="000D0D06" w:rsidRDefault="007C050F" w:rsidP="007C050F">
            <w:pPr>
              <w:spacing w:before="0" w:after="0"/>
              <w:rPr>
                <w:noProof/>
                <w:color w:val="000000"/>
                <w:sz w:val="18"/>
                <w:szCs w:val="18"/>
              </w:rPr>
            </w:pPr>
            <w:r w:rsidRPr="000D0D06">
              <w:rPr>
                <w:noProof/>
                <w:color w:val="000000"/>
                <w:sz w:val="18"/>
              </w:rPr>
              <w:t>Autorizações</w:t>
            </w:r>
          </w:p>
        </w:tc>
        <w:tc>
          <w:tcPr>
            <w:tcW w:w="496" w:type="pct"/>
            <w:gridSpan w:val="2"/>
            <w:tcBorders>
              <w:top w:val="single" w:sz="8" w:space="0" w:color="auto"/>
              <w:left w:val="nil"/>
              <w:bottom w:val="single" w:sz="8" w:space="0" w:color="auto"/>
              <w:right w:val="single" w:sz="8" w:space="0" w:color="auto"/>
            </w:tcBorders>
            <w:vAlign w:val="center"/>
            <w:hideMark/>
          </w:tcPr>
          <w:p w14:paraId="7623ECBF" w14:textId="77777777" w:rsidR="007C050F" w:rsidRPr="000D0D06" w:rsidRDefault="007C050F" w:rsidP="007C050F">
            <w:pPr>
              <w:spacing w:before="0" w:after="0"/>
              <w:jc w:val="center"/>
              <w:rPr>
                <w:noProof/>
                <w:color w:val="000000"/>
                <w:sz w:val="14"/>
                <w:szCs w:val="14"/>
              </w:rPr>
            </w:pPr>
            <w:r w:rsidRPr="000D0D06">
              <w:rPr>
                <w:noProof/>
                <w:color w:val="000000"/>
                <w:sz w:val="14"/>
              </w:rPr>
              <w:t>=1a+1b+3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14:paraId="5B3E4735"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14:paraId="7F3EA4C6"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14:paraId="21444F0C"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14:paraId="54993070"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14:paraId="13E4118E"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r>
      <w:tr w:rsidR="007C050F" w:rsidRPr="000D0D06" w14:paraId="065743F3" w14:textId="77777777">
        <w:trPr>
          <w:trHeight w:val="288"/>
        </w:trPr>
        <w:tc>
          <w:tcPr>
            <w:tcW w:w="1419" w:type="pct"/>
            <w:vMerge/>
            <w:vAlign w:val="center"/>
            <w:hideMark/>
          </w:tcPr>
          <w:p w14:paraId="31BA634B" w14:textId="77777777" w:rsidR="007C050F" w:rsidRPr="000D0D06" w:rsidRDefault="007C050F" w:rsidP="007C050F">
            <w:pPr>
              <w:spacing w:before="0" w:after="0"/>
              <w:jc w:val="center"/>
              <w:rPr>
                <w:b/>
                <w:bCs/>
                <w:noProof/>
                <w:color w:val="000000"/>
                <w:sz w:val="22"/>
                <w:lang w:eastAsia="en-IE"/>
              </w:rPr>
            </w:pPr>
          </w:p>
        </w:tc>
        <w:tc>
          <w:tcPr>
            <w:tcW w:w="529" w:type="pct"/>
            <w:gridSpan w:val="2"/>
            <w:tcBorders>
              <w:top w:val="nil"/>
              <w:left w:val="nil"/>
              <w:bottom w:val="single" w:sz="8" w:space="0" w:color="auto"/>
              <w:right w:val="single" w:sz="8" w:space="0" w:color="auto"/>
            </w:tcBorders>
            <w:vAlign w:val="center"/>
            <w:hideMark/>
          </w:tcPr>
          <w:p w14:paraId="567FFD9A" w14:textId="77777777" w:rsidR="007C050F" w:rsidRPr="000D0D06" w:rsidRDefault="007C050F" w:rsidP="007C050F">
            <w:pPr>
              <w:spacing w:before="0" w:after="0"/>
              <w:rPr>
                <w:noProof/>
                <w:color w:val="000000"/>
                <w:sz w:val="18"/>
                <w:szCs w:val="18"/>
              </w:rPr>
            </w:pPr>
            <w:r w:rsidRPr="000D0D06">
              <w:rPr>
                <w:noProof/>
                <w:color w:val="000000"/>
                <w:sz w:val="18"/>
              </w:rPr>
              <w:t>Pagamentos</w:t>
            </w:r>
          </w:p>
        </w:tc>
        <w:tc>
          <w:tcPr>
            <w:tcW w:w="496" w:type="pct"/>
            <w:gridSpan w:val="2"/>
            <w:tcBorders>
              <w:top w:val="single" w:sz="8" w:space="0" w:color="auto"/>
              <w:left w:val="nil"/>
              <w:bottom w:val="single" w:sz="8" w:space="0" w:color="auto"/>
              <w:right w:val="single" w:sz="8" w:space="0" w:color="auto"/>
            </w:tcBorders>
            <w:vAlign w:val="center"/>
            <w:hideMark/>
          </w:tcPr>
          <w:p w14:paraId="0730D01F" w14:textId="77777777" w:rsidR="007C050F" w:rsidRPr="000D0D06" w:rsidRDefault="007C050F" w:rsidP="007C050F">
            <w:pPr>
              <w:spacing w:before="0" w:after="0"/>
              <w:jc w:val="center"/>
              <w:rPr>
                <w:noProof/>
                <w:color w:val="000000"/>
                <w:sz w:val="14"/>
                <w:szCs w:val="14"/>
              </w:rPr>
            </w:pPr>
            <w:r w:rsidRPr="000D0D06">
              <w:rPr>
                <w:noProof/>
                <w:color w:val="000000"/>
                <w:sz w:val="14"/>
              </w:rPr>
              <w:t>=2a+2b+3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14:paraId="76ACDA33"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14:paraId="603BC56B"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14:paraId="7011937A"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14:paraId="6D53A7F4"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14:paraId="3D5F2690"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r>
      <w:tr w:rsidR="007C050F" w:rsidRPr="000D0D06" w14:paraId="587799E9"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1668" w:type="pct"/>
            <w:gridSpan w:val="2"/>
            <w:vAlign w:val="center"/>
          </w:tcPr>
          <w:p w14:paraId="5CD66863" w14:textId="77777777" w:rsidR="007C050F" w:rsidRPr="000D0D06" w:rsidRDefault="007C050F" w:rsidP="007C050F">
            <w:pPr>
              <w:spacing w:before="60" w:after="60"/>
              <w:jc w:val="center"/>
              <w:rPr>
                <w:b/>
                <w:noProof/>
              </w:rPr>
            </w:pPr>
            <w:r w:rsidRPr="000D0D06">
              <w:rPr>
                <w:noProof/>
              </w:rPr>
              <w:br w:type="page"/>
            </w:r>
            <w:r w:rsidRPr="000D0D06">
              <w:rPr>
                <w:b/>
                <w:noProof/>
                <w:sz w:val="22"/>
              </w:rPr>
              <w:t xml:space="preserve">Rubrica do quadro financeiro plurianual </w:t>
            </w:r>
          </w:p>
        </w:tc>
        <w:tc>
          <w:tcPr>
            <w:tcW w:w="380" w:type="pct"/>
            <w:gridSpan w:val="2"/>
            <w:vAlign w:val="center"/>
          </w:tcPr>
          <w:p w14:paraId="286F9720" w14:textId="77777777" w:rsidR="007C050F" w:rsidRPr="000D0D06" w:rsidRDefault="007C050F" w:rsidP="007C050F">
            <w:pPr>
              <w:spacing w:before="60" w:after="60"/>
              <w:jc w:val="center"/>
              <w:rPr>
                <w:noProof/>
              </w:rPr>
            </w:pPr>
            <w:r w:rsidRPr="000D0D06">
              <w:rPr>
                <w:b/>
                <w:noProof/>
                <w:sz w:val="22"/>
              </w:rPr>
              <w:t>7</w:t>
            </w:r>
          </w:p>
        </w:tc>
        <w:tc>
          <w:tcPr>
            <w:tcW w:w="2749" w:type="pct"/>
            <w:gridSpan w:val="6"/>
            <w:vAlign w:val="center"/>
          </w:tcPr>
          <w:p w14:paraId="5C057573" w14:textId="77777777" w:rsidR="007C050F" w:rsidRPr="000D0D06" w:rsidRDefault="007C050F" w:rsidP="007C050F">
            <w:pPr>
              <w:spacing w:before="60" w:after="60"/>
              <w:rPr>
                <w:noProof/>
              </w:rPr>
            </w:pPr>
            <w:r w:rsidRPr="000D0D06">
              <w:rPr>
                <w:noProof/>
                <w:sz w:val="22"/>
              </w:rPr>
              <w:t>«Despesas administrativas»</w:t>
            </w:r>
            <w:r w:rsidRPr="000D0D06">
              <w:rPr>
                <w:rStyle w:val="FootnoteReference"/>
                <w:noProof/>
              </w:rPr>
              <w:footnoteReference w:id="48"/>
            </w:r>
          </w:p>
        </w:tc>
      </w:tr>
    </w:tbl>
    <w:p w14:paraId="7F587760" w14:textId="77777777" w:rsidR="007C050F" w:rsidRPr="000D0D06" w:rsidRDefault="007C050F" w:rsidP="007C050F">
      <w:pPr>
        <w:jc w:val="right"/>
        <w:rPr>
          <w:noProof/>
          <w:sz w:val="20"/>
        </w:rPr>
      </w:pPr>
      <w:r w:rsidRPr="000D0D06">
        <w:rPr>
          <w:noProof/>
          <w:sz w:val="20"/>
        </w:rPr>
        <w:t>Em milhões de EUR (três casas decimais)</w:t>
      </w:r>
    </w:p>
    <w:tbl>
      <w:tblPr>
        <w:tblW w:w="13140" w:type="dxa"/>
        <w:tblInd w:w="118" w:type="dxa"/>
        <w:tblLook w:val="04A0" w:firstRow="1" w:lastRow="0" w:firstColumn="1" w:lastColumn="0" w:noHBand="0" w:noVBand="1"/>
      </w:tblPr>
      <w:tblGrid>
        <w:gridCol w:w="4405"/>
        <w:gridCol w:w="2477"/>
        <w:gridCol w:w="568"/>
        <w:gridCol w:w="568"/>
        <w:gridCol w:w="1001"/>
        <w:gridCol w:w="1001"/>
        <w:gridCol w:w="1001"/>
        <w:gridCol w:w="1001"/>
        <w:gridCol w:w="1244"/>
      </w:tblGrid>
      <w:tr w:rsidR="007C050F" w:rsidRPr="000D0D06" w14:paraId="7645470A" w14:textId="77777777">
        <w:trPr>
          <w:trHeight w:val="288"/>
        </w:trPr>
        <w:tc>
          <w:tcPr>
            <w:tcW w:w="7892" w:type="dxa"/>
            <w:gridSpan w:val="4"/>
            <w:vMerge w:val="restart"/>
            <w:tcBorders>
              <w:top w:val="single" w:sz="8" w:space="0" w:color="auto"/>
              <w:left w:val="single" w:sz="8" w:space="0" w:color="auto"/>
              <w:bottom w:val="single" w:sz="8" w:space="0" w:color="auto"/>
              <w:right w:val="single" w:sz="8" w:space="0" w:color="auto"/>
            </w:tcBorders>
            <w:vAlign w:val="center"/>
            <w:hideMark/>
          </w:tcPr>
          <w:p w14:paraId="7FE8A81D" w14:textId="77777777" w:rsidR="007C050F" w:rsidRPr="000D0D06" w:rsidRDefault="007C050F" w:rsidP="007C050F">
            <w:pPr>
              <w:spacing w:before="0" w:after="0"/>
              <w:jc w:val="center"/>
              <w:rPr>
                <w:noProof/>
                <w:color w:val="000000"/>
                <w:szCs w:val="24"/>
              </w:rPr>
            </w:pPr>
            <w:r w:rsidRPr="000D0D06">
              <w:rPr>
                <w:noProof/>
                <w:color w:val="000000"/>
              </w:rPr>
              <w:t>DG: &lt;…….&gt;</w:t>
            </w:r>
          </w:p>
        </w:tc>
        <w:tc>
          <w:tcPr>
            <w:tcW w:w="1001" w:type="dxa"/>
            <w:tcBorders>
              <w:top w:val="single" w:sz="8" w:space="0" w:color="auto"/>
              <w:left w:val="nil"/>
              <w:bottom w:val="nil"/>
              <w:right w:val="single" w:sz="8" w:space="0" w:color="auto"/>
            </w:tcBorders>
            <w:vAlign w:val="center"/>
            <w:hideMark/>
          </w:tcPr>
          <w:p w14:paraId="1B8665AF" w14:textId="77777777" w:rsidR="007C050F" w:rsidRPr="000D0D06" w:rsidRDefault="007C050F" w:rsidP="007C050F">
            <w:pPr>
              <w:spacing w:before="0" w:after="0"/>
              <w:jc w:val="center"/>
              <w:rPr>
                <w:noProof/>
                <w:color w:val="000000"/>
                <w:sz w:val="20"/>
                <w:szCs w:val="20"/>
              </w:rPr>
            </w:pPr>
            <w:r w:rsidRPr="000D0D06">
              <w:rPr>
                <w:noProof/>
                <w:color w:val="000000"/>
                <w:sz w:val="20"/>
              </w:rPr>
              <w:t>Ano</w:t>
            </w:r>
          </w:p>
        </w:tc>
        <w:tc>
          <w:tcPr>
            <w:tcW w:w="1001" w:type="dxa"/>
            <w:tcBorders>
              <w:top w:val="single" w:sz="8" w:space="0" w:color="auto"/>
              <w:left w:val="nil"/>
              <w:bottom w:val="nil"/>
              <w:right w:val="single" w:sz="8" w:space="0" w:color="auto"/>
            </w:tcBorders>
            <w:vAlign w:val="center"/>
            <w:hideMark/>
          </w:tcPr>
          <w:p w14:paraId="0DF7BBE0" w14:textId="77777777" w:rsidR="007C050F" w:rsidRPr="000D0D06" w:rsidRDefault="007C050F" w:rsidP="007C050F">
            <w:pPr>
              <w:spacing w:before="0" w:after="0"/>
              <w:jc w:val="center"/>
              <w:rPr>
                <w:noProof/>
                <w:color w:val="000000"/>
                <w:sz w:val="20"/>
                <w:szCs w:val="20"/>
              </w:rPr>
            </w:pPr>
            <w:r w:rsidRPr="000D0D06">
              <w:rPr>
                <w:noProof/>
                <w:color w:val="000000"/>
                <w:sz w:val="20"/>
              </w:rPr>
              <w:t>Ano</w:t>
            </w:r>
          </w:p>
        </w:tc>
        <w:tc>
          <w:tcPr>
            <w:tcW w:w="1001" w:type="dxa"/>
            <w:tcBorders>
              <w:top w:val="single" w:sz="8" w:space="0" w:color="auto"/>
              <w:left w:val="nil"/>
              <w:bottom w:val="nil"/>
              <w:right w:val="single" w:sz="8" w:space="0" w:color="auto"/>
            </w:tcBorders>
            <w:vAlign w:val="center"/>
            <w:hideMark/>
          </w:tcPr>
          <w:p w14:paraId="73EF36EC" w14:textId="77777777" w:rsidR="007C050F" w:rsidRPr="000D0D06" w:rsidRDefault="007C050F" w:rsidP="007C050F">
            <w:pPr>
              <w:spacing w:before="0" w:after="0"/>
              <w:jc w:val="center"/>
              <w:rPr>
                <w:noProof/>
                <w:color w:val="000000"/>
                <w:sz w:val="20"/>
                <w:szCs w:val="20"/>
              </w:rPr>
            </w:pPr>
            <w:r w:rsidRPr="000D0D06">
              <w:rPr>
                <w:noProof/>
                <w:color w:val="000000"/>
                <w:sz w:val="20"/>
              </w:rPr>
              <w:t>Ano</w:t>
            </w:r>
          </w:p>
        </w:tc>
        <w:tc>
          <w:tcPr>
            <w:tcW w:w="1001" w:type="dxa"/>
            <w:tcBorders>
              <w:top w:val="single" w:sz="8" w:space="0" w:color="auto"/>
              <w:left w:val="nil"/>
              <w:bottom w:val="nil"/>
              <w:right w:val="single" w:sz="8" w:space="0" w:color="auto"/>
            </w:tcBorders>
            <w:vAlign w:val="center"/>
            <w:hideMark/>
          </w:tcPr>
          <w:p w14:paraId="3B1ADE91" w14:textId="77777777" w:rsidR="007C050F" w:rsidRPr="000D0D06" w:rsidRDefault="007C050F" w:rsidP="007C050F">
            <w:pPr>
              <w:spacing w:before="0" w:after="0"/>
              <w:jc w:val="center"/>
              <w:rPr>
                <w:noProof/>
                <w:color w:val="000000"/>
                <w:sz w:val="20"/>
                <w:szCs w:val="20"/>
              </w:rPr>
            </w:pPr>
            <w:r w:rsidRPr="000D0D06">
              <w:rPr>
                <w:noProof/>
                <w:color w:val="000000"/>
                <w:sz w:val="20"/>
              </w:rPr>
              <w:t>Ano</w:t>
            </w:r>
          </w:p>
        </w:tc>
        <w:tc>
          <w:tcPr>
            <w:tcW w:w="1244" w:type="dxa"/>
            <w:vMerge w:val="restart"/>
            <w:tcBorders>
              <w:top w:val="single" w:sz="8" w:space="0" w:color="auto"/>
              <w:left w:val="single" w:sz="8" w:space="0" w:color="auto"/>
              <w:bottom w:val="single" w:sz="8" w:space="0" w:color="000000"/>
              <w:right w:val="single" w:sz="8" w:space="0" w:color="auto"/>
            </w:tcBorders>
            <w:vAlign w:val="center"/>
            <w:hideMark/>
          </w:tcPr>
          <w:p w14:paraId="10D92AA2" w14:textId="77777777" w:rsidR="007C050F" w:rsidRPr="000D0D06" w:rsidRDefault="007C050F" w:rsidP="007C050F">
            <w:pPr>
              <w:spacing w:before="0" w:after="0"/>
              <w:jc w:val="center"/>
              <w:rPr>
                <w:b/>
                <w:bCs/>
                <w:noProof/>
                <w:color w:val="000000"/>
                <w:sz w:val="20"/>
                <w:szCs w:val="20"/>
              </w:rPr>
            </w:pPr>
            <w:r w:rsidRPr="000D0D06">
              <w:rPr>
                <w:b/>
                <w:noProof/>
                <w:color w:val="000000"/>
                <w:sz w:val="20"/>
              </w:rPr>
              <w:t>TOTAL QFP 2021-2027</w:t>
            </w:r>
          </w:p>
        </w:tc>
      </w:tr>
      <w:tr w:rsidR="007C050F" w:rsidRPr="000D0D06" w14:paraId="3F63E748" w14:textId="77777777">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14:paraId="5AC341B1" w14:textId="77777777" w:rsidR="007C050F" w:rsidRPr="000D0D06" w:rsidRDefault="007C050F" w:rsidP="007C050F">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vAlign w:val="center"/>
            <w:hideMark/>
          </w:tcPr>
          <w:p w14:paraId="0FBC1545" w14:textId="77777777" w:rsidR="007C050F" w:rsidRPr="000D0D06" w:rsidRDefault="007C050F" w:rsidP="007C050F">
            <w:pPr>
              <w:spacing w:before="0" w:after="0"/>
              <w:jc w:val="center"/>
              <w:rPr>
                <w:b/>
                <w:bCs/>
                <w:noProof/>
                <w:color w:val="000000"/>
                <w:sz w:val="20"/>
                <w:szCs w:val="20"/>
              </w:rPr>
            </w:pPr>
            <w:r w:rsidRPr="000D0D06">
              <w:rPr>
                <w:b/>
                <w:noProof/>
                <w:color w:val="000000"/>
                <w:sz w:val="20"/>
              </w:rPr>
              <w:t>2024</w:t>
            </w:r>
          </w:p>
        </w:tc>
        <w:tc>
          <w:tcPr>
            <w:tcW w:w="1001" w:type="dxa"/>
            <w:tcBorders>
              <w:top w:val="nil"/>
              <w:left w:val="nil"/>
              <w:bottom w:val="single" w:sz="8" w:space="0" w:color="auto"/>
              <w:right w:val="single" w:sz="8" w:space="0" w:color="auto"/>
            </w:tcBorders>
            <w:vAlign w:val="center"/>
            <w:hideMark/>
          </w:tcPr>
          <w:p w14:paraId="3D88B61C" w14:textId="77777777" w:rsidR="007C050F" w:rsidRPr="000D0D06" w:rsidRDefault="007C050F" w:rsidP="007C050F">
            <w:pPr>
              <w:spacing w:before="0" w:after="0"/>
              <w:jc w:val="center"/>
              <w:rPr>
                <w:b/>
                <w:bCs/>
                <w:noProof/>
                <w:color w:val="000000"/>
                <w:sz w:val="20"/>
                <w:szCs w:val="20"/>
              </w:rPr>
            </w:pPr>
            <w:r w:rsidRPr="000D0D06">
              <w:rPr>
                <w:b/>
                <w:noProof/>
                <w:color w:val="000000"/>
                <w:sz w:val="20"/>
              </w:rPr>
              <w:t>2025</w:t>
            </w:r>
          </w:p>
        </w:tc>
        <w:tc>
          <w:tcPr>
            <w:tcW w:w="1001" w:type="dxa"/>
            <w:tcBorders>
              <w:top w:val="nil"/>
              <w:left w:val="nil"/>
              <w:bottom w:val="single" w:sz="8" w:space="0" w:color="auto"/>
              <w:right w:val="single" w:sz="8" w:space="0" w:color="auto"/>
            </w:tcBorders>
            <w:vAlign w:val="center"/>
            <w:hideMark/>
          </w:tcPr>
          <w:p w14:paraId="40BF12EF" w14:textId="77777777" w:rsidR="007C050F" w:rsidRPr="000D0D06" w:rsidRDefault="007C050F" w:rsidP="007C050F">
            <w:pPr>
              <w:spacing w:before="0" w:after="0"/>
              <w:jc w:val="center"/>
              <w:rPr>
                <w:b/>
                <w:bCs/>
                <w:noProof/>
                <w:color w:val="000000"/>
                <w:sz w:val="20"/>
                <w:szCs w:val="20"/>
              </w:rPr>
            </w:pPr>
            <w:r w:rsidRPr="000D0D06">
              <w:rPr>
                <w:b/>
                <w:noProof/>
                <w:color w:val="000000"/>
                <w:sz w:val="20"/>
              </w:rPr>
              <w:t>2026</w:t>
            </w:r>
          </w:p>
        </w:tc>
        <w:tc>
          <w:tcPr>
            <w:tcW w:w="1001" w:type="dxa"/>
            <w:tcBorders>
              <w:top w:val="nil"/>
              <w:left w:val="nil"/>
              <w:bottom w:val="single" w:sz="8" w:space="0" w:color="auto"/>
              <w:right w:val="single" w:sz="8" w:space="0" w:color="auto"/>
            </w:tcBorders>
            <w:vAlign w:val="center"/>
            <w:hideMark/>
          </w:tcPr>
          <w:p w14:paraId="7D462E97" w14:textId="77777777" w:rsidR="007C050F" w:rsidRPr="000D0D06" w:rsidRDefault="007C050F" w:rsidP="007C050F">
            <w:pPr>
              <w:spacing w:before="0" w:after="0"/>
              <w:jc w:val="center"/>
              <w:rPr>
                <w:b/>
                <w:bCs/>
                <w:noProof/>
                <w:color w:val="000000"/>
                <w:sz w:val="20"/>
                <w:szCs w:val="20"/>
              </w:rPr>
            </w:pPr>
            <w:r w:rsidRPr="000D0D06">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14:paraId="087659E9" w14:textId="77777777" w:rsidR="007C050F" w:rsidRPr="000D0D06" w:rsidRDefault="007C050F" w:rsidP="007C050F">
            <w:pPr>
              <w:spacing w:before="0" w:after="0"/>
              <w:jc w:val="left"/>
              <w:rPr>
                <w:b/>
                <w:bCs/>
                <w:noProof/>
                <w:color w:val="000000"/>
                <w:sz w:val="20"/>
                <w:szCs w:val="20"/>
                <w:lang w:eastAsia="en-IE"/>
              </w:rPr>
            </w:pPr>
          </w:p>
        </w:tc>
      </w:tr>
      <w:tr w:rsidR="007C050F" w:rsidRPr="000D0D06" w14:paraId="7B2AA13F" w14:textId="77777777">
        <w:trPr>
          <w:trHeight w:val="300"/>
        </w:trPr>
        <w:tc>
          <w:tcPr>
            <w:tcW w:w="7892" w:type="dxa"/>
            <w:gridSpan w:val="4"/>
            <w:tcBorders>
              <w:top w:val="single" w:sz="8" w:space="0" w:color="auto"/>
              <w:left w:val="single" w:sz="8" w:space="0" w:color="auto"/>
              <w:bottom w:val="single" w:sz="8" w:space="0" w:color="auto"/>
              <w:right w:val="single" w:sz="8" w:space="0" w:color="auto"/>
            </w:tcBorders>
            <w:vAlign w:val="center"/>
            <w:hideMark/>
          </w:tcPr>
          <w:p w14:paraId="76AC925D" w14:textId="77777777" w:rsidR="007C050F" w:rsidRPr="000D0D06" w:rsidRDefault="007C050F" w:rsidP="007C050F">
            <w:pPr>
              <w:spacing w:before="0" w:after="0"/>
              <w:jc w:val="left"/>
              <w:rPr>
                <w:rFonts w:ascii="Wingdings" w:hAnsi="Wingdings" w:cs="Calibri"/>
                <w:noProof/>
                <w:color w:val="000000"/>
                <w:sz w:val="22"/>
              </w:rPr>
            </w:pPr>
            <w:r w:rsidRPr="000D0D06">
              <w:rPr>
                <w:rFonts w:ascii="Wingdings" w:hAnsi="Wingdings"/>
                <w:noProof/>
                <w:color w:val="000000"/>
                <w:sz w:val="22"/>
              </w:rPr>
              <w:t></w:t>
            </w:r>
            <w:r w:rsidRPr="000D0D06">
              <w:rPr>
                <w:noProof/>
                <w:color w:val="000000"/>
                <w:sz w:val="22"/>
              </w:rPr>
              <w:t xml:space="preserve"> Recursos humanos </w:t>
            </w:r>
          </w:p>
        </w:tc>
        <w:tc>
          <w:tcPr>
            <w:tcW w:w="1001" w:type="dxa"/>
            <w:tcBorders>
              <w:top w:val="nil"/>
              <w:left w:val="nil"/>
              <w:bottom w:val="single" w:sz="8" w:space="0" w:color="auto"/>
              <w:right w:val="single" w:sz="8" w:space="0" w:color="auto"/>
            </w:tcBorders>
            <w:shd w:val="clear" w:color="000000" w:fill="D9D9D9"/>
            <w:vAlign w:val="center"/>
            <w:hideMark/>
          </w:tcPr>
          <w:p w14:paraId="5577F87D" w14:textId="77777777" w:rsidR="007C050F" w:rsidRPr="000D0D06" w:rsidRDefault="007C050F" w:rsidP="007C050F">
            <w:pPr>
              <w:spacing w:before="0" w:after="0"/>
              <w:jc w:val="right"/>
              <w:rPr>
                <w:noProof/>
                <w:color w:val="000000"/>
                <w:sz w:val="20"/>
                <w:szCs w:val="20"/>
              </w:rPr>
            </w:pPr>
            <w:r w:rsidRPr="000D0D06">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7684B33E" w14:textId="77777777" w:rsidR="007C050F" w:rsidRPr="000D0D06" w:rsidRDefault="007C050F" w:rsidP="007C050F">
            <w:pPr>
              <w:spacing w:before="0" w:after="0"/>
              <w:jc w:val="right"/>
              <w:rPr>
                <w:noProof/>
                <w:color w:val="000000"/>
                <w:sz w:val="20"/>
                <w:szCs w:val="20"/>
              </w:rPr>
            </w:pPr>
            <w:r w:rsidRPr="000D0D06">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5BDD3793" w14:textId="77777777" w:rsidR="007C050F" w:rsidRPr="000D0D06" w:rsidRDefault="007C050F" w:rsidP="007C050F">
            <w:pPr>
              <w:spacing w:before="0" w:after="0"/>
              <w:jc w:val="right"/>
              <w:rPr>
                <w:noProof/>
                <w:color w:val="000000"/>
                <w:sz w:val="20"/>
                <w:szCs w:val="20"/>
              </w:rPr>
            </w:pPr>
            <w:r w:rsidRPr="000D0D06">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50A9EB87" w14:textId="77777777" w:rsidR="007C050F" w:rsidRPr="000D0D06" w:rsidRDefault="007C050F" w:rsidP="007C050F">
            <w:pPr>
              <w:spacing w:before="0" w:after="0"/>
              <w:jc w:val="right"/>
              <w:rPr>
                <w:noProof/>
                <w:color w:val="000000"/>
                <w:sz w:val="20"/>
                <w:szCs w:val="20"/>
              </w:rPr>
            </w:pPr>
            <w:r w:rsidRPr="000D0D06">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14:paraId="21BD6DD1"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r>
      <w:tr w:rsidR="007C050F" w:rsidRPr="000D0D06" w14:paraId="72249FEE" w14:textId="77777777">
        <w:trPr>
          <w:trHeight w:val="300"/>
        </w:trPr>
        <w:tc>
          <w:tcPr>
            <w:tcW w:w="7892" w:type="dxa"/>
            <w:gridSpan w:val="4"/>
            <w:tcBorders>
              <w:top w:val="single" w:sz="8" w:space="0" w:color="auto"/>
              <w:left w:val="single" w:sz="8" w:space="0" w:color="auto"/>
              <w:bottom w:val="single" w:sz="8" w:space="0" w:color="auto"/>
              <w:right w:val="single" w:sz="8" w:space="0" w:color="auto"/>
            </w:tcBorders>
            <w:vAlign w:val="center"/>
            <w:hideMark/>
          </w:tcPr>
          <w:p w14:paraId="2D78E22D" w14:textId="77777777" w:rsidR="007C050F" w:rsidRPr="000D0D06" w:rsidRDefault="007C050F" w:rsidP="007C050F">
            <w:pPr>
              <w:spacing w:before="0" w:after="0"/>
              <w:jc w:val="left"/>
              <w:rPr>
                <w:rFonts w:ascii="Wingdings" w:hAnsi="Wingdings" w:cs="Calibri"/>
                <w:noProof/>
                <w:color w:val="000000"/>
                <w:sz w:val="22"/>
              </w:rPr>
            </w:pPr>
            <w:r w:rsidRPr="000D0D06">
              <w:rPr>
                <w:rFonts w:ascii="Wingdings" w:hAnsi="Wingdings"/>
                <w:noProof/>
                <w:color w:val="000000"/>
                <w:sz w:val="22"/>
              </w:rPr>
              <w:t></w:t>
            </w:r>
            <w:r w:rsidRPr="000D0D06">
              <w:rPr>
                <w:noProof/>
                <w:color w:val="000000"/>
                <w:sz w:val="22"/>
              </w:rPr>
              <w:t xml:space="preserve"> Outras despesas administrativas </w:t>
            </w:r>
          </w:p>
        </w:tc>
        <w:tc>
          <w:tcPr>
            <w:tcW w:w="1001" w:type="dxa"/>
            <w:tcBorders>
              <w:top w:val="nil"/>
              <w:left w:val="nil"/>
              <w:bottom w:val="single" w:sz="8" w:space="0" w:color="auto"/>
              <w:right w:val="single" w:sz="8" w:space="0" w:color="auto"/>
            </w:tcBorders>
            <w:shd w:val="clear" w:color="000000" w:fill="D9D9D9"/>
            <w:vAlign w:val="center"/>
            <w:hideMark/>
          </w:tcPr>
          <w:p w14:paraId="1189AE98" w14:textId="77777777" w:rsidR="007C050F" w:rsidRPr="000D0D06" w:rsidRDefault="007C050F" w:rsidP="007C050F">
            <w:pPr>
              <w:spacing w:before="0" w:after="0"/>
              <w:jc w:val="right"/>
              <w:rPr>
                <w:noProof/>
                <w:color w:val="000000"/>
                <w:sz w:val="20"/>
                <w:szCs w:val="20"/>
              </w:rPr>
            </w:pPr>
            <w:r w:rsidRPr="000D0D06">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69FBB351" w14:textId="77777777" w:rsidR="007C050F" w:rsidRPr="000D0D06" w:rsidRDefault="007C050F" w:rsidP="007C050F">
            <w:pPr>
              <w:spacing w:before="0" w:after="0"/>
              <w:jc w:val="right"/>
              <w:rPr>
                <w:noProof/>
                <w:color w:val="000000"/>
                <w:sz w:val="20"/>
                <w:szCs w:val="20"/>
              </w:rPr>
            </w:pPr>
            <w:r w:rsidRPr="000D0D06">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781B09CE" w14:textId="77777777" w:rsidR="007C050F" w:rsidRPr="000D0D06" w:rsidRDefault="007C050F" w:rsidP="007C050F">
            <w:pPr>
              <w:spacing w:before="0" w:after="0"/>
              <w:jc w:val="right"/>
              <w:rPr>
                <w:noProof/>
                <w:color w:val="000000"/>
                <w:sz w:val="20"/>
                <w:szCs w:val="20"/>
              </w:rPr>
            </w:pPr>
            <w:r w:rsidRPr="000D0D06">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40542CCE" w14:textId="77777777" w:rsidR="007C050F" w:rsidRPr="000D0D06" w:rsidRDefault="007C050F" w:rsidP="007C050F">
            <w:pPr>
              <w:spacing w:before="0" w:after="0"/>
              <w:jc w:val="right"/>
              <w:rPr>
                <w:noProof/>
                <w:color w:val="000000"/>
                <w:sz w:val="20"/>
                <w:szCs w:val="20"/>
              </w:rPr>
            </w:pPr>
            <w:r w:rsidRPr="000D0D06">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14:paraId="7847B62C"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r>
      <w:tr w:rsidR="007C050F" w:rsidRPr="000D0D06" w14:paraId="1E7A764F" w14:textId="77777777">
        <w:trPr>
          <w:trHeight w:val="300"/>
        </w:trPr>
        <w:tc>
          <w:tcPr>
            <w:tcW w:w="4405" w:type="dxa"/>
            <w:tcBorders>
              <w:top w:val="nil"/>
              <w:left w:val="single" w:sz="8" w:space="0" w:color="auto"/>
              <w:bottom w:val="single" w:sz="8" w:space="0" w:color="auto"/>
              <w:right w:val="single" w:sz="8" w:space="0" w:color="auto"/>
            </w:tcBorders>
            <w:vAlign w:val="center"/>
            <w:hideMark/>
          </w:tcPr>
          <w:p w14:paraId="021867AC" w14:textId="77777777" w:rsidR="007C050F" w:rsidRPr="000D0D06" w:rsidRDefault="007C050F" w:rsidP="007C050F">
            <w:pPr>
              <w:spacing w:before="0" w:after="0"/>
              <w:jc w:val="center"/>
              <w:rPr>
                <w:b/>
                <w:bCs/>
                <w:noProof/>
                <w:color w:val="000000"/>
                <w:sz w:val="22"/>
              </w:rPr>
            </w:pPr>
            <w:r w:rsidRPr="000D0D06">
              <w:rPr>
                <w:b/>
                <w:noProof/>
                <w:color w:val="000000"/>
                <w:sz w:val="22"/>
              </w:rPr>
              <w:t>TOTAL DG</w:t>
            </w:r>
            <w:r w:rsidRPr="000D0D06">
              <w:rPr>
                <w:noProof/>
                <w:color w:val="000000"/>
                <w:sz w:val="22"/>
              </w:rPr>
              <w:t xml:space="preserve"> &lt;…….&gt;</w:t>
            </w:r>
          </w:p>
        </w:tc>
        <w:tc>
          <w:tcPr>
            <w:tcW w:w="3487" w:type="dxa"/>
            <w:gridSpan w:val="3"/>
            <w:tcBorders>
              <w:top w:val="single" w:sz="8" w:space="0" w:color="auto"/>
              <w:left w:val="nil"/>
              <w:bottom w:val="single" w:sz="8" w:space="0" w:color="auto"/>
              <w:right w:val="single" w:sz="8" w:space="0" w:color="auto"/>
            </w:tcBorders>
            <w:vAlign w:val="center"/>
            <w:hideMark/>
          </w:tcPr>
          <w:p w14:paraId="7D4DEED9" w14:textId="77777777" w:rsidR="007C050F" w:rsidRPr="000D0D06" w:rsidRDefault="007C050F" w:rsidP="007C050F">
            <w:pPr>
              <w:spacing w:before="0" w:after="0"/>
              <w:jc w:val="left"/>
              <w:rPr>
                <w:noProof/>
                <w:color w:val="000000"/>
                <w:sz w:val="18"/>
                <w:szCs w:val="18"/>
              </w:rPr>
            </w:pPr>
            <w:r w:rsidRPr="000D0D06">
              <w:rPr>
                <w:noProof/>
                <w:color w:val="000000"/>
                <w:sz w:val="18"/>
              </w:rPr>
              <w:t xml:space="preserve">Dotações </w:t>
            </w:r>
          </w:p>
        </w:tc>
        <w:tc>
          <w:tcPr>
            <w:tcW w:w="1001" w:type="dxa"/>
            <w:tcBorders>
              <w:top w:val="nil"/>
              <w:left w:val="nil"/>
              <w:bottom w:val="single" w:sz="8" w:space="0" w:color="auto"/>
              <w:right w:val="single" w:sz="8" w:space="0" w:color="auto"/>
            </w:tcBorders>
            <w:shd w:val="clear" w:color="000000" w:fill="D9D9D9"/>
            <w:vAlign w:val="center"/>
            <w:hideMark/>
          </w:tcPr>
          <w:p w14:paraId="31D0F1F9"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37DFA0AB"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19239757"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0571A892"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14:paraId="745C92D9"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r>
      <w:tr w:rsidR="007C050F" w:rsidRPr="000D0D06" w14:paraId="25C55122" w14:textId="77777777">
        <w:trPr>
          <w:trHeight w:val="300"/>
        </w:trPr>
        <w:tc>
          <w:tcPr>
            <w:tcW w:w="4405" w:type="dxa"/>
            <w:tcBorders>
              <w:top w:val="nil"/>
              <w:left w:val="nil"/>
              <w:bottom w:val="nil"/>
              <w:right w:val="nil"/>
            </w:tcBorders>
            <w:noWrap/>
            <w:vAlign w:val="bottom"/>
            <w:hideMark/>
          </w:tcPr>
          <w:p w14:paraId="5B1988B1" w14:textId="77777777" w:rsidR="007C050F" w:rsidRPr="000D0D06" w:rsidRDefault="007C050F" w:rsidP="007C050F">
            <w:pPr>
              <w:spacing w:before="0" w:after="0"/>
              <w:jc w:val="right"/>
              <w:rPr>
                <w:b/>
                <w:bCs/>
                <w:noProof/>
                <w:color w:val="000000"/>
                <w:sz w:val="20"/>
                <w:szCs w:val="20"/>
                <w:lang w:eastAsia="en-IE"/>
              </w:rPr>
            </w:pPr>
          </w:p>
        </w:tc>
        <w:tc>
          <w:tcPr>
            <w:tcW w:w="2477" w:type="dxa"/>
            <w:tcBorders>
              <w:top w:val="nil"/>
              <w:left w:val="nil"/>
              <w:bottom w:val="nil"/>
              <w:right w:val="nil"/>
            </w:tcBorders>
            <w:noWrap/>
            <w:vAlign w:val="bottom"/>
            <w:hideMark/>
          </w:tcPr>
          <w:p w14:paraId="7D9DDFE3" w14:textId="77777777" w:rsidR="007C050F" w:rsidRPr="000D0D06" w:rsidRDefault="007C050F" w:rsidP="007C050F">
            <w:pPr>
              <w:spacing w:before="0" w:after="0"/>
              <w:jc w:val="left"/>
              <w:rPr>
                <w:noProof/>
                <w:sz w:val="20"/>
                <w:szCs w:val="20"/>
                <w:lang w:eastAsia="en-IE"/>
              </w:rPr>
            </w:pPr>
          </w:p>
        </w:tc>
        <w:tc>
          <w:tcPr>
            <w:tcW w:w="505" w:type="dxa"/>
            <w:tcBorders>
              <w:top w:val="nil"/>
              <w:left w:val="nil"/>
              <w:bottom w:val="nil"/>
              <w:right w:val="nil"/>
            </w:tcBorders>
            <w:noWrap/>
            <w:vAlign w:val="bottom"/>
            <w:hideMark/>
          </w:tcPr>
          <w:p w14:paraId="2CA315C1" w14:textId="77777777" w:rsidR="007C050F" w:rsidRPr="000D0D06" w:rsidRDefault="007C050F" w:rsidP="007C050F">
            <w:pPr>
              <w:spacing w:before="0" w:after="0"/>
              <w:jc w:val="left"/>
              <w:rPr>
                <w:noProof/>
                <w:sz w:val="20"/>
                <w:szCs w:val="20"/>
                <w:lang w:eastAsia="en-IE"/>
              </w:rPr>
            </w:pPr>
          </w:p>
        </w:tc>
        <w:tc>
          <w:tcPr>
            <w:tcW w:w="505" w:type="dxa"/>
            <w:tcBorders>
              <w:top w:val="nil"/>
              <w:left w:val="nil"/>
              <w:bottom w:val="nil"/>
              <w:right w:val="nil"/>
            </w:tcBorders>
            <w:noWrap/>
            <w:vAlign w:val="bottom"/>
            <w:hideMark/>
          </w:tcPr>
          <w:p w14:paraId="0786648F" w14:textId="77777777" w:rsidR="007C050F" w:rsidRPr="000D0D06" w:rsidRDefault="007C050F" w:rsidP="007C050F">
            <w:pPr>
              <w:spacing w:before="0" w:after="0"/>
              <w:jc w:val="left"/>
              <w:rPr>
                <w:noProof/>
                <w:sz w:val="20"/>
                <w:szCs w:val="20"/>
                <w:lang w:eastAsia="en-IE"/>
              </w:rPr>
            </w:pPr>
          </w:p>
        </w:tc>
        <w:tc>
          <w:tcPr>
            <w:tcW w:w="1001" w:type="dxa"/>
            <w:tcBorders>
              <w:top w:val="nil"/>
              <w:left w:val="nil"/>
              <w:bottom w:val="nil"/>
              <w:right w:val="nil"/>
            </w:tcBorders>
            <w:noWrap/>
            <w:vAlign w:val="bottom"/>
            <w:hideMark/>
          </w:tcPr>
          <w:p w14:paraId="49CC7473" w14:textId="77777777" w:rsidR="007C050F" w:rsidRPr="000D0D06" w:rsidRDefault="007C050F" w:rsidP="007C050F">
            <w:pPr>
              <w:spacing w:before="0" w:after="0"/>
              <w:jc w:val="left"/>
              <w:rPr>
                <w:noProof/>
                <w:sz w:val="20"/>
                <w:szCs w:val="20"/>
                <w:lang w:eastAsia="en-IE"/>
              </w:rPr>
            </w:pPr>
          </w:p>
        </w:tc>
        <w:tc>
          <w:tcPr>
            <w:tcW w:w="1001" w:type="dxa"/>
            <w:tcBorders>
              <w:top w:val="nil"/>
              <w:left w:val="nil"/>
              <w:bottom w:val="nil"/>
              <w:right w:val="nil"/>
            </w:tcBorders>
            <w:noWrap/>
            <w:vAlign w:val="bottom"/>
            <w:hideMark/>
          </w:tcPr>
          <w:p w14:paraId="439C49F3" w14:textId="77777777" w:rsidR="007C050F" w:rsidRPr="000D0D06" w:rsidRDefault="007C050F" w:rsidP="007C050F">
            <w:pPr>
              <w:spacing w:before="0" w:after="0"/>
              <w:jc w:val="left"/>
              <w:rPr>
                <w:noProof/>
                <w:sz w:val="20"/>
                <w:szCs w:val="20"/>
                <w:lang w:eastAsia="en-IE"/>
              </w:rPr>
            </w:pPr>
          </w:p>
        </w:tc>
        <w:tc>
          <w:tcPr>
            <w:tcW w:w="1001" w:type="dxa"/>
            <w:tcBorders>
              <w:top w:val="nil"/>
              <w:left w:val="nil"/>
              <w:bottom w:val="nil"/>
              <w:right w:val="nil"/>
            </w:tcBorders>
            <w:noWrap/>
            <w:vAlign w:val="bottom"/>
            <w:hideMark/>
          </w:tcPr>
          <w:p w14:paraId="5DCDD7E0" w14:textId="77777777" w:rsidR="007C050F" w:rsidRPr="000D0D06" w:rsidRDefault="007C050F" w:rsidP="007C050F">
            <w:pPr>
              <w:spacing w:before="0" w:after="0"/>
              <w:jc w:val="left"/>
              <w:rPr>
                <w:noProof/>
                <w:sz w:val="20"/>
                <w:szCs w:val="20"/>
                <w:lang w:eastAsia="en-IE"/>
              </w:rPr>
            </w:pPr>
          </w:p>
        </w:tc>
        <w:tc>
          <w:tcPr>
            <w:tcW w:w="1001" w:type="dxa"/>
            <w:tcBorders>
              <w:top w:val="nil"/>
              <w:left w:val="nil"/>
              <w:bottom w:val="nil"/>
              <w:right w:val="nil"/>
            </w:tcBorders>
            <w:noWrap/>
            <w:vAlign w:val="bottom"/>
            <w:hideMark/>
          </w:tcPr>
          <w:p w14:paraId="3CDF9C18" w14:textId="77777777" w:rsidR="007C050F" w:rsidRPr="000D0D06" w:rsidRDefault="007C050F" w:rsidP="007C050F">
            <w:pPr>
              <w:spacing w:before="0" w:after="0"/>
              <w:jc w:val="left"/>
              <w:rPr>
                <w:noProof/>
                <w:sz w:val="20"/>
                <w:szCs w:val="20"/>
                <w:lang w:eastAsia="en-IE"/>
              </w:rPr>
            </w:pPr>
          </w:p>
        </w:tc>
        <w:tc>
          <w:tcPr>
            <w:tcW w:w="1244" w:type="dxa"/>
            <w:tcBorders>
              <w:top w:val="nil"/>
              <w:left w:val="nil"/>
              <w:bottom w:val="nil"/>
              <w:right w:val="nil"/>
            </w:tcBorders>
            <w:noWrap/>
            <w:vAlign w:val="bottom"/>
            <w:hideMark/>
          </w:tcPr>
          <w:p w14:paraId="697417E3" w14:textId="77777777" w:rsidR="007C050F" w:rsidRPr="000D0D06" w:rsidRDefault="007C050F" w:rsidP="007C050F">
            <w:pPr>
              <w:spacing w:before="0" w:after="0"/>
              <w:jc w:val="left"/>
              <w:rPr>
                <w:noProof/>
                <w:sz w:val="20"/>
                <w:szCs w:val="20"/>
                <w:lang w:eastAsia="en-IE"/>
              </w:rPr>
            </w:pPr>
          </w:p>
        </w:tc>
      </w:tr>
      <w:tr w:rsidR="007C050F" w:rsidRPr="000D0D06" w14:paraId="3245C05A" w14:textId="77777777">
        <w:trPr>
          <w:trHeight w:val="315"/>
        </w:trPr>
        <w:tc>
          <w:tcPr>
            <w:tcW w:w="7892" w:type="dxa"/>
            <w:gridSpan w:val="4"/>
            <w:vMerge w:val="restart"/>
            <w:tcBorders>
              <w:top w:val="single" w:sz="8" w:space="0" w:color="auto"/>
              <w:left w:val="single" w:sz="8" w:space="0" w:color="auto"/>
              <w:bottom w:val="single" w:sz="8" w:space="0" w:color="auto"/>
              <w:right w:val="single" w:sz="8" w:space="0" w:color="auto"/>
            </w:tcBorders>
            <w:vAlign w:val="center"/>
            <w:hideMark/>
          </w:tcPr>
          <w:p w14:paraId="1DC64DE2" w14:textId="77777777" w:rsidR="007C050F" w:rsidRPr="000D0D06" w:rsidRDefault="007C050F" w:rsidP="007C050F">
            <w:pPr>
              <w:spacing w:before="0" w:after="0"/>
              <w:jc w:val="center"/>
              <w:rPr>
                <w:noProof/>
                <w:color w:val="000000"/>
                <w:szCs w:val="24"/>
              </w:rPr>
            </w:pPr>
            <w:r w:rsidRPr="000D0D06">
              <w:rPr>
                <w:noProof/>
                <w:color w:val="000000"/>
              </w:rPr>
              <w:t>DG: &lt;…….&gt;</w:t>
            </w:r>
          </w:p>
        </w:tc>
        <w:tc>
          <w:tcPr>
            <w:tcW w:w="1001" w:type="dxa"/>
            <w:tcBorders>
              <w:top w:val="single" w:sz="8" w:space="0" w:color="auto"/>
              <w:left w:val="nil"/>
              <w:bottom w:val="nil"/>
              <w:right w:val="single" w:sz="8" w:space="0" w:color="auto"/>
            </w:tcBorders>
            <w:vAlign w:val="center"/>
            <w:hideMark/>
          </w:tcPr>
          <w:p w14:paraId="5BA6AA58" w14:textId="77777777" w:rsidR="007C050F" w:rsidRPr="000D0D06" w:rsidRDefault="007C050F" w:rsidP="007C050F">
            <w:pPr>
              <w:spacing w:before="0" w:after="0"/>
              <w:jc w:val="center"/>
              <w:rPr>
                <w:noProof/>
                <w:color w:val="000000"/>
                <w:sz w:val="20"/>
                <w:szCs w:val="20"/>
              </w:rPr>
            </w:pPr>
            <w:r w:rsidRPr="000D0D06">
              <w:rPr>
                <w:noProof/>
                <w:color w:val="000000"/>
                <w:sz w:val="20"/>
              </w:rPr>
              <w:t>Ano</w:t>
            </w:r>
          </w:p>
        </w:tc>
        <w:tc>
          <w:tcPr>
            <w:tcW w:w="1001" w:type="dxa"/>
            <w:tcBorders>
              <w:top w:val="single" w:sz="8" w:space="0" w:color="auto"/>
              <w:left w:val="nil"/>
              <w:bottom w:val="nil"/>
              <w:right w:val="single" w:sz="8" w:space="0" w:color="auto"/>
            </w:tcBorders>
            <w:vAlign w:val="center"/>
            <w:hideMark/>
          </w:tcPr>
          <w:p w14:paraId="23E1EA9B" w14:textId="77777777" w:rsidR="007C050F" w:rsidRPr="000D0D06" w:rsidRDefault="007C050F" w:rsidP="007C050F">
            <w:pPr>
              <w:spacing w:before="0" w:after="0"/>
              <w:jc w:val="center"/>
              <w:rPr>
                <w:noProof/>
                <w:color w:val="000000"/>
                <w:sz w:val="20"/>
                <w:szCs w:val="20"/>
              </w:rPr>
            </w:pPr>
            <w:r w:rsidRPr="000D0D06">
              <w:rPr>
                <w:noProof/>
                <w:color w:val="000000"/>
                <w:sz w:val="20"/>
              </w:rPr>
              <w:t>Ano</w:t>
            </w:r>
          </w:p>
        </w:tc>
        <w:tc>
          <w:tcPr>
            <w:tcW w:w="1001" w:type="dxa"/>
            <w:tcBorders>
              <w:top w:val="single" w:sz="8" w:space="0" w:color="auto"/>
              <w:left w:val="nil"/>
              <w:bottom w:val="nil"/>
              <w:right w:val="single" w:sz="8" w:space="0" w:color="auto"/>
            </w:tcBorders>
            <w:vAlign w:val="center"/>
            <w:hideMark/>
          </w:tcPr>
          <w:p w14:paraId="2CF200B8" w14:textId="77777777" w:rsidR="007C050F" w:rsidRPr="000D0D06" w:rsidRDefault="007C050F" w:rsidP="007C050F">
            <w:pPr>
              <w:spacing w:before="0" w:after="0"/>
              <w:jc w:val="center"/>
              <w:rPr>
                <w:noProof/>
                <w:color w:val="000000"/>
                <w:sz w:val="20"/>
                <w:szCs w:val="20"/>
              </w:rPr>
            </w:pPr>
            <w:r w:rsidRPr="000D0D06">
              <w:rPr>
                <w:noProof/>
                <w:color w:val="000000"/>
                <w:sz w:val="20"/>
              </w:rPr>
              <w:t>Ano</w:t>
            </w:r>
          </w:p>
        </w:tc>
        <w:tc>
          <w:tcPr>
            <w:tcW w:w="1001" w:type="dxa"/>
            <w:tcBorders>
              <w:top w:val="single" w:sz="8" w:space="0" w:color="auto"/>
              <w:left w:val="nil"/>
              <w:bottom w:val="nil"/>
              <w:right w:val="single" w:sz="8" w:space="0" w:color="auto"/>
            </w:tcBorders>
            <w:vAlign w:val="center"/>
            <w:hideMark/>
          </w:tcPr>
          <w:p w14:paraId="5B126676" w14:textId="77777777" w:rsidR="007C050F" w:rsidRPr="000D0D06" w:rsidRDefault="007C050F" w:rsidP="007C050F">
            <w:pPr>
              <w:spacing w:before="0" w:after="0"/>
              <w:jc w:val="center"/>
              <w:rPr>
                <w:noProof/>
                <w:color w:val="000000"/>
                <w:sz w:val="20"/>
                <w:szCs w:val="20"/>
              </w:rPr>
            </w:pPr>
            <w:r w:rsidRPr="000D0D06">
              <w:rPr>
                <w:noProof/>
                <w:color w:val="000000"/>
                <w:sz w:val="20"/>
              </w:rPr>
              <w:t>Ano</w:t>
            </w:r>
          </w:p>
        </w:tc>
        <w:tc>
          <w:tcPr>
            <w:tcW w:w="1244" w:type="dxa"/>
            <w:vMerge w:val="restart"/>
            <w:tcBorders>
              <w:top w:val="single" w:sz="8" w:space="0" w:color="auto"/>
              <w:left w:val="single" w:sz="8" w:space="0" w:color="auto"/>
              <w:bottom w:val="single" w:sz="8" w:space="0" w:color="000000"/>
              <w:right w:val="single" w:sz="8" w:space="0" w:color="auto"/>
            </w:tcBorders>
            <w:vAlign w:val="center"/>
            <w:hideMark/>
          </w:tcPr>
          <w:p w14:paraId="6BF1B1FA" w14:textId="77777777" w:rsidR="007C050F" w:rsidRPr="000D0D06" w:rsidRDefault="007C050F" w:rsidP="007C050F">
            <w:pPr>
              <w:spacing w:before="0" w:after="0"/>
              <w:jc w:val="center"/>
              <w:rPr>
                <w:b/>
                <w:bCs/>
                <w:noProof/>
                <w:color w:val="000000"/>
                <w:sz w:val="20"/>
                <w:szCs w:val="20"/>
              </w:rPr>
            </w:pPr>
            <w:r w:rsidRPr="000D0D06">
              <w:rPr>
                <w:b/>
                <w:noProof/>
                <w:color w:val="000000"/>
                <w:sz w:val="20"/>
              </w:rPr>
              <w:t>TOTAL QFP 2021-2027</w:t>
            </w:r>
          </w:p>
        </w:tc>
      </w:tr>
      <w:tr w:rsidR="007C050F" w:rsidRPr="000D0D06" w14:paraId="125082FA" w14:textId="77777777">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14:paraId="38F11257" w14:textId="77777777" w:rsidR="007C050F" w:rsidRPr="000D0D06" w:rsidRDefault="007C050F" w:rsidP="007C050F">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vAlign w:val="center"/>
            <w:hideMark/>
          </w:tcPr>
          <w:p w14:paraId="13595EB0" w14:textId="77777777" w:rsidR="007C050F" w:rsidRPr="000D0D06" w:rsidRDefault="007C050F" w:rsidP="007C050F">
            <w:pPr>
              <w:spacing w:before="0" w:after="0"/>
              <w:jc w:val="center"/>
              <w:rPr>
                <w:b/>
                <w:bCs/>
                <w:noProof/>
                <w:color w:val="000000"/>
                <w:sz w:val="20"/>
                <w:szCs w:val="20"/>
              </w:rPr>
            </w:pPr>
            <w:r w:rsidRPr="000D0D06">
              <w:rPr>
                <w:b/>
                <w:noProof/>
                <w:color w:val="000000"/>
                <w:sz w:val="20"/>
              </w:rPr>
              <w:t>2024</w:t>
            </w:r>
          </w:p>
        </w:tc>
        <w:tc>
          <w:tcPr>
            <w:tcW w:w="1001" w:type="dxa"/>
            <w:tcBorders>
              <w:top w:val="nil"/>
              <w:left w:val="nil"/>
              <w:bottom w:val="single" w:sz="8" w:space="0" w:color="auto"/>
              <w:right w:val="single" w:sz="8" w:space="0" w:color="auto"/>
            </w:tcBorders>
            <w:vAlign w:val="center"/>
            <w:hideMark/>
          </w:tcPr>
          <w:p w14:paraId="66923990" w14:textId="77777777" w:rsidR="007C050F" w:rsidRPr="000D0D06" w:rsidRDefault="007C050F" w:rsidP="007C050F">
            <w:pPr>
              <w:spacing w:before="0" w:after="0"/>
              <w:jc w:val="center"/>
              <w:rPr>
                <w:b/>
                <w:bCs/>
                <w:noProof/>
                <w:color w:val="000000"/>
                <w:sz w:val="20"/>
                <w:szCs w:val="20"/>
              </w:rPr>
            </w:pPr>
            <w:r w:rsidRPr="000D0D06">
              <w:rPr>
                <w:b/>
                <w:noProof/>
                <w:color w:val="000000"/>
                <w:sz w:val="20"/>
              </w:rPr>
              <w:t>2025</w:t>
            </w:r>
          </w:p>
        </w:tc>
        <w:tc>
          <w:tcPr>
            <w:tcW w:w="1001" w:type="dxa"/>
            <w:tcBorders>
              <w:top w:val="nil"/>
              <w:left w:val="nil"/>
              <w:bottom w:val="single" w:sz="8" w:space="0" w:color="auto"/>
              <w:right w:val="single" w:sz="8" w:space="0" w:color="auto"/>
            </w:tcBorders>
            <w:vAlign w:val="center"/>
            <w:hideMark/>
          </w:tcPr>
          <w:p w14:paraId="12B728ED" w14:textId="77777777" w:rsidR="007C050F" w:rsidRPr="000D0D06" w:rsidRDefault="007C050F" w:rsidP="007C050F">
            <w:pPr>
              <w:spacing w:before="0" w:after="0"/>
              <w:jc w:val="center"/>
              <w:rPr>
                <w:b/>
                <w:bCs/>
                <w:noProof/>
                <w:color w:val="000000"/>
                <w:sz w:val="20"/>
                <w:szCs w:val="20"/>
              </w:rPr>
            </w:pPr>
            <w:r w:rsidRPr="000D0D06">
              <w:rPr>
                <w:b/>
                <w:noProof/>
                <w:color w:val="000000"/>
                <w:sz w:val="20"/>
              </w:rPr>
              <w:t>2026</w:t>
            </w:r>
          </w:p>
        </w:tc>
        <w:tc>
          <w:tcPr>
            <w:tcW w:w="1001" w:type="dxa"/>
            <w:tcBorders>
              <w:top w:val="nil"/>
              <w:left w:val="nil"/>
              <w:bottom w:val="single" w:sz="8" w:space="0" w:color="auto"/>
              <w:right w:val="single" w:sz="8" w:space="0" w:color="auto"/>
            </w:tcBorders>
            <w:vAlign w:val="center"/>
            <w:hideMark/>
          </w:tcPr>
          <w:p w14:paraId="17A9B6E2" w14:textId="77777777" w:rsidR="007C050F" w:rsidRPr="000D0D06" w:rsidRDefault="007C050F" w:rsidP="007C050F">
            <w:pPr>
              <w:spacing w:before="0" w:after="0"/>
              <w:jc w:val="center"/>
              <w:rPr>
                <w:b/>
                <w:bCs/>
                <w:noProof/>
                <w:color w:val="000000"/>
                <w:sz w:val="20"/>
                <w:szCs w:val="20"/>
              </w:rPr>
            </w:pPr>
            <w:r w:rsidRPr="000D0D06">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14:paraId="64D9CB13" w14:textId="77777777" w:rsidR="007C050F" w:rsidRPr="000D0D06" w:rsidRDefault="007C050F" w:rsidP="007C050F">
            <w:pPr>
              <w:spacing w:before="0" w:after="0"/>
              <w:jc w:val="left"/>
              <w:rPr>
                <w:b/>
                <w:bCs/>
                <w:noProof/>
                <w:color w:val="000000"/>
                <w:sz w:val="20"/>
                <w:szCs w:val="20"/>
                <w:lang w:eastAsia="en-IE"/>
              </w:rPr>
            </w:pPr>
          </w:p>
        </w:tc>
      </w:tr>
      <w:tr w:rsidR="007C050F" w:rsidRPr="000D0D06" w14:paraId="6AB88061" w14:textId="77777777">
        <w:trPr>
          <w:trHeight w:val="300"/>
        </w:trPr>
        <w:tc>
          <w:tcPr>
            <w:tcW w:w="7892" w:type="dxa"/>
            <w:gridSpan w:val="4"/>
            <w:tcBorders>
              <w:top w:val="single" w:sz="8" w:space="0" w:color="auto"/>
              <w:left w:val="single" w:sz="8" w:space="0" w:color="auto"/>
              <w:bottom w:val="single" w:sz="8" w:space="0" w:color="auto"/>
              <w:right w:val="single" w:sz="8" w:space="0" w:color="auto"/>
            </w:tcBorders>
            <w:vAlign w:val="center"/>
            <w:hideMark/>
          </w:tcPr>
          <w:p w14:paraId="35BD79F4" w14:textId="77777777" w:rsidR="007C050F" w:rsidRPr="000D0D06" w:rsidRDefault="007C050F" w:rsidP="007C050F">
            <w:pPr>
              <w:spacing w:before="0" w:after="0"/>
              <w:jc w:val="left"/>
              <w:rPr>
                <w:rFonts w:ascii="Wingdings" w:hAnsi="Wingdings" w:cs="Calibri"/>
                <w:noProof/>
                <w:color w:val="000000"/>
                <w:sz w:val="22"/>
              </w:rPr>
            </w:pPr>
            <w:r w:rsidRPr="000D0D06">
              <w:rPr>
                <w:rFonts w:ascii="Wingdings" w:hAnsi="Wingdings"/>
                <w:noProof/>
                <w:color w:val="000000"/>
                <w:sz w:val="22"/>
              </w:rPr>
              <w:t></w:t>
            </w:r>
            <w:r w:rsidRPr="000D0D06">
              <w:rPr>
                <w:noProof/>
                <w:color w:val="000000"/>
                <w:sz w:val="22"/>
              </w:rPr>
              <w:t xml:space="preserve"> Recursos humanos </w:t>
            </w:r>
          </w:p>
        </w:tc>
        <w:tc>
          <w:tcPr>
            <w:tcW w:w="1001" w:type="dxa"/>
            <w:tcBorders>
              <w:top w:val="nil"/>
              <w:left w:val="nil"/>
              <w:bottom w:val="single" w:sz="8" w:space="0" w:color="auto"/>
              <w:right w:val="single" w:sz="8" w:space="0" w:color="auto"/>
            </w:tcBorders>
            <w:shd w:val="clear" w:color="000000" w:fill="D9D9D9"/>
            <w:vAlign w:val="center"/>
            <w:hideMark/>
          </w:tcPr>
          <w:p w14:paraId="40FC43E8" w14:textId="77777777" w:rsidR="007C050F" w:rsidRPr="000D0D06" w:rsidRDefault="007C050F" w:rsidP="007C050F">
            <w:pPr>
              <w:spacing w:before="0" w:after="0"/>
              <w:jc w:val="right"/>
              <w:rPr>
                <w:noProof/>
                <w:color w:val="000000"/>
                <w:sz w:val="20"/>
                <w:szCs w:val="20"/>
              </w:rPr>
            </w:pPr>
            <w:r w:rsidRPr="000D0D06">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28C5F2F3" w14:textId="77777777" w:rsidR="007C050F" w:rsidRPr="000D0D06" w:rsidRDefault="007C050F" w:rsidP="007C050F">
            <w:pPr>
              <w:spacing w:before="0" w:after="0"/>
              <w:jc w:val="right"/>
              <w:rPr>
                <w:noProof/>
                <w:color w:val="000000"/>
                <w:sz w:val="20"/>
                <w:szCs w:val="20"/>
              </w:rPr>
            </w:pPr>
            <w:r w:rsidRPr="000D0D06">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4D061BAF" w14:textId="77777777" w:rsidR="007C050F" w:rsidRPr="000D0D06" w:rsidRDefault="007C050F" w:rsidP="007C050F">
            <w:pPr>
              <w:spacing w:before="0" w:after="0"/>
              <w:jc w:val="right"/>
              <w:rPr>
                <w:noProof/>
                <w:color w:val="000000"/>
                <w:sz w:val="20"/>
                <w:szCs w:val="20"/>
              </w:rPr>
            </w:pPr>
            <w:r w:rsidRPr="000D0D06">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7E60E662" w14:textId="77777777" w:rsidR="007C050F" w:rsidRPr="000D0D06" w:rsidRDefault="007C050F" w:rsidP="007C050F">
            <w:pPr>
              <w:spacing w:before="0" w:after="0"/>
              <w:jc w:val="right"/>
              <w:rPr>
                <w:noProof/>
                <w:color w:val="000000"/>
                <w:sz w:val="20"/>
                <w:szCs w:val="20"/>
              </w:rPr>
            </w:pPr>
            <w:r w:rsidRPr="000D0D06">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14:paraId="66732753"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r>
      <w:tr w:rsidR="007C050F" w:rsidRPr="000D0D06" w14:paraId="457AD48E" w14:textId="77777777">
        <w:trPr>
          <w:trHeight w:val="300"/>
        </w:trPr>
        <w:tc>
          <w:tcPr>
            <w:tcW w:w="7892" w:type="dxa"/>
            <w:gridSpan w:val="4"/>
            <w:tcBorders>
              <w:top w:val="single" w:sz="8" w:space="0" w:color="auto"/>
              <w:left w:val="single" w:sz="8" w:space="0" w:color="auto"/>
              <w:bottom w:val="single" w:sz="8" w:space="0" w:color="auto"/>
              <w:right w:val="single" w:sz="8" w:space="0" w:color="auto"/>
            </w:tcBorders>
            <w:vAlign w:val="center"/>
            <w:hideMark/>
          </w:tcPr>
          <w:p w14:paraId="4321F24A" w14:textId="77777777" w:rsidR="007C050F" w:rsidRPr="000D0D06" w:rsidRDefault="007C050F" w:rsidP="007C050F">
            <w:pPr>
              <w:spacing w:before="0" w:after="0"/>
              <w:jc w:val="left"/>
              <w:rPr>
                <w:rFonts w:ascii="Wingdings" w:hAnsi="Wingdings" w:cs="Calibri"/>
                <w:noProof/>
                <w:color w:val="000000"/>
                <w:sz w:val="22"/>
              </w:rPr>
            </w:pPr>
            <w:r w:rsidRPr="000D0D06">
              <w:rPr>
                <w:rFonts w:ascii="Wingdings" w:hAnsi="Wingdings"/>
                <w:noProof/>
                <w:color w:val="000000"/>
                <w:sz w:val="22"/>
              </w:rPr>
              <w:t></w:t>
            </w:r>
            <w:r w:rsidRPr="000D0D06">
              <w:rPr>
                <w:noProof/>
                <w:color w:val="000000"/>
                <w:sz w:val="22"/>
              </w:rPr>
              <w:t xml:space="preserve"> Outras despesas administrativas </w:t>
            </w:r>
          </w:p>
        </w:tc>
        <w:tc>
          <w:tcPr>
            <w:tcW w:w="1001" w:type="dxa"/>
            <w:tcBorders>
              <w:top w:val="nil"/>
              <w:left w:val="nil"/>
              <w:bottom w:val="single" w:sz="8" w:space="0" w:color="auto"/>
              <w:right w:val="single" w:sz="8" w:space="0" w:color="auto"/>
            </w:tcBorders>
            <w:shd w:val="clear" w:color="000000" w:fill="D9D9D9"/>
            <w:vAlign w:val="center"/>
            <w:hideMark/>
          </w:tcPr>
          <w:p w14:paraId="0858CDB0" w14:textId="77777777" w:rsidR="007C050F" w:rsidRPr="000D0D06" w:rsidRDefault="007C050F" w:rsidP="007C050F">
            <w:pPr>
              <w:spacing w:before="0" w:after="0"/>
              <w:jc w:val="right"/>
              <w:rPr>
                <w:noProof/>
                <w:color w:val="000000"/>
                <w:sz w:val="20"/>
                <w:szCs w:val="20"/>
              </w:rPr>
            </w:pPr>
            <w:r w:rsidRPr="000D0D06">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51D79361" w14:textId="77777777" w:rsidR="007C050F" w:rsidRPr="000D0D06" w:rsidRDefault="007C050F" w:rsidP="007C050F">
            <w:pPr>
              <w:spacing w:before="0" w:after="0"/>
              <w:jc w:val="right"/>
              <w:rPr>
                <w:noProof/>
                <w:color w:val="000000"/>
                <w:sz w:val="20"/>
                <w:szCs w:val="20"/>
              </w:rPr>
            </w:pPr>
            <w:r w:rsidRPr="000D0D06">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563DE427" w14:textId="77777777" w:rsidR="007C050F" w:rsidRPr="000D0D06" w:rsidRDefault="007C050F" w:rsidP="007C050F">
            <w:pPr>
              <w:spacing w:before="0" w:after="0"/>
              <w:jc w:val="right"/>
              <w:rPr>
                <w:noProof/>
                <w:color w:val="000000"/>
                <w:sz w:val="20"/>
                <w:szCs w:val="20"/>
              </w:rPr>
            </w:pPr>
            <w:r w:rsidRPr="000D0D06">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1F6685EF" w14:textId="77777777" w:rsidR="007C050F" w:rsidRPr="000D0D06" w:rsidRDefault="007C050F" w:rsidP="007C050F">
            <w:pPr>
              <w:spacing w:before="0" w:after="0"/>
              <w:jc w:val="right"/>
              <w:rPr>
                <w:noProof/>
                <w:color w:val="000000"/>
                <w:sz w:val="20"/>
                <w:szCs w:val="20"/>
              </w:rPr>
            </w:pPr>
            <w:r w:rsidRPr="000D0D06">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14:paraId="3B2CEC87"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r>
      <w:tr w:rsidR="007C050F" w:rsidRPr="000D0D06" w14:paraId="6D81A604" w14:textId="77777777">
        <w:trPr>
          <w:trHeight w:val="300"/>
        </w:trPr>
        <w:tc>
          <w:tcPr>
            <w:tcW w:w="4405" w:type="dxa"/>
            <w:tcBorders>
              <w:top w:val="nil"/>
              <w:left w:val="single" w:sz="8" w:space="0" w:color="auto"/>
              <w:bottom w:val="single" w:sz="8" w:space="0" w:color="auto"/>
              <w:right w:val="single" w:sz="8" w:space="0" w:color="auto"/>
            </w:tcBorders>
            <w:vAlign w:val="center"/>
            <w:hideMark/>
          </w:tcPr>
          <w:p w14:paraId="14391970" w14:textId="77777777" w:rsidR="007C050F" w:rsidRPr="000D0D06" w:rsidRDefault="007C050F" w:rsidP="007C050F">
            <w:pPr>
              <w:spacing w:before="0" w:after="0"/>
              <w:jc w:val="center"/>
              <w:rPr>
                <w:b/>
                <w:bCs/>
                <w:noProof/>
                <w:color w:val="000000"/>
                <w:sz w:val="22"/>
              </w:rPr>
            </w:pPr>
            <w:r w:rsidRPr="000D0D06">
              <w:rPr>
                <w:b/>
                <w:noProof/>
                <w:color w:val="000000"/>
                <w:sz w:val="22"/>
              </w:rPr>
              <w:t>TOTAL DG</w:t>
            </w:r>
            <w:r w:rsidRPr="000D0D06">
              <w:rPr>
                <w:noProof/>
                <w:color w:val="000000"/>
                <w:sz w:val="22"/>
              </w:rPr>
              <w:t xml:space="preserve"> &lt;…….&gt;</w:t>
            </w:r>
          </w:p>
        </w:tc>
        <w:tc>
          <w:tcPr>
            <w:tcW w:w="3487" w:type="dxa"/>
            <w:gridSpan w:val="3"/>
            <w:tcBorders>
              <w:top w:val="single" w:sz="8" w:space="0" w:color="auto"/>
              <w:left w:val="nil"/>
              <w:bottom w:val="single" w:sz="8" w:space="0" w:color="auto"/>
              <w:right w:val="single" w:sz="8" w:space="0" w:color="auto"/>
            </w:tcBorders>
            <w:vAlign w:val="center"/>
            <w:hideMark/>
          </w:tcPr>
          <w:p w14:paraId="6D91ACF6" w14:textId="77777777" w:rsidR="007C050F" w:rsidRPr="000D0D06" w:rsidRDefault="007C050F" w:rsidP="007C050F">
            <w:pPr>
              <w:spacing w:before="0" w:after="0"/>
              <w:jc w:val="left"/>
              <w:rPr>
                <w:noProof/>
                <w:color w:val="000000"/>
                <w:sz w:val="18"/>
                <w:szCs w:val="18"/>
              </w:rPr>
            </w:pPr>
            <w:r w:rsidRPr="000D0D06">
              <w:rPr>
                <w:noProof/>
                <w:color w:val="000000"/>
                <w:sz w:val="18"/>
              </w:rPr>
              <w:t xml:space="preserve">Dotações </w:t>
            </w:r>
          </w:p>
        </w:tc>
        <w:tc>
          <w:tcPr>
            <w:tcW w:w="1001" w:type="dxa"/>
            <w:tcBorders>
              <w:top w:val="nil"/>
              <w:left w:val="nil"/>
              <w:bottom w:val="single" w:sz="8" w:space="0" w:color="auto"/>
              <w:right w:val="single" w:sz="8" w:space="0" w:color="auto"/>
            </w:tcBorders>
            <w:shd w:val="clear" w:color="000000" w:fill="D9D9D9"/>
            <w:vAlign w:val="center"/>
            <w:hideMark/>
          </w:tcPr>
          <w:p w14:paraId="08A539F4"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45ACFE5C"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18A6FC85"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59323FC6"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14:paraId="77C57760"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r>
      <w:tr w:rsidR="007C050F" w:rsidRPr="000D0D06" w14:paraId="3F342834" w14:textId="77777777">
        <w:trPr>
          <w:trHeight w:val="300"/>
        </w:trPr>
        <w:tc>
          <w:tcPr>
            <w:tcW w:w="4405" w:type="dxa"/>
            <w:tcBorders>
              <w:top w:val="nil"/>
              <w:left w:val="nil"/>
              <w:bottom w:val="nil"/>
              <w:right w:val="nil"/>
            </w:tcBorders>
            <w:noWrap/>
            <w:vAlign w:val="bottom"/>
            <w:hideMark/>
          </w:tcPr>
          <w:p w14:paraId="21CAE94E" w14:textId="77777777" w:rsidR="007C050F" w:rsidRPr="000D0D06" w:rsidRDefault="007C050F" w:rsidP="007C050F">
            <w:pPr>
              <w:spacing w:before="0" w:after="0"/>
              <w:jc w:val="right"/>
              <w:rPr>
                <w:b/>
                <w:bCs/>
                <w:noProof/>
                <w:color w:val="000000"/>
                <w:sz w:val="20"/>
                <w:szCs w:val="20"/>
                <w:lang w:eastAsia="en-IE"/>
              </w:rPr>
            </w:pPr>
          </w:p>
        </w:tc>
        <w:tc>
          <w:tcPr>
            <w:tcW w:w="2477" w:type="dxa"/>
            <w:tcBorders>
              <w:top w:val="nil"/>
              <w:left w:val="nil"/>
              <w:bottom w:val="nil"/>
              <w:right w:val="nil"/>
            </w:tcBorders>
            <w:noWrap/>
            <w:vAlign w:val="bottom"/>
            <w:hideMark/>
          </w:tcPr>
          <w:p w14:paraId="006526F0" w14:textId="77777777" w:rsidR="007C050F" w:rsidRPr="000D0D06" w:rsidRDefault="007C050F" w:rsidP="007C050F">
            <w:pPr>
              <w:spacing w:before="0" w:after="0"/>
              <w:jc w:val="left"/>
              <w:rPr>
                <w:noProof/>
                <w:sz w:val="20"/>
                <w:szCs w:val="20"/>
                <w:lang w:eastAsia="en-IE"/>
              </w:rPr>
            </w:pPr>
          </w:p>
        </w:tc>
        <w:tc>
          <w:tcPr>
            <w:tcW w:w="505" w:type="dxa"/>
            <w:tcBorders>
              <w:top w:val="nil"/>
              <w:left w:val="nil"/>
              <w:bottom w:val="nil"/>
              <w:right w:val="nil"/>
            </w:tcBorders>
            <w:noWrap/>
            <w:vAlign w:val="bottom"/>
            <w:hideMark/>
          </w:tcPr>
          <w:p w14:paraId="4393713F" w14:textId="77777777" w:rsidR="007C050F" w:rsidRPr="000D0D06" w:rsidRDefault="007C050F" w:rsidP="007C050F">
            <w:pPr>
              <w:spacing w:before="0" w:after="0"/>
              <w:jc w:val="left"/>
              <w:rPr>
                <w:noProof/>
                <w:sz w:val="20"/>
                <w:szCs w:val="20"/>
                <w:lang w:eastAsia="en-IE"/>
              </w:rPr>
            </w:pPr>
          </w:p>
        </w:tc>
        <w:tc>
          <w:tcPr>
            <w:tcW w:w="505" w:type="dxa"/>
            <w:tcBorders>
              <w:top w:val="nil"/>
              <w:left w:val="nil"/>
              <w:bottom w:val="nil"/>
              <w:right w:val="nil"/>
            </w:tcBorders>
            <w:noWrap/>
            <w:vAlign w:val="bottom"/>
            <w:hideMark/>
          </w:tcPr>
          <w:p w14:paraId="0A6C503D" w14:textId="77777777" w:rsidR="007C050F" w:rsidRPr="000D0D06" w:rsidRDefault="007C050F" w:rsidP="007C050F">
            <w:pPr>
              <w:spacing w:before="0" w:after="0"/>
              <w:jc w:val="left"/>
              <w:rPr>
                <w:noProof/>
                <w:sz w:val="20"/>
                <w:szCs w:val="20"/>
                <w:lang w:eastAsia="en-IE"/>
              </w:rPr>
            </w:pPr>
          </w:p>
        </w:tc>
        <w:tc>
          <w:tcPr>
            <w:tcW w:w="1001" w:type="dxa"/>
            <w:tcBorders>
              <w:top w:val="nil"/>
              <w:left w:val="nil"/>
              <w:bottom w:val="nil"/>
              <w:right w:val="nil"/>
            </w:tcBorders>
            <w:noWrap/>
            <w:vAlign w:val="bottom"/>
            <w:hideMark/>
          </w:tcPr>
          <w:p w14:paraId="784EE78F" w14:textId="77777777" w:rsidR="007C050F" w:rsidRPr="000D0D06" w:rsidRDefault="007C050F" w:rsidP="007C050F">
            <w:pPr>
              <w:spacing w:before="0" w:after="0"/>
              <w:jc w:val="left"/>
              <w:rPr>
                <w:noProof/>
                <w:sz w:val="20"/>
                <w:szCs w:val="20"/>
                <w:lang w:eastAsia="en-IE"/>
              </w:rPr>
            </w:pPr>
          </w:p>
        </w:tc>
        <w:tc>
          <w:tcPr>
            <w:tcW w:w="1001" w:type="dxa"/>
            <w:tcBorders>
              <w:top w:val="nil"/>
              <w:left w:val="nil"/>
              <w:bottom w:val="nil"/>
              <w:right w:val="nil"/>
            </w:tcBorders>
            <w:noWrap/>
            <w:vAlign w:val="bottom"/>
            <w:hideMark/>
          </w:tcPr>
          <w:p w14:paraId="06164A05" w14:textId="77777777" w:rsidR="007C050F" w:rsidRPr="000D0D06" w:rsidRDefault="007C050F" w:rsidP="007C050F">
            <w:pPr>
              <w:spacing w:before="0" w:after="0"/>
              <w:jc w:val="left"/>
              <w:rPr>
                <w:noProof/>
                <w:sz w:val="20"/>
                <w:szCs w:val="20"/>
                <w:lang w:eastAsia="en-IE"/>
              </w:rPr>
            </w:pPr>
          </w:p>
        </w:tc>
        <w:tc>
          <w:tcPr>
            <w:tcW w:w="1001" w:type="dxa"/>
            <w:tcBorders>
              <w:top w:val="nil"/>
              <w:left w:val="nil"/>
              <w:bottom w:val="nil"/>
              <w:right w:val="nil"/>
            </w:tcBorders>
            <w:noWrap/>
            <w:vAlign w:val="bottom"/>
            <w:hideMark/>
          </w:tcPr>
          <w:p w14:paraId="2022590A" w14:textId="77777777" w:rsidR="007C050F" w:rsidRPr="000D0D06" w:rsidRDefault="007C050F" w:rsidP="007C050F">
            <w:pPr>
              <w:spacing w:before="0" w:after="0"/>
              <w:jc w:val="left"/>
              <w:rPr>
                <w:noProof/>
                <w:sz w:val="20"/>
                <w:szCs w:val="20"/>
                <w:lang w:eastAsia="en-IE"/>
              </w:rPr>
            </w:pPr>
          </w:p>
        </w:tc>
        <w:tc>
          <w:tcPr>
            <w:tcW w:w="1001" w:type="dxa"/>
            <w:tcBorders>
              <w:top w:val="nil"/>
              <w:left w:val="nil"/>
              <w:bottom w:val="nil"/>
              <w:right w:val="nil"/>
            </w:tcBorders>
            <w:noWrap/>
            <w:vAlign w:val="bottom"/>
            <w:hideMark/>
          </w:tcPr>
          <w:p w14:paraId="60BEA973" w14:textId="77777777" w:rsidR="007C050F" w:rsidRPr="000D0D06" w:rsidRDefault="007C050F" w:rsidP="007C050F">
            <w:pPr>
              <w:spacing w:before="0" w:after="0"/>
              <w:jc w:val="left"/>
              <w:rPr>
                <w:noProof/>
                <w:sz w:val="20"/>
                <w:szCs w:val="20"/>
                <w:lang w:eastAsia="en-IE"/>
              </w:rPr>
            </w:pPr>
          </w:p>
        </w:tc>
        <w:tc>
          <w:tcPr>
            <w:tcW w:w="1244" w:type="dxa"/>
            <w:tcBorders>
              <w:top w:val="nil"/>
              <w:left w:val="nil"/>
              <w:bottom w:val="nil"/>
              <w:right w:val="nil"/>
            </w:tcBorders>
            <w:noWrap/>
            <w:vAlign w:val="bottom"/>
            <w:hideMark/>
          </w:tcPr>
          <w:p w14:paraId="0D77924C" w14:textId="77777777" w:rsidR="007C050F" w:rsidRPr="000D0D06" w:rsidRDefault="007C050F" w:rsidP="007C050F">
            <w:pPr>
              <w:spacing w:before="0" w:after="0"/>
              <w:jc w:val="left"/>
              <w:rPr>
                <w:noProof/>
                <w:sz w:val="20"/>
                <w:szCs w:val="20"/>
                <w:lang w:eastAsia="en-IE"/>
              </w:rPr>
            </w:pPr>
          </w:p>
        </w:tc>
      </w:tr>
      <w:tr w:rsidR="007C050F" w:rsidRPr="000D0D06" w14:paraId="657E416C" w14:textId="77777777">
        <w:trPr>
          <w:trHeight w:val="900"/>
        </w:trPr>
        <w:tc>
          <w:tcPr>
            <w:tcW w:w="6882" w:type="dxa"/>
            <w:gridSpan w:val="2"/>
            <w:tcBorders>
              <w:top w:val="single" w:sz="8" w:space="0" w:color="auto"/>
              <w:left w:val="single" w:sz="8" w:space="0" w:color="auto"/>
              <w:bottom w:val="single" w:sz="8" w:space="0" w:color="auto"/>
              <w:right w:val="single" w:sz="8" w:space="0" w:color="auto"/>
            </w:tcBorders>
            <w:shd w:val="thinDiagStripe" w:color="C0C0C0" w:fill="F1F1F1"/>
            <w:vAlign w:val="center"/>
            <w:hideMark/>
          </w:tcPr>
          <w:p w14:paraId="4EF72E61" w14:textId="77777777" w:rsidR="007C050F" w:rsidRPr="000D0D06" w:rsidRDefault="007C050F" w:rsidP="007C050F">
            <w:pPr>
              <w:spacing w:before="0" w:after="0"/>
              <w:jc w:val="center"/>
              <w:rPr>
                <w:b/>
                <w:bCs/>
                <w:noProof/>
                <w:color w:val="000000"/>
                <w:sz w:val="22"/>
              </w:rPr>
            </w:pPr>
            <w:r w:rsidRPr="000D0D06">
              <w:rPr>
                <w:b/>
                <w:noProof/>
                <w:color w:val="000000"/>
                <w:sz w:val="22"/>
              </w:rPr>
              <w:t xml:space="preserve">TOTAL das dotações da RUBRICA 7 do quadro financeiro plurianual </w:t>
            </w:r>
          </w:p>
        </w:tc>
        <w:tc>
          <w:tcPr>
            <w:tcW w:w="1010" w:type="dxa"/>
            <w:gridSpan w:val="2"/>
            <w:tcBorders>
              <w:top w:val="single" w:sz="8" w:space="0" w:color="auto"/>
              <w:left w:val="nil"/>
              <w:bottom w:val="single" w:sz="8" w:space="0" w:color="auto"/>
              <w:right w:val="single" w:sz="8" w:space="0" w:color="auto"/>
            </w:tcBorders>
            <w:vAlign w:val="center"/>
            <w:hideMark/>
          </w:tcPr>
          <w:p w14:paraId="7BBB10C2" w14:textId="77777777" w:rsidR="007C050F" w:rsidRPr="000D0D06" w:rsidRDefault="007C050F" w:rsidP="007C050F">
            <w:pPr>
              <w:spacing w:before="0" w:after="0"/>
              <w:jc w:val="center"/>
              <w:rPr>
                <w:noProof/>
                <w:color w:val="000000"/>
                <w:sz w:val="18"/>
                <w:szCs w:val="18"/>
              </w:rPr>
            </w:pPr>
            <w:r w:rsidRPr="000D0D06">
              <w:rPr>
                <w:noProof/>
                <w:color w:val="000000"/>
                <w:sz w:val="18"/>
              </w:rPr>
              <w:t>(Total das autorizações = total dos pagamentos)</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14:paraId="527ED44B"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14:paraId="66A317C9"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14:paraId="19D4725B"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14:paraId="0633DBF6"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c>
          <w:tcPr>
            <w:tcW w:w="1244" w:type="dxa"/>
            <w:tcBorders>
              <w:top w:val="single" w:sz="8" w:space="0" w:color="auto"/>
              <w:left w:val="nil"/>
              <w:bottom w:val="single" w:sz="8" w:space="0" w:color="auto"/>
              <w:right w:val="single" w:sz="8" w:space="0" w:color="auto"/>
            </w:tcBorders>
            <w:shd w:val="clear" w:color="000000" w:fill="D9D9D9"/>
            <w:vAlign w:val="center"/>
            <w:hideMark/>
          </w:tcPr>
          <w:p w14:paraId="0E8A2A1D" w14:textId="77777777" w:rsidR="007C050F" w:rsidRPr="000D0D06" w:rsidRDefault="007C050F" w:rsidP="007C050F">
            <w:pPr>
              <w:spacing w:before="0" w:after="0"/>
              <w:jc w:val="right"/>
              <w:rPr>
                <w:b/>
                <w:bCs/>
                <w:noProof/>
                <w:color w:val="000000"/>
                <w:sz w:val="20"/>
                <w:szCs w:val="20"/>
              </w:rPr>
            </w:pPr>
            <w:r w:rsidRPr="000D0D06">
              <w:rPr>
                <w:b/>
                <w:noProof/>
                <w:color w:val="000000"/>
                <w:sz w:val="20"/>
              </w:rPr>
              <w:t>0,000</w:t>
            </w:r>
          </w:p>
        </w:tc>
      </w:tr>
    </w:tbl>
    <w:p w14:paraId="37A0B07D" w14:textId="77777777" w:rsidR="007C050F" w:rsidRPr="000D0D06" w:rsidRDefault="007C050F" w:rsidP="007C050F">
      <w:pPr>
        <w:jc w:val="right"/>
        <w:rPr>
          <w:noProof/>
          <w:sz w:val="20"/>
        </w:rPr>
      </w:pPr>
      <w:r w:rsidRPr="000D0D06">
        <w:rPr>
          <w:noProof/>
          <w:sz w:val="20"/>
        </w:rPr>
        <w:t>Em milhões de EUR (três casas decimais)</w:t>
      </w:r>
    </w:p>
    <w:tbl>
      <w:tblPr>
        <w:tblW w:w="13140" w:type="dxa"/>
        <w:tblInd w:w="118" w:type="dxa"/>
        <w:tblLook w:val="04A0" w:firstRow="1" w:lastRow="0" w:firstColumn="1" w:lastColumn="0" w:noHBand="0" w:noVBand="1"/>
      </w:tblPr>
      <w:tblGrid>
        <w:gridCol w:w="5180"/>
        <w:gridCol w:w="1920"/>
        <w:gridCol w:w="1160"/>
        <w:gridCol w:w="1160"/>
        <w:gridCol w:w="1160"/>
        <w:gridCol w:w="1160"/>
        <w:gridCol w:w="1400"/>
      </w:tblGrid>
      <w:tr w:rsidR="007C050F" w:rsidRPr="000D0D06" w14:paraId="2FED620F" w14:textId="77777777">
        <w:trPr>
          <w:trHeight w:val="288"/>
        </w:trPr>
        <w:tc>
          <w:tcPr>
            <w:tcW w:w="7100" w:type="dxa"/>
            <w:gridSpan w:val="2"/>
            <w:vMerge w:val="restart"/>
            <w:tcBorders>
              <w:top w:val="single" w:sz="8" w:space="0" w:color="auto"/>
              <w:left w:val="single" w:sz="8" w:space="0" w:color="auto"/>
              <w:bottom w:val="single" w:sz="8" w:space="0" w:color="auto"/>
              <w:right w:val="single" w:sz="8" w:space="0" w:color="auto"/>
            </w:tcBorders>
            <w:vAlign w:val="center"/>
            <w:hideMark/>
          </w:tcPr>
          <w:p w14:paraId="2A9F8699" w14:textId="77777777" w:rsidR="007C050F" w:rsidRPr="000D0D06" w:rsidRDefault="007C050F" w:rsidP="007C050F">
            <w:pPr>
              <w:spacing w:before="0" w:after="0"/>
              <w:jc w:val="center"/>
              <w:rPr>
                <w:noProof/>
                <w:color w:val="000000"/>
                <w:szCs w:val="24"/>
              </w:rPr>
            </w:pPr>
            <w:r w:rsidRPr="000D0D06">
              <w:rPr>
                <w:noProof/>
                <w:color w:val="000000"/>
              </w:rPr>
              <w:t xml:space="preserve"> </w:t>
            </w:r>
          </w:p>
        </w:tc>
        <w:tc>
          <w:tcPr>
            <w:tcW w:w="1160" w:type="dxa"/>
            <w:tcBorders>
              <w:top w:val="single" w:sz="8" w:space="0" w:color="auto"/>
              <w:left w:val="nil"/>
              <w:bottom w:val="nil"/>
              <w:right w:val="single" w:sz="8" w:space="0" w:color="auto"/>
            </w:tcBorders>
            <w:vAlign w:val="center"/>
            <w:hideMark/>
          </w:tcPr>
          <w:p w14:paraId="44FB7798" w14:textId="77777777" w:rsidR="007C050F" w:rsidRPr="000D0D06" w:rsidRDefault="007C050F" w:rsidP="007C050F">
            <w:pPr>
              <w:spacing w:before="0" w:after="0"/>
              <w:jc w:val="center"/>
              <w:rPr>
                <w:noProof/>
                <w:color w:val="000000"/>
                <w:sz w:val="20"/>
                <w:szCs w:val="20"/>
              </w:rPr>
            </w:pPr>
            <w:r w:rsidRPr="000D0D06">
              <w:rPr>
                <w:noProof/>
                <w:color w:val="000000"/>
                <w:sz w:val="20"/>
              </w:rPr>
              <w:t>Ano</w:t>
            </w:r>
          </w:p>
        </w:tc>
        <w:tc>
          <w:tcPr>
            <w:tcW w:w="1160" w:type="dxa"/>
            <w:tcBorders>
              <w:top w:val="single" w:sz="8" w:space="0" w:color="auto"/>
              <w:left w:val="nil"/>
              <w:bottom w:val="nil"/>
              <w:right w:val="single" w:sz="8" w:space="0" w:color="auto"/>
            </w:tcBorders>
            <w:vAlign w:val="center"/>
            <w:hideMark/>
          </w:tcPr>
          <w:p w14:paraId="7E27DE27" w14:textId="77777777" w:rsidR="007C050F" w:rsidRPr="000D0D06" w:rsidRDefault="007C050F" w:rsidP="007C050F">
            <w:pPr>
              <w:spacing w:before="0" w:after="0"/>
              <w:jc w:val="center"/>
              <w:rPr>
                <w:noProof/>
                <w:color w:val="000000"/>
                <w:sz w:val="20"/>
                <w:szCs w:val="20"/>
              </w:rPr>
            </w:pPr>
            <w:r w:rsidRPr="000D0D06">
              <w:rPr>
                <w:noProof/>
                <w:color w:val="000000"/>
                <w:sz w:val="20"/>
              </w:rPr>
              <w:t>Ano</w:t>
            </w:r>
          </w:p>
        </w:tc>
        <w:tc>
          <w:tcPr>
            <w:tcW w:w="1160" w:type="dxa"/>
            <w:tcBorders>
              <w:top w:val="single" w:sz="8" w:space="0" w:color="auto"/>
              <w:left w:val="nil"/>
              <w:bottom w:val="nil"/>
              <w:right w:val="single" w:sz="8" w:space="0" w:color="auto"/>
            </w:tcBorders>
            <w:vAlign w:val="center"/>
            <w:hideMark/>
          </w:tcPr>
          <w:p w14:paraId="5A827980" w14:textId="77777777" w:rsidR="007C050F" w:rsidRPr="000D0D06" w:rsidRDefault="007C050F" w:rsidP="007C050F">
            <w:pPr>
              <w:spacing w:before="0" w:after="0"/>
              <w:jc w:val="center"/>
              <w:rPr>
                <w:noProof/>
                <w:color w:val="000000"/>
                <w:sz w:val="20"/>
                <w:szCs w:val="20"/>
              </w:rPr>
            </w:pPr>
            <w:r w:rsidRPr="000D0D06">
              <w:rPr>
                <w:noProof/>
                <w:color w:val="000000"/>
                <w:sz w:val="20"/>
              </w:rPr>
              <w:t>Ano</w:t>
            </w:r>
          </w:p>
        </w:tc>
        <w:tc>
          <w:tcPr>
            <w:tcW w:w="1160" w:type="dxa"/>
            <w:tcBorders>
              <w:top w:val="single" w:sz="8" w:space="0" w:color="auto"/>
              <w:left w:val="nil"/>
              <w:bottom w:val="nil"/>
              <w:right w:val="single" w:sz="8" w:space="0" w:color="auto"/>
            </w:tcBorders>
            <w:vAlign w:val="center"/>
            <w:hideMark/>
          </w:tcPr>
          <w:p w14:paraId="5A7BFCBD" w14:textId="77777777" w:rsidR="007C050F" w:rsidRPr="000D0D06" w:rsidRDefault="007C050F" w:rsidP="007C050F">
            <w:pPr>
              <w:spacing w:before="0" w:after="0"/>
              <w:jc w:val="center"/>
              <w:rPr>
                <w:noProof/>
                <w:color w:val="000000"/>
                <w:sz w:val="20"/>
                <w:szCs w:val="20"/>
              </w:rPr>
            </w:pPr>
            <w:r w:rsidRPr="000D0D06">
              <w:rPr>
                <w:noProof/>
                <w:color w:val="000000"/>
                <w:sz w:val="20"/>
              </w:rPr>
              <w:t>Ano</w:t>
            </w:r>
          </w:p>
        </w:tc>
        <w:tc>
          <w:tcPr>
            <w:tcW w:w="1400" w:type="dxa"/>
            <w:vMerge w:val="restart"/>
            <w:tcBorders>
              <w:top w:val="single" w:sz="8" w:space="0" w:color="auto"/>
              <w:left w:val="single" w:sz="8" w:space="0" w:color="auto"/>
              <w:bottom w:val="single" w:sz="8" w:space="0" w:color="000000"/>
              <w:right w:val="single" w:sz="8" w:space="0" w:color="auto"/>
            </w:tcBorders>
            <w:vAlign w:val="center"/>
            <w:hideMark/>
          </w:tcPr>
          <w:p w14:paraId="619BC54F" w14:textId="77777777" w:rsidR="007C050F" w:rsidRPr="000D0D06" w:rsidRDefault="007C050F" w:rsidP="007C050F">
            <w:pPr>
              <w:spacing w:before="0" w:after="0"/>
              <w:jc w:val="center"/>
              <w:rPr>
                <w:b/>
                <w:bCs/>
                <w:noProof/>
                <w:color w:val="000000"/>
                <w:sz w:val="20"/>
                <w:szCs w:val="20"/>
              </w:rPr>
            </w:pPr>
            <w:r w:rsidRPr="000D0D06">
              <w:rPr>
                <w:b/>
                <w:noProof/>
                <w:color w:val="000000"/>
                <w:sz w:val="20"/>
              </w:rPr>
              <w:t>TOTAL QFP 2021-2027</w:t>
            </w:r>
          </w:p>
        </w:tc>
      </w:tr>
      <w:tr w:rsidR="007C050F" w:rsidRPr="000D0D06" w14:paraId="1F334C5B" w14:textId="77777777">
        <w:trPr>
          <w:trHeight w:val="300"/>
        </w:trPr>
        <w:tc>
          <w:tcPr>
            <w:tcW w:w="7100" w:type="dxa"/>
            <w:gridSpan w:val="2"/>
            <w:vMerge/>
            <w:tcBorders>
              <w:top w:val="single" w:sz="8" w:space="0" w:color="auto"/>
              <w:left w:val="single" w:sz="8" w:space="0" w:color="auto"/>
              <w:bottom w:val="single" w:sz="8" w:space="0" w:color="auto"/>
              <w:right w:val="single" w:sz="8" w:space="0" w:color="auto"/>
            </w:tcBorders>
            <w:vAlign w:val="center"/>
            <w:hideMark/>
          </w:tcPr>
          <w:p w14:paraId="40D7A4AD" w14:textId="77777777" w:rsidR="007C050F" w:rsidRPr="000D0D06" w:rsidRDefault="007C050F" w:rsidP="007C050F">
            <w:pPr>
              <w:spacing w:before="0" w:after="0"/>
              <w:jc w:val="left"/>
              <w:rPr>
                <w:noProof/>
                <w:color w:val="000000"/>
                <w:szCs w:val="24"/>
                <w:lang w:eastAsia="en-IE"/>
              </w:rPr>
            </w:pPr>
          </w:p>
        </w:tc>
        <w:tc>
          <w:tcPr>
            <w:tcW w:w="1160" w:type="dxa"/>
            <w:tcBorders>
              <w:top w:val="nil"/>
              <w:left w:val="nil"/>
              <w:bottom w:val="single" w:sz="8" w:space="0" w:color="auto"/>
              <w:right w:val="single" w:sz="8" w:space="0" w:color="auto"/>
            </w:tcBorders>
            <w:vAlign w:val="center"/>
            <w:hideMark/>
          </w:tcPr>
          <w:p w14:paraId="2BD568C6" w14:textId="77777777" w:rsidR="007C050F" w:rsidRPr="000D0D06" w:rsidRDefault="007C050F" w:rsidP="007C050F">
            <w:pPr>
              <w:spacing w:before="0" w:after="0"/>
              <w:jc w:val="center"/>
              <w:rPr>
                <w:b/>
                <w:bCs/>
                <w:noProof/>
                <w:color w:val="000000"/>
                <w:sz w:val="20"/>
                <w:szCs w:val="20"/>
              </w:rPr>
            </w:pPr>
            <w:r w:rsidRPr="000D0D06">
              <w:rPr>
                <w:b/>
                <w:noProof/>
                <w:color w:val="000000"/>
                <w:sz w:val="20"/>
              </w:rPr>
              <w:t>2024</w:t>
            </w:r>
          </w:p>
        </w:tc>
        <w:tc>
          <w:tcPr>
            <w:tcW w:w="1160" w:type="dxa"/>
            <w:tcBorders>
              <w:top w:val="nil"/>
              <w:left w:val="nil"/>
              <w:bottom w:val="single" w:sz="8" w:space="0" w:color="auto"/>
              <w:right w:val="single" w:sz="8" w:space="0" w:color="auto"/>
            </w:tcBorders>
            <w:vAlign w:val="center"/>
            <w:hideMark/>
          </w:tcPr>
          <w:p w14:paraId="35214B4C" w14:textId="77777777" w:rsidR="007C050F" w:rsidRPr="000D0D06" w:rsidRDefault="007C050F" w:rsidP="007C050F">
            <w:pPr>
              <w:spacing w:before="0" w:after="0"/>
              <w:jc w:val="center"/>
              <w:rPr>
                <w:b/>
                <w:bCs/>
                <w:noProof/>
                <w:color w:val="000000"/>
                <w:sz w:val="20"/>
                <w:szCs w:val="20"/>
              </w:rPr>
            </w:pPr>
            <w:r w:rsidRPr="000D0D06">
              <w:rPr>
                <w:b/>
                <w:noProof/>
                <w:color w:val="000000"/>
                <w:sz w:val="20"/>
              </w:rPr>
              <w:t>2025</w:t>
            </w:r>
          </w:p>
        </w:tc>
        <w:tc>
          <w:tcPr>
            <w:tcW w:w="1160" w:type="dxa"/>
            <w:tcBorders>
              <w:top w:val="nil"/>
              <w:left w:val="nil"/>
              <w:bottom w:val="single" w:sz="8" w:space="0" w:color="auto"/>
              <w:right w:val="single" w:sz="8" w:space="0" w:color="auto"/>
            </w:tcBorders>
            <w:vAlign w:val="center"/>
            <w:hideMark/>
          </w:tcPr>
          <w:p w14:paraId="59527481" w14:textId="77777777" w:rsidR="007C050F" w:rsidRPr="000D0D06" w:rsidRDefault="007C050F" w:rsidP="007C050F">
            <w:pPr>
              <w:spacing w:before="0" w:after="0"/>
              <w:jc w:val="center"/>
              <w:rPr>
                <w:b/>
                <w:bCs/>
                <w:noProof/>
                <w:color w:val="000000"/>
                <w:sz w:val="20"/>
                <w:szCs w:val="20"/>
              </w:rPr>
            </w:pPr>
            <w:r w:rsidRPr="000D0D06">
              <w:rPr>
                <w:b/>
                <w:noProof/>
                <w:color w:val="000000"/>
                <w:sz w:val="20"/>
              </w:rPr>
              <w:t>2026</w:t>
            </w:r>
          </w:p>
        </w:tc>
        <w:tc>
          <w:tcPr>
            <w:tcW w:w="1160" w:type="dxa"/>
            <w:tcBorders>
              <w:top w:val="nil"/>
              <w:left w:val="nil"/>
              <w:bottom w:val="single" w:sz="8" w:space="0" w:color="auto"/>
              <w:right w:val="single" w:sz="8" w:space="0" w:color="auto"/>
            </w:tcBorders>
            <w:vAlign w:val="center"/>
            <w:hideMark/>
          </w:tcPr>
          <w:p w14:paraId="4B4C6728" w14:textId="77777777" w:rsidR="007C050F" w:rsidRPr="000D0D06" w:rsidRDefault="007C050F" w:rsidP="007C050F">
            <w:pPr>
              <w:spacing w:before="0" w:after="0"/>
              <w:jc w:val="center"/>
              <w:rPr>
                <w:b/>
                <w:bCs/>
                <w:noProof/>
                <w:color w:val="000000"/>
                <w:sz w:val="20"/>
                <w:szCs w:val="20"/>
              </w:rPr>
            </w:pPr>
            <w:r w:rsidRPr="000D0D06">
              <w:rPr>
                <w:b/>
                <w:noProof/>
                <w:color w:val="000000"/>
                <w:sz w:val="20"/>
              </w:rPr>
              <w:t>2027</w:t>
            </w:r>
          </w:p>
        </w:tc>
        <w:tc>
          <w:tcPr>
            <w:tcW w:w="1400" w:type="dxa"/>
            <w:vMerge/>
            <w:tcBorders>
              <w:top w:val="single" w:sz="8" w:space="0" w:color="auto"/>
              <w:left w:val="single" w:sz="8" w:space="0" w:color="auto"/>
              <w:bottom w:val="single" w:sz="8" w:space="0" w:color="000000"/>
              <w:right w:val="single" w:sz="8" w:space="0" w:color="auto"/>
            </w:tcBorders>
            <w:vAlign w:val="center"/>
            <w:hideMark/>
          </w:tcPr>
          <w:p w14:paraId="4D1E51C2" w14:textId="77777777" w:rsidR="007C050F" w:rsidRPr="000D0D06" w:rsidRDefault="007C050F" w:rsidP="007C050F">
            <w:pPr>
              <w:spacing w:before="0" w:after="0"/>
              <w:jc w:val="left"/>
              <w:rPr>
                <w:b/>
                <w:bCs/>
                <w:noProof/>
                <w:color w:val="000000"/>
                <w:sz w:val="20"/>
                <w:szCs w:val="20"/>
                <w:lang w:eastAsia="en-IE"/>
              </w:rPr>
            </w:pPr>
          </w:p>
        </w:tc>
      </w:tr>
      <w:tr w:rsidR="007C050F" w:rsidRPr="000D0D06" w14:paraId="4CB4D4B6" w14:textId="77777777">
        <w:trPr>
          <w:trHeight w:val="564"/>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14:paraId="0E050079" w14:textId="77777777" w:rsidR="007C050F" w:rsidRPr="000D0D06" w:rsidRDefault="007C050F" w:rsidP="007C050F">
            <w:pPr>
              <w:spacing w:before="0" w:after="0"/>
              <w:jc w:val="center"/>
              <w:rPr>
                <w:b/>
                <w:bCs/>
                <w:noProof/>
                <w:color w:val="000000"/>
                <w:sz w:val="22"/>
              </w:rPr>
            </w:pPr>
            <w:r w:rsidRPr="000D0D06">
              <w:rPr>
                <w:b/>
                <w:noProof/>
                <w:color w:val="000000"/>
                <w:sz w:val="22"/>
              </w:rPr>
              <w:t>TOTAL das dotações das RUBRICAS 1 a 7</w:t>
            </w:r>
          </w:p>
        </w:tc>
        <w:tc>
          <w:tcPr>
            <w:tcW w:w="1920" w:type="dxa"/>
            <w:tcBorders>
              <w:top w:val="single" w:sz="8" w:space="0" w:color="auto"/>
              <w:left w:val="nil"/>
              <w:bottom w:val="single" w:sz="8" w:space="0" w:color="auto"/>
              <w:right w:val="single" w:sz="8" w:space="0" w:color="auto"/>
            </w:tcBorders>
            <w:vAlign w:val="center"/>
            <w:hideMark/>
          </w:tcPr>
          <w:p w14:paraId="70EFEB62" w14:textId="77777777" w:rsidR="007C050F" w:rsidRPr="000D0D06" w:rsidRDefault="007C050F" w:rsidP="007C050F">
            <w:pPr>
              <w:spacing w:before="0" w:after="0"/>
              <w:rPr>
                <w:noProof/>
                <w:color w:val="000000"/>
                <w:sz w:val="18"/>
                <w:szCs w:val="18"/>
              </w:rPr>
            </w:pPr>
            <w:r w:rsidRPr="000D0D06">
              <w:rPr>
                <w:noProof/>
                <w:color w:val="000000"/>
                <w:sz w:val="18"/>
              </w:rPr>
              <w:t>Autorizações</w:t>
            </w:r>
          </w:p>
        </w:tc>
        <w:tc>
          <w:tcPr>
            <w:tcW w:w="1160" w:type="dxa"/>
            <w:tcBorders>
              <w:top w:val="nil"/>
              <w:left w:val="nil"/>
              <w:bottom w:val="single" w:sz="8" w:space="0" w:color="auto"/>
              <w:right w:val="single" w:sz="8" w:space="0" w:color="auto"/>
            </w:tcBorders>
            <w:shd w:val="clear" w:color="000000" w:fill="D9D9D9"/>
            <w:vAlign w:val="center"/>
            <w:hideMark/>
          </w:tcPr>
          <w:p w14:paraId="3F260F1B" w14:textId="77777777" w:rsidR="007C050F" w:rsidRPr="000D0D06" w:rsidRDefault="007C050F" w:rsidP="007C050F">
            <w:pPr>
              <w:spacing w:before="0" w:after="0"/>
              <w:jc w:val="right"/>
              <w:rPr>
                <w:b/>
                <w:bCs/>
                <w:noProof/>
                <w:color w:val="000000"/>
                <w:szCs w:val="24"/>
              </w:rPr>
            </w:pPr>
            <w:r w:rsidRPr="000D0D06">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14:paraId="321E4611" w14:textId="77777777" w:rsidR="007C050F" w:rsidRPr="000D0D06" w:rsidRDefault="007C050F" w:rsidP="007C050F">
            <w:pPr>
              <w:spacing w:before="0" w:after="0"/>
              <w:jc w:val="right"/>
              <w:rPr>
                <w:b/>
                <w:bCs/>
                <w:noProof/>
                <w:color w:val="000000"/>
                <w:szCs w:val="24"/>
              </w:rPr>
            </w:pPr>
            <w:r w:rsidRPr="000D0D06">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14:paraId="4E72CA0C" w14:textId="77777777" w:rsidR="007C050F" w:rsidRPr="000D0D06" w:rsidRDefault="007C050F" w:rsidP="007C050F">
            <w:pPr>
              <w:spacing w:before="0" w:after="0"/>
              <w:jc w:val="right"/>
              <w:rPr>
                <w:b/>
                <w:bCs/>
                <w:noProof/>
                <w:color w:val="000000"/>
                <w:szCs w:val="24"/>
              </w:rPr>
            </w:pPr>
            <w:r w:rsidRPr="000D0D06">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14:paraId="24BE2054" w14:textId="77777777" w:rsidR="007C050F" w:rsidRPr="000D0D06" w:rsidRDefault="007C050F" w:rsidP="007C050F">
            <w:pPr>
              <w:spacing w:before="0" w:after="0"/>
              <w:jc w:val="right"/>
              <w:rPr>
                <w:b/>
                <w:bCs/>
                <w:noProof/>
                <w:color w:val="000000"/>
                <w:szCs w:val="24"/>
              </w:rPr>
            </w:pPr>
            <w:r w:rsidRPr="000D0D06">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14:paraId="2CEAF48F" w14:textId="77777777" w:rsidR="007C050F" w:rsidRPr="000D0D06" w:rsidRDefault="007C050F" w:rsidP="007C050F">
            <w:pPr>
              <w:spacing w:before="0" w:after="0"/>
              <w:jc w:val="right"/>
              <w:rPr>
                <w:b/>
                <w:bCs/>
                <w:noProof/>
                <w:color w:val="000000"/>
                <w:szCs w:val="24"/>
              </w:rPr>
            </w:pPr>
            <w:r w:rsidRPr="000D0D06">
              <w:rPr>
                <w:b/>
                <w:noProof/>
                <w:color w:val="000000"/>
              </w:rPr>
              <w:t>0,000</w:t>
            </w:r>
          </w:p>
        </w:tc>
      </w:tr>
      <w:tr w:rsidR="007C050F" w:rsidRPr="000D0D06" w14:paraId="723B04BB" w14:textId="77777777">
        <w:trPr>
          <w:trHeight w:val="540"/>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14:paraId="50511DE3" w14:textId="77777777" w:rsidR="007C050F" w:rsidRPr="000D0D06" w:rsidRDefault="007C050F" w:rsidP="007C050F">
            <w:pPr>
              <w:spacing w:before="0" w:after="0"/>
              <w:jc w:val="center"/>
              <w:rPr>
                <w:noProof/>
                <w:color w:val="000000"/>
                <w:sz w:val="22"/>
              </w:rPr>
            </w:pPr>
            <w:r w:rsidRPr="000D0D06">
              <w:rPr>
                <w:noProof/>
                <w:color w:val="000000"/>
                <w:sz w:val="22"/>
              </w:rPr>
              <w:t>do quadro financeiro plurianual</w:t>
            </w:r>
            <w:r w:rsidRPr="000D0D06">
              <w:rPr>
                <w:b/>
                <w:noProof/>
                <w:color w:val="000000"/>
                <w:sz w:val="22"/>
              </w:rPr>
              <w:t xml:space="preserve"> </w:t>
            </w:r>
          </w:p>
        </w:tc>
        <w:tc>
          <w:tcPr>
            <w:tcW w:w="1920" w:type="dxa"/>
            <w:tcBorders>
              <w:top w:val="single" w:sz="8" w:space="0" w:color="auto"/>
              <w:left w:val="nil"/>
              <w:bottom w:val="single" w:sz="8" w:space="0" w:color="auto"/>
              <w:right w:val="single" w:sz="8" w:space="0" w:color="auto"/>
            </w:tcBorders>
            <w:vAlign w:val="center"/>
            <w:hideMark/>
          </w:tcPr>
          <w:p w14:paraId="52F46A26" w14:textId="77777777" w:rsidR="007C050F" w:rsidRPr="000D0D06" w:rsidRDefault="007C050F" w:rsidP="007C050F">
            <w:pPr>
              <w:spacing w:before="0" w:after="0"/>
              <w:rPr>
                <w:noProof/>
                <w:color w:val="000000"/>
                <w:sz w:val="18"/>
                <w:szCs w:val="18"/>
              </w:rPr>
            </w:pPr>
            <w:r w:rsidRPr="000D0D06">
              <w:rPr>
                <w:noProof/>
                <w:color w:val="000000"/>
                <w:sz w:val="18"/>
              </w:rPr>
              <w:t>Pagamentos</w:t>
            </w:r>
          </w:p>
        </w:tc>
        <w:tc>
          <w:tcPr>
            <w:tcW w:w="1160" w:type="dxa"/>
            <w:tcBorders>
              <w:top w:val="nil"/>
              <w:left w:val="nil"/>
              <w:bottom w:val="single" w:sz="8" w:space="0" w:color="auto"/>
              <w:right w:val="single" w:sz="8" w:space="0" w:color="auto"/>
            </w:tcBorders>
            <w:shd w:val="clear" w:color="000000" w:fill="D9D9D9"/>
            <w:vAlign w:val="center"/>
            <w:hideMark/>
          </w:tcPr>
          <w:p w14:paraId="05992819" w14:textId="77777777" w:rsidR="007C050F" w:rsidRPr="000D0D06" w:rsidRDefault="007C050F" w:rsidP="007C050F">
            <w:pPr>
              <w:spacing w:before="0" w:after="0"/>
              <w:jc w:val="right"/>
              <w:rPr>
                <w:b/>
                <w:bCs/>
                <w:noProof/>
                <w:color w:val="000000"/>
                <w:szCs w:val="24"/>
              </w:rPr>
            </w:pPr>
            <w:r w:rsidRPr="000D0D06">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14:paraId="5FA3F6F6" w14:textId="77777777" w:rsidR="007C050F" w:rsidRPr="000D0D06" w:rsidRDefault="007C050F" w:rsidP="007C050F">
            <w:pPr>
              <w:spacing w:before="0" w:after="0"/>
              <w:jc w:val="right"/>
              <w:rPr>
                <w:b/>
                <w:bCs/>
                <w:noProof/>
                <w:color w:val="000000"/>
                <w:szCs w:val="24"/>
              </w:rPr>
            </w:pPr>
            <w:r w:rsidRPr="000D0D06">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14:paraId="304617D4" w14:textId="77777777" w:rsidR="007C050F" w:rsidRPr="000D0D06" w:rsidRDefault="007C050F" w:rsidP="007C050F">
            <w:pPr>
              <w:spacing w:before="0" w:after="0"/>
              <w:jc w:val="right"/>
              <w:rPr>
                <w:b/>
                <w:bCs/>
                <w:noProof/>
                <w:color w:val="000000"/>
                <w:szCs w:val="24"/>
              </w:rPr>
            </w:pPr>
            <w:r w:rsidRPr="000D0D06">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14:paraId="0C0CFF67" w14:textId="77777777" w:rsidR="007C050F" w:rsidRPr="000D0D06" w:rsidRDefault="007C050F" w:rsidP="007C050F">
            <w:pPr>
              <w:spacing w:before="0" w:after="0"/>
              <w:jc w:val="right"/>
              <w:rPr>
                <w:b/>
                <w:bCs/>
                <w:noProof/>
                <w:color w:val="000000"/>
                <w:szCs w:val="24"/>
              </w:rPr>
            </w:pPr>
            <w:r w:rsidRPr="000D0D06">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14:paraId="69AECEA8" w14:textId="77777777" w:rsidR="007C050F" w:rsidRPr="000D0D06" w:rsidRDefault="007C050F" w:rsidP="007C050F">
            <w:pPr>
              <w:spacing w:before="0" w:after="0"/>
              <w:jc w:val="right"/>
              <w:rPr>
                <w:b/>
                <w:bCs/>
                <w:noProof/>
                <w:color w:val="000000"/>
                <w:szCs w:val="24"/>
              </w:rPr>
            </w:pPr>
            <w:r w:rsidRPr="000D0D06">
              <w:rPr>
                <w:b/>
                <w:noProof/>
                <w:color w:val="000000"/>
              </w:rPr>
              <w:t>0,000</w:t>
            </w:r>
          </w:p>
        </w:tc>
      </w:tr>
    </w:tbl>
    <w:p w14:paraId="5D3163E1" w14:textId="77777777" w:rsidR="007C050F" w:rsidRPr="000D0D06" w:rsidRDefault="001936FC" w:rsidP="001936FC">
      <w:pPr>
        <w:pStyle w:val="ManualHeading3"/>
        <w:rPr>
          <w:noProof/>
          <w:szCs w:val="24"/>
        </w:rPr>
      </w:pPr>
      <w:r w:rsidRPr="000D0D06">
        <w:rPr>
          <w:noProof/>
        </w:rPr>
        <w:t>3.2.2.</w:t>
      </w:r>
      <w:r w:rsidRPr="000D0D06">
        <w:rPr>
          <w:noProof/>
        </w:rPr>
        <w:tab/>
        <w:t>Estimativa das realizações com financiamento proveniente de dotações operacionais (não preencher para as agências descentralizadas)</w:t>
      </w:r>
    </w:p>
    <w:p w14:paraId="4AD1A8F2" w14:textId="77777777" w:rsidR="007C050F" w:rsidRPr="000D0D06" w:rsidRDefault="007C050F" w:rsidP="007C050F">
      <w:pPr>
        <w:jc w:val="right"/>
        <w:rPr>
          <w:noProof/>
          <w:sz w:val="20"/>
        </w:rPr>
      </w:pPr>
      <w:r w:rsidRPr="000D0D06">
        <w:rPr>
          <w:noProof/>
          <w:sz w:val="20"/>
        </w:rPr>
        <w:t>Dotações de autorização em milhões de EUR (três casas decimais)</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7C050F" w:rsidRPr="000D0D06" w14:paraId="1585681F" w14:textId="77777777">
        <w:trPr>
          <w:jc w:val="center"/>
        </w:trPr>
        <w:tc>
          <w:tcPr>
            <w:tcW w:w="1423" w:type="dxa"/>
            <w:vMerge w:val="restart"/>
            <w:vAlign w:val="center"/>
          </w:tcPr>
          <w:p w14:paraId="684B2F91" w14:textId="77777777" w:rsidR="007C050F" w:rsidRPr="000D0D06" w:rsidRDefault="007C050F" w:rsidP="007C050F">
            <w:pPr>
              <w:ind w:right="-29"/>
              <w:jc w:val="center"/>
              <w:rPr>
                <w:b/>
                <w:noProof/>
                <w:sz w:val="18"/>
                <w:szCs w:val="18"/>
              </w:rPr>
            </w:pPr>
            <w:r w:rsidRPr="000D0D06">
              <w:rPr>
                <w:b/>
                <w:noProof/>
                <w:sz w:val="18"/>
              </w:rPr>
              <w:t xml:space="preserve">Indicar os objetivos e as realizações </w:t>
            </w:r>
          </w:p>
          <w:p w14:paraId="276CBDD8" w14:textId="77777777" w:rsidR="007C050F" w:rsidRPr="000D0D06" w:rsidRDefault="007C050F" w:rsidP="007C050F">
            <w:pPr>
              <w:ind w:right="-29"/>
              <w:jc w:val="center"/>
              <w:rPr>
                <w:b/>
                <w:noProof/>
                <w:sz w:val="18"/>
                <w:szCs w:val="18"/>
              </w:rPr>
            </w:pPr>
          </w:p>
          <w:p w14:paraId="11BBDE17" w14:textId="77777777" w:rsidR="007C050F" w:rsidRPr="000D0D06" w:rsidRDefault="007C050F" w:rsidP="007C050F">
            <w:pPr>
              <w:ind w:right="-29"/>
              <w:jc w:val="center"/>
              <w:rPr>
                <w:noProof/>
                <w:sz w:val="18"/>
                <w:szCs w:val="18"/>
              </w:rPr>
            </w:pPr>
            <w:r w:rsidRPr="000D0D06">
              <w:rPr>
                <w:rFonts w:ascii="Wingdings" w:hAnsi="Wingdings"/>
                <w:noProof/>
                <w:sz w:val="18"/>
              </w:rPr>
              <w:t></w:t>
            </w:r>
          </w:p>
        </w:tc>
        <w:tc>
          <w:tcPr>
            <w:tcW w:w="720" w:type="dxa"/>
            <w:vAlign w:val="center"/>
          </w:tcPr>
          <w:p w14:paraId="6F43CAEE" w14:textId="77777777" w:rsidR="007C050F" w:rsidRPr="000D0D06" w:rsidRDefault="007C050F" w:rsidP="007C050F">
            <w:pPr>
              <w:ind w:right="-29"/>
              <w:jc w:val="center"/>
              <w:rPr>
                <w:noProof/>
                <w:sz w:val="18"/>
                <w:szCs w:val="18"/>
              </w:rPr>
            </w:pPr>
          </w:p>
        </w:tc>
        <w:tc>
          <w:tcPr>
            <w:tcW w:w="701" w:type="dxa"/>
            <w:vAlign w:val="center"/>
          </w:tcPr>
          <w:p w14:paraId="16CCFD9B" w14:textId="77777777" w:rsidR="007C050F" w:rsidRPr="000D0D06" w:rsidRDefault="007C050F" w:rsidP="007C050F">
            <w:pPr>
              <w:ind w:right="-29"/>
              <w:jc w:val="center"/>
              <w:rPr>
                <w:noProof/>
                <w:sz w:val="18"/>
                <w:szCs w:val="18"/>
              </w:rPr>
            </w:pPr>
          </w:p>
        </w:tc>
        <w:tc>
          <w:tcPr>
            <w:tcW w:w="1224" w:type="dxa"/>
            <w:gridSpan w:val="2"/>
            <w:tcBorders>
              <w:left w:val="nil"/>
            </w:tcBorders>
            <w:vAlign w:val="center"/>
          </w:tcPr>
          <w:p w14:paraId="5129E193" w14:textId="7E7B45FA" w:rsidR="007C050F" w:rsidRPr="000D0D06" w:rsidRDefault="007C050F" w:rsidP="007C050F">
            <w:pPr>
              <w:ind w:right="-29"/>
              <w:jc w:val="center"/>
              <w:rPr>
                <w:noProof/>
                <w:sz w:val="18"/>
                <w:szCs w:val="18"/>
              </w:rPr>
            </w:pPr>
            <w:r w:rsidRPr="000D0D06">
              <w:rPr>
                <w:noProof/>
                <w:sz w:val="18"/>
              </w:rPr>
              <w:t>Ano</w:t>
            </w:r>
            <w:r w:rsidRPr="000D0D06">
              <w:rPr>
                <w:noProof/>
              </w:rPr>
              <w:br/>
            </w:r>
            <w:r w:rsidRPr="000D0D06">
              <w:rPr>
                <w:b/>
                <w:noProof/>
                <w:sz w:val="18"/>
              </w:rPr>
              <w:t>2024</w:t>
            </w:r>
          </w:p>
        </w:tc>
        <w:tc>
          <w:tcPr>
            <w:tcW w:w="1260" w:type="dxa"/>
            <w:gridSpan w:val="2"/>
            <w:vAlign w:val="center"/>
          </w:tcPr>
          <w:p w14:paraId="4EBF9C11" w14:textId="476DACFE" w:rsidR="007C050F" w:rsidRPr="000D0D06" w:rsidRDefault="007C050F" w:rsidP="007C050F">
            <w:pPr>
              <w:ind w:right="-29"/>
              <w:jc w:val="center"/>
              <w:rPr>
                <w:noProof/>
                <w:sz w:val="18"/>
                <w:szCs w:val="18"/>
              </w:rPr>
            </w:pPr>
            <w:r w:rsidRPr="000D0D06">
              <w:rPr>
                <w:noProof/>
                <w:sz w:val="18"/>
              </w:rPr>
              <w:t>Ano</w:t>
            </w:r>
            <w:r w:rsidRPr="000D0D06">
              <w:rPr>
                <w:noProof/>
              </w:rPr>
              <w:br/>
            </w:r>
            <w:r w:rsidRPr="000D0D06">
              <w:rPr>
                <w:b/>
                <w:noProof/>
                <w:sz w:val="18"/>
              </w:rPr>
              <w:t>2025</w:t>
            </w:r>
          </w:p>
        </w:tc>
        <w:tc>
          <w:tcPr>
            <w:tcW w:w="1440" w:type="dxa"/>
            <w:gridSpan w:val="2"/>
            <w:vAlign w:val="center"/>
          </w:tcPr>
          <w:p w14:paraId="27D325F3" w14:textId="69DD754E" w:rsidR="007C050F" w:rsidRPr="000D0D06" w:rsidRDefault="007C050F" w:rsidP="007C050F">
            <w:pPr>
              <w:ind w:right="-29"/>
              <w:jc w:val="center"/>
              <w:rPr>
                <w:noProof/>
                <w:sz w:val="18"/>
                <w:szCs w:val="18"/>
              </w:rPr>
            </w:pPr>
            <w:r w:rsidRPr="000D0D06">
              <w:rPr>
                <w:noProof/>
                <w:sz w:val="18"/>
              </w:rPr>
              <w:t>Ano</w:t>
            </w:r>
            <w:r w:rsidRPr="000D0D06">
              <w:rPr>
                <w:noProof/>
              </w:rPr>
              <w:br/>
            </w:r>
            <w:r w:rsidRPr="000D0D06">
              <w:rPr>
                <w:b/>
                <w:noProof/>
                <w:sz w:val="18"/>
              </w:rPr>
              <w:t>2026</w:t>
            </w:r>
          </w:p>
        </w:tc>
        <w:tc>
          <w:tcPr>
            <w:tcW w:w="1620" w:type="dxa"/>
            <w:gridSpan w:val="3"/>
            <w:vAlign w:val="center"/>
          </w:tcPr>
          <w:p w14:paraId="6A6392B9" w14:textId="01A4648C" w:rsidR="007C050F" w:rsidRPr="000D0D06" w:rsidRDefault="007C050F" w:rsidP="007C050F">
            <w:pPr>
              <w:ind w:right="-29"/>
              <w:jc w:val="center"/>
              <w:rPr>
                <w:noProof/>
                <w:sz w:val="18"/>
                <w:szCs w:val="18"/>
              </w:rPr>
            </w:pPr>
            <w:r w:rsidRPr="000D0D06">
              <w:rPr>
                <w:noProof/>
                <w:sz w:val="18"/>
              </w:rPr>
              <w:t>Ano</w:t>
            </w:r>
            <w:r w:rsidRPr="000D0D06">
              <w:rPr>
                <w:noProof/>
              </w:rPr>
              <w:br/>
            </w:r>
            <w:r w:rsidRPr="000D0D06">
              <w:rPr>
                <w:b/>
                <w:noProof/>
                <w:sz w:val="18"/>
              </w:rPr>
              <w:t>2027</w:t>
            </w:r>
          </w:p>
        </w:tc>
        <w:tc>
          <w:tcPr>
            <w:tcW w:w="3600" w:type="dxa"/>
            <w:gridSpan w:val="6"/>
            <w:vAlign w:val="center"/>
          </w:tcPr>
          <w:p w14:paraId="0900ACEF" w14:textId="77777777" w:rsidR="007C050F" w:rsidRPr="000D0D06" w:rsidRDefault="007C050F" w:rsidP="007C050F">
            <w:pPr>
              <w:jc w:val="center"/>
              <w:rPr>
                <w:noProof/>
                <w:sz w:val="18"/>
                <w:szCs w:val="18"/>
              </w:rPr>
            </w:pPr>
            <w:r w:rsidRPr="000D0D06">
              <w:rPr>
                <w:noProof/>
                <w:sz w:val="18"/>
              </w:rPr>
              <w:t>Inserir os anos necessários para refletir a duração do impacto (ver ponto 1.6)</w:t>
            </w:r>
          </w:p>
        </w:tc>
        <w:tc>
          <w:tcPr>
            <w:tcW w:w="1620" w:type="dxa"/>
            <w:gridSpan w:val="2"/>
            <w:tcBorders>
              <w:left w:val="nil"/>
              <w:bottom w:val="nil"/>
            </w:tcBorders>
            <w:vAlign w:val="center"/>
          </w:tcPr>
          <w:p w14:paraId="79F70B9C" w14:textId="77777777" w:rsidR="007C050F" w:rsidRPr="000D0D06" w:rsidRDefault="007C050F" w:rsidP="007C050F">
            <w:pPr>
              <w:ind w:right="-29"/>
              <w:jc w:val="center"/>
              <w:rPr>
                <w:noProof/>
                <w:sz w:val="18"/>
                <w:szCs w:val="18"/>
              </w:rPr>
            </w:pPr>
            <w:r w:rsidRPr="000D0D06">
              <w:rPr>
                <w:b/>
                <w:noProof/>
                <w:sz w:val="18"/>
              </w:rPr>
              <w:t>TOTAL</w:t>
            </w:r>
          </w:p>
        </w:tc>
      </w:tr>
      <w:tr w:rsidR="007C050F" w:rsidRPr="000D0D06" w14:paraId="535FFB2B" w14:textId="77777777">
        <w:trPr>
          <w:jc w:val="center"/>
        </w:trPr>
        <w:tc>
          <w:tcPr>
            <w:tcW w:w="1423" w:type="dxa"/>
            <w:vMerge/>
            <w:vAlign w:val="center"/>
          </w:tcPr>
          <w:p w14:paraId="39F817E6" w14:textId="77777777" w:rsidR="007C050F" w:rsidRPr="000D0D06" w:rsidRDefault="007C050F" w:rsidP="007C050F">
            <w:pPr>
              <w:ind w:right="-29"/>
              <w:jc w:val="center"/>
              <w:rPr>
                <w:noProof/>
                <w:sz w:val="18"/>
                <w:szCs w:val="18"/>
              </w:rPr>
            </w:pPr>
          </w:p>
        </w:tc>
        <w:tc>
          <w:tcPr>
            <w:tcW w:w="12185" w:type="dxa"/>
            <w:gridSpan w:val="19"/>
            <w:vAlign w:val="center"/>
          </w:tcPr>
          <w:p w14:paraId="7DB99397" w14:textId="77777777" w:rsidR="007C050F" w:rsidRPr="000D0D06" w:rsidRDefault="007C050F" w:rsidP="007C050F">
            <w:pPr>
              <w:spacing w:before="60" w:after="60"/>
              <w:ind w:right="-29"/>
              <w:jc w:val="center"/>
              <w:rPr>
                <w:noProof/>
                <w:sz w:val="18"/>
                <w:szCs w:val="18"/>
              </w:rPr>
            </w:pPr>
            <w:r w:rsidRPr="000D0D06">
              <w:rPr>
                <w:b/>
                <w:noProof/>
                <w:sz w:val="18"/>
              </w:rPr>
              <w:t>REALIZAÇÕES</w:t>
            </w:r>
          </w:p>
        </w:tc>
      </w:tr>
      <w:tr w:rsidR="007C050F" w:rsidRPr="000D0D06" w14:paraId="743EE759" w14:textId="77777777">
        <w:trPr>
          <w:cantSplit/>
          <w:trHeight w:val="1134"/>
          <w:jc w:val="center"/>
        </w:trPr>
        <w:tc>
          <w:tcPr>
            <w:tcW w:w="1423" w:type="dxa"/>
            <w:vMerge/>
            <w:vAlign w:val="center"/>
          </w:tcPr>
          <w:p w14:paraId="24338F71" w14:textId="77777777" w:rsidR="007C050F" w:rsidRPr="000D0D06" w:rsidRDefault="007C050F" w:rsidP="007C050F">
            <w:pPr>
              <w:rPr>
                <w:noProof/>
                <w:sz w:val="18"/>
                <w:szCs w:val="18"/>
              </w:rPr>
            </w:pPr>
          </w:p>
        </w:tc>
        <w:tc>
          <w:tcPr>
            <w:tcW w:w="720" w:type="dxa"/>
            <w:vAlign w:val="center"/>
          </w:tcPr>
          <w:p w14:paraId="6912AE53" w14:textId="77777777" w:rsidR="007C050F" w:rsidRPr="000D0D06" w:rsidRDefault="007C050F" w:rsidP="007C050F">
            <w:pPr>
              <w:jc w:val="center"/>
              <w:rPr>
                <w:noProof/>
                <w:sz w:val="18"/>
                <w:szCs w:val="18"/>
              </w:rPr>
            </w:pPr>
            <w:r w:rsidRPr="000D0D06">
              <w:rPr>
                <w:noProof/>
                <w:sz w:val="18"/>
              </w:rPr>
              <w:t>Tipo</w:t>
            </w:r>
            <w:r w:rsidRPr="000D0D06">
              <w:rPr>
                <w:rStyle w:val="FootnoteReference"/>
                <w:noProof/>
              </w:rPr>
              <w:footnoteReference w:id="49"/>
            </w:r>
          </w:p>
          <w:p w14:paraId="0CB6A2E9" w14:textId="77777777" w:rsidR="007C050F" w:rsidRPr="000D0D06" w:rsidRDefault="007C050F" w:rsidP="007C050F">
            <w:pPr>
              <w:spacing w:before="0" w:after="0"/>
              <w:jc w:val="center"/>
              <w:rPr>
                <w:noProof/>
                <w:sz w:val="18"/>
                <w:szCs w:val="18"/>
              </w:rPr>
            </w:pPr>
          </w:p>
        </w:tc>
        <w:tc>
          <w:tcPr>
            <w:tcW w:w="701" w:type="dxa"/>
            <w:vAlign w:val="center"/>
          </w:tcPr>
          <w:p w14:paraId="559488AE" w14:textId="77777777" w:rsidR="007C050F" w:rsidRPr="000D0D06" w:rsidRDefault="007C050F" w:rsidP="007C050F">
            <w:pPr>
              <w:jc w:val="center"/>
              <w:rPr>
                <w:noProof/>
                <w:sz w:val="18"/>
                <w:szCs w:val="18"/>
              </w:rPr>
            </w:pPr>
            <w:r w:rsidRPr="000D0D06">
              <w:rPr>
                <w:noProof/>
                <w:sz w:val="18"/>
              </w:rPr>
              <w:t>Custo médio</w:t>
            </w:r>
          </w:p>
        </w:tc>
        <w:tc>
          <w:tcPr>
            <w:tcW w:w="504" w:type="dxa"/>
            <w:tcBorders>
              <w:left w:val="nil"/>
              <w:right w:val="dashSmallGap" w:sz="4" w:space="0" w:color="auto"/>
            </w:tcBorders>
            <w:textDirection w:val="btLr"/>
            <w:vAlign w:val="center"/>
          </w:tcPr>
          <w:p w14:paraId="3E4C525A" w14:textId="77777777" w:rsidR="007C050F" w:rsidRPr="000D0D06" w:rsidRDefault="007C050F" w:rsidP="007C050F">
            <w:pPr>
              <w:ind w:left="113" w:right="113"/>
              <w:jc w:val="center"/>
              <w:rPr>
                <w:noProof/>
                <w:sz w:val="18"/>
                <w:szCs w:val="18"/>
              </w:rPr>
            </w:pPr>
            <w:r w:rsidRPr="000D0D06">
              <w:rPr>
                <w:noProof/>
                <w:sz w:val="18"/>
              </w:rPr>
              <w:t>N.º</w:t>
            </w:r>
          </w:p>
        </w:tc>
        <w:tc>
          <w:tcPr>
            <w:tcW w:w="720" w:type="dxa"/>
            <w:tcBorders>
              <w:left w:val="dashSmallGap" w:sz="4" w:space="0" w:color="auto"/>
            </w:tcBorders>
            <w:vAlign w:val="center"/>
          </w:tcPr>
          <w:p w14:paraId="11002A0E" w14:textId="77777777" w:rsidR="007C050F" w:rsidRPr="000D0D06" w:rsidRDefault="007C050F" w:rsidP="007C050F">
            <w:pPr>
              <w:jc w:val="center"/>
              <w:rPr>
                <w:noProof/>
                <w:sz w:val="18"/>
                <w:szCs w:val="18"/>
              </w:rPr>
            </w:pPr>
            <w:r w:rsidRPr="000D0D06">
              <w:rPr>
                <w:noProof/>
                <w:sz w:val="18"/>
              </w:rPr>
              <w:t>Custo</w:t>
            </w:r>
          </w:p>
        </w:tc>
        <w:tc>
          <w:tcPr>
            <w:tcW w:w="540" w:type="dxa"/>
            <w:tcBorders>
              <w:right w:val="dashSmallGap" w:sz="4" w:space="0" w:color="auto"/>
            </w:tcBorders>
            <w:textDirection w:val="btLr"/>
            <w:vAlign w:val="center"/>
          </w:tcPr>
          <w:p w14:paraId="4E5A0904" w14:textId="77777777" w:rsidR="007C050F" w:rsidRPr="000D0D06" w:rsidRDefault="007C050F" w:rsidP="007C050F">
            <w:pPr>
              <w:ind w:left="113" w:right="113"/>
              <w:jc w:val="center"/>
              <w:rPr>
                <w:noProof/>
                <w:sz w:val="18"/>
                <w:szCs w:val="18"/>
              </w:rPr>
            </w:pPr>
            <w:r w:rsidRPr="000D0D06">
              <w:rPr>
                <w:noProof/>
                <w:sz w:val="18"/>
              </w:rPr>
              <w:t>N.º</w:t>
            </w:r>
          </w:p>
        </w:tc>
        <w:tc>
          <w:tcPr>
            <w:tcW w:w="720" w:type="dxa"/>
            <w:tcBorders>
              <w:left w:val="dashSmallGap" w:sz="4" w:space="0" w:color="auto"/>
            </w:tcBorders>
            <w:vAlign w:val="center"/>
          </w:tcPr>
          <w:p w14:paraId="6F18C58D" w14:textId="77777777" w:rsidR="007C050F" w:rsidRPr="000D0D06" w:rsidRDefault="007C050F" w:rsidP="007C050F">
            <w:pPr>
              <w:jc w:val="center"/>
              <w:rPr>
                <w:noProof/>
                <w:sz w:val="18"/>
                <w:szCs w:val="18"/>
              </w:rPr>
            </w:pPr>
            <w:r w:rsidRPr="000D0D06">
              <w:rPr>
                <w:noProof/>
                <w:sz w:val="18"/>
              </w:rPr>
              <w:t>Custo</w:t>
            </w:r>
          </w:p>
        </w:tc>
        <w:tc>
          <w:tcPr>
            <w:tcW w:w="720" w:type="dxa"/>
            <w:tcBorders>
              <w:right w:val="dashSmallGap" w:sz="4" w:space="0" w:color="auto"/>
            </w:tcBorders>
            <w:textDirection w:val="btLr"/>
            <w:vAlign w:val="center"/>
          </w:tcPr>
          <w:p w14:paraId="245FB007" w14:textId="77777777" w:rsidR="007C050F" w:rsidRPr="000D0D06" w:rsidRDefault="007C050F" w:rsidP="007C050F">
            <w:pPr>
              <w:ind w:left="113" w:right="113"/>
              <w:jc w:val="center"/>
              <w:rPr>
                <w:noProof/>
                <w:sz w:val="18"/>
                <w:szCs w:val="18"/>
              </w:rPr>
            </w:pPr>
            <w:r w:rsidRPr="000D0D06">
              <w:rPr>
                <w:noProof/>
                <w:sz w:val="18"/>
              </w:rPr>
              <w:t>N.º</w:t>
            </w:r>
          </w:p>
        </w:tc>
        <w:tc>
          <w:tcPr>
            <w:tcW w:w="720" w:type="dxa"/>
            <w:tcBorders>
              <w:left w:val="dashSmallGap" w:sz="4" w:space="0" w:color="auto"/>
            </w:tcBorders>
            <w:vAlign w:val="center"/>
          </w:tcPr>
          <w:p w14:paraId="05F0D57D" w14:textId="77777777" w:rsidR="007C050F" w:rsidRPr="000D0D06" w:rsidRDefault="007C050F" w:rsidP="007C050F">
            <w:pPr>
              <w:jc w:val="center"/>
              <w:rPr>
                <w:noProof/>
                <w:sz w:val="18"/>
                <w:szCs w:val="18"/>
              </w:rPr>
            </w:pPr>
            <w:r w:rsidRPr="000D0D06">
              <w:rPr>
                <w:noProof/>
                <w:sz w:val="18"/>
              </w:rPr>
              <w:t>Custo</w:t>
            </w:r>
          </w:p>
        </w:tc>
        <w:tc>
          <w:tcPr>
            <w:tcW w:w="900" w:type="dxa"/>
            <w:tcBorders>
              <w:right w:val="dashSmallGap" w:sz="4" w:space="0" w:color="auto"/>
            </w:tcBorders>
            <w:textDirection w:val="btLr"/>
            <w:vAlign w:val="center"/>
          </w:tcPr>
          <w:p w14:paraId="033AC0D4" w14:textId="77777777" w:rsidR="007C050F" w:rsidRPr="000D0D06" w:rsidRDefault="007C050F" w:rsidP="007C050F">
            <w:pPr>
              <w:ind w:left="113" w:right="113"/>
              <w:jc w:val="center"/>
              <w:rPr>
                <w:noProof/>
                <w:sz w:val="18"/>
                <w:szCs w:val="18"/>
              </w:rPr>
            </w:pPr>
            <w:r w:rsidRPr="000D0D06">
              <w:rPr>
                <w:noProof/>
                <w:sz w:val="18"/>
              </w:rPr>
              <w:t>N.º</w:t>
            </w:r>
          </w:p>
        </w:tc>
        <w:tc>
          <w:tcPr>
            <w:tcW w:w="720" w:type="dxa"/>
            <w:gridSpan w:val="2"/>
            <w:tcBorders>
              <w:left w:val="dashSmallGap" w:sz="4" w:space="0" w:color="auto"/>
            </w:tcBorders>
            <w:vAlign w:val="center"/>
          </w:tcPr>
          <w:p w14:paraId="00044323" w14:textId="77777777" w:rsidR="007C050F" w:rsidRPr="000D0D06" w:rsidRDefault="007C050F" w:rsidP="007C050F">
            <w:pPr>
              <w:jc w:val="center"/>
              <w:rPr>
                <w:noProof/>
                <w:sz w:val="18"/>
                <w:szCs w:val="18"/>
              </w:rPr>
            </w:pPr>
            <w:r w:rsidRPr="000D0D06">
              <w:rPr>
                <w:noProof/>
                <w:sz w:val="18"/>
              </w:rPr>
              <w:t>Custo</w:t>
            </w:r>
          </w:p>
        </w:tc>
        <w:tc>
          <w:tcPr>
            <w:tcW w:w="540" w:type="dxa"/>
            <w:tcBorders>
              <w:right w:val="dashSmallGap" w:sz="4" w:space="0" w:color="auto"/>
            </w:tcBorders>
            <w:textDirection w:val="btLr"/>
            <w:vAlign w:val="center"/>
          </w:tcPr>
          <w:p w14:paraId="3E903915" w14:textId="77777777" w:rsidR="007C050F" w:rsidRPr="000D0D06" w:rsidRDefault="007C050F" w:rsidP="007C050F">
            <w:pPr>
              <w:ind w:left="113" w:right="113"/>
              <w:jc w:val="center"/>
              <w:rPr>
                <w:noProof/>
                <w:sz w:val="18"/>
                <w:szCs w:val="18"/>
              </w:rPr>
            </w:pPr>
            <w:r w:rsidRPr="000D0D06">
              <w:rPr>
                <w:noProof/>
                <w:sz w:val="18"/>
              </w:rPr>
              <w:t>N.º</w:t>
            </w:r>
          </w:p>
        </w:tc>
        <w:tc>
          <w:tcPr>
            <w:tcW w:w="648" w:type="dxa"/>
            <w:tcBorders>
              <w:left w:val="dashSmallGap" w:sz="4" w:space="0" w:color="auto"/>
            </w:tcBorders>
            <w:vAlign w:val="center"/>
          </w:tcPr>
          <w:p w14:paraId="3DEAC147" w14:textId="77777777" w:rsidR="007C050F" w:rsidRPr="000D0D06" w:rsidRDefault="007C050F" w:rsidP="007C050F">
            <w:pPr>
              <w:jc w:val="center"/>
              <w:rPr>
                <w:noProof/>
                <w:sz w:val="18"/>
                <w:szCs w:val="18"/>
              </w:rPr>
            </w:pPr>
            <w:r w:rsidRPr="000D0D06">
              <w:rPr>
                <w:noProof/>
                <w:sz w:val="18"/>
              </w:rPr>
              <w:t>Custo</w:t>
            </w:r>
          </w:p>
        </w:tc>
        <w:tc>
          <w:tcPr>
            <w:tcW w:w="432" w:type="dxa"/>
            <w:tcBorders>
              <w:right w:val="dashSmallGap" w:sz="4" w:space="0" w:color="auto"/>
            </w:tcBorders>
            <w:textDirection w:val="btLr"/>
            <w:vAlign w:val="center"/>
          </w:tcPr>
          <w:p w14:paraId="72058400" w14:textId="77777777" w:rsidR="007C050F" w:rsidRPr="000D0D06" w:rsidRDefault="007C050F" w:rsidP="007C050F">
            <w:pPr>
              <w:ind w:left="113" w:right="113"/>
              <w:jc w:val="center"/>
              <w:rPr>
                <w:noProof/>
                <w:sz w:val="18"/>
                <w:szCs w:val="18"/>
              </w:rPr>
            </w:pPr>
            <w:r w:rsidRPr="000D0D06">
              <w:rPr>
                <w:noProof/>
                <w:sz w:val="18"/>
              </w:rPr>
              <w:t>N.º</w:t>
            </w:r>
          </w:p>
        </w:tc>
        <w:tc>
          <w:tcPr>
            <w:tcW w:w="720" w:type="dxa"/>
            <w:tcBorders>
              <w:left w:val="dashSmallGap" w:sz="4" w:space="0" w:color="auto"/>
            </w:tcBorders>
            <w:vAlign w:val="center"/>
          </w:tcPr>
          <w:p w14:paraId="58A5F194" w14:textId="77777777" w:rsidR="007C050F" w:rsidRPr="000D0D06" w:rsidRDefault="007C050F" w:rsidP="007C050F">
            <w:pPr>
              <w:jc w:val="center"/>
              <w:rPr>
                <w:noProof/>
                <w:sz w:val="18"/>
                <w:szCs w:val="18"/>
              </w:rPr>
            </w:pPr>
            <w:r w:rsidRPr="000D0D06">
              <w:rPr>
                <w:noProof/>
                <w:sz w:val="18"/>
              </w:rPr>
              <w:t>Custo</w:t>
            </w:r>
          </w:p>
        </w:tc>
        <w:tc>
          <w:tcPr>
            <w:tcW w:w="540" w:type="dxa"/>
            <w:tcBorders>
              <w:right w:val="dashSmallGap" w:sz="4" w:space="0" w:color="auto"/>
            </w:tcBorders>
            <w:textDirection w:val="btLr"/>
            <w:vAlign w:val="center"/>
          </w:tcPr>
          <w:p w14:paraId="7131A516" w14:textId="77777777" w:rsidR="007C050F" w:rsidRPr="000D0D06" w:rsidRDefault="007C050F" w:rsidP="007C050F">
            <w:pPr>
              <w:ind w:left="113" w:right="113"/>
              <w:jc w:val="center"/>
              <w:rPr>
                <w:noProof/>
                <w:sz w:val="18"/>
                <w:szCs w:val="18"/>
              </w:rPr>
            </w:pPr>
            <w:r w:rsidRPr="000D0D06">
              <w:rPr>
                <w:noProof/>
                <w:sz w:val="18"/>
              </w:rPr>
              <w:t>N.º</w:t>
            </w:r>
          </w:p>
        </w:tc>
        <w:tc>
          <w:tcPr>
            <w:tcW w:w="720" w:type="dxa"/>
            <w:tcBorders>
              <w:left w:val="dashSmallGap" w:sz="4" w:space="0" w:color="auto"/>
            </w:tcBorders>
            <w:vAlign w:val="center"/>
          </w:tcPr>
          <w:p w14:paraId="18973388" w14:textId="77777777" w:rsidR="007C050F" w:rsidRPr="000D0D06" w:rsidRDefault="007C050F" w:rsidP="007C050F">
            <w:pPr>
              <w:jc w:val="center"/>
              <w:rPr>
                <w:noProof/>
                <w:sz w:val="18"/>
                <w:szCs w:val="18"/>
              </w:rPr>
            </w:pPr>
            <w:r w:rsidRPr="000D0D06">
              <w:rPr>
                <w:noProof/>
                <w:sz w:val="18"/>
              </w:rPr>
              <w:t>Custo</w:t>
            </w:r>
          </w:p>
        </w:tc>
        <w:tc>
          <w:tcPr>
            <w:tcW w:w="720" w:type="dxa"/>
            <w:tcBorders>
              <w:right w:val="dashSmallGap" w:sz="4" w:space="0" w:color="auto"/>
            </w:tcBorders>
            <w:vAlign w:val="center"/>
          </w:tcPr>
          <w:p w14:paraId="7BA0A9AA" w14:textId="77777777" w:rsidR="007C050F" w:rsidRPr="000D0D06" w:rsidRDefault="007C050F" w:rsidP="007C050F">
            <w:pPr>
              <w:jc w:val="center"/>
              <w:rPr>
                <w:noProof/>
                <w:sz w:val="18"/>
                <w:szCs w:val="18"/>
              </w:rPr>
            </w:pPr>
            <w:r w:rsidRPr="000D0D06">
              <w:rPr>
                <w:noProof/>
                <w:sz w:val="18"/>
              </w:rPr>
              <w:t>N.º total</w:t>
            </w:r>
          </w:p>
        </w:tc>
        <w:tc>
          <w:tcPr>
            <w:tcW w:w="900" w:type="dxa"/>
            <w:tcBorders>
              <w:left w:val="dashSmallGap" w:sz="4" w:space="0" w:color="auto"/>
            </w:tcBorders>
            <w:vAlign w:val="center"/>
          </w:tcPr>
          <w:p w14:paraId="5D99E6FA" w14:textId="77777777" w:rsidR="007C050F" w:rsidRPr="000D0D06" w:rsidRDefault="007C050F" w:rsidP="007C050F">
            <w:pPr>
              <w:jc w:val="center"/>
              <w:rPr>
                <w:noProof/>
                <w:sz w:val="18"/>
                <w:szCs w:val="18"/>
              </w:rPr>
            </w:pPr>
            <w:r w:rsidRPr="000D0D06">
              <w:rPr>
                <w:noProof/>
                <w:sz w:val="18"/>
              </w:rPr>
              <w:t>Custo total</w:t>
            </w:r>
          </w:p>
        </w:tc>
      </w:tr>
      <w:tr w:rsidR="007C050F" w:rsidRPr="000D0D06" w14:paraId="1108C6B0" w14:textId="77777777">
        <w:trPr>
          <w:jc w:val="center"/>
        </w:trPr>
        <w:tc>
          <w:tcPr>
            <w:tcW w:w="2844" w:type="dxa"/>
            <w:gridSpan w:val="3"/>
            <w:vAlign w:val="center"/>
          </w:tcPr>
          <w:p w14:paraId="2C3E3C11" w14:textId="77777777" w:rsidR="007C050F" w:rsidRPr="000D0D06" w:rsidRDefault="007C050F" w:rsidP="007C050F">
            <w:pPr>
              <w:spacing w:before="60" w:after="60"/>
              <w:ind w:right="-29"/>
              <w:jc w:val="center"/>
              <w:rPr>
                <w:noProof/>
                <w:sz w:val="18"/>
                <w:szCs w:val="18"/>
              </w:rPr>
            </w:pPr>
            <w:r w:rsidRPr="000D0D06">
              <w:rPr>
                <w:noProof/>
                <w:sz w:val="18"/>
              </w:rPr>
              <w:t>OBJETIVO ESPECÍFICO N.º 1</w:t>
            </w:r>
            <w:r w:rsidRPr="000D0D06">
              <w:rPr>
                <w:rStyle w:val="FootnoteReference"/>
                <w:noProof/>
              </w:rPr>
              <w:footnoteReference w:id="50"/>
            </w:r>
            <w:r w:rsidRPr="000D0D06">
              <w:rPr>
                <w:noProof/>
                <w:sz w:val="18"/>
              </w:rPr>
              <w:t>…</w:t>
            </w:r>
          </w:p>
        </w:tc>
        <w:tc>
          <w:tcPr>
            <w:tcW w:w="504" w:type="dxa"/>
            <w:tcBorders>
              <w:top w:val="nil"/>
              <w:left w:val="nil"/>
              <w:bottom w:val="nil"/>
              <w:right w:val="nil"/>
            </w:tcBorders>
          </w:tcPr>
          <w:p w14:paraId="6A932008" w14:textId="77777777" w:rsidR="007C050F" w:rsidRPr="000D0D06" w:rsidRDefault="007C050F" w:rsidP="007C050F">
            <w:pPr>
              <w:spacing w:before="60" w:after="60"/>
              <w:ind w:right="-29"/>
              <w:jc w:val="center"/>
              <w:rPr>
                <w:noProof/>
                <w:sz w:val="18"/>
                <w:szCs w:val="18"/>
              </w:rPr>
            </w:pPr>
          </w:p>
        </w:tc>
        <w:tc>
          <w:tcPr>
            <w:tcW w:w="720" w:type="dxa"/>
            <w:tcBorders>
              <w:top w:val="nil"/>
              <w:left w:val="nil"/>
              <w:bottom w:val="nil"/>
              <w:right w:val="nil"/>
            </w:tcBorders>
          </w:tcPr>
          <w:p w14:paraId="2940B42A" w14:textId="77777777" w:rsidR="007C050F" w:rsidRPr="000D0D06" w:rsidRDefault="007C050F" w:rsidP="007C050F">
            <w:pPr>
              <w:spacing w:before="60" w:after="60"/>
              <w:ind w:right="-29"/>
              <w:jc w:val="center"/>
              <w:rPr>
                <w:noProof/>
                <w:sz w:val="18"/>
                <w:szCs w:val="18"/>
              </w:rPr>
            </w:pPr>
          </w:p>
        </w:tc>
        <w:tc>
          <w:tcPr>
            <w:tcW w:w="540" w:type="dxa"/>
            <w:tcBorders>
              <w:top w:val="nil"/>
              <w:left w:val="nil"/>
              <w:bottom w:val="nil"/>
              <w:right w:val="nil"/>
            </w:tcBorders>
          </w:tcPr>
          <w:p w14:paraId="324C8042" w14:textId="77777777" w:rsidR="007C050F" w:rsidRPr="000D0D06" w:rsidRDefault="007C050F" w:rsidP="007C050F">
            <w:pPr>
              <w:spacing w:before="60" w:after="60"/>
              <w:ind w:right="-29"/>
              <w:jc w:val="center"/>
              <w:rPr>
                <w:noProof/>
                <w:sz w:val="18"/>
                <w:szCs w:val="18"/>
              </w:rPr>
            </w:pPr>
          </w:p>
        </w:tc>
        <w:tc>
          <w:tcPr>
            <w:tcW w:w="720" w:type="dxa"/>
            <w:tcBorders>
              <w:top w:val="nil"/>
              <w:left w:val="nil"/>
              <w:bottom w:val="nil"/>
              <w:right w:val="nil"/>
            </w:tcBorders>
          </w:tcPr>
          <w:p w14:paraId="3BE12504" w14:textId="77777777" w:rsidR="007C050F" w:rsidRPr="000D0D06" w:rsidRDefault="007C050F" w:rsidP="007C050F">
            <w:pPr>
              <w:spacing w:before="60" w:after="60"/>
              <w:ind w:right="-29"/>
              <w:jc w:val="center"/>
              <w:rPr>
                <w:noProof/>
                <w:sz w:val="18"/>
                <w:szCs w:val="18"/>
              </w:rPr>
            </w:pPr>
          </w:p>
        </w:tc>
        <w:tc>
          <w:tcPr>
            <w:tcW w:w="720" w:type="dxa"/>
            <w:tcBorders>
              <w:top w:val="nil"/>
              <w:left w:val="nil"/>
              <w:bottom w:val="nil"/>
              <w:right w:val="nil"/>
            </w:tcBorders>
          </w:tcPr>
          <w:p w14:paraId="4755D768" w14:textId="77777777" w:rsidR="007C050F" w:rsidRPr="000D0D06" w:rsidRDefault="007C050F" w:rsidP="007C050F">
            <w:pPr>
              <w:spacing w:before="60" w:after="60"/>
              <w:ind w:right="-29"/>
              <w:jc w:val="center"/>
              <w:rPr>
                <w:noProof/>
                <w:sz w:val="18"/>
                <w:szCs w:val="18"/>
              </w:rPr>
            </w:pPr>
          </w:p>
        </w:tc>
        <w:tc>
          <w:tcPr>
            <w:tcW w:w="720" w:type="dxa"/>
            <w:tcBorders>
              <w:top w:val="nil"/>
              <w:left w:val="nil"/>
              <w:bottom w:val="nil"/>
              <w:right w:val="nil"/>
            </w:tcBorders>
          </w:tcPr>
          <w:p w14:paraId="4335792A" w14:textId="77777777" w:rsidR="007C050F" w:rsidRPr="000D0D06" w:rsidRDefault="007C050F" w:rsidP="007C050F">
            <w:pPr>
              <w:spacing w:before="60" w:after="60"/>
              <w:ind w:right="-29"/>
              <w:jc w:val="center"/>
              <w:rPr>
                <w:noProof/>
                <w:sz w:val="18"/>
                <w:szCs w:val="18"/>
              </w:rPr>
            </w:pPr>
          </w:p>
        </w:tc>
        <w:tc>
          <w:tcPr>
            <w:tcW w:w="900" w:type="dxa"/>
            <w:tcBorders>
              <w:top w:val="nil"/>
              <w:left w:val="nil"/>
              <w:bottom w:val="nil"/>
              <w:right w:val="nil"/>
            </w:tcBorders>
          </w:tcPr>
          <w:p w14:paraId="75760590" w14:textId="77777777" w:rsidR="007C050F" w:rsidRPr="000D0D06" w:rsidRDefault="007C050F" w:rsidP="007C050F">
            <w:pPr>
              <w:spacing w:before="60" w:after="60"/>
              <w:ind w:right="-29"/>
              <w:jc w:val="center"/>
              <w:rPr>
                <w:noProof/>
                <w:sz w:val="18"/>
                <w:szCs w:val="18"/>
              </w:rPr>
            </w:pPr>
          </w:p>
        </w:tc>
        <w:tc>
          <w:tcPr>
            <w:tcW w:w="720" w:type="dxa"/>
            <w:gridSpan w:val="2"/>
            <w:tcBorders>
              <w:top w:val="nil"/>
              <w:left w:val="nil"/>
              <w:bottom w:val="nil"/>
              <w:right w:val="nil"/>
            </w:tcBorders>
          </w:tcPr>
          <w:p w14:paraId="4BC06630" w14:textId="77777777" w:rsidR="007C050F" w:rsidRPr="000D0D06" w:rsidRDefault="007C050F" w:rsidP="007C050F">
            <w:pPr>
              <w:spacing w:before="60" w:after="60"/>
              <w:ind w:right="-29"/>
              <w:jc w:val="center"/>
              <w:rPr>
                <w:noProof/>
                <w:sz w:val="18"/>
                <w:szCs w:val="18"/>
              </w:rPr>
            </w:pPr>
          </w:p>
        </w:tc>
        <w:tc>
          <w:tcPr>
            <w:tcW w:w="540" w:type="dxa"/>
            <w:tcBorders>
              <w:top w:val="nil"/>
              <w:left w:val="nil"/>
              <w:bottom w:val="nil"/>
              <w:right w:val="nil"/>
            </w:tcBorders>
          </w:tcPr>
          <w:p w14:paraId="2F1D2976" w14:textId="77777777" w:rsidR="007C050F" w:rsidRPr="000D0D06" w:rsidRDefault="007C050F" w:rsidP="007C050F">
            <w:pPr>
              <w:spacing w:before="60" w:after="60"/>
              <w:ind w:right="-29"/>
              <w:jc w:val="center"/>
              <w:rPr>
                <w:noProof/>
                <w:sz w:val="18"/>
                <w:szCs w:val="18"/>
              </w:rPr>
            </w:pPr>
          </w:p>
        </w:tc>
        <w:tc>
          <w:tcPr>
            <w:tcW w:w="648" w:type="dxa"/>
            <w:tcBorders>
              <w:top w:val="nil"/>
              <w:left w:val="nil"/>
              <w:bottom w:val="nil"/>
              <w:right w:val="nil"/>
            </w:tcBorders>
          </w:tcPr>
          <w:p w14:paraId="0CCC6E89" w14:textId="77777777" w:rsidR="007C050F" w:rsidRPr="000D0D06" w:rsidRDefault="007C050F" w:rsidP="007C050F">
            <w:pPr>
              <w:spacing w:before="60" w:after="60"/>
              <w:ind w:right="-29"/>
              <w:jc w:val="center"/>
              <w:rPr>
                <w:noProof/>
                <w:sz w:val="18"/>
                <w:szCs w:val="18"/>
              </w:rPr>
            </w:pPr>
          </w:p>
        </w:tc>
        <w:tc>
          <w:tcPr>
            <w:tcW w:w="432" w:type="dxa"/>
            <w:tcBorders>
              <w:top w:val="nil"/>
              <w:left w:val="nil"/>
              <w:bottom w:val="nil"/>
              <w:right w:val="nil"/>
            </w:tcBorders>
          </w:tcPr>
          <w:p w14:paraId="19B92901" w14:textId="77777777" w:rsidR="007C050F" w:rsidRPr="000D0D06" w:rsidRDefault="007C050F" w:rsidP="007C050F">
            <w:pPr>
              <w:spacing w:before="60" w:after="60"/>
              <w:ind w:right="-29"/>
              <w:jc w:val="center"/>
              <w:rPr>
                <w:noProof/>
                <w:sz w:val="18"/>
                <w:szCs w:val="18"/>
              </w:rPr>
            </w:pPr>
          </w:p>
        </w:tc>
        <w:tc>
          <w:tcPr>
            <w:tcW w:w="720" w:type="dxa"/>
            <w:tcBorders>
              <w:top w:val="nil"/>
              <w:left w:val="nil"/>
              <w:bottom w:val="nil"/>
              <w:right w:val="nil"/>
            </w:tcBorders>
          </w:tcPr>
          <w:p w14:paraId="6F66DDC8" w14:textId="77777777" w:rsidR="007C050F" w:rsidRPr="000D0D06" w:rsidRDefault="007C050F" w:rsidP="007C050F">
            <w:pPr>
              <w:spacing w:before="60" w:after="60"/>
              <w:ind w:right="-29"/>
              <w:jc w:val="center"/>
              <w:rPr>
                <w:noProof/>
                <w:sz w:val="18"/>
                <w:szCs w:val="18"/>
              </w:rPr>
            </w:pPr>
          </w:p>
        </w:tc>
        <w:tc>
          <w:tcPr>
            <w:tcW w:w="540" w:type="dxa"/>
            <w:tcBorders>
              <w:top w:val="nil"/>
              <w:left w:val="nil"/>
              <w:bottom w:val="nil"/>
              <w:right w:val="nil"/>
            </w:tcBorders>
          </w:tcPr>
          <w:p w14:paraId="58573A5D" w14:textId="77777777" w:rsidR="007C050F" w:rsidRPr="000D0D06" w:rsidRDefault="007C050F" w:rsidP="007C050F">
            <w:pPr>
              <w:spacing w:before="60" w:after="60"/>
              <w:ind w:right="-29"/>
              <w:jc w:val="center"/>
              <w:rPr>
                <w:noProof/>
                <w:sz w:val="18"/>
                <w:szCs w:val="18"/>
              </w:rPr>
            </w:pPr>
          </w:p>
        </w:tc>
        <w:tc>
          <w:tcPr>
            <w:tcW w:w="720" w:type="dxa"/>
            <w:tcBorders>
              <w:top w:val="nil"/>
              <w:left w:val="nil"/>
              <w:bottom w:val="nil"/>
              <w:right w:val="nil"/>
            </w:tcBorders>
          </w:tcPr>
          <w:p w14:paraId="2566F39A" w14:textId="77777777" w:rsidR="007C050F" w:rsidRPr="000D0D06" w:rsidRDefault="007C050F" w:rsidP="007C050F">
            <w:pPr>
              <w:spacing w:before="60" w:after="60"/>
              <w:ind w:right="-29"/>
              <w:jc w:val="center"/>
              <w:rPr>
                <w:noProof/>
                <w:sz w:val="18"/>
                <w:szCs w:val="18"/>
              </w:rPr>
            </w:pPr>
          </w:p>
        </w:tc>
        <w:tc>
          <w:tcPr>
            <w:tcW w:w="720" w:type="dxa"/>
            <w:tcBorders>
              <w:top w:val="nil"/>
              <w:left w:val="nil"/>
              <w:bottom w:val="nil"/>
              <w:right w:val="nil"/>
            </w:tcBorders>
          </w:tcPr>
          <w:p w14:paraId="799C3169" w14:textId="77777777" w:rsidR="007C050F" w:rsidRPr="000D0D06" w:rsidRDefault="007C050F" w:rsidP="007C050F">
            <w:pPr>
              <w:spacing w:before="60" w:after="60"/>
              <w:ind w:right="-29"/>
              <w:jc w:val="center"/>
              <w:rPr>
                <w:noProof/>
                <w:sz w:val="18"/>
                <w:szCs w:val="18"/>
              </w:rPr>
            </w:pPr>
          </w:p>
        </w:tc>
        <w:tc>
          <w:tcPr>
            <w:tcW w:w="900" w:type="dxa"/>
            <w:tcBorders>
              <w:top w:val="nil"/>
              <w:left w:val="nil"/>
              <w:bottom w:val="nil"/>
              <w:right w:val="nil"/>
            </w:tcBorders>
          </w:tcPr>
          <w:p w14:paraId="78207A82" w14:textId="77777777" w:rsidR="007C050F" w:rsidRPr="000D0D06" w:rsidRDefault="007C050F" w:rsidP="007C050F">
            <w:pPr>
              <w:spacing w:before="60" w:after="60"/>
              <w:ind w:right="-29"/>
              <w:jc w:val="center"/>
              <w:rPr>
                <w:noProof/>
                <w:sz w:val="18"/>
                <w:szCs w:val="18"/>
              </w:rPr>
            </w:pPr>
          </w:p>
        </w:tc>
      </w:tr>
      <w:tr w:rsidR="007C050F" w:rsidRPr="000D0D06" w14:paraId="36F4C237" w14:textId="77777777">
        <w:trPr>
          <w:trHeight w:hRule="exact" w:val="369"/>
          <w:jc w:val="center"/>
        </w:trPr>
        <w:tc>
          <w:tcPr>
            <w:tcW w:w="1423" w:type="dxa"/>
          </w:tcPr>
          <w:p w14:paraId="18BB125A" w14:textId="77777777" w:rsidR="007C050F" w:rsidRPr="000D0D06" w:rsidRDefault="007C050F" w:rsidP="007C050F">
            <w:pPr>
              <w:ind w:right="-29"/>
              <w:jc w:val="center"/>
              <w:rPr>
                <w:noProof/>
                <w:sz w:val="18"/>
                <w:szCs w:val="18"/>
              </w:rPr>
            </w:pPr>
            <w:r w:rsidRPr="000D0D06">
              <w:rPr>
                <w:noProof/>
                <w:sz w:val="18"/>
              </w:rPr>
              <w:t>— Realização</w:t>
            </w:r>
          </w:p>
        </w:tc>
        <w:tc>
          <w:tcPr>
            <w:tcW w:w="720" w:type="dxa"/>
          </w:tcPr>
          <w:p w14:paraId="5BBBB3F3" w14:textId="77777777" w:rsidR="007C050F" w:rsidRPr="000D0D06" w:rsidRDefault="007C050F" w:rsidP="007C050F">
            <w:pPr>
              <w:ind w:right="-29"/>
              <w:jc w:val="center"/>
              <w:rPr>
                <w:noProof/>
                <w:sz w:val="18"/>
                <w:szCs w:val="18"/>
              </w:rPr>
            </w:pPr>
          </w:p>
        </w:tc>
        <w:tc>
          <w:tcPr>
            <w:tcW w:w="701" w:type="dxa"/>
          </w:tcPr>
          <w:p w14:paraId="4AF36664" w14:textId="77777777" w:rsidR="007C050F" w:rsidRPr="000D0D06" w:rsidRDefault="007C050F" w:rsidP="007C050F">
            <w:pPr>
              <w:ind w:right="-29"/>
              <w:jc w:val="center"/>
              <w:rPr>
                <w:noProof/>
                <w:sz w:val="18"/>
                <w:szCs w:val="18"/>
              </w:rPr>
            </w:pPr>
          </w:p>
        </w:tc>
        <w:tc>
          <w:tcPr>
            <w:tcW w:w="504" w:type="dxa"/>
            <w:tcBorders>
              <w:right w:val="dashSmallGap" w:sz="4" w:space="0" w:color="auto"/>
            </w:tcBorders>
          </w:tcPr>
          <w:p w14:paraId="76ABE07E" w14:textId="77777777" w:rsidR="007C050F" w:rsidRPr="000D0D06" w:rsidRDefault="007C050F" w:rsidP="007C050F">
            <w:pPr>
              <w:ind w:right="-29"/>
              <w:jc w:val="center"/>
              <w:rPr>
                <w:noProof/>
                <w:sz w:val="18"/>
                <w:szCs w:val="18"/>
              </w:rPr>
            </w:pPr>
          </w:p>
        </w:tc>
        <w:tc>
          <w:tcPr>
            <w:tcW w:w="720" w:type="dxa"/>
            <w:tcBorders>
              <w:left w:val="dashSmallGap" w:sz="4" w:space="0" w:color="auto"/>
            </w:tcBorders>
          </w:tcPr>
          <w:p w14:paraId="3AD03DA1" w14:textId="77777777" w:rsidR="007C050F" w:rsidRPr="000D0D06" w:rsidRDefault="007C050F" w:rsidP="007C050F">
            <w:pPr>
              <w:ind w:right="-29"/>
              <w:jc w:val="center"/>
              <w:rPr>
                <w:noProof/>
                <w:sz w:val="18"/>
                <w:szCs w:val="18"/>
              </w:rPr>
            </w:pPr>
          </w:p>
        </w:tc>
        <w:tc>
          <w:tcPr>
            <w:tcW w:w="540" w:type="dxa"/>
            <w:tcBorders>
              <w:right w:val="dashSmallGap" w:sz="4" w:space="0" w:color="auto"/>
            </w:tcBorders>
          </w:tcPr>
          <w:p w14:paraId="61D92D11" w14:textId="77777777" w:rsidR="007C050F" w:rsidRPr="000D0D06" w:rsidRDefault="007C050F" w:rsidP="007C050F">
            <w:pPr>
              <w:ind w:right="-29"/>
              <w:jc w:val="center"/>
              <w:rPr>
                <w:noProof/>
                <w:sz w:val="18"/>
                <w:szCs w:val="18"/>
              </w:rPr>
            </w:pPr>
          </w:p>
        </w:tc>
        <w:tc>
          <w:tcPr>
            <w:tcW w:w="720" w:type="dxa"/>
            <w:tcBorders>
              <w:left w:val="dashSmallGap" w:sz="4" w:space="0" w:color="auto"/>
            </w:tcBorders>
          </w:tcPr>
          <w:p w14:paraId="63A2CE60" w14:textId="77777777" w:rsidR="007C050F" w:rsidRPr="000D0D06" w:rsidRDefault="007C050F" w:rsidP="007C050F">
            <w:pPr>
              <w:ind w:right="-29"/>
              <w:jc w:val="center"/>
              <w:rPr>
                <w:noProof/>
                <w:sz w:val="18"/>
                <w:szCs w:val="18"/>
              </w:rPr>
            </w:pPr>
          </w:p>
        </w:tc>
        <w:tc>
          <w:tcPr>
            <w:tcW w:w="720" w:type="dxa"/>
            <w:tcBorders>
              <w:right w:val="dashSmallGap" w:sz="4" w:space="0" w:color="auto"/>
            </w:tcBorders>
          </w:tcPr>
          <w:p w14:paraId="77D4139C" w14:textId="77777777" w:rsidR="007C050F" w:rsidRPr="000D0D06" w:rsidRDefault="007C050F" w:rsidP="007C050F">
            <w:pPr>
              <w:ind w:right="-29"/>
              <w:jc w:val="center"/>
              <w:rPr>
                <w:noProof/>
                <w:sz w:val="18"/>
                <w:szCs w:val="18"/>
              </w:rPr>
            </w:pPr>
          </w:p>
        </w:tc>
        <w:tc>
          <w:tcPr>
            <w:tcW w:w="720" w:type="dxa"/>
            <w:tcBorders>
              <w:left w:val="dashSmallGap" w:sz="4" w:space="0" w:color="auto"/>
            </w:tcBorders>
          </w:tcPr>
          <w:p w14:paraId="1E01469A" w14:textId="77777777" w:rsidR="007C050F" w:rsidRPr="000D0D06" w:rsidRDefault="007C050F" w:rsidP="007C050F">
            <w:pPr>
              <w:ind w:right="-29"/>
              <w:jc w:val="center"/>
              <w:rPr>
                <w:noProof/>
                <w:sz w:val="18"/>
                <w:szCs w:val="18"/>
              </w:rPr>
            </w:pPr>
          </w:p>
        </w:tc>
        <w:tc>
          <w:tcPr>
            <w:tcW w:w="900" w:type="dxa"/>
            <w:tcBorders>
              <w:right w:val="dashSmallGap" w:sz="4" w:space="0" w:color="auto"/>
            </w:tcBorders>
          </w:tcPr>
          <w:p w14:paraId="31FE5065" w14:textId="77777777" w:rsidR="007C050F" w:rsidRPr="000D0D06" w:rsidRDefault="007C050F" w:rsidP="007C050F">
            <w:pPr>
              <w:ind w:right="-29"/>
              <w:jc w:val="center"/>
              <w:rPr>
                <w:noProof/>
                <w:sz w:val="18"/>
                <w:szCs w:val="18"/>
              </w:rPr>
            </w:pPr>
          </w:p>
        </w:tc>
        <w:tc>
          <w:tcPr>
            <w:tcW w:w="720" w:type="dxa"/>
            <w:gridSpan w:val="2"/>
            <w:tcBorders>
              <w:left w:val="dashSmallGap" w:sz="4" w:space="0" w:color="auto"/>
            </w:tcBorders>
          </w:tcPr>
          <w:p w14:paraId="045F135A" w14:textId="77777777" w:rsidR="007C050F" w:rsidRPr="000D0D06" w:rsidRDefault="007C050F" w:rsidP="007C050F">
            <w:pPr>
              <w:ind w:right="-29"/>
              <w:jc w:val="center"/>
              <w:rPr>
                <w:noProof/>
                <w:sz w:val="18"/>
                <w:szCs w:val="18"/>
              </w:rPr>
            </w:pPr>
          </w:p>
        </w:tc>
        <w:tc>
          <w:tcPr>
            <w:tcW w:w="540" w:type="dxa"/>
            <w:tcBorders>
              <w:right w:val="dashSmallGap" w:sz="4" w:space="0" w:color="auto"/>
            </w:tcBorders>
          </w:tcPr>
          <w:p w14:paraId="4E76234F" w14:textId="77777777" w:rsidR="007C050F" w:rsidRPr="000D0D06" w:rsidRDefault="007C050F" w:rsidP="007C050F">
            <w:pPr>
              <w:ind w:right="-29"/>
              <w:jc w:val="center"/>
              <w:rPr>
                <w:noProof/>
                <w:sz w:val="18"/>
                <w:szCs w:val="18"/>
              </w:rPr>
            </w:pPr>
          </w:p>
        </w:tc>
        <w:tc>
          <w:tcPr>
            <w:tcW w:w="648" w:type="dxa"/>
            <w:tcBorders>
              <w:left w:val="dashSmallGap" w:sz="4" w:space="0" w:color="auto"/>
            </w:tcBorders>
          </w:tcPr>
          <w:p w14:paraId="25356FB5" w14:textId="77777777" w:rsidR="007C050F" w:rsidRPr="000D0D06" w:rsidRDefault="007C050F" w:rsidP="007C050F">
            <w:pPr>
              <w:ind w:right="-29"/>
              <w:jc w:val="center"/>
              <w:rPr>
                <w:noProof/>
                <w:sz w:val="18"/>
                <w:szCs w:val="18"/>
              </w:rPr>
            </w:pPr>
          </w:p>
        </w:tc>
        <w:tc>
          <w:tcPr>
            <w:tcW w:w="432" w:type="dxa"/>
            <w:tcBorders>
              <w:right w:val="dashSmallGap" w:sz="4" w:space="0" w:color="auto"/>
            </w:tcBorders>
          </w:tcPr>
          <w:p w14:paraId="0E0B3CB6" w14:textId="77777777" w:rsidR="007C050F" w:rsidRPr="000D0D06" w:rsidRDefault="007C050F" w:rsidP="007C050F">
            <w:pPr>
              <w:ind w:right="-29"/>
              <w:jc w:val="center"/>
              <w:rPr>
                <w:noProof/>
                <w:sz w:val="18"/>
                <w:szCs w:val="18"/>
              </w:rPr>
            </w:pPr>
          </w:p>
        </w:tc>
        <w:tc>
          <w:tcPr>
            <w:tcW w:w="720" w:type="dxa"/>
            <w:tcBorders>
              <w:left w:val="dashSmallGap" w:sz="4" w:space="0" w:color="auto"/>
            </w:tcBorders>
          </w:tcPr>
          <w:p w14:paraId="6024D04E" w14:textId="77777777" w:rsidR="007C050F" w:rsidRPr="000D0D06" w:rsidRDefault="007C050F" w:rsidP="007C050F">
            <w:pPr>
              <w:ind w:right="-29"/>
              <w:jc w:val="center"/>
              <w:rPr>
                <w:noProof/>
                <w:sz w:val="18"/>
                <w:szCs w:val="18"/>
              </w:rPr>
            </w:pPr>
          </w:p>
        </w:tc>
        <w:tc>
          <w:tcPr>
            <w:tcW w:w="540" w:type="dxa"/>
            <w:tcBorders>
              <w:right w:val="dashSmallGap" w:sz="4" w:space="0" w:color="auto"/>
            </w:tcBorders>
          </w:tcPr>
          <w:p w14:paraId="7F583765" w14:textId="77777777" w:rsidR="007C050F" w:rsidRPr="000D0D06" w:rsidRDefault="007C050F" w:rsidP="007C050F">
            <w:pPr>
              <w:ind w:right="-29"/>
              <w:jc w:val="center"/>
              <w:rPr>
                <w:noProof/>
                <w:sz w:val="18"/>
                <w:szCs w:val="18"/>
              </w:rPr>
            </w:pPr>
          </w:p>
        </w:tc>
        <w:tc>
          <w:tcPr>
            <w:tcW w:w="720" w:type="dxa"/>
            <w:tcBorders>
              <w:left w:val="dashSmallGap" w:sz="4" w:space="0" w:color="auto"/>
            </w:tcBorders>
          </w:tcPr>
          <w:p w14:paraId="76520F94" w14:textId="77777777" w:rsidR="007C050F" w:rsidRPr="000D0D06" w:rsidRDefault="007C050F" w:rsidP="007C050F">
            <w:pPr>
              <w:ind w:right="-29"/>
              <w:jc w:val="center"/>
              <w:rPr>
                <w:noProof/>
                <w:sz w:val="18"/>
                <w:szCs w:val="18"/>
              </w:rPr>
            </w:pPr>
          </w:p>
        </w:tc>
        <w:tc>
          <w:tcPr>
            <w:tcW w:w="720" w:type="dxa"/>
          </w:tcPr>
          <w:p w14:paraId="452CA491" w14:textId="77777777" w:rsidR="007C050F" w:rsidRPr="000D0D06" w:rsidRDefault="007C050F" w:rsidP="007C050F">
            <w:pPr>
              <w:ind w:right="-29"/>
              <w:jc w:val="center"/>
              <w:rPr>
                <w:noProof/>
                <w:sz w:val="18"/>
                <w:szCs w:val="18"/>
              </w:rPr>
            </w:pPr>
          </w:p>
        </w:tc>
        <w:tc>
          <w:tcPr>
            <w:tcW w:w="900" w:type="dxa"/>
          </w:tcPr>
          <w:p w14:paraId="5CB215A2" w14:textId="77777777" w:rsidR="007C050F" w:rsidRPr="000D0D06" w:rsidRDefault="007C050F" w:rsidP="007C050F">
            <w:pPr>
              <w:ind w:right="-29"/>
              <w:jc w:val="center"/>
              <w:rPr>
                <w:noProof/>
                <w:sz w:val="18"/>
                <w:szCs w:val="18"/>
              </w:rPr>
            </w:pPr>
          </w:p>
        </w:tc>
      </w:tr>
      <w:tr w:rsidR="007C050F" w:rsidRPr="000D0D06" w14:paraId="56C9A9A2" w14:textId="77777777">
        <w:trPr>
          <w:trHeight w:hRule="exact" w:val="369"/>
          <w:jc w:val="center"/>
        </w:trPr>
        <w:tc>
          <w:tcPr>
            <w:tcW w:w="1423" w:type="dxa"/>
          </w:tcPr>
          <w:p w14:paraId="66CB9411" w14:textId="77777777" w:rsidR="007C050F" w:rsidRPr="000D0D06" w:rsidRDefault="007C050F" w:rsidP="007C050F">
            <w:pPr>
              <w:ind w:right="-29"/>
              <w:jc w:val="center"/>
              <w:rPr>
                <w:noProof/>
                <w:sz w:val="18"/>
                <w:szCs w:val="18"/>
              </w:rPr>
            </w:pPr>
            <w:r w:rsidRPr="000D0D06">
              <w:rPr>
                <w:noProof/>
                <w:sz w:val="18"/>
              </w:rPr>
              <w:t>— Realização</w:t>
            </w:r>
          </w:p>
        </w:tc>
        <w:tc>
          <w:tcPr>
            <w:tcW w:w="720" w:type="dxa"/>
          </w:tcPr>
          <w:p w14:paraId="2AFC3315" w14:textId="77777777" w:rsidR="007C050F" w:rsidRPr="000D0D06" w:rsidRDefault="007C050F" w:rsidP="007C050F">
            <w:pPr>
              <w:ind w:right="-29"/>
              <w:jc w:val="center"/>
              <w:rPr>
                <w:noProof/>
                <w:sz w:val="18"/>
                <w:szCs w:val="18"/>
              </w:rPr>
            </w:pPr>
          </w:p>
        </w:tc>
        <w:tc>
          <w:tcPr>
            <w:tcW w:w="701" w:type="dxa"/>
          </w:tcPr>
          <w:p w14:paraId="28407D7A" w14:textId="77777777" w:rsidR="007C050F" w:rsidRPr="000D0D06" w:rsidRDefault="007C050F" w:rsidP="007C050F">
            <w:pPr>
              <w:ind w:right="-29"/>
              <w:jc w:val="center"/>
              <w:rPr>
                <w:noProof/>
                <w:sz w:val="18"/>
                <w:szCs w:val="18"/>
              </w:rPr>
            </w:pPr>
          </w:p>
        </w:tc>
        <w:tc>
          <w:tcPr>
            <w:tcW w:w="504" w:type="dxa"/>
            <w:tcBorders>
              <w:right w:val="dashSmallGap" w:sz="4" w:space="0" w:color="auto"/>
            </w:tcBorders>
          </w:tcPr>
          <w:p w14:paraId="4D1A8AC9" w14:textId="77777777" w:rsidR="007C050F" w:rsidRPr="000D0D06" w:rsidRDefault="007C050F" w:rsidP="007C050F">
            <w:pPr>
              <w:ind w:right="-29"/>
              <w:jc w:val="center"/>
              <w:rPr>
                <w:noProof/>
                <w:sz w:val="18"/>
                <w:szCs w:val="18"/>
              </w:rPr>
            </w:pPr>
          </w:p>
        </w:tc>
        <w:tc>
          <w:tcPr>
            <w:tcW w:w="720" w:type="dxa"/>
            <w:tcBorders>
              <w:left w:val="dashSmallGap" w:sz="4" w:space="0" w:color="auto"/>
            </w:tcBorders>
          </w:tcPr>
          <w:p w14:paraId="0E4B1637" w14:textId="77777777" w:rsidR="007C050F" w:rsidRPr="000D0D06" w:rsidRDefault="007C050F" w:rsidP="007C050F">
            <w:pPr>
              <w:ind w:right="-29"/>
              <w:jc w:val="center"/>
              <w:rPr>
                <w:noProof/>
                <w:sz w:val="18"/>
                <w:szCs w:val="18"/>
              </w:rPr>
            </w:pPr>
          </w:p>
        </w:tc>
        <w:tc>
          <w:tcPr>
            <w:tcW w:w="540" w:type="dxa"/>
            <w:tcBorders>
              <w:right w:val="dashSmallGap" w:sz="4" w:space="0" w:color="auto"/>
            </w:tcBorders>
          </w:tcPr>
          <w:p w14:paraId="71A0039C" w14:textId="77777777" w:rsidR="007C050F" w:rsidRPr="000D0D06" w:rsidRDefault="007C050F" w:rsidP="007C050F">
            <w:pPr>
              <w:ind w:right="-29"/>
              <w:jc w:val="center"/>
              <w:rPr>
                <w:noProof/>
                <w:sz w:val="18"/>
                <w:szCs w:val="18"/>
              </w:rPr>
            </w:pPr>
          </w:p>
        </w:tc>
        <w:tc>
          <w:tcPr>
            <w:tcW w:w="720" w:type="dxa"/>
            <w:tcBorders>
              <w:left w:val="dashSmallGap" w:sz="4" w:space="0" w:color="auto"/>
            </w:tcBorders>
          </w:tcPr>
          <w:p w14:paraId="22B76A64" w14:textId="77777777" w:rsidR="007C050F" w:rsidRPr="000D0D06" w:rsidRDefault="007C050F" w:rsidP="007C050F">
            <w:pPr>
              <w:ind w:right="-29"/>
              <w:jc w:val="center"/>
              <w:rPr>
                <w:noProof/>
                <w:sz w:val="18"/>
                <w:szCs w:val="18"/>
              </w:rPr>
            </w:pPr>
          </w:p>
        </w:tc>
        <w:tc>
          <w:tcPr>
            <w:tcW w:w="720" w:type="dxa"/>
            <w:tcBorders>
              <w:right w:val="dashSmallGap" w:sz="4" w:space="0" w:color="auto"/>
            </w:tcBorders>
          </w:tcPr>
          <w:p w14:paraId="71793566" w14:textId="77777777" w:rsidR="007C050F" w:rsidRPr="000D0D06" w:rsidRDefault="007C050F" w:rsidP="007C050F">
            <w:pPr>
              <w:ind w:right="-29"/>
              <w:jc w:val="center"/>
              <w:rPr>
                <w:noProof/>
                <w:sz w:val="18"/>
                <w:szCs w:val="18"/>
              </w:rPr>
            </w:pPr>
          </w:p>
        </w:tc>
        <w:tc>
          <w:tcPr>
            <w:tcW w:w="720" w:type="dxa"/>
            <w:tcBorders>
              <w:left w:val="dashSmallGap" w:sz="4" w:space="0" w:color="auto"/>
            </w:tcBorders>
          </w:tcPr>
          <w:p w14:paraId="5202774D" w14:textId="77777777" w:rsidR="007C050F" w:rsidRPr="000D0D06" w:rsidRDefault="007C050F" w:rsidP="007C050F">
            <w:pPr>
              <w:ind w:right="-29"/>
              <w:jc w:val="center"/>
              <w:rPr>
                <w:noProof/>
                <w:sz w:val="18"/>
                <w:szCs w:val="18"/>
              </w:rPr>
            </w:pPr>
          </w:p>
        </w:tc>
        <w:tc>
          <w:tcPr>
            <w:tcW w:w="900" w:type="dxa"/>
            <w:tcBorders>
              <w:right w:val="dashSmallGap" w:sz="4" w:space="0" w:color="auto"/>
            </w:tcBorders>
          </w:tcPr>
          <w:p w14:paraId="43A79885" w14:textId="77777777" w:rsidR="007C050F" w:rsidRPr="000D0D06" w:rsidRDefault="007C050F" w:rsidP="007C050F">
            <w:pPr>
              <w:ind w:right="-29"/>
              <w:jc w:val="center"/>
              <w:rPr>
                <w:noProof/>
                <w:sz w:val="18"/>
                <w:szCs w:val="18"/>
              </w:rPr>
            </w:pPr>
          </w:p>
        </w:tc>
        <w:tc>
          <w:tcPr>
            <w:tcW w:w="720" w:type="dxa"/>
            <w:gridSpan w:val="2"/>
            <w:tcBorders>
              <w:left w:val="dashSmallGap" w:sz="4" w:space="0" w:color="auto"/>
            </w:tcBorders>
          </w:tcPr>
          <w:p w14:paraId="0F92EE1A" w14:textId="77777777" w:rsidR="007C050F" w:rsidRPr="000D0D06" w:rsidRDefault="007C050F" w:rsidP="007C050F">
            <w:pPr>
              <w:ind w:right="-29"/>
              <w:jc w:val="center"/>
              <w:rPr>
                <w:noProof/>
                <w:sz w:val="18"/>
                <w:szCs w:val="18"/>
              </w:rPr>
            </w:pPr>
          </w:p>
        </w:tc>
        <w:tc>
          <w:tcPr>
            <w:tcW w:w="540" w:type="dxa"/>
            <w:tcBorders>
              <w:right w:val="dashSmallGap" w:sz="4" w:space="0" w:color="auto"/>
            </w:tcBorders>
          </w:tcPr>
          <w:p w14:paraId="12C50F60" w14:textId="77777777" w:rsidR="007C050F" w:rsidRPr="000D0D06" w:rsidRDefault="007C050F" w:rsidP="007C050F">
            <w:pPr>
              <w:ind w:right="-29"/>
              <w:jc w:val="center"/>
              <w:rPr>
                <w:noProof/>
                <w:sz w:val="18"/>
                <w:szCs w:val="18"/>
              </w:rPr>
            </w:pPr>
          </w:p>
        </w:tc>
        <w:tc>
          <w:tcPr>
            <w:tcW w:w="648" w:type="dxa"/>
            <w:tcBorders>
              <w:left w:val="dashSmallGap" w:sz="4" w:space="0" w:color="auto"/>
            </w:tcBorders>
          </w:tcPr>
          <w:p w14:paraId="2CEB84A2" w14:textId="77777777" w:rsidR="007C050F" w:rsidRPr="000D0D06" w:rsidRDefault="007C050F" w:rsidP="007C050F">
            <w:pPr>
              <w:ind w:right="-29"/>
              <w:jc w:val="center"/>
              <w:rPr>
                <w:noProof/>
                <w:sz w:val="18"/>
                <w:szCs w:val="18"/>
              </w:rPr>
            </w:pPr>
          </w:p>
        </w:tc>
        <w:tc>
          <w:tcPr>
            <w:tcW w:w="432" w:type="dxa"/>
            <w:tcBorders>
              <w:right w:val="dashSmallGap" w:sz="4" w:space="0" w:color="auto"/>
            </w:tcBorders>
          </w:tcPr>
          <w:p w14:paraId="624BFB83" w14:textId="77777777" w:rsidR="007C050F" w:rsidRPr="000D0D06" w:rsidRDefault="007C050F" w:rsidP="007C050F">
            <w:pPr>
              <w:ind w:right="-29"/>
              <w:jc w:val="center"/>
              <w:rPr>
                <w:noProof/>
                <w:sz w:val="18"/>
                <w:szCs w:val="18"/>
              </w:rPr>
            </w:pPr>
          </w:p>
        </w:tc>
        <w:tc>
          <w:tcPr>
            <w:tcW w:w="720" w:type="dxa"/>
            <w:tcBorders>
              <w:left w:val="dashSmallGap" w:sz="4" w:space="0" w:color="auto"/>
            </w:tcBorders>
          </w:tcPr>
          <w:p w14:paraId="17FCC76E" w14:textId="77777777" w:rsidR="007C050F" w:rsidRPr="000D0D06" w:rsidRDefault="007C050F" w:rsidP="007C050F">
            <w:pPr>
              <w:ind w:right="-29"/>
              <w:jc w:val="center"/>
              <w:rPr>
                <w:noProof/>
                <w:sz w:val="18"/>
                <w:szCs w:val="18"/>
              </w:rPr>
            </w:pPr>
          </w:p>
        </w:tc>
        <w:tc>
          <w:tcPr>
            <w:tcW w:w="540" w:type="dxa"/>
            <w:tcBorders>
              <w:right w:val="dashSmallGap" w:sz="4" w:space="0" w:color="auto"/>
            </w:tcBorders>
          </w:tcPr>
          <w:p w14:paraId="577B7D95" w14:textId="77777777" w:rsidR="007C050F" w:rsidRPr="000D0D06" w:rsidRDefault="007C050F" w:rsidP="007C050F">
            <w:pPr>
              <w:ind w:right="-29"/>
              <w:jc w:val="center"/>
              <w:rPr>
                <w:noProof/>
                <w:sz w:val="18"/>
                <w:szCs w:val="18"/>
              </w:rPr>
            </w:pPr>
          </w:p>
        </w:tc>
        <w:tc>
          <w:tcPr>
            <w:tcW w:w="720" w:type="dxa"/>
            <w:tcBorders>
              <w:left w:val="dashSmallGap" w:sz="4" w:space="0" w:color="auto"/>
            </w:tcBorders>
          </w:tcPr>
          <w:p w14:paraId="378DA6EE" w14:textId="77777777" w:rsidR="007C050F" w:rsidRPr="000D0D06" w:rsidRDefault="007C050F" w:rsidP="007C050F">
            <w:pPr>
              <w:ind w:right="-29"/>
              <w:jc w:val="center"/>
              <w:rPr>
                <w:noProof/>
                <w:sz w:val="18"/>
                <w:szCs w:val="18"/>
              </w:rPr>
            </w:pPr>
          </w:p>
        </w:tc>
        <w:tc>
          <w:tcPr>
            <w:tcW w:w="720" w:type="dxa"/>
          </w:tcPr>
          <w:p w14:paraId="5049BE38" w14:textId="77777777" w:rsidR="007C050F" w:rsidRPr="000D0D06" w:rsidRDefault="007C050F" w:rsidP="007C050F">
            <w:pPr>
              <w:ind w:right="-29"/>
              <w:jc w:val="center"/>
              <w:rPr>
                <w:noProof/>
                <w:sz w:val="18"/>
                <w:szCs w:val="18"/>
              </w:rPr>
            </w:pPr>
          </w:p>
        </w:tc>
        <w:tc>
          <w:tcPr>
            <w:tcW w:w="900" w:type="dxa"/>
          </w:tcPr>
          <w:p w14:paraId="3813484E" w14:textId="77777777" w:rsidR="007C050F" w:rsidRPr="000D0D06" w:rsidRDefault="007C050F" w:rsidP="007C050F">
            <w:pPr>
              <w:ind w:right="-29"/>
              <w:jc w:val="center"/>
              <w:rPr>
                <w:noProof/>
                <w:sz w:val="18"/>
                <w:szCs w:val="18"/>
              </w:rPr>
            </w:pPr>
          </w:p>
        </w:tc>
      </w:tr>
      <w:tr w:rsidR="007C050F" w:rsidRPr="000D0D06" w14:paraId="7A3D5D83" w14:textId="77777777">
        <w:trPr>
          <w:trHeight w:hRule="exact" w:val="369"/>
          <w:jc w:val="center"/>
        </w:trPr>
        <w:tc>
          <w:tcPr>
            <w:tcW w:w="1423" w:type="dxa"/>
          </w:tcPr>
          <w:p w14:paraId="117D88C4" w14:textId="77777777" w:rsidR="007C050F" w:rsidRPr="000D0D06" w:rsidRDefault="007C050F" w:rsidP="007C050F">
            <w:pPr>
              <w:ind w:right="-29"/>
              <w:jc w:val="center"/>
              <w:rPr>
                <w:noProof/>
                <w:sz w:val="18"/>
                <w:szCs w:val="18"/>
              </w:rPr>
            </w:pPr>
            <w:r w:rsidRPr="000D0D06">
              <w:rPr>
                <w:noProof/>
                <w:sz w:val="18"/>
              </w:rPr>
              <w:t>— Realização</w:t>
            </w:r>
          </w:p>
        </w:tc>
        <w:tc>
          <w:tcPr>
            <w:tcW w:w="720" w:type="dxa"/>
          </w:tcPr>
          <w:p w14:paraId="17F483AC" w14:textId="77777777" w:rsidR="007C050F" w:rsidRPr="000D0D06" w:rsidRDefault="007C050F" w:rsidP="007C050F">
            <w:pPr>
              <w:ind w:right="-29"/>
              <w:jc w:val="center"/>
              <w:rPr>
                <w:noProof/>
                <w:sz w:val="18"/>
                <w:szCs w:val="18"/>
              </w:rPr>
            </w:pPr>
          </w:p>
        </w:tc>
        <w:tc>
          <w:tcPr>
            <w:tcW w:w="701" w:type="dxa"/>
          </w:tcPr>
          <w:p w14:paraId="1A6C275E" w14:textId="77777777" w:rsidR="007C050F" w:rsidRPr="000D0D06" w:rsidRDefault="007C050F" w:rsidP="007C050F">
            <w:pPr>
              <w:ind w:right="-29"/>
              <w:jc w:val="center"/>
              <w:rPr>
                <w:noProof/>
                <w:sz w:val="18"/>
                <w:szCs w:val="18"/>
              </w:rPr>
            </w:pPr>
          </w:p>
        </w:tc>
        <w:tc>
          <w:tcPr>
            <w:tcW w:w="504" w:type="dxa"/>
          </w:tcPr>
          <w:p w14:paraId="422EF85F" w14:textId="77777777" w:rsidR="007C050F" w:rsidRPr="000D0D06" w:rsidRDefault="007C050F" w:rsidP="007C050F">
            <w:pPr>
              <w:ind w:right="-29"/>
              <w:jc w:val="center"/>
              <w:rPr>
                <w:noProof/>
                <w:sz w:val="18"/>
                <w:szCs w:val="18"/>
              </w:rPr>
            </w:pPr>
          </w:p>
        </w:tc>
        <w:tc>
          <w:tcPr>
            <w:tcW w:w="720" w:type="dxa"/>
          </w:tcPr>
          <w:p w14:paraId="1EFB2955" w14:textId="77777777" w:rsidR="007C050F" w:rsidRPr="000D0D06" w:rsidRDefault="007C050F" w:rsidP="007C050F">
            <w:pPr>
              <w:ind w:right="-29"/>
              <w:jc w:val="center"/>
              <w:rPr>
                <w:noProof/>
                <w:sz w:val="18"/>
                <w:szCs w:val="18"/>
              </w:rPr>
            </w:pPr>
          </w:p>
        </w:tc>
        <w:tc>
          <w:tcPr>
            <w:tcW w:w="540" w:type="dxa"/>
          </w:tcPr>
          <w:p w14:paraId="246D6D09" w14:textId="77777777" w:rsidR="007C050F" w:rsidRPr="000D0D06" w:rsidRDefault="007C050F" w:rsidP="007C050F">
            <w:pPr>
              <w:ind w:right="-29"/>
              <w:jc w:val="center"/>
              <w:rPr>
                <w:noProof/>
                <w:sz w:val="18"/>
                <w:szCs w:val="18"/>
              </w:rPr>
            </w:pPr>
          </w:p>
        </w:tc>
        <w:tc>
          <w:tcPr>
            <w:tcW w:w="720" w:type="dxa"/>
          </w:tcPr>
          <w:p w14:paraId="14FCACDE" w14:textId="77777777" w:rsidR="007C050F" w:rsidRPr="000D0D06" w:rsidRDefault="007C050F" w:rsidP="007C050F">
            <w:pPr>
              <w:ind w:right="-29"/>
              <w:jc w:val="center"/>
              <w:rPr>
                <w:noProof/>
                <w:sz w:val="18"/>
                <w:szCs w:val="18"/>
              </w:rPr>
            </w:pPr>
          </w:p>
        </w:tc>
        <w:tc>
          <w:tcPr>
            <w:tcW w:w="720" w:type="dxa"/>
          </w:tcPr>
          <w:p w14:paraId="3C8075C6" w14:textId="77777777" w:rsidR="007C050F" w:rsidRPr="000D0D06" w:rsidRDefault="007C050F" w:rsidP="007C050F">
            <w:pPr>
              <w:ind w:right="-29"/>
              <w:jc w:val="center"/>
              <w:rPr>
                <w:noProof/>
                <w:sz w:val="18"/>
                <w:szCs w:val="18"/>
              </w:rPr>
            </w:pPr>
          </w:p>
        </w:tc>
        <w:tc>
          <w:tcPr>
            <w:tcW w:w="720" w:type="dxa"/>
          </w:tcPr>
          <w:p w14:paraId="2732FE74" w14:textId="77777777" w:rsidR="007C050F" w:rsidRPr="000D0D06" w:rsidRDefault="007C050F" w:rsidP="007C050F">
            <w:pPr>
              <w:ind w:right="-29"/>
              <w:jc w:val="center"/>
              <w:rPr>
                <w:noProof/>
                <w:sz w:val="18"/>
                <w:szCs w:val="18"/>
              </w:rPr>
            </w:pPr>
          </w:p>
        </w:tc>
        <w:tc>
          <w:tcPr>
            <w:tcW w:w="900" w:type="dxa"/>
          </w:tcPr>
          <w:p w14:paraId="6A587397" w14:textId="77777777" w:rsidR="007C050F" w:rsidRPr="000D0D06" w:rsidRDefault="007C050F" w:rsidP="007C050F">
            <w:pPr>
              <w:ind w:right="-29"/>
              <w:jc w:val="center"/>
              <w:rPr>
                <w:noProof/>
                <w:sz w:val="18"/>
                <w:szCs w:val="18"/>
              </w:rPr>
            </w:pPr>
          </w:p>
        </w:tc>
        <w:tc>
          <w:tcPr>
            <w:tcW w:w="720" w:type="dxa"/>
            <w:gridSpan w:val="2"/>
          </w:tcPr>
          <w:p w14:paraId="5E5764AF" w14:textId="77777777" w:rsidR="007C050F" w:rsidRPr="000D0D06" w:rsidRDefault="007C050F" w:rsidP="007C050F">
            <w:pPr>
              <w:ind w:right="-29"/>
              <w:jc w:val="center"/>
              <w:rPr>
                <w:noProof/>
                <w:sz w:val="18"/>
                <w:szCs w:val="18"/>
              </w:rPr>
            </w:pPr>
          </w:p>
        </w:tc>
        <w:tc>
          <w:tcPr>
            <w:tcW w:w="540" w:type="dxa"/>
          </w:tcPr>
          <w:p w14:paraId="59BE7EF1" w14:textId="77777777" w:rsidR="007C050F" w:rsidRPr="000D0D06" w:rsidRDefault="007C050F" w:rsidP="007C050F">
            <w:pPr>
              <w:ind w:right="-29"/>
              <w:jc w:val="center"/>
              <w:rPr>
                <w:noProof/>
                <w:sz w:val="18"/>
                <w:szCs w:val="18"/>
              </w:rPr>
            </w:pPr>
          </w:p>
        </w:tc>
        <w:tc>
          <w:tcPr>
            <w:tcW w:w="648" w:type="dxa"/>
          </w:tcPr>
          <w:p w14:paraId="7C18B691" w14:textId="77777777" w:rsidR="007C050F" w:rsidRPr="000D0D06" w:rsidRDefault="007C050F" w:rsidP="007C050F">
            <w:pPr>
              <w:ind w:right="-29"/>
              <w:jc w:val="center"/>
              <w:rPr>
                <w:noProof/>
                <w:sz w:val="18"/>
                <w:szCs w:val="18"/>
              </w:rPr>
            </w:pPr>
          </w:p>
        </w:tc>
        <w:tc>
          <w:tcPr>
            <w:tcW w:w="432" w:type="dxa"/>
          </w:tcPr>
          <w:p w14:paraId="5B20E2C4" w14:textId="77777777" w:rsidR="007C050F" w:rsidRPr="000D0D06" w:rsidRDefault="007C050F" w:rsidP="007C050F">
            <w:pPr>
              <w:ind w:right="-29"/>
              <w:jc w:val="center"/>
              <w:rPr>
                <w:noProof/>
                <w:sz w:val="18"/>
                <w:szCs w:val="18"/>
              </w:rPr>
            </w:pPr>
          </w:p>
        </w:tc>
        <w:tc>
          <w:tcPr>
            <w:tcW w:w="720" w:type="dxa"/>
          </w:tcPr>
          <w:p w14:paraId="17A8706B" w14:textId="77777777" w:rsidR="007C050F" w:rsidRPr="000D0D06" w:rsidRDefault="007C050F" w:rsidP="007C050F">
            <w:pPr>
              <w:ind w:right="-29"/>
              <w:jc w:val="center"/>
              <w:rPr>
                <w:noProof/>
                <w:sz w:val="18"/>
                <w:szCs w:val="18"/>
              </w:rPr>
            </w:pPr>
          </w:p>
        </w:tc>
        <w:tc>
          <w:tcPr>
            <w:tcW w:w="540" w:type="dxa"/>
          </w:tcPr>
          <w:p w14:paraId="33ED6BF9" w14:textId="77777777" w:rsidR="007C050F" w:rsidRPr="000D0D06" w:rsidRDefault="007C050F" w:rsidP="007C050F">
            <w:pPr>
              <w:ind w:right="-29"/>
              <w:jc w:val="center"/>
              <w:rPr>
                <w:noProof/>
                <w:sz w:val="18"/>
                <w:szCs w:val="18"/>
              </w:rPr>
            </w:pPr>
          </w:p>
        </w:tc>
        <w:tc>
          <w:tcPr>
            <w:tcW w:w="720" w:type="dxa"/>
          </w:tcPr>
          <w:p w14:paraId="365404A7" w14:textId="77777777" w:rsidR="007C050F" w:rsidRPr="000D0D06" w:rsidRDefault="007C050F" w:rsidP="007C050F">
            <w:pPr>
              <w:ind w:right="-29"/>
              <w:jc w:val="center"/>
              <w:rPr>
                <w:noProof/>
                <w:sz w:val="18"/>
                <w:szCs w:val="18"/>
              </w:rPr>
            </w:pPr>
          </w:p>
        </w:tc>
        <w:tc>
          <w:tcPr>
            <w:tcW w:w="720" w:type="dxa"/>
          </w:tcPr>
          <w:p w14:paraId="5043424C" w14:textId="77777777" w:rsidR="007C050F" w:rsidRPr="000D0D06" w:rsidRDefault="007C050F" w:rsidP="007C050F">
            <w:pPr>
              <w:ind w:right="-29"/>
              <w:jc w:val="center"/>
              <w:rPr>
                <w:noProof/>
                <w:sz w:val="18"/>
                <w:szCs w:val="18"/>
              </w:rPr>
            </w:pPr>
          </w:p>
        </w:tc>
        <w:tc>
          <w:tcPr>
            <w:tcW w:w="900" w:type="dxa"/>
          </w:tcPr>
          <w:p w14:paraId="3F535053" w14:textId="77777777" w:rsidR="007C050F" w:rsidRPr="000D0D06" w:rsidRDefault="007C050F" w:rsidP="007C050F">
            <w:pPr>
              <w:ind w:right="-29"/>
              <w:jc w:val="center"/>
              <w:rPr>
                <w:noProof/>
                <w:sz w:val="18"/>
                <w:szCs w:val="18"/>
              </w:rPr>
            </w:pPr>
          </w:p>
        </w:tc>
      </w:tr>
      <w:tr w:rsidR="007C050F" w:rsidRPr="000D0D06" w14:paraId="0C8B24AE" w14:textId="77777777">
        <w:trPr>
          <w:trHeight w:val="77"/>
          <w:jc w:val="center"/>
        </w:trPr>
        <w:tc>
          <w:tcPr>
            <w:tcW w:w="2844" w:type="dxa"/>
            <w:gridSpan w:val="3"/>
            <w:tcBorders>
              <w:bottom w:val="single" w:sz="12" w:space="0" w:color="auto"/>
            </w:tcBorders>
            <w:vAlign w:val="center"/>
          </w:tcPr>
          <w:p w14:paraId="1F3950DF" w14:textId="77777777" w:rsidR="007C050F" w:rsidRPr="000D0D06" w:rsidRDefault="007C050F" w:rsidP="007C050F">
            <w:pPr>
              <w:ind w:right="-29"/>
              <w:jc w:val="center"/>
              <w:rPr>
                <w:noProof/>
                <w:sz w:val="18"/>
                <w:szCs w:val="18"/>
              </w:rPr>
            </w:pPr>
            <w:r w:rsidRPr="000D0D06">
              <w:rPr>
                <w:noProof/>
                <w:sz w:val="18"/>
              </w:rPr>
              <w:t>Subtotal do objetivo específico n.º 1</w:t>
            </w:r>
          </w:p>
        </w:tc>
        <w:tc>
          <w:tcPr>
            <w:tcW w:w="504" w:type="dxa"/>
            <w:tcBorders>
              <w:bottom w:val="single" w:sz="12" w:space="0" w:color="auto"/>
            </w:tcBorders>
          </w:tcPr>
          <w:p w14:paraId="74E02C3D" w14:textId="77777777" w:rsidR="007C050F" w:rsidRPr="000D0D06" w:rsidRDefault="007C050F" w:rsidP="007C050F">
            <w:pPr>
              <w:ind w:right="-29"/>
              <w:jc w:val="center"/>
              <w:rPr>
                <w:noProof/>
                <w:sz w:val="18"/>
                <w:szCs w:val="18"/>
              </w:rPr>
            </w:pPr>
          </w:p>
        </w:tc>
        <w:tc>
          <w:tcPr>
            <w:tcW w:w="720" w:type="dxa"/>
            <w:tcBorders>
              <w:bottom w:val="single" w:sz="12" w:space="0" w:color="auto"/>
            </w:tcBorders>
          </w:tcPr>
          <w:p w14:paraId="570E06F6" w14:textId="77777777" w:rsidR="007C050F" w:rsidRPr="000D0D06" w:rsidRDefault="007C050F" w:rsidP="007C050F">
            <w:pPr>
              <w:ind w:right="-29"/>
              <w:jc w:val="center"/>
              <w:rPr>
                <w:noProof/>
                <w:sz w:val="18"/>
                <w:szCs w:val="18"/>
              </w:rPr>
            </w:pPr>
          </w:p>
        </w:tc>
        <w:tc>
          <w:tcPr>
            <w:tcW w:w="540" w:type="dxa"/>
            <w:tcBorders>
              <w:bottom w:val="single" w:sz="12" w:space="0" w:color="auto"/>
            </w:tcBorders>
          </w:tcPr>
          <w:p w14:paraId="502DED4C" w14:textId="77777777" w:rsidR="007C050F" w:rsidRPr="000D0D06" w:rsidRDefault="007C050F" w:rsidP="007C050F">
            <w:pPr>
              <w:ind w:right="-29"/>
              <w:jc w:val="center"/>
              <w:rPr>
                <w:noProof/>
                <w:sz w:val="18"/>
                <w:szCs w:val="18"/>
              </w:rPr>
            </w:pPr>
          </w:p>
        </w:tc>
        <w:tc>
          <w:tcPr>
            <w:tcW w:w="720" w:type="dxa"/>
            <w:tcBorders>
              <w:bottom w:val="single" w:sz="12" w:space="0" w:color="auto"/>
            </w:tcBorders>
          </w:tcPr>
          <w:p w14:paraId="0CF565F6" w14:textId="77777777" w:rsidR="007C050F" w:rsidRPr="000D0D06" w:rsidRDefault="007C050F" w:rsidP="007C050F">
            <w:pPr>
              <w:ind w:right="-29"/>
              <w:jc w:val="center"/>
              <w:rPr>
                <w:noProof/>
                <w:sz w:val="18"/>
                <w:szCs w:val="18"/>
              </w:rPr>
            </w:pPr>
          </w:p>
        </w:tc>
        <w:tc>
          <w:tcPr>
            <w:tcW w:w="720" w:type="dxa"/>
            <w:tcBorders>
              <w:bottom w:val="single" w:sz="12" w:space="0" w:color="auto"/>
            </w:tcBorders>
          </w:tcPr>
          <w:p w14:paraId="3D5550AE" w14:textId="77777777" w:rsidR="007C050F" w:rsidRPr="000D0D06" w:rsidRDefault="007C050F" w:rsidP="007C050F">
            <w:pPr>
              <w:ind w:right="-29"/>
              <w:jc w:val="center"/>
              <w:rPr>
                <w:noProof/>
                <w:sz w:val="18"/>
                <w:szCs w:val="18"/>
              </w:rPr>
            </w:pPr>
          </w:p>
        </w:tc>
        <w:tc>
          <w:tcPr>
            <w:tcW w:w="720" w:type="dxa"/>
            <w:tcBorders>
              <w:bottom w:val="single" w:sz="12" w:space="0" w:color="auto"/>
            </w:tcBorders>
          </w:tcPr>
          <w:p w14:paraId="0D04F38A" w14:textId="77777777" w:rsidR="007C050F" w:rsidRPr="000D0D06" w:rsidRDefault="007C050F" w:rsidP="007C050F">
            <w:pPr>
              <w:ind w:right="-29"/>
              <w:jc w:val="center"/>
              <w:rPr>
                <w:noProof/>
                <w:sz w:val="18"/>
                <w:szCs w:val="18"/>
              </w:rPr>
            </w:pPr>
          </w:p>
        </w:tc>
        <w:tc>
          <w:tcPr>
            <w:tcW w:w="900" w:type="dxa"/>
            <w:tcBorders>
              <w:bottom w:val="single" w:sz="12" w:space="0" w:color="auto"/>
            </w:tcBorders>
          </w:tcPr>
          <w:p w14:paraId="11FF9DD2" w14:textId="77777777" w:rsidR="007C050F" w:rsidRPr="000D0D06" w:rsidRDefault="007C050F" w:rsidP="007C050F">
            <w:pPr>
              <w:ind w:right="-29"/>
              <w:jc w:val="center"/>
              <w:rPr>
                <w:noProof/>
                <w:sz w:val="18"/>
                <w:szCs w:val="18"/>
              </w:rPr>
            </w:pPr>
          </w:p>
        </w:tc>
        <w:tc>
          <w:tcPr>
            <w:tcW w:w="720" w:type="dxa"/>
            <w:gridSpan w:val="2"/>
            <w:tcBorders>
              <w:bottom w:val="single" w:sz="12" w:space="0" w:color="auto"/>
            </w:tcBorders>
          </w:tcPr>
          <w:p w14:paraId="16564CF8" w14:textId="77777777" w:rsidR="007C050F" w:rsidRPr="000D0D06" w:rsidRDefault="007C050F" w:rsidP="007C050F">
            <w:pPr>
              <w:ind w:right="-29"/>
              <w:jc w:val="center"/>
              <w:rPr>
                <w:noProof/>
                <w:sz w:val="18"/>
                <w:szCs w:val="18"/>
              </w:rPr>
            </w:pPr>
          </w:p>
        </w:tc>
        <w:tc>
          <w:tcPr>
            <w:tcW w:w="540" w:type="dxa"/>
            <w:tcBorders>
              <w:bottom w:val="single" w:sz="12" w:space="0" w:color="auto"/>
            </w:tcBorders>
          </w:tcPr>
          <w:p w14:paraId="07D38B1B" w14:textId="77777777" w:rsidR="007C050F" w:rsidRPr="000D0D06" w:rsidRDefault="007C050F" w:rsidP="007C050F">
            <w:pPr>
              <w:ind w:right="-29"/>
              <w:jc w:val="center"/>
              <w:rPr>
                <w:noProof/>
                <w:sz w:val="18"/>
                <w:szCs w:val="18"/>
              </w:rPr>
            </w:pPr>
          </w:p>
        </w:tc>
        <w:tc>
          <w:tcPr>
            <w:tcW w:w="648" w:type="dxa"/>
            <w:tcBorders>
              <w:bottom w:val="single" w:sz="12" w:space="0" w:color="auto"/>
            </w:tcBorders>
          </w:tcPr>
          <w:p w14:paraId="598C4973" w14:textId="77777777" w:rsidR="007C050F" w:rsidRPr="000D0D06" w:rsidRDefault="007C050F" w:rsidP="007C050F">
            <w:pPr>
              <w:ind w:right="-29"/>
              <w:jc w:val="center"/>
              <w:rPr>
                <w:noProof/>
                <w:sz w:val="18"/>
                <w:szCs w:val="18"/>
              </w:rPr>
            </w:pPr>
          </w:p>
        </w:tc>
        <w:tc>
          <w:tcPr>
            <w:tcW w:w="432" w:type="dxa"/>
            <w:tcBorders>
              <w:bottom w:val="single" w:sz="12" w:space="0" w:color="auto"/>
            </w:tcBorders>
          </w:tcPr>
          <w:p w14:paraId="75EA94EB" w14:textId="77777777" w:rsidR="007C050F" w:rsidRPr="000D0D06" w:rsidRDefault="007C050F" w:rsidP="007C050F">
            <w:pPr>
              <w:ind w:right="-29"/>
              <w:jc w:val="center"/>
              <w:rPr>
                <w:noProof/>
                <w:sz w:val="18"/>
                <w:szCs w:val="18"/>
              </w:rPr>
            </w:pPr>
          </w:p>
        </w:tc>
        <w:tc>
          <w:tcPr>
            <w:tcW w:w="720" w:type="dxa"/>
            <w:tcBorders>
              <w:bottom w:val="single" w:sz="12" w:space="0" w:color="auto"/>
            </w:tcBorders>
          </w:tcPr>
          <w:p w14:paraId="435FFAE6" w14:textId="77777777" w:rsidR="007C050F" w:rsidRPr="000D0D06" w:rsidRDefault="007C050F" w:rsidP="007C050F">
            <w:pPr>
              <w:ind w:right="-29"/>
              <w:jc w:val="center"/>
              <w:rPr>
                <w:noProof/>
                <w:sz w:val="18"/>
                <w:szCs w:val="18"/>
              </w:rPr>
            </w:pPr>
          </w:p>
        </w:tc>
        <w:tc>
          <w:tcPr>
            <w:tcW w:w="540" w:type="dxa"/>
            <w:tcBorders>
              <w:bottom w:val="single" w:sz="12" w:space="0" w:color="auto"/>
            </w:tcBorders>
          </w:tcPr>
          <w:p w14:paraId="54292963" w14:textId="77777777" w:rsidR="007C050F" w:rsidRPr="000D0D06" w:rsidRDefault="007C050F" w:rsidP="007C050F">
            <w:pPr>
              <w:ind w:right="-29"/>
              <w:jc w:val="center"/>
              <w:rPr>
                <w:noProof/>
                <w:sz w:val="18"/>
                <w:szCs w:val="18"/>
              </w:rPr>
            </w:pPr>
          </w:p>
        </w:tc>
        <w:tc>
          <w:tcPr>
            <w:tcW w:w="720" w:type="dxa"/>
            <w:tcBorders>
              <w:bottom w:val="single" w:sz="12" w:space="0" w:color="auto"/>
            </w:tcBorders>
          </w:tcPr>
          <w:p w14:paraId="4A25A104" w14:textId="77777777" w:rsidR="007C050F" w:rsidRPr="000D0D06" w:rsidRDefault="007C050F" w:rsidP="007C050F">
            <w:pPr>
              <w:ind w:right="-29"/>
              <w:jc w:val="center"/>
              <w:rPr>
                <w:noProof/>
                <w:sz w:val="18"/>
                <w:szCs w:val="18"/>
              </w:rPr>
            </w:pPr>
          </w:p>
        </w:tc>
        <w:tc>
          <w:tcPr>
            <w:tcW w:w="720" w:type="dxa"/>
            <w:tcBorders>
              <w:bottom w:val="single" w:sz="12" w:space="0" w:color="auto"/>
            </w:tcBorders>
          </w:tcPr>
          <w:p w14:paraId="209EFF6E" w14:textId="77777777" w:rsidR="007C050F" w:rsidRPr="000D0D06" w:rsidRDefault="007C050F" w:rsidP="007C050F">
            <w:pPr>
              <w:ind w:right="-29"/>
              <w:jc w:val="center"/>
              <w:rPr>
                <w:noProof/>
                <w:sz w:val="18"/>
                <w:szCs w:val="18"/>
              </w:rPr>
            </w:pPr>
          </w:p>
        </w:tc>
        <w:tc>
          <w:tcPr>
            <w:tcW w:w="900" w:type="dxa"/>
            <w:tcBorders>
              <w:bottom w:val="single" w:sz="12" w:space="0" w:color="auto"/>
            </w:tcBorders>
          </w:tcPr>
          <w:p w14:paraId="0EB9E4CC" w14:textId="77777777" w:rsidR="007C050F" w:rsidRPr="000D0D06" w:rsidRDefault="007C050F" w:rsidP="007C050F">
            <w:pPr>
              <w:ind w:right="-29"/>
              <w:jc w:val="center"/>
              <w:rPr>
                <w:noProof/>
                <w:sz w:val="18"/>
                <w:szCs w:val="18"/>
              </w:rPr>
            </w:pPr>
          </w:p>
        </w:tc>
      </w:tr>
      <w:tr w:rsidR="007C050F" w:rsidRPr="000D0D06" w14:paraId="43547433" w14:textId="77777777">
        <w:trPr>
          <w:jc w:val="center"/>
        </w:trPr>
        <w:tc>
          <w:tcPr>
            <w:tcW w:w="2844" w:type="dxa"/>
            <w:gridSpan w:val="3"/>
            <w:vAlign w:val="center"/>
          </w:tcPr>
          <w:p w14:paraId="510ACE06" w14:textId="77777777" w:rsidR="007C050F" w:rsidRPr="000D0D06" w:rsidRDefault="007C050F" w:rsidP="007C050F">
            <w:pPr>
              <w:spacing w:before="60" w:after="60"/>
              <w:ind w:right="-29"/>
              <w:jc w:val="center"/>
              <w:rPr>
                <w:noProof/>
                <w:sz w:val="18"/>
                <w:szCs w:val="18"/>
              </w:rPr>
            </w:pPr>
            <w:r w:rsidRPr="000D0D06">
              <w:rPr>
                <w:noProof/>
                <w:sz w:val="18"/>
              </w:rPr>
              <w:t>OBJETIVO ESPECÍFICO N.º 2 …</w:t>
            </w:r>
          </w:p>
        </w:tc>
        <w:tc>
          <w:tcPr>
            <w:tcW w:w="504" w:type="dxa"/>
            <w:tcBorders>
              <w:top w:val="nil"/>
              <w:left w:val="nil"/>
              <w:bottom w:val="nil"/>
              <w:right w:val="nil"/>
            </w:tcBorders>
          </w:tcPr>
          <w:p w14:paraId="268E9978" w14:textId="77777777" w:rsidR="007C050F" w:rsidRPr="000D0D06" w:rsidRDefault="007C050F" w:rsidP="007C050F">
            <w:pPr>
              <w:spacing w:before="60" w:after="60"/>
              <w:ind w:right="-29"/>
              <w:jc w:val="center"/>
              <w:rPr>
                <w:noProof/>
                <w:sz w:val="18"/>
                <w:szCs w:val="18"/>
              </w:rPr>
            </w:pPr>
          </w:p>
        </w:tc>
        <w:tc>
          <w:tcPr>
            <w:tcW w:w="720" w:type="dxa"/>
            <w:tcBorders>
              <w:top w:val="nil"/>
              <w:left w:val="nil"/>
              <w:bottom w:val="nil"/>
              <w:right w:val="nil"/>
            </w:tcBorders>
          </w:tcPr>
          <w:p w14:paraId="47A2498A" w14:textId="77777777" w:rsidR="007C050F" w:rsidRPr="000D0D06" w:rsidRDefault="007C050F" w:rsidP="007C050F">
            <w:pPr>
              <w:spacing w:before="60" w:after="60"/>
              <w:ind w:right="-29"/>
              <w:jc w:val="center"/>
              <w:rPr>
                <w:noProof/>
                <w:sz w:val="18"/>
                <w:szCs w:val="18"/>
              </w:rPr>
            </w:pPr>
          </w:p>
        </w:tc>
        <w:tc>
          <w:tcPr>
            <w:tcW w:w="540" w:type="dxa"/>
            <w:tcBorders>
              <w:top w:val="nil"/>
              <w:left w:val="nil"/>
              <w:bottom w:val="nil"/>
              <w:right w:val="nil"/>
            </w:tcBorders>
          </w:tcPr>
          <w:p w14:paraId="37EC0EC5" w14:textId="77777777" w:rsidR="007C050F" w:rsidRPr="000D0D06" w:rsidRDefault="007C050F" w:rsidP="007C050F">
            <w:pPr>
              <w:spacing w:before="60" w:after="60"/>
              <w:ind w:right="-29"/>
              <w:jc w:val="center"/>
              <w:rPr>
                <w:noProof/>
                <w:sz w:val="18"/>
                <w:szCs w:val="18"/>
              </w:rPr>
            </w:pPr>
          </w:p>
        </w:tc>
        <w:tc>
          <w:tcPr>
            <w:tcW w:w="720" w:type="dxa"/>
            <w:tcBorders>
              <w:top w:val="nil"/>
              <w:left w:val="nil"/>
              <w:bottom w:val="nil"/>
              <w:right w:val="nil"/>
            </w:tcBorders>
          </w:tcPr>
          <w:p w14:paraId="75FF7B06" w14:textId="77777777" w:rsidR="007C050F" w:rsidRPr="000D0D06" w:rsidRDefault="007C050F" w:rsidP="007C050F">
            <w:pPr>
              <w:spacing w:before="60" w:after="60"/>
              <w:ind w:right="-29"/>
              <w:jc w:val="center"/>
              <w:rPr>
                <w:noProof/>
                <w:sz w:val="18"/>
                <w:szCs w:val="18"/>
              </w:rPr>
            </w:pPr>
          </w:p>
        </w:tc>
        <w:tc>
          <w:tcPr>
            <w:tcW w:w="720" w:type="dxa"/>
            <w:tcBorders>
              <w:top w:val="nil"/>
              <w:left w:val="nil"/>
              <w:bottom w:val="nil"/>
              <w:right w:val="nil"/>
            </w:tcBorders>
          </w:tcPr>
          <w:p w14:paraId="651F7EC0" w14:textId="77777777" w:rsidR="007C050F" w:rsidRPr="000D0D06" w:rsidRDefault="007C050F" w:rsidP="007C050F">
            <w:pPr>
              <w:spacing w:before="60" w:after="60"/>
              <w:ind w:right="-29"/>
              <w:jc w:val="center"/>
              <w:rPr>
                <w:noProof/>
                <w:sz w:val="18"/>
                <w:szCs w:val="18"/>
              </w:rPr>
            </w:pPr>
          </w:p>
        </w:tc>
        <w:tc>
          <w:tcPr>
            <w:tcW w:w="720" w:type="dxa"/>
            <w:tcBorders>
              <w:top w:val="nil"/>
              <w:left w:val="nil"/>
              <w:bottom w:val="nil"/>
              <w:right w:val="nil"/>
            </w:tcBorders>
          </w:tcPr>
          <w:p w14:paraId="044E8969" w14:textId="77777777" w:rsidR="007C050F" w:rsidRPr="000D0D06" w:rsidRDefault="007C050F" w:rsidP="007C050F">
            <w:pPr>
              <w:spacing w:before="60" w:after="60"/>
              <w:ind w:right="-29"/>
              <w:jc w:val="center"/>
              <w:rPr>
                <w:noProof/>
                <w:sz w:val="18"/>
                <w:szCs w:val="18"/>
              </w:rPr>
            </w:pPr>
          </w:p>
        </w:tc>
        <w:tc>
          <w:tcPr>
            <w:tcW w:w="900" w:type="dxa"/>
            <w:tcBorders>
              <w:top w:val="nil"/>
              <w:left w:val="nil"/>
              <w:bottom w:val="nil"/>
              <w:right w:val="nil"/>
            </w:tcBorders>
          </w:tcPr>
          <w:p w14:paraId="53FA25B5" w14:textId="77777777" w:rsidR="007C050F" w:rsidRPr="000D0D06" w:rsidRDefault="007C050F" w:rsidP="007C050F">
            <w:pPr>
              <w:spacing w:before="60" w:after="60"/>
              <w:ind w:right="-29"/>
              <w:jc w:val="center"/>
              <w:rPr>
                <w:noProof/>
                <w:sz w:val="18"/>
                <w:szCs w:val="18"/>
              </w:rPr>
            </w:pPr>
          </w:p>
        </w:tc>
        <w:tc>
          <w:tcPr>
            <w:tcW w:w="720" w:type="dxa"/>
            <w:gridSpan w:val="2"/>
            <w:tcBorders>
              <w:top w:val="nil"/>
              <w:left w:val="nil"/>
              <w:bottom w:val="nil"/>
              <w:right w:val="nil"/>
            </w:tcBorders>
          </w:tcPr>
          <w:p w14:paraId="3E85832B" w14:textId="77777777" w:rsidR="007C050F" w:rsidRPr="000D0D06" w:rsidRDefault="007C050F" w:rsidP="007C050F">
            <w:pPr>
              <w:spacing w:before="60" w:after="60"/>
              <w:ind w:right="-29"/>
              <w:jc w:val="center"/>
              <w:rPr>
                <w:noProof/>
                <w:sz w:val="18"/>
                <w:szCs w:val="18"/>
              </w:rPr>
            </w:pPr>
          </w:p>
        </w:tc>
        <w:tc>
          <w:tcPr>
            <w:tcW w:w="540" w:type="dxa"/>
            <w:tcBorders>
              <w:top w:val="nil"/>
              <w:left w:val="nil"/>
              <w:bottom w:val="nil"/>
              <w:right w:val="nil"/>
            </w:tcBorders>
          </w:tcPr>
          <w:p w14:paraId="2305F079" w14:textId="77777777" w:rsidR="007C050F" w:rsidRPr="000D0D06" w:rsidRDefault="007C050F" w:rsidP="007C050F">
            <w:pPr>
              <w:spacing w:before="60" w:after="60"/>
              <w:ind w:right="-29"/>
              <w:jc w:val="center"/>
              <w:rPr>
                <w:noProof/>
                <w:sz w:val="18"/>
                <w:szCs w:val="18"/>
              </w:rPr>
            </w:pPr>
          </w:p>
        </w:tc>
        <w:tc>
          <w:tcPr>
            <w:tcW w:w="648" w:type="dxa"/>
            <w:tcBorders>
              <w:top w:val="nil"/>
              <w:left w:val="nil"/>
              <w:bottom w:val="nil"/>
              <w:right w:val="nil"/>
            </w:tcBorders>
          </w:tcPr>
          <w:p w14:paraId="35E7225B" w14:textId="77777777" w:rsidR="007C050F" w:rsidRPr="000D0D06" w:rsidRDefault="007C050F" w:rsidP="007C050F">
            <w:pPr>
              <w:spacing w:before="60" w:after="60"/>
              <w:ind w:right="-29"/>
              <w:jc w:val="center"/>
              <w:rPr>
                <w:noProof/>
                <w:sz w:val="18"/>
                <w:szCs w:val="18"/>
              </w:rPr>
            </w:pPr>
          </w:p>
        </w:tc>
        <w:tc>
          <w:tcPr>
            <w:tcW w:w="432" w:type="dxa"/>
            <w:tcBorders>
              <w:top w:val="nil"/>
              <w:left w:val="nil"/>
              <w:bottom w:val="nil"/>
              <w:right w:val="nil"/>
            </w:tcBorders>
          </w:tcPr>
          <w:p w14:paraId="7F1DD313" w14:textId="77777777" w:rsidR="007C050F" w:rsidRPr="000D0D06" w:rsidRDefault="007C050F" w:rsidP="007C050F">
            <w:pPr>
              <w:spacing w:before="60" w:after="60"/>
              <w:ind w:right="-29"/>
              <w:jc w:val="center"/>
              <w:rPr>
                <w:noProof/>
                <w:sz w:val="18"/>
                <w:szCs w:val="18"/>
              </w:rPr>
            </w:pPr>
          </w:p>
        </w:tc>
        <w:tc>
          <w:tcPr>
            <w:tcW w:w="720" w:type="dxa"/>
            <w:tcBorders>
              <w:top w:val="nil"/>
              <w:left w:val="nil"/>
              <w:bottom w:val="nil"/>
              <w:right w:val="nil"/>
            </w:tcBorders>
          </w:tcPr>
          <w:p w14:paraId="36376DD3" w14:textId="77777777" w:rsidR="007C050F" w:rsidRPr="000D0D06" w:rsidRDefault="007C050F" w:rsidP="007C050F">
            <w:pPr>
              <w:spacing w:before="60" w:after="60"/>
              <w:ind w:right="-29"/>
              <w:jc w:val="center"/>
              <w:rPr>
                <w:noProof/>
                <w:sz w:val="18"/>
                <w:szCs w:val="18"/>
              </w:rPr>
            </w:pPr>
          </w:p>
        </w:tc>
        <w:tc>
          <w:tcPr>
            <w:tcW w:w="540" w:type="dxa"/>
            <w:tcBorders>
              <w:top w:val="nil"/>
              <w:left w:val="nil"/>
              <w:bottom w:val="nil"/>
              <w:right w:val="nil"/>
            </w:tcBorders>
          </w:tcPr>
          <w:p w14:paraId="077CFD1D" w14:textId="77777777" w:rsidR="007C050F" w:rsidRPr="000D0D06" w:rsidRDefault="007C050F" w:rsidP="007C050F">
            <w:pPr>
              <w:spacing w:before="60" w:after="60"/>
              <w:ind w:right="-29"/>
              <w:jc w:val="center"/>
              <w:rPr>
                <w:noProof/>
                <w:sz w:val="18"/>
                <w:szCs w:val="18"/>
              </w:rPr>
            </w:pPr>
          </w:p>
        </w:tc>
        <w:tc>
          <w:tcPr>
            <w:tcW w:w="720" w:type="dxa"/>
            <w:tcBorders>
              <w:top w:val="nil"/>
              <w:left w:val="nil"/>
              <w:bottom w:val="nil"/>
              <w:right w:val="nil"/>
            </w:tcBorders>
          </w:tcPr>
          <w:p w14:paraId="6107039F" w14:textId="77777777" w:rsidR="007C050F" w:rsidRPr="000D0D06" w:rsidRDefault="007C050F" w:rsidP="007C050F">
            <w:pPr>
              <w:spacing w:before="60" w:after="60"/>
              <w:ind w:right="-29"/>
              <w:jc w:val="center"/>
              <w:rPr>
                <w:noProof/>
                <w:sz w:val="18"/>
                <w:szCs w:val="18"/>
              </w:rPr>
            </w:pPr>
          </w:p>
        </w:tc>
        <w:tc>
          <w:tcPr>
            <w:tcW w:w="720" w:type="dxa"/>
            <w:tcBorders>
              <w:top w:val="nil"/>
              <w:left w:val="nil"/>
              <w:bottom w:val="nil"/>
              <w:right w:val="nil"/>
            </w:tcBorders>
          </w:tcPr>
          <w:p w14:paraId="6522CC8B" w14:textId="77777777" w:rsidR="007C050F" w:rsidRPr="000D0D06" w:rsidRDefault="007C050F" w:rsidP="007C050F">
            <w:pPr>
              <w:spacing w:before="60" w:after="60"/>
              <w:ind w:right="-29"/>
              <w:jc w:val="center"/>
              <w:rPr>
                <w:noProof/>
                <w:sz w:val="18"/>
                <w:szCs w:val="18"/>
              </w:rPr>
            </w:pPr>
          </w:p>
        </w:tc>
        <w:tc>
          <w:tcPr>
            <w:tcW w:w="900" w:type="dxa"/>
            <w:tcBorders>
              <w:top w:val="nil"/>
              <w:left w:val="nil"/>
              <w:bottom w:val="nil"/>
              <w:right w:val="nil"/>
            </w:tcBorders>
          </w:tcPr>
          <w:p w14:paraId="030DCBEA" w14:textId="77777777" w:rsidR="007C050F" w:rsidRPr="000D0D06" w:rsidRDefault="007C050F" w:rsidP="007C050F">
            <w:pPr>
              <w:spacing w:before="60" w:after="60"/>
              <w:ind w:right="-29"/>
              <w:jc w:val="center"/>
              <w:rPr>
                <w:noProof/>
                <w:sz w:val="18"/>
                <w:szCs w:val="18"/>
              </w:rPr>
            </w:pPr>
          </w:p>
        </w:tc>
      </w:tr>
      <w:tr w:rsidR="007C050F" w:rsidRPr="000D0D06" w14:paraId="15803D84" w14:textId="77777777">
        <w:trPr>
          <w:trHeight w:hRule="exact" w:val="369"/>
          <w:jc w:val="center"/>
        </w:trPr>
        <w:tc>
          <w:tcPr>
            <w:tcW w:w="1423" w:type="dxa"/>
          </w:tcPr>
          <w:p w14:paraId="19FA981B" w14:textId="77777777" w:rsidR="007C050F" w:rsidRPr="000D0D06" w:rsidRDefault="007C050F" w:rsidP="007C050F">
            <w:pPr>
              <w:ind w:right="-29"/>
              <w:jc w:val="center"/>
              <w:rPr>
                <w:noProof/>
                <w:sz w:val="18"/>
                <w:szCs w:val="18"/>
              </w:rPr>
            </w:pPr>
            <w:r w:rsidRPr="000D0D06">
              <w:rPr>
                <w:noProof/>
                <w:sz w:val="18"/>
              </w:rPr>
              <w:t>— Realização</w:t>
            </w:r>
          </w:p>
        </w:tc>
        <w:tc>
          <w:tcPr>
            <w:tcW w:w="720" w:type="dxa"/>
          </w:tcPr>
          <w:p w14:paraId="3DAA0A8B" w14:textId="77777777" w:rsidR="007C050F" w:rsidRPr="000D0D06" w:rsidRDefault="007C050F" w:rsidP="007C050F">
            <w:pPr>
              <w:ind w:right="-29"/>
              <w:jc w:val="center"/>
              <w:rPr>
                <w:noProof/>
                <w:sz w:val="18"/>
                <w:szCs w:val="18"/>
              </w:rPr>
            </w:pPr>
          </w:p>
        </w:tc>
        <w:tc>
          <w:tcPr>
            <w:tcW w:w="701" w:type="dxa"/>
          </w:tcPr>
          <w:p w14:paraId="3F633BF4" w14:textId="77777777" w:rsidR="007C050F" w:rsidRPr="000D0D06" w:rsidRDefault="007C050F" w:rsidP="007C050F">
            <w:pPr>
              <w:ind w:right="-29"/>
              <w:jc w:val="center"/>
              <w:rPr>
                <w:noProof/>
                <w:sz w:val="18"/>
                <w:szCs w:val="18"/>
              </w:rPr>
            </w:pPr>
          </w:p>
        </w:tc>
        <w:tc>
          <w:tcPr>
            <w:tcW w:w="504" w:type="dxa"/>
          </w:tcPr>
          <w:p w14:paraId="5CFFE817" w14:textId="77777777" w:rsidR="007C050F" w:rsidRPr="000D0D06" w:rsidRDefault="007C050F" w:rsidP="007C050F">
            <w:pPr>
              <w:ind w:right="-29"/>
              <w:jc w:val="center"/>
              <w:rPr>
                <w:noProof/>
                <w:sz w:val="18"/>
                <w:szCs w:val="18"/>
              </w:rPr>
            </w:pPr>
          </w:p>
        </w:tc>
        <w:tc>
          <w:tcPr>
            <w:tcW w:w="720" w:type="dxa"/>
          </w:tcPr>
          <w:p w14:paraId="60779C23" w14:textId="77777777" w:rsidR="007C050F" w:rsidRPr="000D0D06" w:rsidRDefault="007C050F" w:rsidP="007C050F">
            <w:pPr>
              <w:ind w:right="-29"/>
              <w:jc w:val="center"/>
              <w:rPr>
                <w:noProof/>
                <w:sz w:val="18"/>
                <w:szCs w:val="18"/>
              </w:rPr>
            </w:pPr>
          </w:p>
        </w:tc>
        <w:tc>
          <w:tcPr>
            <w:tcW w:w="540" w:type="dxa"/>
          </w:tcPr>
          <w:p w14:paraId="67ADC620" w14:textId="77777777" w:rsidR="007C050F" w:rsidRPr="000D0D06" w:rsidRDefault="007C050F" w:rsidP="007C050F">
            <w:pPr>
              <w:ind w:right="-29"/>
              <w:jc w:val="center"/>
              <w:rPr>
                <w:noProof/>
                <w:sz w:val="18"/>
                <w:szCs w:val="18"/>
              </w:rPr>
            </w:pPr>
          </w:p>
        </w:tc>
        <w:tc>
          <w:tcPr>
            <w:tcW w:w="720" w:type="dxa"/>
          </w:tcPr>
          <w:p w14:paraId="1096AA8C" w14:textId="77777777" w:rsidR="007C050F" w:rsidRPr="000D0D06" w:rsidRDefault="007C050F" w:rsidP="007C050F">
            <w:pPr>
              <w:ind w:right="-29"/>
              <w:jc w:val="center"/>
              <w:rPr>
                <w:noProof/>
                <w:sz w:val="18"/>
                <w:szCs w:val="18"/>
              </w:rPr>
            </w:pPr>
          </w:p>
        </w:tc>
        <w:tc>
          <w:tcPr>
            <w:tcW w:w="720" w:type="dxa"/>
          </w:tcPr>
          <w:p w14:paraId="7F196611" w14:textId="77777777" w:rsidR="007C050F" w:rsidRPr="000D0D06" w:rsidRDefault="007C050F" w:rsidP="007C050F">
            <w:pPr>
              <w:ind w:right="-29"/>
              <w:jc w:val="center"/>
              <w:rPr>
                <w:noProof/>
                <w:sz w:val="18"/>
                <w:szCs w:val="18"/>
              </w:rPr>
            </w:pPr>
          </w:p>
        </w:tc>
        <w:tc>
          <w:tcPr>
            <w:tcW w:w="720" w:type="dxa"/>
          </w:tcPr>
          <w:p w14:paraId="0C6D96A3" w14:textId="77777777" w:rsidR="007C050F" w:rsidRPr="000D0D06" w:rsidRDefault="007C050F" w:rsidP="007C050F">
            <w:pPr>
              <w:ind w:right="-29"/>
              <w:jc w:val="center"/>
              <w:rPr>
                <w:noProof/>
                <w:sz w:val="18"/>
                <w:szCs w:val="18"/>
              </w:rPr>
            </w:pPr>
          </w:p>
        </w:tc>
        <w:tc>
          <w:tcPr>
            <w:tcW w:w="900" w:type="dxa"/>
          </w:tcPr>
          <w:p w14:paraId="63389373" w14:textId="77777777" w:rsidR="007C050F" w:rsidRPr="000D0D06" w:rsidRDefault="007C050F" w:rsidP="007C050F">
            <w:pPr>
              <w:ind w:right="-29"/>
              <w:jc w:val="center"/>
              <w:rPr>
                <w:noProof/>
                <w:sz w:val="18"/>
                <w:szCs w:val="18"/>
              </w:rPr>
            </w:pPr>
          </w:p>
        </w:tc>
        <w:tc>
          <w:tcPr>
            <w:tcW w:w="720" w:type="dxa"/>
            <w:gridSpan w:val="2"/>
          </w:tcPr>
          <w:p w14:paraId="0C7D9160" w14:textId="77777777" w:rsidR="007C050F" w:rsidRPr="000D0D06" w:rsidRDefault="007C050F" w:rsidP="007C050F">
            <w:pPr>
              <w:ind w:right="-29"/>
              <w:jc w:val="center"/>
              <w:rPr>
                <w:noProof/>
                <w:sz w:val="18"/>
                <w:szCs w:val="18"/>
              </w:rPr>
            </w:pPr>
          </w:p>
        </w:tc>
        <w:tc>
          <w:tcPr>
            <w:tcW w:w="540" w:type="dxa"/>
          </w:tcPr>
          <w:p w14:paraId="483EC73F" w14:textId="77777777" w:rsidR="007C050F" w:rsidRPr="000D0D06" w:rsidRDefault="007C050F" w:rsidP="007C050F">
            <w:pPr>
              <w:ind w:right="-29"/>
              <w:jc w:val="center"/>
              <w:rPr>
                <w:noProof/>
                <w:sz w:val="18"/>
                <w:szCs w:val="18"/>
              </w:rPr>
            </w:pPr>
          </w:p>
        </w:tc>
        <w:tc>
          <w:tcPr>
            <w:tcW w:w="648" w:type="dxa"/>
          </w:tcPr>
          <w:p w14:paraId="2B6E9EA5" w14:textId="77777777" w:rsidR="007C050F" w:rsidRPr="000D0D06" w:rsidRDefault="007C050F" w:rsidP="007C050F">
            <w:pPr>
              <w:ind w:right="-29"/>
              <w:jc w:val="center"/>
              <w:rPr>
                <w:noProof/>
                <w:sz w:val="18"/>
                <w:szCs w:val="18"/>
              </w:rPr>
            </w:pPr>
          </w:p>
        </w:tc>
        <w:tc>
          <w:tcPr>
            <w:tcW w:w="432" w:type="dxa"/>
          </w:tcPr>
          <w:p w14:paraId="4DC8E2DA" w14:textId="77777777" w:rsidR="007C050F" w:rsidRPr="000D0D06" w:rsidRDefault="007C050F" w:rsidP="007C050F">
            <w:pPr>
              <w:ind w:right="-29"/>
              <w:jc w:val="center"/>
              <w:rPr>
                <w:noProof/>
                <w:sz w:val="18"/>
                <w:szCs w:val="18"/>
              </w:rPr>
            </w:pPr>
          </w:p>
        </w:tc>
        <w:tc>
          <w:tcPr>
            <w:tcW w:w="720" w:type="dxa"/>
          </w:tcPr>
          <w:p w14:paraId="2EB3A6E7" w14:textId="77777777" w:rsidR="007C050F" w:rsidRPr="000D0D06" w:rsidRDefault="007C050F" w:rsidP="007C050F">
            <w:pPr>
              <w:ind w:right="-29"/>
              <w:jc w:val="center"/>
              <w:rPr>
                <w:noProof/>
                <w:sz w:val="18"/>
                <w:szCs w:val="18"/>
              </w:rPr>
            </w:pPr>
          </w:p>
        </w:tc>
        <w:tc>
          <w:tcPr>
            <w:tcW w:w="540" w:type="dxa"/>
          </w:tcPr>
          <w:p w14:paraId="3D16C05D" w14:textId="77777777" w:rsidR="007C050F" w:rsidRPr="000D0D06" w:rsidRDefault="007C050F" w:rsidP="007C050F">
            <w:pPr>
              <w:ind w:right="-29"/>
              <w:jc w:val="center"/>
              <w:rPr>
                <w:noProof/>
                <w:sz w:val="18"/>
                <w:szCs w:val="18"/>
              </w:rPr>
            </w:pPr>
          </w:p>
        </w:tc>
        <w:tc>
          <w:tcPr>
            <w:tcW w:w="720" w:type="dxa"/>
          </w:tcPr>
          <w:p w14:paraId="2CDE7E76" w14:textId="77777777" w:rsidR="007C050F" w:rsidRPr="000D0D06" w:rsidRDefault="007C050F" w:rsidP="007C050F">
            <w:pPr>
              <w:ind w:right="-29"/>
              <w:jc w:val="center"/>
              <w:rPr>
                <w:noProof/>
                <w:sz w:val="18"/>
                <w:szCs w:val="18"/>
              </w:rPr>
            </w:pPr>
          </w:p>
        </w:tc>
        <w:tc>
          <w:tcPr>
            <w:tcW w:w="720" w:type="dxa"/>
          </w:tcPr>
          <w:p w14:paraId="6EA64410" w14:textId="77777777" w:rsidR="007C050F" w:rsidRPr="000D0D06" w:rsidRDefault="007C050F" w:rsidP="007C050F">
            <w:pPr>
              <w:ind w:right="-29"/>
              <w:jc w:val="center"/>
              <w:rPr>
                <w:noProof/>
                <w:sz w:val="18"/>
                <w:szCs w:val="18"/>
              </w:rPr>
            </w:pPr>
          </w:p>
        </w:tc>
        <w:tc>
          <w:tcPr>
            <w:tcW w:w="900" w:type="dxa"/>
          </w:tcPr>
          <w:p w14:paraId="7B8E19C9" w14:textId="77777777" w:rsidR="007C050F" w:rsidRPr="000D0D06" w:rsidRDefault="007C050F" w:rsidP="007C050F">
            <w:pPr>
              <w:ind w:right="-29"/>
              <w:jc w:val="center"/>
              <w:rPr>
                <w:noProof/>
                <w:sz w:val="18"/>
                <w:szCs w:val="18"/>
              </w:rPr>
            </w:pPr>
          </w:p>
        </w:tc>
      </w:tr>
      <w:tr w:rsidR="007C050F" w:rsidRPr="000D0D06" w14:paraId="3C34D2F0" w14:textId="77777777">
        <w:trPr>
          <w:jc w:val="center"/>
        </w:trPr>
        <w:tc>
          <w:tcPr>
            <w:tcW w:w="2844" w:type="dxa"/>
            <w:gridSpan w:val="3"/>
            <w:tcBorders>
              <w:bottom w:val="single" w:sz="12" w:space="0" w:color="auto"/>
            </w:tcBorders>
            <w:vAlign w:val="center"/>
          </w:tcPr>
          <w:p w14:paraId="73C4B06A" w14:textId="77777777" w:rsidR="007C050F" w:rsidRPr="000D0D06" w:rsidRDefault="007C050F" w:rsidP="007C050F">
            <w:pPr>
              <w:jc w:val="center"/>
              <w:rPr>
                <w:noProof/>
                <w:sz w:val="18"/>
                <w:szCs w:val="18"/>
              </w:rPr>
            </w:pPr>
            <w:r w:rsidRPr="000D0D06">
              <w:rPr>
                <w:noProof/>
                <w:sz w:val="18"/>
              </w:rPr>
              <w:t>Subtotal do objetivo específico n.º 2</w:t>
            </w:r>
          </w:p>
        </w:tc>
        <w:tc>
          <w:tcPr>
            <w:tcW w:w="504" w:type="dxa"/>
            <w:tcBorders>
              <w:bottom w:val="single" w:sz="12" w:space="0" w:color="auto"/>
            </w:tcBorders>
          </w:tcPr>
          <w:p w14:paraId="5BB0CCF0" w14:textId="77777777" w:rsidR="007C050F" w:rsidRPr="000D0D06" w:rsidRDefault="007C050F" w:rsidP="007C050F">
            <w:pPr>
              <w:ind w:right="-29"/>
              <w:jc w:val="center"/>
              <w:rPr>
                <w:noProof/>
                <w:sz w:val="18"/>
                <w:szCs w:val="18"/>
              </w:rPr>
            </w:pPr>
          </w:p>
        </w:tc>
        <w:tc>
          <w:tcPr>
            <w:tcW w:w="720" w:type="dxa"/>
            <w:tcBorders>
              <w:bottom w:val="single" w:sz="12" w:space="0" w:color="auto"/>
            </w:tcBorders>
          </w:tcPr>
          <w:p w14:paraId="28B30BE6" w14:textId="77777777" w:rsidR="007C050F" w:rsidRPr="000D0D06" w:rsidRDefault="007C050F" w:rsidP="007C050F">
            <w:pPr>
              <w:ind w:right="-29"/>
              <w:jc w:val="center"/>
              <w:rPr>
                <w:noProof/>
                <w:sz w:val="18"/>
                <w:szCs w:val="18"/>
              </w:rPr>
            </w:pPr>
          </w:p>
        </w:tc>
        <w:tc>
          <w:tcPr>
            <w:tcW w:w="540" w:type="dxa"/>
            <w:tcBorders>
              <w:bottom w:val="single" w:sz="12" w:space="0" w:color="auto"/>
            </w:tcBorders>
          </w:tcPr>
          <w:p w14:paraId="77DC41EE" w14:textId="77777777" w:rsidR="007C050F" w:rsidRPr="000D0D06" w:rsidRDefault="007C050F" w:rsidP="007C050F">
            <w:pPr>
              <w:ind w:right="-29"/>
              <w:jc w:val="center"/>
              <w:rPr>
                <w:noProof/>
                <w:sz w:val="18"/>
                <w:szCs w:val="18"/>
              </w:rPr>
            </w:pPr>
          </w:p>
        </w:tc>
        <w:tc>
          <w:tcPr>
            <w:tcW w:w="720" w:type="dxa"/>
            <w:tcBorders>
              <w:bottom w:val="single" w:sz="12" w:space="0" w:color="auto"/>
            </w:tcBorders>
          </w:tcPr>
          <w:p w14:paraId="57DA3D52" w14:textId="77777777" w:rsidR="007C050F" w:rsidRPr="000D0D06" w:rsidRDefault="007C050F" w:rsidP="007C050F">
            <w:pPr>
              <w:ind w:right="-29"/>
              <w:jc w:val="center"/>
              <w:rPr>
                <w:noProof/>
                <w:sz w:val="18"/>
                <w:szCs w:val="18"/>
              </w:rPr>
            </w:pPr>
          </w:p>
        </w:tc>
        <w:tc>
          <w:tcPr>
            <w:tcW w:w="720" w:type="dxa"/>
            <w:tcBorders>
              <w:bottom w:val="single" w:sz="12" w:space="0" w:color="auto"/>
            </w:tcBorders>
          </w:tcPr>
          <w:p w14:paraId="6A6F6859" w14:textId="77777777" w:rsidR="007C050F" w:rsidRPr="000D0D06" w:rsidRDefault="007C050F" w:rsidP="007C050F">
            <w:pPr>
              <w:ind w:right="-29"/>
              <w:jc w:val="center"/>
              <w:rPr>
                <w:noProof/>
                <w:sz w:val="18"/>
                <w:szCs w:val="18"/>
              </w:rPr>
            </w:pPr>
          </w:p>
        </w:tc>
        <w:tc>
          <w:tcPr>
            <w:tcW w:w="720" w:type="dxa"/>
            <w:tcBorders>
              <w:bottom w:val="single" w:sz="12" w:space="0" w:color="auto"/>
            </w:tcBorders>
          </w:tcPr>
          <w:p w14:paraId="4F031E4F" w14:textId="77777777" w:rsidR="007C050F" w:rsidRPr="000D0D06" w:rsidRDefault="007C050F" w:rsidP="007C050F">
            <w:pPr>
              <w:ind w:right="-29"/>
              <w:jc w:val="center"/>
              <w:rPr>
                <w:noProof/>
                <w:sz w:val="18"/>
                <w:szCs w:val="18"/>
              </w:rPr>
            </w:pPr>
          </w:p>
        </w:tc>
        <w:tc>
          <w:tcPr>
            <w:tcW w:w="951" w:type="dxa"/>
            <w:gridSpan w:val="2"/>
            <w:tcBorders>
              <w:bottom w:val="single" w:sz="12" w:space="0" w:color="auto"/>
            </w:tcBorders>
          </w:tcPr>
          <w:p w14:paraId="45AE9FD4" w14:textId="77777777" w:rsidR="007C050F" w:rsidRPr="000D0D06" w:rsidRDefault="007C050F" w:rsidP="007C050F">
            <w:pPr>
              <w:ind w:right="-29"/>
              <w:jc w:val="center"/>
              <w:rPr>
                <w:noProof/>
                <w:sz w:val="18"/>
                <w:szCs w:val="18"/>
              </w:rPr>
            </w:pPr>
          </w:p>
        </w:tc>
        <w:tc>
          <w:tcPr>
            <w:tcW w:w="669" w:type="dxa"/>
            <w:tcBorders>
              <w:bottom w:val="single" w:sz="12" w:space="0" w:color="auto"/>
            </w:tcBorders>
          </w:tcPr>
          <w:p w14:paraId="57366DC4" w14:textId="77777777" w:rsidR="007C050F" w:rsidRPr="000D0D06" w:rsidRDefault="007C050F" w:rsidP="007C050F">
            <w:pPr>
              <w:ind w:right="-29"/>
              <w:jc w:val="center"/>
              <w:rPr>
                <w:noProof/>
                <w:sz w:val="18"/>
                <w:szCs w:val="18"/>
              </w:rPr>
            </w:pPr>
          </w:p>
        </w:tc>
        <w:tc>
          <w:tcPr>
            <w:tcW w:w="540" w:type="dxa"/>
            <w:tcBorders>
              <w:bottom w:val="single" w:sz="12" w:space="0" w:color="auto"/>
            </w:tcBorders>
          </w:tcPr>
          <w:p w14:paraId="5E1DEBAB" w14:textId="77777777" w:rsidR="007C050F" w:rsidRPr="000D0D06" w:rsidRDefault="007C050F" w:rsidP="007C050F">
            <w:pPr>
              <w:ind w:right="-29"/>
              <w:jc w:val="center"/>
              <w:rPr>
                <w:noProof/>
                <w:sz w:val="18"/>
                <w:szCs w:val="18"/>
              </w:rPr>
            </w:pPr>
          </w:p>
        </w:tc>
        <w:tc>
          <w:tcPr>
            <w:tcW w:w="648" w:type="dxa"/>
            <w:tcBorders>
              <w:bottom w:val="single" w:sz="12" w:space="0" w:color="auto"/>
            </w:tcBorders>
          </w:tcPr>
          <w:p w14:paraId="3CE6D570" w14:textId="77777777" w:rsidR="007C050F" w:rsidRPr="000D0D06" w:rsidRDefault="007C050F" w:rsidP="007C050F">
            <w:pPr>
              <w:ind w:right="-29"/>
              <w:jc w:val="center"/>
              <w:rPr>
                <w:noProof/>
                <w:sz w:val="18"/>
                <w:szCs w:val="18"/>
              </w:rPr>
            </w:pPr>
          </w:p>
        </w:tc>
        <w:tc>
          <w:tcPr>
            <w:tcW w:w="432" w:type="dxa"/>
            <w:tcBorders>
              <w:bottom w:val="single" w:sz="12" w:space="0" w:color="auto"/>
            </w:tcBorders>
          </w:tcPr>
          <w:p w14:paraId="7E970D1D" w14:textId="77777777" w:rsidR="007C050F" w:rsidRPr="000D0D06" w:rsidRDefault="007C050F" w:rsidP="007C050F">
            <w:pPr>
              <w:ind w:right="-29"/>
              <w:jc w:val="center"/>
              <w:rPr>
                <w:noProof/>
                <w:sz w:val="18"/>
                <w:szCs w:val="18"/>
              </w:rPr>
            </w:pPr>
          </w:p>
        </w:tc>
        <w:tc>
          <w:tcPr>
            <w:tcW w:w="720" w:type="dxa"/>
            <w:tcBorders>
              <w:bottom w:val="single" w:sz="12" w:space="0" w:color="auto"/>
            </w:tcBorders>
          </w:tcPr>
          <w:p w14:paraId="03DF132A" w14:textId="77777777" w:rsidR="007C050F" w:rsidRPr="000D0D06" w:rsidRDefault="007C050F" w:rsidP="007C050F">
            <w:pPr>
              <w:ind w:right="-29"/>
              <w:jc w:val="center"/>
              <w:rPr>
                <w:noProof/>
                <w:sz w:val="18"/>
                <w:szCs w:val="18"/>
              </w:rPr>
            </w:pPr>
          </w:p>
        </w:tc>
        <w:tc>
          <w:tcPr>
            <w:tcW w:w="540" w:type="dxa"/>
            <w:tcBorders>
              <w:bottom w:val="single" w:sz="12" w:space="0" w:color="auto"/>
            </w:tcBorders>
          </w:tcPr>
          <w:p w14:paraId="1FEEEF07" w14:textId="77777777" w:rsidR="007C050F" w:rsidRPr="000D0D06" w:rsidRDefault="007C050F" w:rsidP="007C050F">
            <w:pPr>
              <w:ind w:right="-29"/>
              <w:jc w:val="center"/>
              <w:rPr>
                <w:noProof/>
                <w:sz w:val="18"/>
                <w:szCs w:val="18"/>
              </w:rPr>
            </w:pPr>
          </w:p>
        </w:tc>
        <w:tc>
          <w:tcPr>
            <w:tcW w:w="720" w:type="dxa"/>
            <w:tcBorders>
              <w:bottom w:val="single" w:sz="12" w:space="0" w:color="auto"/>
            </w:tcBorders>
          </w:tcPr>
          <w:p w14:paraId="2C549EEF" w14:textId="77777777" w:rsidR="007C050F" w:rsidRPr="000D0D06" w:rsidRDefault="007C050F" w:rsidP="007C050F">
            <w:pPr>
              <w:ind w:right="-29"/>
              <w:jc w:val="center"/>
              <w:rPr>
                <w:noProof/>
                <w:sz w:val="18"/>
                <w:szCs w:val="18"/>
              </w:rPr>
            </w:pPr>
          </w:p>
        </w:tc>
        <w:tc>
          <w:tcPr>
            <w:tcW w:w="720" w:type="dxa"/>
            <w:tcBorders>
              <w:bottom w:val="single" w:sz="12" w:space="0" w:color="auto"/>
            </w:tcBorders>
          </w:tcPr>
          <w:p w14:paraId="456203ED" w14:textId="77777777" w:rsidR="007C050F" w:rsidRPr="000D0D06" w:rsidRDefault="007C050F" w:rsidP="007C050F">
            <w:pPr>
              <w:ind w:right="-29"/>
              <w:jc w:val="center"/>
              <w:rPr>
                <w:noProof/>
                <w:sz w:val="18"/>
                <w:szCs w:val="18"/>
              </w:rPr>
            </w:pPr>
          </w:p>
        </w:tc>
        <w:tc>
          <w:tcPr>
            <w:tcW w:w="900" w:type="dxa"/>
            <w:tcBorders>
              <w:bottom w:val="single" w:sz="12" w:space="0" w:color="auto"/>
            </w:tcBorders>
          </w:tcPr>
          <w:p w14:paraId="5C3D716A" w14:textId="77777777" w:rsidR="007C050F" w:rsidRPr="000D0D06" w:rsidRDefault="007C050F" w:rsidP="007C050F">
            <w:pPr>
              <w:ind w:right="-29"/>
              <w:jc w:val="center"/>
              <w:rPr>
                <w:noProof/>
                <w:sz w:val="18"/>
                <w:szCs w:val="18"/>
              </w:rPr>
            </w:pPr>
          </w:p>
        </w:tc>
      </w:tr>
      <w:tr w:rsidR="007C050F" w:rsidRPr="000D0D06" w14:paraId="79C6D4A5" w14:textId="77777777">
        <w:trPr>
          <w:jc w:val="center"/>
        </w:trPr>
        <w:tc>
          <w:tcPr>
            <w:tcW w:w="2844" w:type="dxa"/>
            <w:gridSpan w:val="3"/>
            <w:tcBorders>
              <w:top w:val="single" w:sz="12" w:space="0" w:color="auto"/>
              <w:left w:val="single" w:sz="12" w:space="0" w:color="auto"/>
              <w:bottom w:val="single" w:sz="12" w:space="0" w:color="auto"/>
            </w:tcBorders>
            <w:vAlign w:val="center"/>
          </w:tcPr>
          <w:p w14:paraId="518D1C73" w14:textId="77777777" w:rsidR="007C050F" w:rsidRPr="000D0D06" w:rsidRDefault="007C050F" w:rsidP="007C050F">
            <w:pPr>
              <w:ind w:right="-29"/>
              <w:jc w:val="center"/>
              <w:rPr>
                <w:noProof/>
                <w:sz w:val="18"/>
                <w:szCs w:val="18"/>
              </w:rPr>
            </w:pPr>
            <w:r w:rsidRPr="000D0D06">
              <w:rPr>
                <w:b/>
                <w:noProof/>
                <w:sz w:val="18"/>
              </w:rPr>
              <w:t>TOTAIS</w:t>
            </w:r>
          </w:p>
        </w:tc>
        <w:tc>
          <w:tcPr>
            <w:tcW w:w="504" w:type="dxa"/>
            <w:tcBorders>
              <w:top w:val="single" w:sz="12" w:space="0" w:color="auto"/>
              <w:bottom w:val="single" w:sz="12" w:space="0" w:color="auto"/>
            </w:tcBorders>
          </w:tcPr>
          <w:p w14:paraId="2D894AC2" w14:textId="77777777" w:rsidR="007C050F" w:rsidRPr="000D0D06" w:rsidRDefault="007C050F" w:rsidP="007C050F">
            <w:pPr>
              <w:spacing w:before="180" w:after="180"/>
              <w:ind w:right="-29"/>
              <w:jc w:val="center"/>
              <w:rPr>
                <w:noProof/>
                <w:sz w:val="18"/>
                <w:szCs w:val="18"/>
              </w:rPr>
            </w:pPr>
          </w:p>
        </w:tc>
        <w:tc>
          <w:tcPr>
            <w:tcW w:w="720" w:type="dxa"/>
            <w:tcBorders>
              <w:top w:val="single" w:sz="12" w:space="0" w:color="auto"/>
              <w:bottom w:val="single" w:sz="12" w:space="0" w:color="auto"/>
            </w:tcBorders>
          </w:tcPr>
          <w:p w14:paraId="0705CC4C" w14:textId="77777777" w:rsidR="007C050F" w:rsidRPr="000D0D06" w:rsidRDefault="007C050F" w:rsidP="007C050F">
            <w:pPr>
              <w:spacing w:before="180" w:after="180"/>
              <w:ind w:right="-29"/>
              <w:jc w:val="center"/>
              <w:rPr>
                <w:noProof/>
                <w:sz w:val="18"/>
                <w:szCs w:val="18"/>
              </w:rPr>
            </w:pPr>
          </w:p>
        </w:tc>
        <w:tc>
          <w:tcPr>
            <w:tcW w:w="540" w:type="dxa"/>
            <w:tcBorders>
              <w:top w:val="single" w:sz="12" w:space="0" w:color="auto"/>
              <w:bottom w:val="single" w:sz="12" w:space="0" w:color="auto"/>
            </w:tcBorders>
          </w:tcPr>
          <w:p w14:paraId="047B2E98" w14:textId="77777777" w:rsidR="007C050F" w:rsidRPr="000D0D06" w:rsidRDefault="007C050F" w:rsidP="007C050F">
            <w:pPr>
              <w:spacing w:before="180" w:after="180"/>
              <w:ind w:right="-29"/>
              <w:jc w:val="center"/>
              <w:rPr>
                <w:noProof/>
                <w:sz w:val="18"/>
                <w:szCs w:val="18"/>
              </w:rPr>
            </w:pPr>
          </w:p>
        </w:tc>
        <w:tc>
          <w:tcPr>
            <w:tcW w:w="720" w:type="dxa"/>
            <w:tcBorders>
              <w:top w:val="single" w:sz="12" w:space="0" w:color="auto"/>
              <w:bottom w:val="single" w:sz="12" w:space="0" w:color="auto"/>
            </w:tcBorders>
          </w:tcPr>
          <w:p w14:paraId="04B72C6D" w14:textId="77777777" w:rsidR="007C050F" w:rsidRPr="000D0D06" w:rsidRDefault="007C050F" w:rsidP="007C050F">
            <w:pPr>
              <w:spacing w:before="180" w:after="180"/>
              <w:ind w:right="-29"/>
              <w:jc w:val="center"/>
              <w:rPr>
                <w:noProof/>
                <w:sz w:val="18"/>
                <w:szCs w:val="18"/>
              </w:rPr>
            </w:pPr>
          </w:p>
        </w:tc>
        <w:tc>
          <w:tcPr>
            <w:tcW w:w="720" w:type="dxa"/>
            <w:tcBorders>
              <w:top w:val="single" w:sz="12" w:space="0" w:color="auto"/>
              <w:bottom w:val="single" w:sz="12" w:space="0" w:color="auto"/>
            </w:tcBorders>
          </w:tcPr>
          <w:p w14:paraId="023015B6" w14:textId="77777777" w:rsidR="007C050F" w:rsidRPr="000D0D06" w:rsidRDefault="007C050F" w:rsidP="007C050F">
            <w:pPr>
              <w:spacing w:before="180" w:after="180"/>
              <w:ind w:right="-29"/>
              <w:jc w:val="center"/>
              <w:rPr>
                <w:noProof/>
                <w:sz w:val="18"/>
                <w:szCs w:val="18"/>
              </w:rPr>
            </w:pPr>
          </w:p>
        </w:tc>
        <w:tc>
          <w:tcPr>
            <w:tcW w:w="720" w:type="dxa"/>
            <w:tcBorders>
              <w:top w:val="single" w:sz="12" w:space="0" w:color="auto"/>
              <w:bottom w:val="single" w:sz="12" w:space="0" w:color="auto"/>
            </w:tcBorders>
          </w:tcPr>
          <w:p w14:paraId="09BD9EDE" w14:textId="77777777" w:rsidR="007C050F" w:rsidRPr="000D0D06" w:rsidRDefault="007C050F" w:rsidP="007C050F">
            <w:pPr>
              <w:spacing w:before="180" w:after="180"/>
              <w:ind w:right="-29"/>
              <w:jc w:val="center"/>
              <w:rPr>
                <w:noProof/>
                <w:sz w:val="18"/>
                <w:szCs w:val="18"/>
              </w:rPr>
            </w:pPr>
          </w:p>
        </w:tc>
        <w:tc>
          <w:tcPr>
            <w:tcW w:w="900" w:type="dxa"/>
            <w:tcBorders>
              <w:top w:val="single" w:sz="12" w:space="0" w:color="auto"/>
              <w:bottom w:val="single" w:sz="12" w:space="0" w:color="auto"/>
            </w:tcBorders>
          </w:tcPr>
          <w:p w14:paraId="4A846385" w14:textId="77777777" w:rsidR="007C050F" w:rsidRPr="000D0D06" w:rsidRDefault="007C050F" w:rsidP="007C050F">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14:paraId="53EAD0FA" w14:textId="77777777" w:rsidR="007C050F" w:rsidRPr="000D0D06" w:rsidRDefault="007C050F" w:rsidP="007C050F">
            <w:pPr>
              <w:spacing w:before="180" w:after="180"/>
              <w:ind w:right="-29"/>
              <w:jc w:val="center"/>
              <w:rPr>
                <w:noProof/>
                <w:sz w:val="18"/>
                <w:szCs w:val="18"/>
              </w:rPr>
            </w:pPr>
          </w:p>
        </w:tc>
        <w:tc>
          <w:tcPr>
            <w:tcW w:w="540" w:type="dxa"/>
            <w:tcBorders>
              <w:top w:val="single" w:sz="12" w:space="0" w:color="auto"/>
              <w:bottom w:val="single" w:sz="12" w:space="0" w:color="auto"/>
            </w:tcBorders>
          </w:tcPr>
          <w:p w14:paraId="725FF869" w14:textId="77777777" w:rsidR="007C050F" w:rsidRPr="000D0D06" w:rsidRDefault="007C050F" w:rsidP="007C050F">
            <w:pPr>
              <w:spacing w:before="180" w:after="180"/>
              <w:ind w:right="-29"/>
              <w:jc w:val="center"/>
              <w:rPr>
                <w:noProof/>
                <w:sz w:val="18"/>
                <w:szCs w:val="18"/>
              </w:rPr>
            </w:pPr>
          </w:p>
        </w:tc>
        <w:tc>
          <w:tcPr>
            <w:tcW w:w="648" w:type="dxa"/>
            <w:tcBorders>
              <w:top w:val="single" w:sz="12" w:space="0" w:color="auto"/>
              <w:bottom w:val="single" w:sz="12" w:space="0" w:color="auto"/>
            </w:tcBorders>
          </w:tcPr>
          <w:p w14:paraId="66C9BC11" w14:textId="77777777" w:rsidR="007C050F" w:rsidRPr="000D0D06" w:rsidRDefault="007C050F" w:rsidP="007C050F">
            <w:pPr>
              <w:spacing w:before="180" w:after="180"/>
              <w:ind w:right="-29"/>
              <w:jc w:val="center"/>
              <w:rPr>
                <w:noProof/>
                <w:sz w:val="18"/>
                <w:szCs w:val="18"/>
              </w:rPr>
            </w:pPr>
          </w:p>
        </w:tc>
        <w:tc>
          <w:tcPr>
            <w:tcW w:w="432" w:type="dxa"/>
            <w:tcBorders>
              <w:top w:val="single" w:sz="12" w:space="0" w:color="auto"/>
              <w:bottom w:val="single" w:sz="12" w:space="0" w:color="auto"/>
            </w:tcBorders>
          </w:tcPr>
          <w:p w14:paraId="6440D5FA" w14:textId="77777777" w:rsidR="007C050F" w:rsidRPr="000D0D06" w:rsidRDefault="007C050F" w:rsidP="007C050F">
            <w:pPr>
              <w:spacing w:before="180" w:after="180"/>
              <w:ind w:right="-29"/>
              <w:jc w:val="center"/>
              <w:rPr>
                <w:noProof/>
                <w:sz w:val="18"/>
                <w:szCs w:val="18"/>
              </w:rPr>
            </w:pPr>
          </w:p>
        </w:tc>
        <w:tc>
          <w:tcPr>
            <w:tcW w:w="720" w:type="dxa"/>
            <w:tcBorders>
              <w:top w:val="single" w:sz="12" w:space="0" w:color="auto"/>
              <w:bottom w:val="single" w:sz="12" w:space="0" w:color="auto"/>
            </w:tcBorders>
          </w:tcPr>
          <w:p w14:paraId="265DD70D" w14:textId="77777777" w:rsidR="007C050F" w:rsidRPr="000D0D06" w:rsidRDefault="007C050F" w:rsidP="007C050F">
            <w:pPr>
              <w:spacing w:before="180" w:after="180"/>
              <w:ind w:right="-29"/>
              <w:jc w:val="center"/>
              <w:rPr>
                <w:noProof/>
                <w:sz w:val="18"/>
                <w:szCs w:val="18"/>
              </w:rPr>
            </w:pPr>
          </w:p>
        </w:tc>
        <w:tc>
          <w:tcPr>
            <w:tcW w:w="540" w:type="dxa"/>
            <w:tcBorders>
              <w:top w:val="single" w:sz="12" w:space="0" w:color="auto"/>
              <w:bottom w:val="single" w:sz="12" w:space="0" w:color="auto"/>
            </w:tcBorders>
          </w:tcPr>
          <w:p w14:paraId="790FD188" w14:textId="77777777" w:rsidR="007C050F" w:rsidRPr="000D0D06" w:rsidRDefault="007C050F" w:rsidP="007C050F">
            <w:pPr>
              <w:spacing w:before="180" w:after="180"/>
              <w:ind w:right="-29"/>
              <w:jc w:val="center"/>
              <w:rPr>
                <w:noProof/>
                <w:sz w:val="18"/>
                <w:szCs w:val="18"/>
              </w:rPr>
            </w:pPr>
          </w:p>
        </w:tc>
        <w:tc>
          <w:tcPr>
            <w:tcW w:w="720" w:type="dxa"/>
            <w:tcBorders>
              <w:top w:val="single" w:sz="12" w:space="0" w:color="auto"/>
              <w:bottom w:val="single" w:sz="12" w:space="0" w:color="auto"/>
            </w:tcBorders>
          </w:tcPr>
          <w:p w14:paraId="6EE63701" w14:textId="77777777" w:rsidR="007C050F" w:rsidRPr="000D0D06" w:rsidRDefault="007C050F" w:rsidP="007C050F">
            <w:pPr>
              <w:spacing w:before="180" w:after="180"/>
              <w:ind w:right="-29"/>
              <w:jc w:val="center"/>
              <w:rPr>
                <w:noProof/>
                <w:sz w:val="18"/>
                <w:szCs w:val="18"/>
              </w:rPr>
            </w:pPr>
          </w:p>
        </w:tc>
        <w:tc>
          <w:tcPr>
            <w:tcW w:w="720" w:type="dxa"/>
            <w:tcBorders>
              <w:top w:val="single" w:sz="12" w:space="0" w:color="auto"/>
              <w:bottom w:val="single" w:sz="12" w:space="0" w:color="auto"/>
            </w:tcBorders>
          </w:tcPr>
          <w:p w14:paraId="10D91116" w14:textId="77777777" w:rsidR="007C050F" w:rsidRPr="000D0D06" w:rsidRDefault="007C050F" w:rsidP="007C050F">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14:paraId="727125DF" w14:textId="77777777" w:rsidR="007C050F" w:rsidRPr="000D0D06" w:rsidRDefault="007C050F" w:rsidP="007C050F">
            <w:pPr>
              <w:spacing w:before="180" w:after="180"/>
              <w:ind w:right="-29"/>
              <w:jc w:val="center"/>
              <w:rPr>
                <w:noProof/>
                <w:sz w:val="18"/>
                <w:szCs w:val="18"/>
              </w:rPr>
            </w:pPr>
          </w:p>
        </w:tc>
      </w:tr>
    </w:tbl>
    <w:p w14:paraId="5BD8A8DD" w14:textId="77777777" w:rsidR="007C050F" w:rsidRPr="000D0D06" w:rsidRDefault="007C050F" w:rsidP="007C050F">
      <w:pPr>
        <w:rPr>
          <w:noProof/>
        </w:rPr>
        <w:sectPr w:rsidR="007C050F" w:rsidRPr="000D0D06" w:rsidSect="00053915">
          <w:headerReference w:type="default" r:id="rId19"/>
          <w:footerReference w:type="default" r:id="rId20"/>
          <w:pgSz w:w="16840" w:h="11907" w:orient="landscape" w:code="9"/>
          <w:pgMar w:top="1134" w:right="1418" w:bottom="567" w:left="1418" w:header="709" w:footer="709" w:gutter="0"/>
          <w:cols w:space="708"/>
          <w:docGrid w:linePitch="360"/>
        </w:sectPr>
      </w:pPr>
    </w:p>
    <w:p w14:paraId="21D307EB" w14:textId="77777777" w:rsidR="007C050F" w:rsidRPr="000D0D06" w:rsidRDefault="001936FC" w:rsidP="001936FC">
      <w:pPr>
        <w:pStyle w:val="ManualHeading3"/>
        <w:rPr>
          <w:noProof/>
          <w:szCs w:val="24"/>
        </w:rPr>
      </w:pPr>
      <w:r w:rsidRPr="000D0D06">
        <w:rPr>
          <w:noProof/>
        </w:rPr>
        <w:t>3.2.3.</w:t>
      </w:r>
      <w:r w:rsidRPr="000D0D06">
        <w:rPr>
          <w:noProof/>
        </w:rPr>
        <w:tab/>
        <w:t xml:space="preserve">Síntese do impacto estimado nas dotações administrativas </w:t>
      </w:r>
    </w:p>
    <w:p w14:paraId="37E38FD9" w14:textId="77777777" w:rsidR="007C050F" w:rsidRPr="000D0D06" w:rsidRDefault="007C050F" w:rsidP="007C050F">
      <w:pPr>
        <w:tabs>
          <w:tab w:val="num" w:pos="1134"/>
        </w:tabs>
        <w:ind w:left="1134" w:hanging="283"/>
        <w:rPr>
          <w:rFonts w:eastAsia="Times New Roman"/>
          <w:noProof/>
        </w:rPr>
      </w:pPr>
      <w:r w:rsidRPr="000D0D06">
        <w:rPr>
          <w:rFonts w:ascii="Wingdings" w:hAnsi="Wingdings"/>
          <w:noProof/>
        </w:rPr>
        <w:t></w:t>
      </w:r>
      <w:r w:rsidRPr="000D0D06">
        <w:rPr>
          <w:noProof/>
        </w:rPr>
        <w:tab/>
        <w:t xml:space="preserve">A proposta / iniciativa não acarreta a utilização de dotações de natureza administrativa </w:t>
      </w:r>
    </w:p>
    <w:p w14:paraId="30124AA1" w14:textId="77777777" w:rsidR="007C050F" w:rsidRPr="000D0D06" w:rsidRDefault="007C050F" w:rsidP="007C050F">
      <w:pPr>
        <w:tabs>
          <w:tab w:val="num" w:pos="1134"/>
        </w:tabs>
        <w:ind w:left="1134" w:hanging="283"/>
        <w:rPr>
          <w:rFonts w:eastAsia="Times New Roman"/>
          <w:noProof/>
        </w:rPr>
      </w:pPr>
      <w:r w:rsidRPr="000D0D06">
        <w:rPr>
          <w:rFonts w:ascii="Wingdings" w:hAnsi="Wingdings"/>
          <w:noProof/>
        </w:rPr>
        <w:t></w:t>
      </w:r>
      <w:r w:rsidRPr="000D0D06">
        <w:rPr>
          <w:noProof/>
        </w:rPr>
        <w:tab/>
        <w:t>A proposta / iniciativa acarreta a utilização de dotações de natureza administrativa, como se explica seguidamente</w:t>
      </w:r>
    </w:p>
    <w:p w14:paraId="48C5D150" w14:textId="77777777" w:rsidR="007C050F" w:rsidRPr="000D0D06" w:rsidRDefault="001936FC" w:rsidP="001936FC">
      <w:pPr>
        <w:pStyle w:val="ManualHeading4"/>
        <w:rPr>
          <w:iCs/>
          <w:noProof/>
        </w:rPr>
      </w:pPr>
      <w:r w:rsidRPr="000D0D06">
        <w:rPr>
          <w:noProof/>
        </w:rPr>
        <w:t>3.2.3.1.</w:t>
      </w:r>
      <w:r w:rsidRPr="000D0D06">
        <w:rPr>
          <w:noProof/>
        </w:rPr>
        <w:tab/>
        <w:t>Dotações provenientes do orçamento votado</w:t>
      </w:r>
    </w:p>
    <w:tbl>
      <w:tblPr>
        <w:tblW w:w="5000" w:type="pct"/>
        <w:tblLook w:val="04A0" w:firstRow="1" w:lastRow="0" w:firstColumn="1" w:lastColumn="0" w:noHBand="0" w:noVBand="1"/>
      </w:tblPr>
      <w:tblGrid>
        <w:gridCol w:w="4026"/>
        <w:gridCol w:w="1027"/>
        <w:gridCol w:w="1027"/>
        <w:gridCol w:w="1027"/>
        <w:gridCol w:w="1027"/>
        <w:gridCol w:w="1153"/>
      </w:tblGrid>
      <w:tr w:rsidR="007C050F" w:rsidRPr="000D0D06" w14:paraId="652BC078" w14:textId="77777777">
        <w:trPr>
          <w:trHeight w:val="300"/>
        </w:trPr>
        <w:tc>
          <w:tcPr>
            <w:tcW w:w="2167" w:type="pct"/>
            <w:vMerge w:val="restart"/>
            <w:tcBorders>
              <w:top w:val="single" w:sz="8" w:space="0" w:color="auto"/>
              <w:left w:val="single" w:sz="8" w:space="0" w:color="auto"/>
              <w:bottom w:val="single" w:sz="8" w:space="0" w:color="auto"/>
              <w:right w:val="single" w:sz="8" w:space="0" w:color="auto"/>
            </w:tcBorders>
            <w:vAlign w:val="center"/>
            <w:hideMark/>
          </w:tcPr>
          <w:p w14:paraId="67FBC732" w14:textId="77777777" w:rsidR="007C050F" w:rsidRPr="000D0D06" w:rsidRDefault="007C050F" w:rsidP="007C050F">
            <w:pPr>
              <w:spacing w:before="0" w:after="0"/>
              <w:jc w:val="center"/>
              <w:rPr>
                <w:b/>
                <w:bCs/>
                <w:noProof/>
                <w:color w:val="000000"/>
                <w:sz w:val="18"/>
                <w:szCs w:val="18"/>
              </w:rPr>
            </w:pPr>
            <w:r w:rsidRPr="000D0D06">
              <w:rPr>
                <w:b/>
                <w:noProof/>
                <w:color w:val="000000"/>
                <w:sz w:val="18"/>
              </w:rPr>
              <w:t>DOTAÇÕES VOTADAS</w:t>
            </w:r>
          </w:p>
        </w:tc>
        <w:tc>
          <w:tcPr>
            <w:tcW w:w="553" w:type="pct"/>
            <w:tcBorders>
              <w:top w:val="single" w:sz="8" w:space="0" w:color="auto"/>
              <w:left w:val="nil"/>
              <w:bottom w:val="single" w:sz="8" w:space="0" w:color="auto"/>
              <w:right w:val="single" w:sz="8" w:space="0" w:color="auto"/>
            </w:tcBorders>
            <w:vAlign w:val="center"/>
            <w:hideMark/>
          </w:tcPr>
          <w:p w14:paraId="4115C0E6" w14:textId="77777777" w:rsidR="007C050F" w:rsidRPr="000D0D06" w:rsidRDefault="007C050F" w:rsidP="007C050F">
            <w:pPr>
              <w:spacing w:before="0" w:after="0"/>
              <w:jc w:val="center"/>
              <w:rPr>
                <w:noProof/>
                <w:color w:val="000000"/>
                <w:sz w:val="18"/>
                <w:szCs w:val="18"/>
              </w:rPr>
            </w:pPr>
            <w:r w:rsidRPr="000D0D06">
              <w:rPr>
                <w:noProof/>
                <w:color w:val="000000"/>
                <w:sz w:val="18"/>
              </w:rPr>
              <w:t>Ano</w:t>
            </w:r>
          </w:p>
        </w:tc>
        <w:tc>
          <w:tcPr>
            <w:tcW w:w="553" w:type="pct"/>
            <w:tcBorders>
              <w:top w:val="single" w:sz="8" w:space="0" w:color="auto"/>
              <w:left w:val="nil"/>
              <w:bottom w:val="single" w:sz="8" w:space="0" w:color="auto"/>
              <w:right w:val="single" w:sz="8" w:space="0" w:color="auto"/>
            </w:tcBorders>
            <w:vAlign w:val="center"/>
            <w:hideMark/>
          </w:tcPr>
          <w:p w14:paraId="7A961B6E" w14:textId="77777777" w:rsidR="007C050F" w:rsidRPr="000D0D06" w:rsidRDefault="007C050F" w:rsidP="007C050F">
            <w:pPr>
              <w:spacing w:before="0" w:after="0"/>
              <w:jc w:val="center"/>
              <w:rPr>
                <w:noProof/>
                <w:color w:val="000000"/>
                <w:sz w:val="18"/>
                <w:szCs w:val="18"/>
              </w:rPr>
            </w:pPr>
            <w:r w:rsidRPr="000D0D06">
              <w:rPr>
                <w:noProof/>
                <w:color w:val="000000"/>
                <w:sz w:val="18"/>
              </w:rPr>
              <w:t>Ano</w:t>
            </w:r>
          </w:p>
        </w:tc>
        <w:tc>
          <w:tcPr>
            <w:tcW w:w="553" w:type="pct"/>
            <w:tcBorders>
              <w:top w:val="single" w:sz="8" w:space="0" w:color="auto"/>
              <w:left w:val="nil"/>
              <w:bottom w:val="single" w:sz="8" w:space="0" w:color="auto"/>
              <w:right w:val="single" w:sz="8" w:space="0" w:color="auto"/>
            </w:tcBorders>
            <w:vAlign w:val="center"/>
            <w:hideMark/>
          </w:tcPr>
          <w:p w14:paraId="6BA75008" w14:textId="77777777" w:rsidR="007C050F" w:rsidRPr="000D0D06" w:rsidRDefault="007C050F" w:rsidP="007C050F">
            <w:pPr>
              <w:spacing w:before="0" w:after="0"/>
              <w:jc w:val="center"/>
              <w:rPr>
                <w:noProof/>
                <w:color w:val="000000"/>
                <w:sz w:val="18"/>
                <w:szCs w:val="18"/>
              </w:rPr>
            </w:pPr>
            <w:r w:rsidRPr="000D0D06">
              <w:rPr>
                <w:noProof/>
                <w:color w:val="000000"/>
                <w:sz w:val="18"/>
              </w:rPr>
              <w:t>Ano</w:t>
            </w:r>
          </w:p>
        </w:tc>
        <w:tc>
          <w:tcPr>
            <w:tcW w:w="553" w:type="pct"/>
            <w:tcBorders>
              <w:top w:val="single" w:sz="8" w:space="0" w:color="auto"/>
              <w:left w:val="nil"/>
              <w:bottom w:val="single" w:sz="8" w:space="0" w:color="auto"/>
              <w:right w:val="single" w:sz="8" w:space="0" w:color="auto"/>
            </w:tcBorders>
            <w:vAlign w:val="center"/>
            <w:hideMark/>
          </w:tcPr>
          <w:p w14:paraId="0CB63387" w14:textId="77777777" w:rsidR="007C050F" w:rsidRPr="000D0D06" w:rsidRDefault="007C050F" w:rsidP="007C050F">
            <w:pPr>
              <w:spacing w:before="0" w:after="0"/>
              <w:jc w:val="center"/>
              <w:rPr>
                <w:noProof/>
                <w:color w:val="000000"/>
                <w:sz w:val="18"/>
                <w:szCs w:val="18"/>
              </w:rPr>
            </w:pPr>
            <w:r w:rsidRPr="000D0D06">
              <w:rPr>
                <w:noProof/>
                <w:color w:val="000000"/>
                <w:sz w:val="18"/>
              </w:rPr>
              <w:t>Ano</w:t>
            </w:r>
          </w:p>
        </w:tc>
        <w:tc>
          <w:tcPr>
            <w:tcW w:w="622" w:type="pct"/>
            <w:vMerge w:val="restart"/>
            <w:tcBorders>
              <w:top w:val="single" w:sz="8" w:space="0" w:color="auto"/>
              <w:left w:val="single" w:sz="8" w:space="0" w:color="auto"/>
              <w:bottom w:val="single" w:sz="8" w:space="0" w:color="auto"/>
              <w:right w:val="single" w:sz="8" w:space="0" w:color="auto"/>
            </w:tcBorders>
            <w:vAlign w:val="center"/>
            <w:hideMark/>
          </w:tcPr>
          <w:p w14:paraId="44E375D2" w14:textId="77777777" w:rsidR="007C050F" w:rsidRPr="000D0D06" w:rsidRDefault="007C050F" w:rsidP="007C050F">
            <w:pPr>
              <w:spacing w:before="0" w:after="0"/>
              <w:jc w:val="center"/>
              <w:rPr>
                <w:b/>
                <w:bCs/>
                <w:noProof/>
                <w:color w:val="000000"/>
                <w:sz w:val="18"/>
                <w:szCs w:val="18"/>
              </w:rPr>
            </w:pPr>
            <w:r w:rsidRPr="000D0D06">
              <w:rPr>
                <w:b/>
                <w:noProof/>
                <w:color w:val="000000"/>
                <w:sz w:val="18"/>
              </w:rPr>
              <w:t>TOTAL 2021-2027</w:t>
            </w:r>
          </w:p>
        </w:tc>
      </w:tr>
      <w:tr w:rsidR="007C050F" w:rsidRPr="000D0D06" w14:paraId="03F35C23" w14:textId="77777777">
        <w:trPr>
          <w:trHeight w:val="300"/>
        </w:trPr>
        <w:tc>
          <w:tcPr>
            <w:tcW w:w="2167" w:type="pct"/>
            <w:vMerge/>
            <w:tcBorders>
              <w:top w:val="single" w:sz="8" w:space="0" w:color="auto"/>
              <w:left w:val="single" w:sz="8" w:space="0" w:color="auto"/>
              <w:bottom w:val="single" w:sz="8" w:space="0" w:color="auto"/>
              <w:right w:val="single" w:sz="8" w:space="0" w:color="auto"/>
            </w:tcBorders>
            <w:vAlign w:val="center"/>
            <w:hideMark/>
          </w:tcPr>
          <w:p w14:paraId="5A83AADC" w14:textId="77777777" w:rsidR="007C050F" w:rsidRPr="000D0D06" w:rsidRDefault="007C050F" w:rsidP="007C050F">
            <w:pPr>
              <w:spacing w:before="0" w:after="0"/>
              <w:jc w:val="left"/>
              <w:rPr>
                <w:b/>
                <w:bCs/>
                <w:noProof/>
                <w:color w:val="000000"/>
                <w:sz w:val="18"/>
                <w:szCs w:val="18"/>
                <w:lang w:eastAsia="en-IE"/>
              </w:rPr>
            </w:pPr>
          </w:p>
        </w:tc>
        <w:tc>
          <w:tcPr>
            <w:tcW w:w="553" w:type="pct"/>
            <w:tcBorders>
              <w:top w:val="nil"/>
              <w:left w:val="nil"/>
              <w:bottom w:val="single" w:sz="8" w:space="0" w:color="auto"/>
              <w:right w:val="single" w:sz="8" w:space="0" w:color="auto"/>
            </w:tcBorders>
            <w:vAlign w:val="center"/>
            <w:hideMark/>
          </w:tcPr>
          <w:p w14:paraId="083EB003" w14:textId="77777777" w:rsidR="007C050F" w:rsidRPr="000D0D06" w:rsidRDefault="007C050F" w:rsidP="007C050F">
            <w:pPr>
              <w:spacing w:before="0" w:after="0"/>
              <w:jc w:val="center"/>
              <w:rPr>
                <w:b/>
                <w:bCs/>
                <w:noProof/>
                <w:color w:val="000000"/>
                <w:sz w:val="18"/>
                <w:szCs w:val="18"/>
              </w:rPr>
            </w:pPr>
            <w:r w:rsidRPr="000D0D06">
              <w:rPr>
                <w:b/>
                <w:noProof/>
                <w:color w:val="000000"/>
                <w:sz w:val="18"/>
              </w:rPr>
              <w:t>2024</w:t>
            </w:r>
          </w:p>
        </w:tc>
        <w:tc>
          <w:tcPr>
            <w:tcW w:w="553" w:type="pct"/>
            <w:tcBorders>
              <w:top w:val="nil"/>
              <w:left w:val="nil"/>
              <w:bottom w:val="single" w:sz="8" w:space="0" w:color="auto"/>
              <w:right w:val="single" w:sz="8" w:space="0" w:color="auto"/>
            </w:tcBorders>
            <w:vAlign w:val="center"/>
            <w:hideMark/>
          </w:tcPr>
          <w:p w14:paraId="67F320C1" w14:textId="77777777" w:rsidR="007C050F" w:rsidRPr="000D0D06" w:rsidRDefault="007C050F" w:rsidP="007C050F">
            <w:pPr>
              <w:spacing w:before="0" w:after="0"/>
              <w:jc w:val="center"/>
              <w:rPr>
                <w:b/>
                <w:bCs/>
                <w:noProof/>
                <w:color w:val="000000"/>
                <w:sz w:val="18"/>
                <w:szCs w:val="18"/>
              </w:rPr>
            </w:pPr>
            <w:r w:rsidRPr="000D0D06">
              <w:rPr>
                <w:b/>
                <w:noProof/>
                <w:color w:val="000000"/>
                <w:sz w:val="18"/>
              </w:rPr>
              <w:t>2025</w:t>
            </w:r>
          </w:p>
        </w:tc>
        <w:tc>
          <w:tcPr>
            <w:tcW w:w="553" w:type="pct"/>
            <w:tcBorders>
              <w:top w:val="nil"/>
              <w:left w:val="nil"/>
              <w:bottom w:val="single" w:sz="8" w:space="0" w:color="auto"/>
              <w:right w:val="single" w:sz="8" w:space="0" w:color="auto"/>
            </w:tcBorders>
            <w:vAlign w:val="center"/>
            <w:hideMark/>
          </w:tcPr>
          <w:p w14:paraId="753C78C2" w14:textId="77777777" w:rsidR="007C050F" w:rsidRPr="000D0D06" w:rsidRDefault="007C050F" w:rsidP="007C050F">
            <w:pPr>
              <w:spacing w:before="0" w:after="0"/>
              <w:jc w:val="center"/>
              <w:rPr>
                <w:b/>
                <w:bCs/>
                <w:noProof/>
                <w:color w:val="000000"/>
                <w:sz w:val="18"/>
                <w:szCs w:val="18"/>
              </w:rPr>
            </w:pPr>
            <w:r w:rsidRPr="000D0D06">
              <w:rPr>
                <w:b/>
                <w:noProof/>
                <w:color w:val="000000"/>
                <w:sz w:val="18"/>
              </w:rPr>
              <w:t>2026</w:t>
            </w:r>
          </w:p>
        </w:tc>
        <w:tc>
          <w:tcPr>
            <w:tcW w:w="553" w:type="pct"/>
            <w:tcBorders>
              <w:top w:val="nil"/>
              <w:left w:val="nil"/>
              <w:bottom w:val="single" w:sz="8" w:space="0" w:color="auto"/>
              <w:right w:val="single" w:sz="8" w:space="0" w:color="auto"/>
            </w:tcBorders>
            <w:vAlign w:val="center"/>
            <w:hideMark/>
          </w:tcPr>
          <w:p w14:paraId="2BF192DA" w14:textId="77777777" w:rsidR="007C050F" w:rsidRPr="000D0D06" w:rsidRDefault="007C050F" w:rsidP="007C050F">
            <w:pPr>
              <w:spacing w:before="0" w:after="0"/>
              <w:jc w:val="center"/>
              <w:rPr>
                <w:b/>
                <w:bCs/>
                <w:noProof/>
                <w:color w:val="000000"/>
                <w:sz w:val="18"/>
                <w:szCs w:val="18"/>
              </w:rPr>
            </w:pPr>
            <w:r w:rsidRPr="000D0D06">
              <w:rPr>
                <w:b/>
                <w:noProof/>
                <w:color w:val="000000"/>
                <w:sz w:val="18"/>
              </w:rPr>
              <w:t>2027</w:t>
            </w:r>
          </w:p>
        </w:tc>
        <w:tc>
          <w:tcPr>
            <w:tcW w:w="622" w:type="pct"/>
            <w:vMerge/>
            <w:tcBorders>
              <w:top w:val="single" w:sz="8" w:space="0" w:color="auto"/>
              <w:left w:val="single" w:sz="8" w:space="0" w:color="auto"/>
              <w:bottom w:val="single" w:sz="8" w:space="0" w:color="auto"/>
              <w:right w:val="single" w:sz="8" w:space="0" w:color="auto"/>
            </w:tcBorders>
            <w:vAlign w:val="center"/>
            <w:hideMark/>
          </w:tcPr>
          <w:p w14:paraId="6D9B9015" w14:textId="77777777" w:rsidR="007C050F" w:rsidRPr="000D0D06" w:rsidRDefault="007C050F" w:rsidP="007C050F">
            <w:pPr>
              <w:spacing w:before="0" w:after="0"/>
              <w:jc w:val="left"/>
              <w:rPr>
                <w:b/>
                <w:bCs/>
                <w:noProof/>
                <w:color w:val="000000"/>
                <w:sz w:val="18"/>
                <w:szCs w:val="18"/>
                <w:lang w:eastAsia="en-IE"/>
              </w:rPr>
            </w:pPr>
          </w:p>
        </w:tc>
      </w:tr>
      <w:tr w:rsidR="007C050F" w:rsidRPr="000D0D06" w14:paraId="008D719E" w14:textId="77777777">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2A224A69" w14:textId="77777777" w:rsidR="007C050F" w:rsidRPr="000D0D06" w:rsidRDefault="007C050F" w:rsidP="007C050F">
            <w:pPr>
              <w:spacing w:before="0" w:after="0"/>
              <w:jc w:val="left"/>
              <w:rPr>
                <w:b/>
                <w:bCs/>
                <w:noProof/>
                <w:sz w:val="16"/>
                <w:szCs w:val="16"/>
              </w:rPr>
            </w:pPr>
            <w:r w:rsidRPr="000D0D06">
              <w:rPr>
                <w:b/>
                <w:noProof/>
                <w:sz w:val="16"/>
              </w:rPr>
              <w:t>RUBRICA 7</w:t>
            </w:r>
          </w:p>
        </w:tc>
      </w:tr>
      <w:tr w:rsidR="007C050F" w:rsidRPr="000D0D06" w14:paraId="5FC75FD4" w14:textId="77777777">
        <w:trPr>
          <w:trHeight w:val="300"/>
        </w:trPr>
        <w:tc>
          <w:tcPr>
            <w:tcW w:w="2167" w:type="pct"/>
            <w:tcBorders>
              <w:top w:val="nil"/>
              <w:left w:val="single" w:sz="8" w:space="0" w:color="auto"/>
              <w:bottom w:val="single" w:sz="8" w:space="0" w:color="auto"/>
              <w:right w:val="single" w:sz="8" w:space="0" w:color="auto"/>
            </w:tcBorders>
            <w:vAlign w:val="center"/>
            <w:hideMark/>
          </w:tcPr>
          <w:p w14:paraId="4D4C7B36" w14:textId="77777777" w:rsidR="007C050F" w:rsidRPr="000D0D06" w:rsidRDefault="007C050F" w:rsidP="007C050F">
            <w:pPr>
              <w:spacing w:before="0" w:after="0"/>
              <w:jc w:val="left"/>
              <w:rPr>
                <w:noProof/>
                <w:color w:val="000000"/>
                <w:sz w:val="16"/>
                <w:szCs w:val="16"/>
              </w:rPr>
            </w:pPr>
            <w:r w:rsidRPr="000D0D06">
              <w:rPr>
                <w:noProof/>
                <w:color w:val="000000"/>
                <w:sz w:val="16"/>
              </w:rPr>
              <w:t xml:space="preserve">Recursos humanos </w:t>
            </w:r>
          </w:p>
        </w:tc>
        <w:tc>
          <w:tcPr>
            <w:tcW w:w="553" w:type="pct"/>
            <w:tcBorders>
              <w:top w:val="nil"/>
              <w:left w:val="nil"/>
              <w:bottom w:val="single" w:sz="8" w:space="0" w:color="auto"/>
              <w:right w:val="single" w:sz="8" w:space="0" w:color="auto"/>
            </w:tcBorders>
            <w:shd w:val="clear" w:color="000000" w:fill="D9D9D9"/>
            <w:vAlign w:val="center"/>
            <w:hideMark/>
          </w:tcPr>
          <w:p w14:paraId="0A1FA508" w14:textId="77777777" w:rsidR="007C050F" w:rsidRPr="000D0D06" w:rsidRDefault="007C050F" w:rsidP="007C050F">
            <w:pPr>
              <w:spacing w:before="0" w:after="0"/>
              <w:jc w:val="right"/>
              <w:rPr>
                <w:noProof/>
                <w:color w:val="000000"/>
                <w:sz w:val="16"/>
                <w:szCs w:val="16"/>
              </w:rPr>
            </w:pPr>
            <w:r w:rsidRPr="000D0D06">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7B0ADDBF" w14:textId="77777777" w:rsidR="007C050F" w:rsidRPr="000D0D06" w:rsidRDefault="007C050F" w:rsidP="007C050F">
            <w:pPr>
              <w:spacing w:before="0" w:after="0"/>
              <w:jc w:val="right"/>
              <w:rPr>
                <w:noProof/>
                <w:color w:val="000000"/>
                <w:sz w:val="16"/>
                <w:szCs w:val="16"/>
              </w:rPr>
            </w:pPr>
            <w:r w:rsidRPr="000D0D06">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6AE9F147" w14:textId="77777777" w:rsidR="007C050F" w:rsidRPr="000D0D06" w:rsidRDefault="007C050F" w:rsidP="007C050F">
            <w:pPr>
              <w:spacing w:before="0" w:after="0"/>
              <w:jc w:val="right"/>
              <w:rPr>
                <w:noProof/>
                <w:color w:val="000000"/>
                <w:sz w:val="16"/>
                <w:szCs w:val="16"/>
              </w:rPr>
            </w:pPr>
            <w:r w:rsidRPr="000D0D06">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2BDA2B9A" w14:textId="77777777" w:rsidR="007C050F" w:rsidRPr="000D0D06" w:rsidRDefault="007C050F" w:rsidP="007C050F">
            <w:pPr>
              <w:spacing w:before="0" w:after="0"/>
              <w:jc w:val="right"/>
              <w:rPr>
                <w:noProof/>
                <w:color w:val="000000"/>
                <w:sz w:val="16"/>
                <w:szCs w:val="16"/>
              </w:rPr>
            </w:pPr>
            <w:r w:rsidRPr="000D0D06">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6BC781B1" w14:textId="77777777" w:rsidR="007C050F" w:rsidRPr="000D0D06" w:rsidRDefault="007C050F" w:rsidP="007C050F">
            <w:pPr>
              <w:spacing w:before="0" w:after="0"/>
              <w:jc w:val="right"/>
              <w:rPr>
                <w:b/>
                <w:bCs/>
                <w:noProof/>
                <w:color w:val="000000"/>
                <w:sz w:val="16"/>
                <w:szCs w:val="16"/>
              </w:rPr>
            </w:pPr>
            <w:r w:rsidRPr="000D0D06">
              <w:rPr>
                <w:b/>
                <w:noProof/>
                <w:color w:val="000000"/>
                <w:sz w:val="16"/>
              </w:rPr>
              <w:t>0,000</w:t>
            </w:r>
          </w:p>
        </w:tc>
      </w:tr>
      <w:tr w:rsidR="007C050F" w:rsidRPr="000D0D06" w14:paraId="4BEB3BCD" w14:textId="77777777">
        <w:trPr>
          <w:trHeight w:val="300"/>
        </w:trPr>
        <w:tc>
          <w:tcPr>
            <w:tcW w:w="2167" w:type="pct"/>
            <w:tcBorders>
              <w:top w:val="nil"/>
              <w:left w:val="single" w:sz="8" w:space="0" w:color="auto"/>
              <w:bottom w:val="single" w:sz="8" w:space="0" w:color="auto"/>
              <w:right w:val="single" w:sz="8" w:space="0" w:color="auto"/>
            </w:tcBorders>
            <w:vAlign w:val="center"/>
            <w:hideMark/>
          </w:tcPr>
          <w:p w14:paraId="7EB44405" w14:textId="77777777" w:rsidR="007C050F" w:rsidRPr="000D0D06" w:rsidRDefault="007C050F" w:rsidP="007C050F">
            <w:pPr>
              <w:spacing w:before="0" w:after="0"/>
              <w:jc w:val="left"/>
              <w:rPr>
                <w:noProof/>
                <w:color w:val="000000"/>
                <w:sz w:val="16"/>
                <w:szCs w:val="16"/>
              </w:rPr>
            </w:pPr>
            <w:r w:rsidRPr="000D0D06">
              <w:rPr>
                <w:noProof/>
                <w:color w:val="000000"/>
                <w:sz w:val="16"/>
              </w:rPr>
              <w:t xml:space="preserve">Outras despesas administrativas </w:t>
            </w:r>
          </w:p>
        </w:tc>
        <w:tc>
          <w:tcPr>
            <w:tcW w:w="553" w:type="pct"/>
            <w:tcBorders>
              <w:top w:val="nil"/>
              <w:left w:val="nil"/>
              <w:bottom w:val="single" w:sz="8" w:space="0" w:color="auto"/>
              <w:right w:val="single" w:sz="8" w:space="0" w:color="auto"/>
            </w:tcBorders>
            <w:shd w:val="clear" w:color="000000" w:fill="D9D9D9"/>
            <w:vAlign w:val="center"/>
            <w:hideMark/>
          </w:tcPr>
          <w:p w14:paraId="64A26542" w14:textId="77777777" w:rsidR="007C050F" w:rsidRPr="000D0D06" w:rsidRDefault="007C050F" w:rsidP="007C050F">
            <w:pPr>
              <w:spacing w:before="0" w:after="0"/>
              <w:jc w:val="right"/>
              <w:rPr>
                <w:noProof/>
                <w:color w:val="000000"/>
                <w:sz w:val="16"/>
                <w:szCs w:val="16"/>
              </w:rPr>
            </w:pPr>
            <w:r w:rsidRPr="000D0D06">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45136F1E" w14:textId="77777777" w:rsidR="007C050F" w:rsidRPr="000D0D06" w:rsidRDefault="007C050F" w:rsidP="007C050F">
            <w:pPr>
              <w:spacing w:before="0" w:after="0"/>
              <w:jc w:val="right"/>
              <w:rPr>
                <w:noProof/>
                <w:color w:val="000000"/>
                <w:sz w:val="16"/>
                <w:szCs w:val="16"/>
              </w:rPr>
            </w:pPr>
            <w:r w:rsidRPr="000D0D06">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159A9915" w14:textId="77777777" w:rsidR="007C050F" w:rsidRPr="000D0D06" w:rsidRDefault="007C050F" w:rsidP="007C050F">
            <w:pPr>
              <w:spacing w:before="0" w:after="0"/>
              <w:jc w:val="right"/>
              <w:rPr>
                <w:noProof/>
                <w:color w:val="000000"/>
                <w:sz w:val="16"/>
                <w:szCs w:val="16"/>
              </w:rPr>
            </w:pPr>
            <w:r w:rsidRPr="000D0D06">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66EF8388" w14:textId="77777777" w:rsidR="007C050F" w:rsidRPr="000D0D06" w:rsidRDefault="007C050F" w:rsidP="007C050F">
            <w:pPr>
              <w:spacing w:before="0" w:after="0"/>
              <w:jc w:val="right"/>
              <w:rPr>
                <w:noProof/>
                <w:color w:val="000000"/>
                <w:sz w:val="16"/>
                <w:szCs w:val="16"/>
              </w:rPr>
            </w:pPr>
            <w:r w:rsidRPr="000D0D06">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0D95EE7F" w14:textId="77777777" w:rsidR="007C050F" w:rsidRPr="000D0D06" w:rsidRDefault="007C050F" w:rsidP="007C050F">
            <w:pPr>
              <w:spacing w:before="0" w:after="0"/>
              <w:jc w:val="right"/>
              <w:rPr>
                <w:b/>
                <w:bCs/>
                <w:noProof/>
                <w:color w:val="000000"/>
                <w:sz w:val="16"/>
                <w:szCs w:val="16"/>
              </w:rPr>
            </w:pPr>
            <w:r w:rsidRPr="000D0D06">
              <w:rPr>
                <w:b/>
                <w:noProof/>
                <w:color w:val="000000"/>
                <w:sz w:val="16"/>
              </w:rPr>
              <w:t>0,000</w:t>
            </w:r>
          </w:p>
        </w:tc>
      </w:tr>
      <w:tr w:rsidR="007C050F" w:rsidRPr="000D0D06" w14:paraId="7C644F91" w14:textId="77777777">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14:paraId="1A62141F" w14:textId="77777777" w:rsidR="007C050F" w:rsidRPr="000D0D06" w:rsidRDefault="007C050F" w:rsidP="007C050F">
            <w:pPr>
              <w:spacing w:before="0" w:after="0"/>
              <w:jc w:val="center"/>
              <w:rPr>
                <w:b/>
                <w:bCs/>
                <w:noProof/>
                <w:color w:val="000000"/>
                <w:sz w:val="16"/>
                <w:szCs w:val="16"/>
              </w:rPr>
            </w:pPr>
            <w:r w:rsidRPr="000D0D06">
              <w:rPr>
                <w:b/>
                <w:noProof/>
                <w:color w:val="000000"/>
                <w:sz w:val="16"/>
              </w:rPr>
              <w:t>Subtotal RUBRICA 7</w:t>
            </w:r>
          </w:p>
        </w:tc>
        <w:tc>
          <w:tcPr>
            <w:tcW w:w="553" w:type="pct"/>
            <w:tcBorders>
              <w:top w:val="nil"/>
              <w:left w:val="nil"/>
              <w:bottom w:val="single" w:sz="8" w:space="0" w:color="auto"/>
              <w:right w:val="single" w:sz="8" w:space="0" w:color="auto"/>
            </w:tcBorders>
            <w:shd w:val="clear" w:color="000000" w:fill="D9D9D9"/>
            <w:vAlign w:val="center"/>
            <w:hideMark/>
          </w:tcPr>
          <w:p w14:paraId="3FAAAB46" w14:textId="77777777" w:rsidR="007C050F" w:rsidRPr="000D0D06" w:rsidRDefault="007C050F" w:rsidP="007C050F">
            <w:pPr>
              <w:spacing w:before="0" w:after="0"/>
              <w:jc w:val="right"/>
              <w:rPr>
                <w:b/>
                <w:bCs/>
                <w:noProof/>
                <w:color w:val="000000"/>
                <w:sz w:val="16"/>
                <w:szCs w:val="16"/>
              </w:rPr>
            </w:pPr>
            <w:r w:rsidRPr="000D0D06">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1179773F" w14:textId="77777777" w:rsidR="007C050F" w:rsidRPr="000D0D06" w:rsidRDefault="007C050F" w:rsidP="007C050F">
            <w:pPr>
              <w:spacing w:before="0" w:after="0"/>
              <w:jc w:val="right"/>
              <w:rPr>
                <w:b/>
                <w:bCs/>
                <w:noProof/>
                <w:color w:val="000000"/>
                <w:sz w:val="16"/>
                <w:szCs w:val="16"/>
              </w:rPr>
            </w:pPr>
            <w:r w:rsidRPr="000D0D06">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7BE0650E" w14:textId="77777777" w:rsidR="007C050F" w:rsidRPr="000D0D06" w:rsidRDefault="007C050F" w:rsidP="007C050F">
            <w:pPr>
              <w:spacing w:before="0" w:after="0"/>
              <w:jc w:val="right"/>
              <w:rPr>
                <w:b/>
                <w:bCs/>
                <w:noProof/>
                <w:color w:val="000000"/>
                <w:sz w:val="16"/>
                <w:szCs w:val="16"/>
              </w:rPr>
            </w:pPr>
            <w:r w:rsidRPr="000D0D06">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6A91BAA0" w14:textId="77777777" w:rsidR="007C050F" w:rsidRPr="000D0D06" w:rsidRDefault="007C050F" w:rsidP="007C050F">
            <w:pPr>
              <w:spacing w:before="0" w:after="0"/>
              <w:jc w:val="right"/>
              <w:rPr>
                <w:b/>
                <w:bCs/>
                <w:noProof/>
                <w:color w:val="000000"/>
                <w:sz w:val="16"/>
                <w:szCs w:val="16"/>
              </w:rPr>
            </w:pPr>
            <w:r w:rsidRPr="000D0D06">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73B185BB" w14:textId="77777777" w:rsidR="007C050F" w:rsidRPr="000D0D06" w:rsidRDefault="007C050F" w:rsidP="007C050F">
            <w:pPr>
              <w:spacing w:before="0" w:after="0"/>
              <w:jc w:val="right"/>
              <w:rPr>
                <w:b/>
                <w:bCs/>
                <w:noProof/>
                <w:color w:val="000000"/>
                <w:sz w:val="16"/>
                <w:szCs w:val="16"/>
              </w:rPr>
            </w:pPr>
            <w:r w:rsidRPr="000D0D06">
              <w:rPr>
                <w:b/>
                <w:noProof/>
                <w:color w:val="000000"/>
                <w:sz w:val="16"/>
              </w:rPr>
              <w:t>0,000</w:t>
            </w:r>
          </w:p>
        </w:tc>
      </w:tr>
      <w:tr w:rsidR="007C050F" w:rsidRPr="000D0D06" w14:paraId="454CC737" w14:textId="77777777">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2F4D589A" w14:textId="77777777" w:rsidR="007C050F" w:rsidRPr="000D0D06" w:rsidRDefault="007C050F" w:rsidP="007C050F">
            <w:pPr>
              <w:spacing w:before="0" w:after="0"/>
              <w:jc w:val="left"/>
              <w:rPr>
                <w:b/>
                <w:bCs/>
                <w:noProof/>
                <w:sz w:val="16"/>
                <w:szCs w:val="16"/>
              </w:rPr>
            </w:pPr>
            <w:r w:rsidRPr="000D0D06">
              <w:rPr>
                <w:b/>
                <w:noProof/>
                <w:sz w:val="16"/>
              </w:rPr>
              <w:t>Com exclusão da RUBRICA 7</w:t>
            </w:r>
          </w:p>
        </w:tc>
      </w:tr>
      <w:tr w:rsidR="007C050F" w:rsidRPr="000D0D06" w14:paraId="38AC7545" w14:textId="77777777">
        <w:trPr>
          <w:trHeight w:val="300"/>
        </w:trPr>
        <w:tc>
          <w:tcPr>
            <w:tcW w:w="2167" w:type="pct"/>
            <w:tcBorders>
              <w:top w:val="nil"/>
              <w:left w:val="single" w:sz="8" w:space="0" w:color="auto"/>
              <w:bottom w:val="single" w:sz="8" w:space="0" w:color="auto"/>
              <w:right w:val="single" w:sz="8" w:space="0" w:color="auto"/>
            </w:tcBorders>
            <w:vAlign w:val="center"/>
            <w:hideMark/>
          </w:tcPr>
          <w:p w14:paraId="2D835675" w14:textId="77777777" w:rsidR="007C050F" w:rsidRPr="000D0D06" w:rsidRDefault="007C050F" w:rsidP="007C050F">
            <w:pPr>
              <w:spacing w:before="0" w:after="0"/>
              <w:jc w:val="left"/>
              <w:rPr>
                <w:noProof/>
                <w:color w:val="000000"/>
                <w:sz w:val="16"/>
                <w:szCs w:val="16"/>
              </w:rPr>
            </w:pPr>
            <w:r w:rsidRPr="000D0D06">
              <w:rPr>
                <w:noProof/>
                <w:color w:val="000000"/>
                <w:sz w:val="16"/>
              </w:rPr>
              <w:t xml:space="preserve">Recursos humanos </w:t>
            </w:r>
          </w:p>
        </w:tc>
        <w:tc>
          <w:tcPr>
            <w:tcW w:w="553" w:type="pct"/>
            <w:tcBorders>
              <w:top w:val="nil"/>
              <w:left w:val="nil"/>
              <w:bottom w:val="single" w:sz="8" w:space="0" w:color="auto"/>
              <w:right w:val="single" w:sz="8" w:space="0" w:color="auto"/>
            </w:tcBorders>
            <w:shd w:val="clear" w:color="000000" w:fill="D9D9D9"/>
            <w:vAlign w:val="center"/>
            <w:hideMark/>
          </w:tcPr>
          <w:p w14:paraId="2298994D" w14:textId="77777777" w:rsidR="007C050F" w:rsidRPr="000D0D06" w:rsidRDefault="007C050F" w:rsidP="007C050F">
            <w:pPr>
              <w:spacing w:before="0" w:after="0"/>
              <w:jc w:val="right"/>
              <w:rPr>
                <w:noProof/>
                <w:color w:val="000000"/>
                <w:sz w:val="16"/>
                <w:szCs w:val="16"/>
              </w:rPr>
            </w:pPr>
            <w:r w:rsidRPr="000D0D06">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533DEDCC" w14:textId="77777777" w:rsidR="007C050F" w:rsidRPr="000D0D06" w:rsidRDefault="007C050F" w:rsidP="007C050F">
            <w:pPr>
              <w:spacing w:before="0" w:after="0"/>
              <w:jc w:val="right"/>
              <w:rPr>
                <w:noProof/>
                <w:color w:val="000000"/>
                <w:sz w:val="16"/>
                <w:szCs w:val="16"/>
              </w:rPr>
            </w:pPr>
            <w:r w:rsidRPr="000D0D06">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09D88840" w14:textId="77777777" w:rsidR="007C050F" w:rsidRPr="000D0D06" w:rsidRDefault="007C050F" w:rsidP="007C050F">
            <w:pPr>
              <w:spacing w:before="0" w:after="0"/>
              <w:jc w:val="right"/>
              <w:rPr>
                <w:noProof/>
                <w:color w:val="000000"/>
                <w:sz w:val="16"/>
                <w:szCs w:val="16"/>
              </w:rPr>
            </w:pPr>
            <w:r w:rsidRPr="000D0D06">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52EFAA42" w14:textId="77777777" w:rsidR="007C050F" w:rsidRPr="000D0D06" w:rsidRDefault="007C050F" w:rsidP="007C050F">
            <w:pPr>
              <w:spacing w:before="0" w:after="0"/>
              <w:jc w:val="right"/>
              <w:rPr>
                <w:noProof/>
                <w:color w:val="000000"/>
                <w:sz w:val="16"/>
                <w:szCs w:val="16"/>
              </w:rPr>
            </w:pPr>
            <w:r w:rsidRPr="000D0D06">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4F6389DB" w14:textId="77777777" w:rsidR="007C050F" w:rsidRPr="000D0D06" w:rsidRDefault="007C050F" w:rsidP="007C050F">
            <w:pPr>
              <w:spacing w:before="0" w:after="0"/>
              <w:jc w:val="right"/>
              <w:rPr>
                <w:b/>
                <w:bCs/>
                <w:noProof/>
                <w:color w:val="000000"/>
                <w:sz w:val="16"/>
                <w:szCs w:val="16"/>
              </w:rPr>
            </w:pPr>
            <w:r w:rsidRPr="000D0D06">
              <w:rPr>
                <w:b/>
                <w:noProof/>
                <w:color w:val="000000"/>
                <w:sz w:val="16"/>
              </w:rPr>
              <w:t>0,000</w:t>
            </w:r>
          </w:p>
        </w:tc>
      </w:tr>
      <w:tr w:rsidR="007C050F" w:rsidRPr="000D0D06" w14:paraId="405281DE" w14:textId="77777777">
        <w:trPr>
          <w:trHeight w:val="300"/>
        </w:trPr>
        <w:tc>
          <w:tcPr>
            <w:tcW w:w="2167" w:type="pct"/>
            <w:tcBorders>
              <w:top w:val="nil"/>
              <w:left w:val="single" w:sz="8" w:space="0" w:color="auto"/>
              <w:bottom w:val="single" w:sz="8" w:space="0" w:color="auto"/>
              <w:right w:val="single" w:sz="8" w:space="0" w:color="auto"/>
            </w:tcBorders>
            <w:vAlign w:val="center"/>
            <w:hideMark/>
          </w:tcPr>
          <w:p w14:paraId="4B1BA252" w14:textId="77777777" w:rsidR="007C050F" w:rsidRPr="000D0D06" w:rsidRDefault="007C050F" w:rsidP="007C050F">
            <w:pPr>
              <w:spacing w:before="0" w:after="0"/>
              <w:jc w:val="left"/>
              <w:rPr>
                <w:noProof/>
                <w:color w:val="000000"/>
                <w:sz w:val="16"/>
                <w:szCs w:val="16"/>
              </w:rPr>
            </w:pPr>
            <w:r w:rsidRPr="000D0D06">
              <w:rPr>
                <w:noProof/>
                <w:color w:val="000000"/>
                <w:sz w:val="16"/>
              </w:rPr>
              <w:t>Outras despesas de natureza administrativa</w:t>
            </w:r>
          </w:p>
        </w:tc>
        <w:tc>
          <w:tcPr>
            <w:tcW w:w="553" w:type="pct"/>
            <w:tcBorders>
              <w:top w:val="nil"/>
              <w:left w:val="nil"/>
              <w:bottom w:val="single" w:sz="8" w:space="0" w:color="auto"/>
              <w:right w:val="single" w:sz="8" w:space="0" w:color="auto"/>
            </w:tcBorders>
            <w:shd w:val="clear" w:color="000000" w:fill="D9D9D9"/>
            <w:vAlign w:val="center"/>
            <w:hideMark/>
          </w:tcPr>
          <w:p w14:paraId="7E2EFDD9" w14:textId="77777777" w:rsidR="007C050F" w:rsidRPr="000D0D06" w:rsidRDefault="007C050F" w:rsidP="007C050F">
            <w:pPr>
              <w:spacing w:before="0" w:after="0"/>
              <w:jc w:val="right"/>
              <w:rPr>
                <w:noProof/>
                <w:color w:val="000000"/>
                <w:sz w:val="16"/>
                <w:szCs w:val="16"/>
              </w:rPr>
            </w:pPr>
            <w:r w:rsidRPr="000D0D06">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6BCD7AC5" w14:textId="77777777" w:rsidR="007C050F" w:rsidRPr="000D0D06" w:rsidRDefault="007C050F" w:rsidP="007C050F">
            <w:pPr>
              <w:spacing w:before="0" w:after="0"/>
              <w:jc w:val="right"/>
              <w:rPr>
                <w:noProof/>
                <w:color w:val="000000"/>
                <w:sz w:val="16"/>
                <w:szCs w:val="16"/>
              </w:rPr>
            </w:pPr>
            <w:r w:rsidRPr="000D0D06">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44EBCB08" w14:textId="77777777" w:rsidR="007C050F" w:rsidRPr="000D0D06" w:rsidRDefault="007C050F" w:rsidP="007C050F">
            <w:pPr>
              <w:spacing w:before="0" w:after="0"/>
              <w:jc w:val="right"/>
              <w:rPr>
                <w:noProof/>
                <w:color w:val="000000"/>
                <w:sz w:val="16"/>
                <w:szCs w:val="16"/>
              </w:rPr>
            </w:pPr>
            <w:r w:rsidRPr="000D0D06">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24D8C84D" w14:textId="77777777" w:rsidR="007C050F" w:rsidRPr="000D0D06" w:rsidRDefault="007C050F" w:rsidP="007C050F">
            <w:pPr>
              <w:spacing w:before="0" w:after="0"/>
              <w:jc w:val="right"/>
              <w:rPr>
                <w:noProof/>
                <w:color w:val="000000"/>
                <w:sz w:val="16"/>
                <w:szCs w:val="16"/>
              </w:rPr>
            </w:pPr>
            <w:r w:rsidRPr="000D0D06">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2B88F602" w14:textId="77777777" w:rsidR="007C050F" w:rsidRPr="000D0D06" w:rsidRDefault="007C050F" w:rsidP="007C050F">
            <w:pPr>
              <w:spacing w:before="0" w:after="0"/>
              <w:jc w:val="right"/>
              <w:rPr>
                <w:b/>
                <w:bCs/>
                <w:noProof/>
                <w:color w:val="000000"/>
                <w:sz w:val="16"/>
                <w:szCs w:val="16"/>
              </w:rPr>
            </w:pPr>
            <w:r w:rsidRPr="000D0D06">
              <w:rPr>
                <w:b/>
                <w:noProof/>
                <w:color w:val="000000"/>
                <w:sz w:val="16"/>
              </w:rPr>
              <w:t>0,000</w:t>
            </w:r>
          </w:p>
        </w:tc>
      </w:tr>
      <w:tr w:rsidR="007C050F" w:rsidRPr="000D0D06" w14:paraId="0AE97B12" w14:textId="77777777">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14:paraId="384D0501" w14:textId="77777777" w:rsidR="007C050F" w:rsidRPr="000D0D06" w:rsidRDefault="007C050F" w:rsidP="007C050F">
            <w:pPr>
              <w:spacing w:before="0" w:after="0"/>
              <w:jc w:val="center"/>
              <w:rPr>
                <w:b/>
                <w:bCs/>
                <w:noProof/>
                <w:color w:val="000000"/>
                <w:sz w:val="16"/>
                <w:szCs w:val="16"/>
              </w:rPr>
            </w:pPr>
            <w:r w:rsidRPr="000D0D06">
              <w:rPr>
                <w:b/>
                <w:noProof/>
                <w:color w:val="000000"/>
                <w:sz w:val="16"/>
              </w:rPr>
              <w:t>Subtotal com exclusão da RUBRICA 7</w:t>
            </w:r>
          </w:p>
        </w:tc>
        <w:tc>
          <w:tcPr>
            <w:tcW w:w="553" w:type="pct"/>
            <w:tcBorders>
              <w:top w:val="nil"/>
              <w:left w:val="nil"/>
              <w:bottom w:val="single" w:sz="8" w:space="0" w:color="auto"/>
              <w:right w:val="single" w:sz="8" w:space="0" w:color="auto"/>
            </w:tcBorders>
            <w:shd w:val="clear" w:color="000000" w:fill="D9D9D9"/>
            <w:vAlign w:val="center"/>
            <w:hideMark/>
          </w:tcPr>
          <w:p w14:paraId="7DC5CBA7" w14:textId="77777777" w:rsidR="007C050F" w:rsidRPr="000D0D06" w:rsidRDefault="007C050F" w:rsidP="007C050F">
            <w:pPr>
              <w:spacing w:before="0" w:after="0"/>
              <w:jc w:val="right"/>
              <w:rPr>
                <w:b/>
                <w:bCs/>
                <w:noProof/>
                <w:color w:val="000000"/>
                <w:sz w:val="16"/>
                <w:szCs w:val="16"/>
              </w:rPr>
            </w:pPr>
            <w:r w:rsidRPr="000D0D06">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2822D322" w14:textId="77777777" w:rsidR="007C050F" w:rsidRPr="000D0D06" w:rsidRDefault="007C050F" w:rsidP="007C050F">
            <w:pPr>
              <w:spacing w:before="0" w:after="0"/>
              <w:jc w:val="right"/>
              <w:rPr>
                <w:b/>
                <w:bCs/>
                <w:noProof/>
                <w:color w:val="000000"/>
                <w:sz w:val="16"/>
                <w:szCs w:val="16"/>
              </w:rPr>
            </w:pPr>
            <w:r w:rsidRPr="000D0D06">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5B0A96CB" w14:textId="77777777" w:rsidR="007C050F" w:rsidRPr="000D0D06" w:rsidRDefault="007C050F" w:rsidP="007C050F">
            <w:pPr>
              <w:spacing w:before="0" w:after="0"/>
              <w:jc w:val="right"/>
              <w:rPr>
                <w:b/>
                <w:bCs/>
                <w:noProof/>
                <w:color w:val="000000"/>
                <w:sz w:val="16"/>
                <w:szCs w:val="16"/>
              </w:rPr>
            </w:pPr>
            <w:r w:rsidRPr="000D0D06">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4047C29D" w14:textId="77777777" w:rsidR="007C050F" w:rsidRPr="000D0D06" w:rsidRDefault="007C050F" w:rsidP="007C050F">
            <w:pPr>
              <w:spacing w:before="0" w:after="0"/>
              <w:jc w:val="right"/>
              <w:rPr>
                <w:b/>
                <w:bCs/>
                <w:noProof/>
                <w:color w:val="000000"/>
                <w:sz w:val="16"/>
                <w:szCs w:val="16"/>
              </w:rPr>
            </w:pPr>
            <w:r w:rsidRPr="000D0D06">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1C01C4D9" w14:textId="77777777" w:rsidR="007C050F" w:rsidRPr="000D0D06" w:rsidRDefault="007C050F" w:rsidP="007C050F">
            <w:pPr>
              <w:spacing w:before="0" w:after="0"/>
              <w:jc w:val="right"/>
              <w:rPr>
                <w:b/>
                <w:bCs/>
                <w:noProof/>
                <w:color w:val="000000"/>
                <w:sz w:val="16"/>
                <w:szCs w:val="16"/>
              </w:rPr>
            </w:pPr>
            <w:r w:rsidRPr="000D0D06">
              <w:rPr>
                <w:b/>
                <w:noProof/>
                <w:color w:val="000000"/>
                <w:sz w:val="16"/>
              </w:rPr>
              <w:t>0,000</w:t>
            </w:r>
          </w:p>
        </w:tc>
      </w:tr>
      <w:tr w:rsidR="007C050F" w:rsidRPr="000D0D06" w14:paraId="7231665C" w14:textId="77777777">
        <w:trPr>
          <w:trHeight w:val="300"/>
        </w:trPr>
        <w:tc>
          <w:tcPr>
            <w:tcW w:w="5000" w:type="pct"/>
            <w:gridSpan w:val="6"/>
            <w:tcBorders>
              <w:top w:val="single" w:sz="8" w:space="0" w:color="auto"/>
              <w:left w:val="single" w:sz="8" w:space="0" w:color="auto"/>
              <w:bottom w:val="single" w:sz="8" w:space="0" w:color="auto"/>
              <w:right w:val="single" w:sz="4" w:space="0" w:color="auto"/>
            </w:tcBorders>
            <w:noWrap/>
            <w:vAlign w:val="center"/>
            <w:hideMark/>
          </w:tcPr>
          <w:p w14:paraId="3A232AE5" w14:textId="77777777" w:rsidR="007C050F" w:rsidRPr="000D0D06" w:rsidRDefault="007C050F" w:rsidP="007C050F">
            <w:pPr>
              <w:spacing w:before="0" w:after="0"/>
              <w:jc w:val="center"/>
              <w:rPr>
                <w:noProof/>
                <w:color w:val="000000"/>
                <w:sz w:val="16"/>
                <w:szCs w:val="16"/>
              </w:rPr>
            </w:pPr>
            <w:r w:rsidRPr="000D0D06">
              <w:rPr>
                <w:noProof/>
                <w:color w:val="000000"/>
                <w:sz w:val="16"/>
              </w:rPr>
              <w:t xml:space="preserve"> </w:t>
            </w:r>
          </w:p>
        </w:tc>
      </w:tr>
      <w:tr w:rsidR="007C050F" w:rsidRPr="000D0D06" w14:paraId="7B37932E" w14:textId="77777777">
        <w:trPr>
          <w:trHeight w:val="300"/>
        </w:trPr>
        <w:tc>
          <w:tcPr>
            <w:tcW w:w="2167" w:type="pct"/>
            <w:tcBorders>
              <w:top w:val="nil"/>
              <w:left w:val="single" w:sz="8" w:space="0" w:color="auto"/>
              <w:bottom w:val="single" w:sz="8" w:space="0" w:color="auto"/>
              <w:right w:val="single" w:sz="8" w:space="0" w:color="auto"/>
            </w:tcBorders>
            <w:vAlign w:val="center"/>
            <w:hideMark/>
          </w:tcPr>
          <w:p w14:paraId="6C30C916" w14:textId="77777777" w:rsidR="007C050F" w:rsidRPr="000D0D06" w:rsidRDefault="007C050F" w:rsidP="007C050F">
            <w:pPr>
              <w:spacing w:before="0" w:after="0"/>
              <w:jc w:val="center"/>
              <w:rPr>
                <w:b/>
                <w:bCs/>
                <w:noProof/>
                <w:color w:val="000000"/>
                <w:sz w:val="16"/>
                <w:szCs w:val="16"/>
              </w:rPr>
            </w:pPr>
            <w:r w:rsidRPr="000D0D06">
              <w:rPr>
                <w:b/>
                <w:noProof/>
                <w:color w:val="000000"/>
                <w:sz w:val="16"/>
              </w:rPr>
              <w:t>TOTAL</w:t>
            </w:r>
          </w:p>
        </w:tc>
        <w:tc>
          <w:tcPr>
            <w:tcW w:w="553" w:type="pct"/>
            <w:tcBorders>
              <w:top w:val="nil"/>
              <w:left w:val="nil"/>
              <w:bottom w:val="single" w:sz="8" w:space="0" w:color="auto"/>
              <w:right w:val="single" w:sz="8" w:space="0" w:color="auto"/>
            </w:tcBorders>
            <w:shd w:val="clear" w:color="000000" w:fill="D9D9D9"/>
            <w:vAlign w:val="center"/>
            <w:hideMark/>
          </w:tcPr>
          <w:p w14:paraId="269F3FF6" w14:textId="77777777" w:rsidR="007C050F" w:rsidRPr="000D0D06" w:rsidRDefault="007C050F" w:rsidP="007C050F">
            <w:pPr>
              <w:spacing w:before="0" w:after="0"/>
              <w:jc w:val="right"/>
              <w:rPr>
                <w:b/>
                <w:bCs/>
                <w:noProof/>
                <w:color w:val="000000"/>
                <w:sz w:val="16"/>
                <w:szCs w:val="16"/>
              </w:rPr>
            </w:pPr>
            <w:r w:rsidRPr="000D0D06">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46659AA8" w14:textId="77777777" w:rsidR="007C050F" w:rsidRPr="000D0D06" w:rsidRDefault="007C050F" w:rsidP="007C050F">
            <w:pPr>
              <w:spacing w:before="0" w:after="0"/>
              <w:jc w:val="right"/>
              <w:rPr>
                <w:b/>
                <w:bCs/>
                <w:noProof/>
                <w:color w:val="000000"/>
                <w:sz w:val="16"/>
                <w:szCs w:val="16"/>
              </w:rPr>
            </w:pPr>
            <w:r w:rsidRPr="000D0D06">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42EAF426" w14:textId="77777777" w:rsidR="007C050F" w:rsidRPr="000D0D06" w:rsidRDefault="007C050F" w:rsidP="007C050F">
            <w:pPr>
              <w:spacing w:before="0" w:after="0"/>
              <w:jc w:val="right"/>
              <w:rPr>
                <w:b/>
                <w:bCs/>
                <w:noProof/>
                <w:color w:val="000000"/>
                <w:sz w:val="16"/>
                <w:szCs w:val="16"/>
              </w:rPr>
            </w:pPr>
            <w:r w:rsidRPr="000D0D06">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4AA53CD5" w14:textId="77777777" w:rsidR="007C050F" w:rsidRPr="000D0D06" w:rsidRDefault="007C050F" w:rsidP="007C050F">
            <w:pPr>
              <w:spacing w:before="0" w:after="0"/>
              <w:jc w:val="right"/>
              <w:rPr>
                <w:b/>
                <w:bCs/>
                <w:noProof/>
                <w:color w:val="000000"/>
                <w:sz w:val="16"/>
                <w:szCs w:val="16"/>
              </w:rPr>
            </w:pPr>
            <w:r w:rsidRPr="000D0D06">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401B87DA" w14:textId="77777777" w:rsidR="007C050F" w:rsidRPr="000D0D06" w:rsidRDefault="007C050F" w:rsidP="007C050F">
            <w:pPr>
              <w:spacing w:before="0" w:after="0"/>
              <w:jc w:val="right"/>
              <w:rPr>
                <w:b/>
                <w:bCs/>
                <w:noProof/>
                <w:color w:val="000000"/>
                <w:sz w:val="16"/>
                <w:szCs w:val="16"/>
              </w:rPr>
            </w:pPr>
            <w:r w:rsidRPr="000D0D06">
              <w:rPr>
                <w:b/>
                <w:noProof/>
                <w:color w:val="000000"/>
                <w:sz w:val="16"/>
              </w:rPr>
              <w:t>0,000</w:t>
            </w:r>
          </w:p>
        </w:tc>
      </w:tr>
    </w:tbl>
    <w:p w14:paraId="1E163583" w14:textId="77777777" w:rsidR="007C050F" w:rsidRPr="000D0D06" w:rsidRDefault="007C050F" w:rsidP="007C050F">
      <w:pPr>
        <w:rPr>
          <w:noProof/>
          <w:sz w:val="22"/>
          <w:szCs w:val="28"/>
        </w:rPr>
      </w:pPr>
      <w:r w:rsidRPr="000D0D06">
        <w:rPr>
          <w:noProof/>
          <w:sz w:val="22"/>
        </w:rPr>
        <w:t>As dotações relativas aos recursos humanos e outras despesas administrativas necessárias serão cobertas pelas dotações da DG já afetadas à gestão da ação e/ou reafetadas internamente na DG e, se necessário, por eventuais dotações adicionais que sejam atribuídas à DG gestora no âmbito do processo de afetação anual e atendendo às disponibilidades orçamentais.</w:t>
      </w:r>
    </w:p>
    <w:p w14:paraId="550FA859" w14:textId="77777777" w:rsidR="007C050F" w:rsidRPr="000D0D06" w:rsidRDefault="001936FC" w:rsidP="001936FC">
      <w:pPr>
        <w:pStyle w:val="ManualHeading3"/>
        <w:rPr>
          <w:noProof/>
          <w:szCs w:val="24"/>
        </w:rPr>
      </w:pPr>
      <w:r w:rsidRPr="000D0D06">
        <w:rPr>
          <w:noProof/>
        </w:rPr>
        <w:t>3.2.4.</w:t>
      </w:r>
      <w:r w:rsidRPr="000D0D06">
        <w:rPr>
          <w:noProof/>
        </w:rPr>
        <w:tab/>
        <w:t xml:space="preserve">Necessidades estimadas de recursos humanos </w:t>
      </w:r>
    </w:p>
    <w:p w14:paraId="54BA3C4B" w14:textId="77777777" w:rsidR="007C050F" w:rsidRPr="000D0D06" w:rsidRDefault="007C050F" w:rsidP="007C050F">
      <w:pPr>
        <w:tabs>
          <w:tab w:val="num" w:pos="1134"/>
        </w:tabs>
        <w:ind w:left="1134" w:hanging="283"/>
        <w:rPr>
          <w:rFonts w:eastAsia="Times New Roman"/>
          <w:noProof/>
        </w:rPr>
      </w:pPr>
      <w:r w:rsidRPr="000D0D06">
        <w:rPr>
          <w:rFonts w:ascii="Wingdings" w:hAnsi="Wingdings"/>
          <w:noProof/>
        </w:rPr>
        <w:t></w:t>
      </w:r>
      <w:r w:rsidRPr="000D0D06">
        <w:rPr>
          <w:noProof/>
        </w:rPr>
        <w:tab/>
        <w:t xml:space="preserve">A proposta / iniciativa não acarreta a utilização de recursos humanos </w:t>
      </w:r>
    </w:p>
    <w:p w14:paraId="07A7DA8C" w14:textId="77777777" w:rsidR="007C050F" w:rsidRPr="000D0D06" w:rsidRDefault="007C050F" w:rsidP="007C050F">
      <w:pPr>
        <w:tabs>
          <w:tab w:val="num" w:pos="1134"/>
        </w:tabs>
        <w:ind w:left="1134" w:hanging="283"/>
        <w:rPr>
          <w:rFonts w:eastAsia="Times New Roman"/>
          <w:noProof/>
        </w:rPr>
      </w:pPr>
      <w:r w:rsidRPr="000D0D06">
        <w:rPr>
          <w:rFonts w:ascii="Wingdings" w:hAnsi="Wingdings"/>
          <w:noProof/>
        </w:rPr>
        <w:t></w:t>
      </w:r>
      <w:r w:rsidRPr="000D0D06">
        <w:rPr>
          <w:noProof/>
        </w:rPr>
        <w:tab/>
        <w:t>A proposta / iniciativa acarreta a utilização de recursos humanos, como se explica seguidamente</w:t>
      </w:r>
    </w:p>
    <w:p w14:paraId="4D77E368" w14:textId="77777777" w:rsidR="007C050F" w:rsidRPr="000D0D06" w:rsidRDefault="001936FC" w:rsidP="001936FC">
      <w:pPr>
        <w:pStyle w:val="ManualHeading4"/>
        <w:rPr>
          <w:iCs/>
          <w:noProof/>
        </w:rPr>
      </w:pPr>
      <w:r w:rsidRPr="000D0D06">
        <w:rPr>
          <w:noProof/>
        </w:rPr>
        <w:t>3.2.4.1.</w:t>
      </w:r>
      <w:r w:rsidRPr="000D0D06">
        <w:rPr>
          <w:noProof/>
        </w:rPr>
        <w:tab/>
        <w:t>Financiamento proveniente do orçamento votado</w:t>
      </w:r>
    </w:p>
    <w:p w14:paraId="0B5BEF9D" w14:textId="77777777" w:rsidR="007C050F" w:rsidRPr="000D0D06" w:rsidRDefault="007C050F" w:rsidP="007C050F">
      <w:pPr>
        <w:spacing w:after="60"/>
        <w:jc w:val="right"/>
        <w:rPr>
          <w:i/>
          <w:noProof/>
          <w:sz w:val="20"/>
        </w:rPr>
      </w:pPr>
      <w:r w:rsidRPr="000D0D06">
        <w:rPr>
          <w:i/>
          <w:noProof/>
          <w:sz w:val="20"/>
        </w:rPr>
        <w:t>Estimativa a expressar em termos de equivalente a tempo completo (ETC)</w:t>
      </w:r>
      <w:r w:rsidRPr="000D0D06">
        <w:rPr>
          <w:rStyle w:val="FootnoteReference"/>
          <w:noProof/>
        </w:rPr>
        <w:footnoteReference w:id="51"/>
      </w:r>
    </w:p>
    <w:p w14:paraId="610423EA" w14:textId="77777777" w:rsidR="007C050F" w:rsidRPr="000D0D06" w:rsidRDefault="001936FC" w:rsidP="001936FC">
      <w:pPr>
        <w:pStyle w:val="ManualNumPar1"/>
        <w:rPr>
          <w:noProof/>
        </w:rPr>
      </w:pPr>
      <w:bookmarkStart w:id="23" w:name="_Hlk156979231"/>
      <w:r w:rsidRPr="000D0D06">
        <w:rPr>
          <w:noProof/>
        </w:rPr>
        <w:t>17.</w:t>
      </w:r>
      <w:r w:rsidRPr="000D0D06">
        <w:rPr>
          <w:noProof/>
        </w:rPr>
        <w:tab/>
      </w:r>
    </w:p>
    <w:tbl>
      <w:tblPr>
        <w:tblW w:w="5000" w:type="pct"/>
        <w:tblLook w:val="04A0" w:firstRow="1" w:lastRow="0" w:firstColumn="1" w:lastColumn="0" w:noHBand="0" w:noVBand="1"/>
      </w:tblPr>
      <w:tblGrid>
        <w:gridCol w:w="1513"/>
        <w:gridCol w:w="3896"/>
        <w:gridCol w:w="970"/>
        <w:gridCol w:w="970"/>
        <w:gridCol w:w="970"/>
        <w:gridCol w:w="968"/>
      </w:tblGrid>
      <w:tr w:rsidR="007C050F" w:rsidRPr="000D0D06" w14:paraId="08C4A244" w14:textId="77777777">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76E2A597" w14:textId="77777777" w:rsidR="007C050F" w:rsidRPr="000D0D06" w:rsidRDefault="007C050F" w:rsidP="007C050F">
            <w:pPr>
              <w:spacing w:before="0" w:after="0"/>
              <w:jc w:val="center"/>
              <w:rPr>
                <w:b/>
                <w:bCs/>
                <w:noProof/>
                <w:color w:val="000000"/>
                <w:sz w:val="18"/>
                <w:szCs w:val="18"/>
              </w:rPr>
            </w:pPr>
            <w:r w:rsidRPr="000D0D06">
              <w:rPr>
                <w:b/>
                <w:noProof/>
                <w:color w:val="000000"/>
                <w:sz w:val="18"/>
              </w:rPr>
              <w:t>DOTAÇÕES VOTADAS</w:t>
            </w:r>
          </w:p>
        </w:tc>
        <w:tc>
          <w:tcPr>
            <w:tcW w:w="522" w:type="pct"/>
            <w:tcBorders>
              <w:top w:val="single" w:sz="8" w:space="0" w:color="auto"/>
              <w:left w:val="nil"/>
              <w:bottom w:val="nil"/>
              <w:right w:val="single" w:sz="8" w:space="0" w:color="auto"/>
            </w:tcBorders>
            <w:vAlign w:val="center"/>
            <w:hideMark/>
          </w:tcPr>
          <w:p w14:paraId="6FF78D09" w14:textId="77777777" w:rsidR="007C050F" w:rsidRPr="000D0D06" w:rsidRDefault="007C050F" w:rsidP="007C050F">
            <w:pPr>
              <w:spacing w:before="0" w:after="0"/>
              <w:jc w:val="center"/>
              <w:rPr>
                <w:noProof/>
                <w:color w:val="000000"/>
                <w:sz w:val="20"/>
                <w:szCs w:val="20"/>
              </w:rPr>
            </w:pPr>
            <w:r w:rsidRPr="000D0D06">
              <w:rPr>
                <w:noProof/>
                <w:color w:val="000000"/>
                <w:sz w:val="20"/>
              </w:rPr>
              <w:t>Ano</w:t>
            </w:r>
          </w:p>
        </w:tc>
        <w:tc>
          <w:tcPr>
            <w:tcW w:w="522" w:type="pct"/>
            <w:tcBorders>
              <w:top w:val="single" w:sz="8" w:space="0" w:color="auto"/>
              <w:left w:val="nil"/>
              <w:bottom w:val="nil"/>
              <w:right w:val="single" w:sz="8" w:space="0" w:color="auto"/>
            </w:tcBorders>
            <w:vAlign w:val="center"/>
            <w:hideMark/>
          </w:tcPr>
          <w:p w14:paraId="06EA83CA" w14:textId="77777777" w:rsidR="007C050F" w:rsidRPr="000D0D06" w:rsidRDefault="007C050F" w:rsidP="007C050F">
            <w:pPr>
              <w:spacing w:before="0" w:after="0"/>
              <w:jc w:val="center"/>
              <w:rPr>
                <w:noProof/>
                <w:color w:val="000000"/>
                <w:sz w:val="20"/>
                <w:szCs w:val="20"/>
              </w:rPr>
            </w:pPr>
            <w:r w:rsidRPr="000D0D06">
              <w:rPr>
                <w:noProof/>
                <w:color w:val="000000"/>
                <w:sz w:val="20"/>
              </w:rPr>
              <w:t>Ano</w:t>
            </w:r>
          </w:p>
        </w:tc>
        <w:tc>
          <w:tcPr>
            <w:tcW w:w="522" w:type="pct"/>
            <w:tcBorders>
              <w:top w:val="single" w:sz="8" w:space="0" w:color="auto"/>
              <w:left w:val="nil"/>
              <w:bottom w:val="nil"/>
              <w:right w:val="single" w:sz="8" w:space="0" w:color="auto"/>
            </w:tcBorders>
            <w:vAlign w:val="center"/>
            <w:hideMark/>
          </w:tcPr>
          <w:p w14:paraId="6DCE970D" w14:textId="77777777" w:rsidR="007C050F" w:rsidRPr="000D0D06" w:rsidRDefault="007C050F" w:rsidP="007C050F">
            <w:pPr>
              <w:spacing w:before="0" w:after="0"/>
              <w:jc w:val="center"/>
              <w:rPr>
                <w:noProof/>
                <w:color w:val="000000"/>
                <w:sz w:val="20"/>
                <w:szCs w:val="20"/>
              </w:rPr>
            </w:pPr>
            <w:r w:rsidRPr="000D0D06">
              <w:rPr>
                <w:noProof/>
                <w:color w:val="000000"/>
                <w:sz w:val="20"/>
              </w:rPr>
              <w:t>Ano</w:t>
            </w:r>
          </w:p>
        </w:tc>
        <w:tc>
          <w:tcPr>
            <w:tcW w:w="522" w:type="pct"/>
            <w:tcBorders>
              <w:top w:val="single" w:sz="8" w:space="0" w:color="auto"/>
              <w:left w:val="nil"/>
              <w:bottom w:val="nil"/>
              <w:right w:val="single" w:sz="8" w:space="0" w:color="auto"/>
            </w:tcBorders>
            <w:vAlign w:val="center"/>
            <w:hideMark/>
          </w:tcPr>
          <w:p w14:paraId="2985B02E" w14:textId="77777777" w:rsidR="007C050F" w:rsidRPr="000D0D06" w:rsidRDefault="007C050F" w:rsidP="007C050F">
            <w:pPr>
              <w:spacing w:before="0" w:after="0"/>
              <w:jc w:val="center"/>
              <w:rPr>
                <w:noProof/>
                <w:color w:val="000000"/>
                <w:sz w:val="20"/>
                <w:szCs w:val="20"/>
              </w:rPr>
            </w:pPr>
            <w:r w:rsidRPr="000D0D06">
              <w:rPr>
                <w:noProof/>
                <w:color w:val="000000"/>
                <w:sz w:val="20"/>
              </w:rPr>
              <w:t>Ano</w:t>
            </w:r>
          </w:p>
        </w:tc>
      </w:tr>
      <w:tr w:rsidR="007C050F" w:rsidRPr="000D0D06" w14:paraId="0A1CDAF7" w14:textId="77777777">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14:paraId="7A91BE1A" w14:textId="77777777" w:rsidR="007C050F" w:rsidRPr="000D0D06" w:rsidRDefault="007C050F" w:rsidP="007C050F">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vAlign w:val="center"/>
            <w:hideMark/>
          </w:tcPr>
          <w:p w14:paraId="4436DC83" w14:textId="77777777" w:rsidR="007C050F" w:rsidRPr="000D0D06" w:rsidRDefault="007C050F" w:rsidP="007C050F">
            <w:pPr>
              <w:spacing w:before="0" w:after="0"/>
              <w:jc w:val="center"/>
              <w:rPr>
                <w:b/>
                <w:bCs/>
                <w:noProof/>
                <w:color w:val="000000"/>
                <w:sz w:val="20"/>
                <w:szCs w:val="20"/>
              </w:rPr>
            </w:pPr>
            <w:r w:rsidRPr="000D0D06">
              <w:rPr>
                <w:b/>
                <w:noProof/>
                <w:color w:val="000000"/>
                <w:sz w:val="20"/>
              </w:rPr>
              <w:t>2024</w:t>
            </w:r>
          </w:p>
        </w:tc>
        <w:tc>
          <w:tcPr>
            <w:tcW w:w="522" w:type="pct"/>
            <w:tcBorders>
              <w:top w:val="nil"/>
              <w:left w:val="nil"/>
              <w:bottom w:val="single" w:sz="8" w:space="0" w:color="auto"/>
              <w:right w:val="single" w:sz="8" w:space="0" w:color="auto"/>
            </w:tcBorders>
            <w:vAlign w:val="center"/>
            <w:hideMark/>
          </w:tcPr>
          <w:p w14:paraId="07B66B2E" w14:textId="77777777" w:rsidR="007C050F" w:rsidRPr="000D0D06" w:rsidRDefault="007C050F" w:rsidP="007C050F">
            <w:pPr>
              <w:spacing w:before="0" w:after="0"/>
              <w:jc w:val="center"/>
              <w:rPr>
                <w:b/>
                <w:bCs/>
                <w:noProof/>
                <w:color w:val="000000"/>
                <w:sz w:val="20"/>
                <w:szCs w:val="20"/>
              </w:rPr>
            </w:pPr>
            <w:r w:rsidRPr="000D0D06">
              <w:rPr>
                <w:b/>
                <w:noProof/>
                <w:color w:val="000000"/>
                <w:sz w:val="20"/>
              </w:rPr>
              <w:t>2025</w:t>
            </w:r>
          </w:p>
        </w:tc>
        <w:tc>
          <w:tcPr>
            <w:tcW w:w="522" w:type="pct"/>
            <w:tcBorders>
              <w:top w:val="nil"/>
              <w:left w:val="nil"/>
              <w:bottom w:val="single" w:sz="8" w:space="0" w:color="auto"/>
              <w:right w:val="single" w:sz="8" w:space="0" w:color="auto"/>
            </w:tcBorders>
            <w:vAlign w:val="center"/>
            <w:hideMark/>
          </w:tcPr>
          <w:p w14:paraId="7C3A722A" w14:textId="77777777" w:rsidR="007C050F" w:rsidRPr="000D0D06" w:rsidRDefault="007C050F" w:rsidP="007C050F">
            <w:pPr>
              <w:spacing w:before="0" w:after="0"/>
              <w:jc w:val="center"/>
              <w:rPr>
                <w:b/>
                <w:bCs/>
                <w:noProof/>
                <w:color w:val="000000"/>
                <w:sz w:val="20"/>
                <w:szCs w:val="20"/>
              </w:rPr>
            </w:pPr>
            <w:r w:rsidRPr="000D0D06">
              <w:rPr>
                <w:b/>
                <w:noProof/>
                <w:color w:val="000000"/>
                <w:sz w:val="20"/>
              </w:rPr>
              <w:t>2026</w:t>
            </w:r>
          </w:p>
        </w:tc>
        <w:tc>
          <w:tcPr>
            <w:tcW w:w="522" w:type="pct"/>
            <w:tcBorders>
              <w:top w:val="nil"/>
              <w:left w:val="nil"/>
              <w:bottom w:val="single" w:sz="8" w:space="0" w:color="auto"/>
              <w:right w:val="single" w:sz="8" w:space="0" w:color="auto"/>
            </w:tcBorders>
            <w:vAlign w:val="center"/>
            <w:hideMark/>
          </w:tcPr>
          <w:p w14:paraId="693AA6C6" w14:textId="77777777" w:rsidR="007C050F" w:rsidRPr="000D0D06" w:rsidRDefault="007C050F" w:rsidP="007C050F">
            <w:pPr>
              <w:spacing w:before="0" w:after="0"/>
              <w:jc w:val="center"/>
              <w:rPr>
                <w:b/>
                <w:bCs/>
                <w:noProof/>
                <w:color w:val="000000"/>
                <w:sz w:val="20"/>
                <w:szCs w:val="20"/>
              </w:rPr>
            </w:pPr>
            <w:r w:rsidRPr="000D0D06">
              <w:rPr>
                <w:b/>
                <w:noProof/>
                <w:color w:val="000000"/>
                <w:sz w:val="20"/>
              </w:rPr>
              <w:t>2027</w:t>
            </w:r>
          </w:p>
        </w:tc>
      </w:tr>
      <w:tr w:rsidR="007C050F" w:rsidRPr="000D0D06" w14:paraId="4231F90E" w14:textId="77777777">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1008F1D4" w14:textId="77777777" w:rsidR="007C050F" w:rsidRPr="000D0D06" w:rsidRDefault="007C050F" w:rsidP="007C050F">
            <w:pPr>
              <w:spacing w:before="0" w:after="0"/>
              <w:jc w:val="left"/>
              <w:rPr>
                <w:rFonts w:ascii="Wingdings" w:hAnsi="Wingdings" w:cs="Calibri"/>
                <w:b/>
                <w:bCs/>
                <w:noProof/>
                <w:color w:val="000000"/>
                <w:sz w:val="16"/>
                <w:szCs w:val="16"/>
              </w:rPr>
            </w:pPr>
            <w:r w:rsidRPr="000D0D06">
              <w:rPr>
                <w:rFonts w:ascii="Wingdings" w:hAnsi="Wingdings"/>
                <w:b/>
                <w:noProof/>
                <w:color w:val="000000"/>
                <w:sz w:val="16"/>
              </w:rPr>
              <w:t></w:t>
            </w:r>
            <w:r w:rsidRPr="000D0D06">
              <w:rPr>
                <w:b/>
                <w:noProof/>
                <w:color w:val="000000"/>
                <w:sz w:val="16"/>
              </w:rPr>
              <w:t xml:space="preserve"> Lugares do quadro do pessoal (funcionários e agentes temporários)</w:t>
            </w:r>
          </w:p>
        </w:tc>
      </w:tr>
      <w:tr w:rsidR="007C050F" w:rsidRPr="000D0D06" w14:paraId="3A2D6360"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122C59EB" w14:textId="77777777" w:rsidR="007C050F" w:rsidRPr="000D0D06" w:rsidRDefault="007C050F" w:rsidP="007C050F">
            <w:pPr>
              <w:spacing w:before="0" w:after="0"/>
              <w:ind w:firstLineChars="100" w:firstLine="160"/>
              <w:jc w:val="left"/>
              <w:rPr>
                <w:noProof/>
                <w:color w:val="000000"/>
                <w:sz w:val="16"/>
                <w:szCs w:val="16"/>
              </w:rPr>
            </w:pPr>
            <w:r w:rsidRPr="000D0D06">
              <w:rPr>
                <w:noProof/>
                <w:color w:val="000000"/>
                <w:sz w:val="16"/>
              </w:rPr>
              <w:t>20 01 02 01</w:t>
            </w:r>
            <w:r w:rsidRPr="000D0D06">
              <w:rPr>
                <w:rFonts w:ascii="Arial Narrow" w:hAnsi="Arial Narrow"/>
                <w:noProof/>
                <w:color w:val="000000"/>
                <w:sz w:val="20"/>
              </w:rPr>
              <w:t xml:space="preserve"> </w:t>
            </w:r>
            <w:r w:rsidRPr="000D0D06">
              <w:rPr>
                <w:noProof/>
                <w:color w:val="000000"/>
                <w:sz w:val="16"/>
              </w:rPr>
              <w:t>(na sede e nas representações da Comissão)</w:t>
            </w:r>
          </w:p>
        </w:tc>
        <w:tc>
          <w:tcPr>
            <w:tcW w:w="522" w:type="pct"/>
            <w:tcBorders>
              <w:top w:val="nil"/>
              <w:left w:val="nil"/>
              <w:bottom w:val="single" w:sz="8" w:space="0" w:color="auto"/>
              <w:right w:val="single" w:sz="8" w:space="0" w:color="auto"/>
            </w:tcBorders>
            <w:shd w:val="clear" w:color="000000" w:fill="D9D9D9"/>
            <w:vAlign w:val="center"/>
            <w:hideMark/>
          </w:tcPr>
          <w:p w14:paraId="4A8238F4" w14:textId="77777777" w:rsidR="007C050F" w:rsidRPr="000D0D06" w:rsidRDefault="007C050F" w:rsidP="007C050F">
            <w:pPr>
              <w:spacing w:before="0" w:after="0"/>
              <w:jc w:val="center"/>
              <w:rPr>
                <w:noProof/>
                <w:color w:val="000000"/>
                <w:sz w:val="16"/>
                <w:szCs w:val="16"/>
              </w:rPr>
            </w:pPr>
            <w:r w:rsidRPr="000D0D0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0CFC568" w14:textId="77777777" w:rsidR="007C050F" w:rsidRPr="000D0D06" w:rsidRDefault="007C050F" w:rsidP="007C050F">
            <w:pPr>
              <w:spacing w:before="0" w:after="0"/>
              <w:jc w:val="center"/>
              <w:rPr>
                <w:noProof/>
                <w:color w:val="000000"/>
                <w:sz w:val="16"/>
                <w:szCs w:val="16"/>
              </w:rPr>
            </w:pPr>
            <w:r w:rsidRPr="000D0D0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DD4D550" w14:textId="77777777" w:rsidR="007C050F" w:rsidRPr="000D0D06" w:rsidRDefault="007C050F" w:rsidP="007C050F">
            <w:pPr>
              <w:spacing w:before="0" w:after="0"/>
              <w:jc w:val="center"/>
              <w:rPr>
                <w:noProof/>
                <w:color w:val="000000"/>
                <w:sz w:val="16"/>
                <w:szCs w:val="16"/>
              </w:rPr>
            </w:pPr>
            <w:r w:rsidRPr="000D0D0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9083030" w14:textId="77777777" w:rsidR="007C050F" w:rsidRPr="000D0D06" w:rsidRDefault="007C050F" w:rsidP="007C050F">
            <w:pPr>
              <w:spacing w:before="0" w:after="0"/>
              <w:jc w:val="center"/>
              <w:rPr>
                <w:noProof/>
                <w:color w:val="000000"/>
                <w:sz w:val="16"/>
                <w:szCs w:val="16"/>
              </w:rPr>
            </w:pPr>
            <w:r w:rsidRPr="000D0D06">
              <w:rPr>
                <w:noProof/>
                <w:color w:val="000000"/>
                <w:sz w:val="16"/>
              </w:rPr>
              <w:t>0</w:t>
            </w:r>
          </w:p>
        </w:tc>
      </w:tr>
      <w:tr w:rsidR="007C050F" w:rsidRPr="000D0D06" w14:paraId="160DF151"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7A4A2DB7" w14:textId="77777777" w:rsidR="007C050F" w:rsidRPr="000D0D06" w:rsidRDefault="007C050F" w:rsidP="007C050F">
            <w:pPr>
              <w:spacing w:before="0" w:after="0"/>
              <w:ind w:firstLineChars="100" w:firstLine="160"/>
              <w:jc w:val="left"/>
              <w:rPr>
                <w:noProof/>
                <w:color w:val="000000"/>
                <w:sz w:val="16"/>
                <w:szCs w:val="16"/>
              </w:rPr>
            </w:pPr>
            <w:r w:rsidRPr="000D0D06">
              <w:rPr>
                <w:noProof/>
                <w:color w:val="000000"/>
                <w:sz w:val="16"/>
              </w:rPr>
              <w:t>20 01 02 03 (delegações da UE)</w:t>
            </w:r>
          </w:p>
        </w:tc>
        <w:tc>
          <w:tcPr>
            <w:tcW w:w="522" w:type="pct"/>
            <w:tcBorders>
              <w:top w:val="nil"/>
              <w:left w:val="nil"/>
              <w:bottom w:val="single" w:sz="8" w:space="0" w:color="auto"/>
              <w:right w:val="single" w:sz="8" w:space="0" w:color="auto"/>
            </w:tcBorders>
            <w:shd w:val="clear" w:color="000000" w:fill="D9D9D9"/>
            <w:vAlign w:val="center"/>
            <w:hideMark/>
          </w:tcPr>
          <w:p w14:paraId="0AC8CF81" w14:textId="77777777" w:rsidR="007C050F" w:rsidRPr="000D0D06" w:rsidRDefault="007C050F" w:rsidP="007C050F">
            <w:pPr>
              <w:spacing w:before="0" w:after="0"/>
              <w:jc w:val="center"/>
              <w:rPr>
                <w:noProof/>
                <w:color w:val="000000"/>
                <w:sz w:val="16"/>
                <w:szCs w:val="16"/>
              </w:rPr>
            </w:pPr>
            <w:r w:rsidRPr="000D0D0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4CD2B74" w14:textId="77777777" w:rsidR="007C050F" w:rsidRPr="000D0D06" w:rsidRDefault="007C050F" w:rsidP="007C050F">
            <w:pPr>
              <w:spacing w:before="0" w:after="0"/>
              <w:jc w:val="center"/>
              <w:rPr>
                <w:noProof/>
                <w:color w:val="000000"/>
                <w:sz w:val="16"/>
                <w:szCs w:val="16"/>
              </w:rPr>
            </w:pPr>
            <w:r w:rsidRPr="000D0D0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E08E5B1" w14:textId="77777777" w:rsidR="007C050F" w:rsidRPr="000D0D06" w:rsidRDefault="007C050F" w:rsidP="007C050F">
            <w:pPr>
              <w:spacing w:before="0" w:after="0"/>
              <w:jc w:val="center"/>
              <w:rPr>
                <w:noProof/>
                <w:color w:val="000000"/>
                <w:sz w:val="16"/>
                <w:szCs w:val="16"/>
              </w:rPr>
            </w:pPr>
            <w:r w:rsidRPr="000D0D0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660AE5D" w14:textId="77777777" w:rsidR="007C050F" w:rsidRPr="000D0D06" w:rsidRDefault="007C050F" w:rsidP="007C050F">
            <w:pPr>
              <w:spacing w:before="0" w:after="0"/>
              <w:jc w:val="center"/>
              <w:rPr>
                <w:noProof/>
                <w:color w:val="000000"/>
                <w:sz w:val="16"/>
                <w:szCs w:val="16"/>
              </w:rPr>
            </w:pPr>
            <w:r w:rsidRPr="000D0D06">
              <w:rPr>
                <w:noProof/>
                <w:color w:val="000000"/>
                <w:sz w:val="16"/>
              </w:rPr>
              <w:t>0</w:t>
            </w:r>
          </w:p>
        </w:tc>
      </w:tr>
      <w:tr w:rsidR="007C050F" w:rsidRPr="000D0D06" w14:paraId="2C87A15F"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2FEF6780" w14:textId="77777777" w:rsidR="007C050F" w:rsidRPr="000D0D06" w:rsidRDefault="007C050F" w:rsidP="007C050F">
            <w:pPr>
              <w:spacing w:before="0" w:after="0"/>
              <w:ind w:firstLineChars="100" w:firstLine="160"/>
              <w:jc w:val="left"/>
              <w:rPr>
                <w:noProof/>
                <w:color w:val="000000"/>
                <w:sz w:val="16"/>
                <w:szCs w:val="16"/>
              </w:rPr>
            </w:pPr>
            <w:r w:rsidRPr="000D0D06">
              <w:rPr>
                <w:noProof/>
                <w:color w:val="000000"/>
                <w:sz w:val="16"/>
              </w:rPr>
              <w:t>01 01 01 01</w:t>
            </w:r>
            <w:r w:rsidRPr="000D0D06">
              <w:rPr>
                <w:rFonts w:ascii="Arial Narrow" w:hAnsi="Arial Narrow"/>
                <w:noProof/>
                <w:color w:val="000000"/>
                <w:sz w:val="20"/>
              </w:rPr>
              <w:t xml:space="preserve"> </w:t>
            </w:r>
            <w:r w:rsidRPr="000D0D06">
              <w:rPr>
                <w:noProof/>
                <w:color w:val="000000"/>
                <w:sz w:val="16"/>
              </w:rPr>
              <w:t>(investigação indireta)</w:t>
            </w:r>
          </w:p>
        </w:tc>
        <w:tc>
          <w:tcPr>
            <w:tcW w:w="522" w:type="pct"/>
            <w:tcBorders>
              <w:top w:val="nil"/>
              <w:left w:val="nil"/>
              <w:bottom w:val="single" w:sz="8" w:space="0" w:color="auto"/>
              <w:right w:val="single" w:sz="8" w:space="0" w:color="auto"/>
            </w:tcBorders>
            <w:shd w:val="clear" w:color="000000" w:fill="D9D9D9"/>
            <w:vAlign w:val="center"/>
            <w:hideMark/>
          </w:tcPr>
          <w:p w14:paraId="0E626063" w14:textId="77777777" w:rsidR="007C050F" w:rsidRPr="000D0D06" w:rsidRDefault="007C050F" w:rsidP="007C050F">
            <w:pPr>
              <w:spacing w:before="0" w:after="0"/>
              <w:jc w:val="center"/>
              <w:rPr>
                <w:noProof/>
                <w:color w:val="000000"/>
                <w:sz w:val="16"/>
                <w:szCs w:val="16"/>
              </w:rPr>
            </w:pPr>
            <w:r w:rsidRPr="000D0D0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F1862FF" w14:textId="77777777" w:rsidR="007C050F" w:rsidRPr="000D0D06" w:rsidRDefault="007C050F" w:rsidP="007C050F">
            <w:pPr>
              <w:spacing w:before="0" w:after="0"/>
              <w:jc w:val="center"/>
              <w:rPr>
                <w:noProof/>
                <w:color w:val="000000"/>
                <w:sz w:val="16"/>
                <w:szCs w:val="16"/>
              </w:rPr>
            </w:pPr>
            <w:r w:rsidRPr="000D0D0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59AB0D9" w14:textId="77777777" w:rsidR="007C050F" w:rsidRPr="000D0D06" w:rsidRDefault="007C050F" w:rsidP="007C050F">
            <w:pPr>
              <w:spacing w:before="0" w:after="0"/>
              <w:jc w:val="center"/>
              <w:rPr>
                <w:noProof/>
                <w:color w:val="000000"/>
                <w:sz w:val="16"/>
                <w:szCs w:val="16"/>
              </w:rPr>
            </w:pPr>
            <w:r w:rsidRPr="000D0D0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A7F30FF" w14:textId="77777777" w:rsidR="007C050F" w:rsidRPr="000D0D06" w:rsidRDefault="007C050F" w:rsidP="007C050F">
            <w:pPr>
              <w:spacing w:before="0" w:after="0"/>
              <w:jc w:val="center"/>
              <w:rPr>
                <w:noProof/>
                <w:color w:val="000000"/>
                <w:sz w:val="16"/>
                <w:szCs w:val="16"/>
              </w:rPr>
            </w:pPr>
            <w:r w:rsidRPr="000D0D06">
              <w:rPr>
                <w:noProof/>
                <w:color w:val="000000"/>
                <w:sz w:val="16"/>
              </w:rPr>
              <w:t>0</w:t>
            </w:r>
          </w:p>
        </w:tc>
      </w:tr>
      <w:tr w:rsidR="007C050F" w:rsidRPr="000D0D06" w14:paraId="256937F8"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6A468137" w14:textId="77777777" w:rsidR="007C050F" w:rsidRPr="000D0D06" w:rsidRDefault="007C050F" w:rsidP="007C050F">
            <w:pPr>
              <w:spacing w:before="0" w:after="0"/>
              <w:ind w:firstLineChars="100" w:firstLine="160"/>
              <w:jc w:val="left"/>
              <w:rPr>
                <w:noProof/>
                <w:color w:val="000000"/>
                <w:sz w:val="16"/>
                <w:szCs w:val="16"/>
              </w:rPr>
            </w:pPr>
            <w:r w:rsidRPr="000D0D06">
              <w:rPr>
                <w:noProof/>
                <w:color w:val="000000"/>
                <w:sz w:val="16"/>
              </w:rPr>
              <w:t>01 01 01 11 (investigação direta)</w:t>
            </w:r>
          </w:p>
        </w:tc>
        <w:tc>
          <w:tcPr>
            <w:tcW w:w="522" w:type="pct"/>
            <w:tcBorders>
              <w:top w:val="nil"/>
              <w:left w:val="nil"/>
              <w:bottom w:val="single" w:sz="8" w:space="0" w:color="auto"/>
              <w:right w:val="single" w:sz="8" w:space="0" w:color="auto"/>
            </w:tcBorders>
            <w:shd w:val="clear" w:color="000000" w:fill="D9D9D9"/>
            <w:vAlign w:val="center"/>
            <w:hideMark/>
          </w:tcPr>
          <w:p w14:paraId="2DD814AA" w14:textId="77777777" w:rsidR="007C050F" w:rsidRPr="000D0D06" w:rsidRDefault="007C050F" w:rsidP="007C050F">
            <w:pPr>
              <w:spacing w:before="0" w:after="0"/>
              <w:jc w:val="center"/>
              <w:rPr>
                <w:noProof/>
                <w:color w:val="000000"/>
                <w:sz w:val="16"/>
                <w:szCs w:val="16"/>
              </w:rPr>
            </w:pPr>
            <w:r w:rsidRPr="000D0D0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59D96FF" w14:textId="77777777" w:rsidR="007C050F" w:rsidRPr="000D0D06" w:rsidRDefault="007C050F" w:rsidP="007C050F">
            <w:pPr>
              <w:spacing w:before="0" w:after="0"/>
              <w:jc w:val="center"/>
              <w:rPr>
                <w:noProof/>
                <w:color w:val="000000"/>
                <w:sz w:val="16"/>
                <w:szCs w:val="16"/>
              </w:rPr>
            </w:pPr>
            <w:r w:rsidRPr="000D0D0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9B69B4B" w14:textId="77777777" w:rsidR="007C050F" w:rsidRPr="000D0D06" w:rsidRDefault="007C050F" w:rsidP="007C050F">
            <w:pPr>
              <w:spacing w:before="0" w:after="0"/>
              <w:jc w:val="center"/>
              <w:rPr>
                <w:noProof/>
                <w:color w:val="000000"/>
                <w:sz w:val="16"/>
                <w:szCs w:val="16"/>
              </w:rPr>
            </w:pPr>
            <w:r w:rsidRPr="000D0D0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D7039E1" w14:textId="77777777" w:rsidR="007C050F" w:rsidRPr="000D0D06" w:rsidRDefault="007C050F" w:rsidP="007C050F">
            <w:pPr>
              <w:spacing w:before="0" w:after="0"/>
              <w:jc w:val="center"/>
              <w:rPr>
                <w:noProof/>
                <w:color w:val="000000"/>
                <w:sz w:val="16"/>
                <w:szCs w:val="16"/>
              </w:rPr>
            </w:pPr>
            <w:r w:rsidRPr="000D0D06">
              <w:rPr>
                <w:noProof/>
                <w:color w:val="000000"/>
                <w:sz w:val="16"/>
              </w:rPr>
              <w:t>0</w:t>
            </w:r>
          </w:p>
        </w:tc>
      </w:tr>
      <w:tr w:rsidR="007C050F" w:rsidRPr="000D0D06" w14:paraId="24CF3879"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5094E6A8" w14:textId="77777777" w:rsidR="007C050F" w:rsidRPr="000D0D06" w:rsidRDefault="007C050F" w:rsidP="007C050F">
            <w:pPr>
              <w:spacing w:before="0" w:after="0"/>
              <w:ind w:firstLineChars="100" w:firstLine="160"/>
              <w:jc w:val="left"/>
              <w:rPr>
                <w:noProof/>
                <w:color w:val="000000"/>
                <w:sz w:val="16"/>
                <w:szCs w:val="16"/>
              </w:rPr>
            </w:pPr>
            <w:r w:rsidRPr="000D0D06">
              <w:rPr>
                <w:noProof/>
                <w:color w:val="000000"/>
                <w:sz w:val="16"/>
              </w:rPr>
              <w:t>Outras rubricas orçamentais (especificar)</w:t>
            </w:r>
          </w:p>
        </w:tc>
        <w:tc>
          <w:tcPr>
            <w:tcW w:w="522" w:type="pct"/>
            <w:tcBorders>
              <w:top w:val="nil"/>
              <w:left w:val="nil"/>
              <w:bottom w:val="single" w:sz="8" w:space="0" w:color="auto"/>
              <w:right w:val="single" w:sz="8" w:space="0" w:color="auto"/>
            </w:tcBorders>
            <w:shd w:val="clear" w:color="000000" w:fill="D9D9D9"/>
            <w:vAlign w:val="center"/>
            <w:hideMark/>
          </w:tcPr>
          <w:p w14:paraId="7B619265" w14:textId="77777777" w:rsidR="007C050F" w:rsidRPr="000D0D06" w:rsidRDefault="007C050F" w:rsidP="007C050F">
            <w:pPr>
              <w:spacing w:before="0" w:after="0"/>
              <w:jc w:val="center"/>
              <w:rPr>
                <w:noProof/>
                <w:color w:val="000000"/>
                <w:sz w:val="16"/>
                <w:szCs w:val="16"/>
              </w:rPr>
            </w:pPr>
            <w:r w:rsidRPr="000D0D0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93A24F3" w14:textId="77777777" w:rsidR="007C050F" w:rsidRPr="000D0D06" w:rsidRDefault="007C050F" w:rsidP="007C050F">
            <w:pPr>
              <w:spacing w:before="0" w:after="0"/>
              <w:jc w:val="center"/>
              <w:rPr>
                <w:noProof/>
                <w:color w:val="000000"/>
                <w:sz w:val="16"/>
                <w:szCs w:val="16"/>
              </w:rPr>
            </w:pPr>
            <w:r w:rsidRPr="000D0D0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6A86CA5" w14:textId="77777777" w:rsidR="007C050F" w:rsidRPr="000D0D06" w:rsidRDefault="007C050F" w:rsidP="007C050F">
            <w:pPr>
              <w:spacing w:before="0" w:after="0"/>
              <w:jc w:val="center"/>
              <w:rPr>
                <w:noProof/>
                <w:color w:val="000000"/>
                <w:sz w:val="16"/>
                <w:szCs w:val="16"/>
              </w:rPr>
            </w:pPr>
            <w:r w:rsidRPr="000D0D0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65CE523" w14:textId="77777777" w:rsidR="007C050F" w:rsidRPr="000D0D06" w:rsidRDefault="007C050F" w:rsidP="007C050F">
            <w:pPr>
              <w:spacing w:before="0" w:after="0"/>
              <w:jc w:val="center"/>
              <w:rPr>
                <w:noProof/>
                <w:color w:val="000000"/>
                <w:sz w:val="16"/>
                <w:szCs w:val="16"/>
              </w:rPr>
            </w:pPr>
            <w:r w:rsidRPr="000D0D06">
              <w:rPr>
                <w:noProof/>
                <w:color w:val="000000"/>
                <w:sz w:val="16"/>
              </w:rPr>
              <w:t>0</w:t>
            </w:r>
          </w:p>
        </w:tc>
      </w:tr>
      <w:tr w:rsidR="007C050F" w:rsidRPr="000D0D06" w14:paraId="361ED44C" w14:textId="77777777">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3CB63BBF" w14:textId="77777777" w:rsidR="007C050F" w:rsidRPr="000D0D06" w:rsidRDefault="007C050F" w:rsidP="007C050F">
            <w:pPr>
              <w:spacing w:before="0" w:after="0"/>
              <w:jc w:val="left"/>
              <w:rPr>
                <w:rFonts w:ascii="Wingdings" w:hAnsi="Wingdings" w:cs="Calibri"/>
                <w:b/>
                <w:bCs/>
                <w:noProof/>
                <w:color w:val="000000"/>
                <w:sz w:val="16"/>
                <w:szCs w:val="16"/>
              </w:rPr>
            </w:pPr>
            <w:r w:rsidRPr="000D0D06">
              <w:rPr>
                <w:rFonts w:ascii="Calibri" w:hAnsi="Calibri"/>
                <w:b/>
                <w:noProof/>
                <w:color w:val="000000"/>
                <w:sz w:val="16"/>
              </w:rPr>
              <w:t>•</w:t>
            </w:r>
            <w:r w:rsidRPr="000D0D06">
              <w:rPr>
                <w:b/>
                <w:noProof/>
                <w:color w:val="000000"/>
                <w:sz w:val="16"/>
              </w:rPr>
              <w:t xml:space="preserve"> Pessoal externo (em ETC)</w:t>
            </w:r>
          </w:p>
        </w:tc>
      </w:tr>
      <w:tr w:rsidR="007C050F" w:rsidRPr="000D0D06" w14:paraId="68A600C1"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57C32D24" w14:textId="77777777" w:rsidR="007C050F" w:rsidRPr="000D0D06" w:rsidRDefault="007C050F" w:rsidP="007C050F">
            <w:pPr>
              <w:spacing w:before="0" w:after="0"/>
              <w:ind w:firstLineChars="100" w:firstLine="160"/>
              <w:jc w:val="left"/>
              <w:rPr>
                <w:noProof/>
                <w:color w:val="000000"/>
                <w:sz w:val="16"/>
                <w:szCs w:val="16"/>
              </w:rPr>
            </w:pPr>
            <w:r w:rsidRPr="000D0D06">
              <w:rPr>
                <w:noProof/>
                <w:color w:val="000000"/>
                <w:sz w:val="16"/>
              </w:rPr>
              <w:t>20 02 01</w:t>
            </w:r>
            <w:r w:rsidRPr="000D0D06">
              <w:rPr>
                <w:rFonts w:ascii="Arial Narrow" w:hAnsi="Arial Narrow"/>
                <w:noProof/>
                <w:color w:val="000000"/>
                <w:sz w:val="20"/>
              </w:rPr>
              <w:t xml:space="preserve"> </w:t>
            </w:r>
            <w:r w:rsidRPr="000D0D06">
              <w:rPr>
                <w:noProof/>
                <w:color w:val="000000"/>
                <w:sz w:val="16"/>
              </w:rPr>
              <w:t>(AC e PND da «dotação global»)</w:t>
            </w:r>
          </w:p>
        </w:tc>
        <w:tc>
          <w:tcPr>
            <w:tcW w:w="522" w:type="pct"/>
            <w:tcBorders>
              <w:top w:val="nil"/>
              <w:left w:val="nil"/>
              <w:bottom w:val="single" w:sz="8" w:space="0" w:color="auto"/>
              <w:right w:val="single" w:sz="8" w:space="0" w:color="auto"/>
            </w:tcBorders>
            <w:shd w:val="clear" w:color="000000" w:fill="D9D9D9"/>
            <w:vAlign w:val="center"/>
            <w:hideMark/>
          </w:tcPr>
          <w:p w14:paraId="75A7AD7E" w14:textId="77777777" w:rsidR="007C050F" w:rsidRPr="000D0D06" w:rsidRDefault="007C050F" w:rsidP="007C050F">
            <w:pPr>
              <w:spacing w:before="0" w:after="0"/>
              <w:jc w:val="center"/>
              <w:rPr>
                <w:noProof/>
                <w:color w:val="000000"/>
                <w:sz w:val="16"/>
                <w:szCs w:val="16"/>
              </w:rPr>
            </w:pPr>
            <w:r w:rsidRPr="000D0D0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CB7BECC" w14:textId="77777777" w:rsidR="007C050F" w:rsidRPr="000D0D06" w:rsidRDefault="007C050F" w:rsidP="007C050F">
            <w:pPr>
              <w:spacing w:before="0" w:after="0"/>
              <w:jc w:val="center"/>
              <w:rPr>
                <w:noProof/>
                <w:color w:val="000000"/>
                <w:sz w:val="16"/>
                <w:szCs w:val="16"/>
              </w:rPr>
            </w:pPr>
            <w:r w:rsidRPr="000D0D0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01F740B" w14:textId="77777777" w:rsidR="007C050F" w:rsidRPr="000D0D06" w:rsidRDefault="007C050F" w:rsidP="007C050F">
            <w:pPr>
              <w:spacing w:before="0" w:after="0"/>
              <w:jc w:val="center"/>
              <w:rPr>
                <w:noProof/>
                <w:color w:val="000000"/>
                <w:sz w:val="16"/>
                <w:szCs w:val="16"/>
              </w:rPr>
            </w:pPr>
            <w:r w:rsidRPr="000D0D0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1B3C555" w14:textId="77777777" w:rsidR="007C050F" w:rsidRPr="000D0D06" w:rsidRDefault="007C050F" w:rsidP="007C050F">
            <w:pPr>
              <w:spacing w:before="0" w:after="0"/>
              <w:jc w:val="center"/>
              <w:rPr>
                <w:noProof/>
                <w:color w:val="000000"/>
                <w:sz w:val="16"/>
                <w:szCs w:val="16"/>
              </w:rPr>
            </w:pPr>
            <w:r w:rsidRPr="000D0D06">
              <w:rPr>
                <w:noProof/>
                <w:color w:val="000000"/>
                <w:sz w:val="16"/>
              </w:rPr>
              <w:t>0</w:t>
            </w:r>
          </w:p>
        </w:tc>
      </w:tr>
      <w:tr w:rsidR="007C050F" w:rsidRPr="000D0D06" w14:paraId="17A65F2E"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4377D2C4" w14:textId="77777777" w:rsidR="007C050F" w:rsidRPr="000D0D06" w:rsidRDefault="007C050F" w:rsidP="007C050F">
            <w:pPr>
              <w:spacing w:before="0" w:after="0"/>
              <w:ind w:firstLineChars="100" w:firstLine="160"/>
              <w:jc w:val="left"/>
              <w:rPr>
                <w:noProof/>
                <w:color w:val="000000"/>
                <w:sz w:val="16"/>
                <w:szCs w:val="16"/>
              </w:rPr>
            </w:pPr>
            <w:r w:rsidRPr="000D0D06">
              <w:rPr>
                <w:noProof/>
                <w:color w:val="000000"/>
                <w:sz w:val="16"/>
              </w:rPr>
              <w:t>20 02 03 (AC, AL, PND, e JPD nas delegações)</w:t>
            </w:r>
          </w:p>
        </w:tc>
        <w:tc>
          <w:tcPr>
            <w:tcW w:w="522" w:type="pct"/>
            <w:tcBorders>
              <w:top w:val="nil"/>
              <w:left w:val="nil"/>
              <w:bottom w:val="single" w:sz="8" w:space="0" w:color="auto"/>
              <w:right w:val="single" w:sz="8" w:space="0" w:color="auto"/>
            </w:tcBorders>
            <w:shd w:val="clear" w:color="000000" w:fill="D9D9D9"/>
            <w:vAlign w:val="center"/>
            <w:hideMark/>
          </w:tcPr>
          <w:p w14:paraId="66DD9433" w14:textId="77777777" w:rsidR="007C050F" w:rsidRPr="000D0D06" w:rsidRDefault="007C050F" w:rsidP="007C050F">
            <w:pPr>
              <w:spacing w:before="0" w:after="0"/>
              <w:jc w:val="center"/>
              <w:rPr>
                <w:noProof/>
                <w:color w:val="000000"/>
                <w:sz w:val="16"/>
                <w:szCs w:val="16"/>
              </w:rPr>
            </w:pPr>
            <w:r w:rsidRPr="000D0D0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D8B510D" w14:textId="77777777" w:rsidR="007C050F" w:rsidRPr="000D0D06" w:rsidRDefault="007C050F" w:rsidP="007C050F">
            <w:pPr>
              <w:spacing w:before="0" w:after="0"/>
              <w:jc w:val="center"/>
              <w:rPr>
                <w:noProof/>
                <w:color w:val="000000"/>
                <w:sz w:val="16"/>
                <w:szCs w:val="16"/>
              </w:rPr>
            </w:pPr>
            <w:r w:rsidRPr="000D0D0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4B14879" w14:textId="77777777" w:rsidR="007C050F" w:rsidRPr="000D0D06" w:rsidRDefault="007C050F" w:rsidP="007C050F">
            <w:pPr>
              <w:spacing w:before="0" w:after="0"/>
              <w:jc w:val="center"/>
              <w:rPr>
                <w:noProof/>
                <w:color w:val="000000"/>
                <w:sz w:val="16"/>
                <w:szCs w:val="16"/>
              </w:rPr>
            </w:pPr>
            <w:r w:rsidRPr="000D0D0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036213F" w14:textId="77777777" w:rsidR="007C050F" w:rsidRPr="000D0D06" w:rsidRDefault="007C050F" w:rsidP="007C050F">
            <w:pPr>
              <w:spacing w:before="0" w:after="0"/>
              <w:jc w:val="center"/>
              <w:rPr>
                <w:noProof/>
                <w:color w:val="000000"/>
                <w:sz w:val="16"/>
                <w:szCs w:val="16"/>
              </w:rPr>
            </w:pPr>
            <w:r w:rsidRPr="000D0D06">
              <w:rPr>
                <w:noProof/>
                <w:color w:val="000000"/>
                <w:sz w:val="16"/>
              </w:rPr>
              <w:t>0</w:t>
            </w:r>
          </w:p>
        </w:tc>
      </w:tr>
      <w:tr w:rsidR="007C050F" w:rsidRPr="000D0D06" w14:paraId="07E0E299" w14:textId="77777777">
        <w:trPr>
          <w:trHeight w:val="300"/>
        </w:trPr>
        <w:tc>
          <w:tcPr>
            <w:tcW w:w="815" w:type="pct"/>
            <w:vMerge w:val="restart"/>
            <w:tcBorders>
              <w:top w:val="nil"/>
              <w:left w:val="single" w:sz="8" w:space="0" w:color="auto"/>
              <w:bottom w:val="single" w:sz="8" w:space="0" w:color="auto"/>
              <w:right w:val="single" w:sz="8" w:space="0" w:color="auto"/>
            </w:tcBorders>
            <w:vAlign w:val="center"/>
            <w:hideMark/>
          </w:tcPr>
          <w:p w14:paraId="649E33C3" w14:textId="77777777" w:rsidR="007C050F" w:rsidRPr="000D0D06" w:rsidRDefault="007C050F" w:rsidP="007C050F">
            <w:pPr>
              <w:spacing w:before="0" w:after="0"/>
              <w:jc w:val="center"/>
              <w:rPr>
                <w:noProof/>
                <w:color w:val="000000"/>
                <w:sz w:val="16"/>
                <w:szCs w:val="16"/>
              </w:rPr>
            </w:pPr>
            <w:r w:rsidRPr="000D0D06">
              <w:rPr>
                <w:noProof/>
                <w:color w:val="000000"/>
                <w:sz w:val="16"/>
              </w:rPr>
              <w:t>Rubrica de apoio administrativo</w:t>
            </w:r>
            <w:r w:rsidRPr="000D0D06">
              <w:rPr>
                <w:noProof/>
              </w:rPr>
              <w:t xml:space="preserve"> </w:t>
            </w:r>
            <w:r w:rsidRPr="000D0D06">
              <w:rPr>
                <w:noProof/>
              </w:rPr>
              <w:br/>
            </w:r>
            <w:r w:rsidRPr="000D0D06">
              <w:rPr>
                <w:noProof/>
                <w:color w:val="000000"/>
                <w:sz w:val="16"/>
              </w:rPr>
              <w:t>[XX.01.YY.YY]</w:t>
            </w:r>
          </w:p>
        </w:tc>
        <w:tc>
          <w:tcPr>
            <w:tcW w:w="2098" w:type="pct"/>
            <w:tcBorders>
              <w:top w:val="nil"/>
              <w:left w:val="nil"/>
              <w:bottom w:val="single" w:sz="8" w:space="0" w:color="auto"/>
              <w:right w:val="single" w:sz="8" w:space="0" w:color="auto"/>
            </w:tcBorders>
            <w:vAlign w:val="center"/>
            <w:hideMark/>
          </w:tcPr>
          <w:p w14:paraId="2434A7B1" w14:textId="77777777" w:rsidR="007C050F" w:rsidRPr="000D0D06" w:rsidRDefault="007C050F" w:rsidP="007C050F">
            <w:pPr>
              <w:spacing w:before="0" w:after="0"/>
              <w:ind w:firstLineChars="100" w:firstLine="160"/>
              <w:jc w:val="left"/>
              <w:rPr>
                <w:noProof/>
                <w:color w:val="000000"/>
                <w:sz w:val="16"/>
                <w:szCs w:val="16"/>
              </w:rPr>
            </w:pPr>
            <w:r w:rsidRPr="000D0D06">
              <w:rPr>
                <w:noProof/>
                <w:color w:val="000000"/>
                <w:sz w:val="16"/>
              </w:rPr>
              <w:t>— na sede</w:t>
            </w:r>
          </w:p>
        </w:tc>
        <w:tc>
          <w:tcPr>
            <w:tcW w:w="522" w:type="pct"/>
            <w:tcBorders>
              <w:top w:val="nil"/>
              <w:left w:val="nil"/>
              <w:bottom w:val="single" w:sz="8" w:space="0" w:color="auto"/>
              <w:right w:val="single" w:sz="8" w:space="0" w:color="auto"/>
            </w:tcBorders>
            <w:shd w:val="clear" w:color="000000" w:fill="D9D9D9"/>
            <w:vAlign w:val="center"/>
            <w:hideMark/>
          </w:tcPr>
          <w:p w14:paraId="131201B4" w14:textId="77777777" w:rsidR="007C050F" w:rsidRPr="000D0D06" w:rsidRDefault="007C050F" w:rsidP="007C050F">
            <w:pPr>
              <w:spacing w:before="0" w:after="0"/>
              <w:jc w:val="center"/>
              <w:rPr>
                <w:noProof/>
                <w:color w:val="000000"/>
                <w:sz w:val="16"/>
                <w:szCs w:val="16"/>
              </w:rPr>
            </w:pPr>
            <w:r w:rsidRPr="000D0D0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4D8060C" w14:textId="77777777" w:rsidR="007C050F" w:rsidRPr="000D0D06" w:rsidRDefault="007C050F" w:rsidP="007C050F">
            <w:pPr>
              <w:spacing w:before="0" w:after="0"/>
              <w:jc w:val="center"/>
              <w:rPr>
                <w:noProof/>
                <w:color w:val="000000"/>
                <w:sz w:val="16"/>
                <w:szCs w:val="16"/>
              </w:rPr>
            </w:pPr>
            <w:r w:rsidRPr="000D0D0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E6CC1EA" w14:textId="77777777" w:rsidR="007C050F" w:rsidRPr="000D0D06" w:rsidRDefault="007C050F" w:rsidP="007C050F">
            <w:pPr>
              <w:spacing w:before="0" w:after="0"/>
              <w:jc w:val="center"/>
              <w:rPr>
                <w:noProof/>
                <w:color w:val="000000"/>
                <w:sz w:val="16"/>
                <w:szCs w:val="16"/>
              </w:rPr>
            </w:pPr>
            <w:r w:rsidRPr="000D0D0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D5819C2" w14:textId="77777777" w:rsidR="007C050F" w:rsidRPr="000D0D06" w:rsidRDefault="007C050F" w:rsidP="007C050F">
            <w:pPr>
              <w:spacing w:before="0" w:after="0"/>
              <w:jc w:val="center"/>
              <w:rPr>
                <w:noProof/>
                <w:color w:val="000000"/>
                <w:sz w:val="16"/>
                <w:szCs w:val="16"/>
              </w:rPr>
            </w:pPr>
            <w:r w:rsidRPr="000D0D06">
              <w:rPr>
                <w:noProof/>
                <w:color w:val="000000"/>
                <w:sz w:val="16"/>
              </w:rPr>
              <w:t>0</w:t>
            </w:r>
          </w:p>
        </w:tc>
      </w:tr>
      <w:tr w:rsidR="007C050F" w:rsidRPr="000D0D06" w14:paraId="59325594" w14:textId="77777777">
        <w:trPr>
          <w:trHeight w:val="300"/>
        </w:trPr>
        <w:tc>
          <w:tcPr>
            <w:tcW w:w="815" w:type="pct"/>
            <w:vMerge/>
            <w:tcBorders>
              <w:top w:val="nil"/>
              <w:left w:val="single" w:sz="8" w:space="0" w:color="auto"/>
              <w:bottom w:val="single" w:sz="8" w:space="0" w:color="auto"/>
              <w:right w:val="single" w:sz="8" w:space="0" w:color="auto"/>
            </w:tcBorders>
            <w:vAlign w:val="center"/>
            <w:hideMark/>
          </w:tcPr>
          <w:p w14:paraId="5961C71F" w14:textId="77777777" w:rsidR="007C050F" w:rsidRPr="000D0D06" w:rsidRDefault="007C050F" w:rsidP="007C050F">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vAlign w:val="center"/>
            <w:hideMark/>
          </w:tcPr>
          <w:p w14:paraId="1720CB4D" w14:textId="77777777" w:rsidR="007C050F" w:rsidRPr="000D0D06" w:rsidRDefault="007C050F" w:rsidP="007C050F">
            <w:pPr>
              <w:spacing w:before="0" w:after="0"/>
              <w:ind w:firstLineChars="100" w:firstLine="160"/>
              <w:jc w:val="left"/>
              <w:rPr>
                <w:noProof/>
                <w:color w:val="000000"/>
                <w:sz w:val="16"/>
                <w:szCs w:val="16"/>
              </w:rPr>
            </w:pPr>
            <w:r w:rsidRPr="000D0D06">
              <w:rPr>
                <w:noProof/>
                <w:color w:val="000000"/>
                <w:sz w:val="16"/>
              </w:rPr>
              <w:t xml:space="preserve">— em delegações da UE </w:t>
            </w:r>
          </w:p>
        </w:tc>
        <w:tc>
          <w:tcPr>
            <w:tcW w:w="522" w:type="pct"/>
            <w:tcBorders>
              <w:top w:val="nil"/>
              <w:left w:val="nil"/>
              <w:bottom w:val="single" w:sz="8" w:space="0" w:color="auto"/>
              <w:right w:val="single" w:sz="8" w:space="0" w:color="auto"/>
            </w:tcBorders>
            <w:shd w:val="clear" w:color="000000" w:fill="D9D9D9"/>
            <w:vAlign w:val="center"/>
            <w:hideMark/>
          </w:tcPr>
          <w:p w14:paraId="6024170C" w14:textId="77777777" w:rsidR="007C050F" w:rsidRPr="000D0D06" w:rsidRDefault="007C050F" w:rsidP="007C050F">
            <w:pPr>
              <w:spacing w:before="0" w:after="0"/>
              <w:jc w:val="center"/>
              <w:rPr>
                <w:noProof/>
                <w:color w:val="000000"/>
                <w:sz w:val="16"/>
                <w:szCs w:val="16"/>
              </w:rPr>
            </w:pPr>
            <w:r w:rsidRPr="000D0D0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3950B89" w14:textId="77777777" w:rsidR="007C050F" w:rsidRPr="000D0D06" w:rsidRDefault="007C050F" w:rsidP="007C050F">
            <w:pPr>
              <w:spacing w:before="0" w:after="0"/>
              <w:jc w:val="center"/>
              <w:rPr>
                <w:noProof/>
                <w:color w:val="000000"/>
                <w:sz w:val="16"/>
                <w:szCs w:val="16"/>
              </w:rPr>
            </w:pPr>
            <w:r w:rsidRPr="000D0D0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7E8815A" w14:textId="77777777" w:rsidR="007C050F" w:rsidRPr="000D0D06" w:rsidRDefault="007C050F" w:rsidP="007C050F">
            <w:pPr>
              <w:spacing w:before="0" w:after="0"/>
              <w:jc w:val="center"/>
              <w:rPr>
                <w:noProof/>
                <w:color w:val="000000"/>
                <w:sz w:val="16"/>
                <w:szCs w:val="16"/>
              </w:rPr>
            </w:pPr>
            <w:r w:rsidRPr="000D0D0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DB739D4" w14:textId="77777777" w:rsidR="007C050F" w:rsidRPr="000D0D06" w:rsidRDefault="007C050F" w:rsidP="007C050F">
            <w:pPr>
              <w:spacing w:before="0" w:after="0"/>
              <w:jc w:val="center"/>
              <w:rPr>
                <w:noProof/>
                <w:color w:val="000000"/>
                <w:sz w:val="16"/>
                <w:szCs w:val="16"/>
              </w:rPr>
            </w:pPr>
            <w:r w:rsidRPr="000D0D06">
              <w:rPr>
                <w:noProof/>
                <w:color w:val="000000"/>
                <w:sz w:val="16"/>
              </w:rPr>
              <w:t>0</w:t>
            </w:r>
          </w:p>
        </w:tc>
      </w:tr>
      <w:tr w:rsidR="007C050F" w:rsidRPr="000D0D06" w14:paraId="69836C2F"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7B09E741" w14:textId="77777777" w:rsidR="007C050F" w:rsidRPr="000D0D06" w:rsidRDefault="007C050F" w:rsidP="007C050F">
            <w:pPr>
              <w:spacing w:before="0" w:after="0"/>
              <w:ind w:firstLineChars="100" w:firstLine="160"/>
              <w:jc w:val="left"/>
              <w:rPr>
                <w:noProof/>
                <w:color w:val="000000"/>
                <w:sz w:val="16"/>
                <w:szCs w:val="16"/>
              </w:rPr>
            </w:pPr>
            <w:r w:rsidRPr="000D0D06">
              <w:rPr>
                <w:noProof/>
                <w:color w:val="000000"/>
                <w:sz w:val="16"/>
              </w:rPr>
              <w:t>01 01 01 02</w:t>
            </w:r>
            <w:r w:rsidRPr="000D0D06">
              <w:rPr>
                <w:rFonts w:ascii="Arial Narrow" w:hAnsi="Arial Narrow"/>
                <w:noProof/>
                <w:color w:val="000000"/>
                <w:sz w:val="20"/>
              </w:rPr>
              <w:t xml:space="preserve"> </w:t>
            </w:r>
            <w:r w:rsidRPr="000D0D06">
              <w:rPr>
                <w:noProof/>
                <w:color w:val="000000"/>
                <w:sz w:val="16"/>
              </w:rPr>
              <w:t>(AC, PND — investigação indireta)</w:t>
            </w:r>
          </w:p>
        </w:tc>
        <w:tc>
          <w:tcPr>
            <w:tcW w:w="522" w:type="pct"/>
            <w:tcBorders>
              <w:top w:val="nil"/>
              <w:left w:val="nil"/>
              <w:bottom w:val="single" w:sz="8" w:space="0" w:color="auto"/>
              <w:right w:val="single" w:sz="8" w:space="0" w:color="auto"/>
            </w:tcBorders>
            <w:shd w:val="clear" w:color="000000" w:fill="D9D9D9"/>
            <w:vAlign w:val="center"/>
            <w:hideMark/>
          </w:tcPr>
          <w:p w14:paraId="45F9964F" w14:textId="77777777" w:rsidR="007C050F" w:rsidRPr="000D0D06" w:rsidRDefault="007C050F" w:rsidP="007C050F">
            <w:pPr>
              <w:spacing w:before="0" w:after="0"/>
              <w:jc w:val="center"/>
              <w:rPr>
                <w:noProof/>
                <w:color w:val="000000"/>
                <w:sz w:val="16"/>
                <w:szCs w:val="16"/>
              </w:rPr>
            </w:pPr>
            <w:r w:rsidRPr="000D0D0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3082B8B" w14:textId="77777777" w:rsidR="007C050F" w:rsidRPr="000D0D06" w:rsidRDefault="007C050F" w:rsidP="007C050F">
            <w:pPr>
              <w:spacing w:before="0" w:after="0"/>
              <w:jc w:val="center"/>
              <w:rPr>
                <w:noProof/>
                <w:color w:val="000000"/>
                <w:sz w:val="16"/>
                <w:szCs w:val="16"/>
              </w:rPr>
            </w:pPr>
            <w:r w:rsidRPr="000D0D0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B7B3AFA" w14:textId="77777777" w:rsidR="007C050F" w:rsidRPr="000D0D06" w:rsidRDefault="007C050F" w:rsidP="007C050F">
            <w:pPr>
              <w:spacing w:before="0" w:after="0"/>
              <w:jc w:val="center"/>
              <w:rPr>
                <w:noProof/>
                <w:color w:val="000000"/>
                <w:sz w:val="16"/>
                <w:szCs w:val="16"/>
              </w:rPr>
            </w:pPr>
            <w:r w:rsidRPr="000D0D0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1926D9A" w14:textId="77777777" w:rsidR="007C050F" w:rsidRPr="000D0D06" w:rsidRDefault="007C050F" w:rsidP="007C050F">
            <w:pPr>
              <w:spacing w:before="0" w:after="0"/>
              <w:jc w:val="center"/>
              <w:rPr>
                <w:noProof/>
                <w:color w:val="000000"/>
                <w:sz w:val="16"/>
                <w:szCs w:val="16"/>
              </w:rPr>
            </w:pPr>
            <w:r w:rsidRPr="000D0D06">
              <w:rPr>
                <w:noProof/>
                <w:color w:val="000000"/>
                <w:sz w:val="16"/>
              </w:rPr>
              <w:t>0</w:t>
            </w:r>
          </w:p>
        </w:tc>
      </w:tr>
      <w:tr w:rsidR="007C050F" w:rsidRPr="000D0D06" w14:paraId="554212C6"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71DA2C9A" w14:textId="77777777" w:rsidR="007C050F" w:rsidRPr="000D0D06" w:rsidRDefault="007C050F" w:rsidP="007C050F">
            <w:pPr>
              <w:spacing w:before="0" w:after="0"/>
              <w:ind w:firstLineChars="100" w:firstLine="160"/>
              <w:jc w:val="left"/>
              <w:rPr>
                <w:noProof/>
                <w:color w:val="000000"/>
                <w:sz w:val="16"/>
                <w:szCs w:val="16"/>
              </w:rPr>
            </w:pPr>
            <w:r w:rsidRPr="000D0D06">
              <w:rPr>
                <w:noProof/>
                <w:color w:val="000000"/>
                <w:sz w:val="16"/>
              </w:rPr>
              <w:t xml:space="preserve"> 01 01 01 12 (AC, PND — investigação direta)</w:t>
            </w:r>
          </w:p>
        </w:tc>
        <w:tc>
          <w:tcPr>
            <w:tcW w:w="522" w:type="pct"/>
            <w:tcBorders>
              <w:top w:val="nil"/>
              <w:left w:val="nil"/>
              <w:bottom w:val="single" w:sz="8" w:space="0" w:color="auto"/>
              <w:right w:val="single" w:sz="8" w:space="0" w:color="auto"/>
            </w:tcBorders>
            <w:shd w:val="clear" w:color="000000" w:fill="D9D9D9"/>
            <w:vAlign w:val="center"/>
            <w:hideMark/>
          </w:tcPr>
          <w:p w14:paraId="59EDF9F8" w14:textId="77777777" w:rsidR="007C050F" w:rsidRPr="000D0D06" w:rsidRDefault="007C050F" w:rsidP="007C050F">
            <w:pPr>
              <w:spacing w:before="0" w:after="0"/>
              <w:jc w:val="center"/>
              <w:rPr>
                <w:noProof/>
                <w:color w:val="000000"/>
                <w:sz w:val="16"/>
                <w:szCs w:val="16"/>
              </w:rPr>
            </w:pPr>
            <w:r w:rsidRPr="000D0D0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99B79D6" w14:textId="77777777" w:rsidR="007C050F" w:rsidRPr="000D0D06" w:rsidRDefault="007C050F" w:rsidP="007C050F">
            <w:pPr>
              <w:spacing w:before="0" w:after="0"/>
              <w:jc w:val="center"/>
              <w:rPr>
                <w:noProof/>
                <w:color w:val="000000"/>
                <w:sz w:val="16"/>
                <w:szCs w:val="16"/>
              </w:rPr>
            </w:pPr>
            <w:r w:rsidRPr="000D0D0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C9DB8F1" w14:textId="77777777" w:rsidR="007C050F" w:rsidRPr="000D0D06" w:rsidRDefault="007C050F" w:rsidP="007C050F">
            <w:pPr>
              <w:spacing w:before="0" w:after="0"/>
              <w:jc w:val="center"/>
              <w:rPr>
                <w:noProof/>
                <w:color w:val="000000"/>
                <w:sz w:val="16"/>
                <w:szCs w:val="16"/>
              </w:rPr>
            </w:pPr>
            <w:r w:rsidRPr="000D0D0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9CCEA37" w14:textId="77777777" w:rsidR="007C050F" w:rsidRPr="000D0D06" w:rsidRDefault="007C050F" w:rsidP="007C050F">
            <w:pPr>
              <w:spacing w:before="0" w:after="0"/>
              <w:jc w:val="center"/>
              <w:rPr>
                <w:noProof/>
                <w:color w:val="000000"/>
                <w:sz w:val="16"/>
                <w:szCs w:val="16"/>
              </w:rPr>
            </w:pPr>
            <w:r w:rsidRPr="000D0D06">
              <w:rPr>
                <w:noProof/>
                <w:color w:val="000000"/>
                <w:sz w:val="16"/>
              </w:rPr>
              <w:t>0</w:t>
            </w:r>
          </w:p>
        </w:tc>
      </w:tr>
      <w:tr w:rsidR="007C050F" w:rsidRPr="000D0D06" w14:paraId="214A7305"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62D72B1E" w14:textId="77777777" w:rsidR="007C050F" w:rsidRPr="000D0D06" w:rsidRDefault="007C050F" w:rsidP="007C050F">
            <w:pPr>
              <w:spacing w:before="0" w:after="0"/>
              <w:ind w:firstLineChars="100" w:firstLine="160"/>
              <w:jc w:val="left"/>
              <w:rPr>
                <w:noProof/>
                <w:color w:val="000000"/>
                <w:sz w:val="16"/>
                <w:szCs w:val="16"/>
              </w:rPr>
            </w:pPr>
            <w:r w:rsidRPr="000D0D06">
              <w:rPr>
                <w:noProof/>
                <w:color w:val="000000"/>
                <w:sz w:val="16"/>
              </w:rPr>
              <w:t>Outras rubricas orçamentais (especificar) — rubrica 7</w:t>
            </w:r>
          </w:p>
        </w:tc>
        <w:tc>
          <w:tcPr>
            <w:tcW w:w="522" w:type="pct"/>
            <w:tcBorders>
              <w:top w:val="nil"/>
              <w:left w:val="nil"/>
              <w:bottom w:val="single" w:sz="8" w:space="0" w:color="auto"/>
              <w:right w:val="single" w:sz="8" w:space="0" w:color="auto"/>
            </w:tcBorders>
            <w:shd w:val="clear" w:color="000000" w:fill="D9D9D9"/>
            <w:vAlign w:val="center"/>
            <w:hideMark/>
          </w:tcPr>
          <w:p w14:paraId="739DFB08" w14:textId="77777777" w:rsidR="007C050F" w:rsidRPr="000D0D06" w:rsidRDefault="007C050F" w:rsidP="007C050F">
            <w:pPr>
              <w:spacing w:before="0" w:after="0"/>
              <w:jc w:val="center"/>
              <w:rPr>
                <w:noProof/>
                <w:color w:val="000000"/>
                <w:sz w:val="16"/>
                <w:szCs w:val="16"/>
              </w:rPr>
            </w:pPr>
            <w:r w:rsidRPr="000D0D0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EB459A5" w14:textId="77777777" w:rsidR="007C050F" w:rsidRPr="000D0D06" w:rsidRDefault="007C050F" w:rsidP="007C050F">
            <w:pPr>
              <w:spacing w:before="0" w:after="0"/>
              <w:jc w:val="center"/>
              <w:rPr>
                <w:noProof/>
                <w:color w:val="000000"/>
                <w:sz w:val="16"/>
                <w:szCs w:val="16"/>
              </w:rPr>
            </w:pPr>
            <w:r w:rsidRPr="000D0D0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7DFCC9C" w14:textId="77777777" w:rsidR="007C050F" w:rsidRPr="000D0D06" w:rsidRDefault="007C050F" w:rsidP="007C050F">
            <w:pPr>
              <w:spacing w:before="0" w:after="0"/>
              <w:jc w:val="center"/>
              <w:rPr>
                <w:noProof/>
                <w:color w:val="000000"/>
                <w:sz w:val="16"/>
                <w:szCs w:val="16"/>
              </w:rPr>
            </w:pPr>
            <w:r w:rsidRPr="000D0D0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FB942F5" w14:textId="77777777" w:rsidR="007C050F" w:rsidRPr="000D0D06" w:rsidRDefault="007C050F" w:rsidP="007C050F">
            <w:pPr>
              <w:spacing w:before="0" w:after="0"/>
              <w:jc w:val="center"/>
              <w:rPr>
                <w:noProof/>
                <w:color w:val="000000"/>
                <w:sz w:val="16"/>
                <w:szCs w:val="16"/>
              </w:rPr>
            </w:pPr>
            <w:r w:rsidRPr="000D0D06">
              <w:rPr>
                <w:noProof/>
                <w:color w:val="000000"/>
                <w:sz w:val="16"/>
              </w:rPr>
              <w:t>0</w:t>
            </w:r>
          </w:p>
        </w:tc>
      </w:tr>
      <w:tr w:rsidR="007C050F" w:rsidRPr="000D0D06" w14:paraId="5B5B6638"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402B3B44" w14:textId="77777777" w:rsidR="007C050F" w:rsidRPr="000D0D06" w:rsidRDefault="007C050F" w:rsidP="007C050F">
            <w:pPr>
              <w:spacing w:before="0" w:after="0"/>
              <w:ind w:firstLineChars="100" w:firstLine="160"/>
              <w:jc w:val="left"/>
              <w:rPr>
                <w:noProof/>
                <w:color w:val="000000"/>
                <w:sz w:val="16"/>
                <w:szCs w:val="16"/>
              </w:rPr>
            </w:pPr>
            <w:r w:rsidRPr="000D0D06">
              <w:rPr>
                <w:noProof/>
                <w:color w:val="000000"/>
                <w:sz w:val="16"/>
              </w:rPr>
              <w:t>Outras rubricas orçamentais (especificar) — com exclusão da rubrica 7</w:t>
            </w:r>
          </w:p>
        </w:tc>
        <w:tc>
          <w:tcPr>
            <w:tcW w:w="522" w:type="pct"/>
            <w:tcBorders>
              <w:top w:val="nil"/>
              <w:left w:val="nil"/>
              <w:bottom w:val="single" w:sz="8" w:space="0" w:color="auto"/>
              <w:right w:val="single" w:sz="8" w:space="0" w:color="auto"/>
            </w:tcBorders>
            <w:shd w:val="clear" w:color="000000" w:fill="D9D9D9"/>
            <w:vAlign w:val="center"/>
            <w:hideMark/>
          </w:tcPr>
          <w:p w14:paraId="558D7F3C" w14:textId="77777777" w:rsidR="007C050F" w:rsidRPr="000D0D06" w:rsidRDefault="007C050F" w:rsidP="007C050F">
            <w:pPr>
              <w:spacing w:before="0" w:after="0"/>
              <w:jc w:val="center"/>
              <w:rPr>
                <w:noProof/>
                <w:color w:val="000000"/>
                <w:sz w:val="16"/>
                <w:szCs w:val="16"/>
              </w:rPr>
            </w:pPr>
            <w:r w:rsidRPr="000D0D0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0571157" w14:textId="77777777" w:rsidR="007C050F" w:rsidRPr="000D0D06" w:rsidRDefault="007C050F" w:rsidP="007C050F">
            <w:pPr>
              <w:spacing w:before="0" w:after="0"/>
              <w:jc w:val="center"/>
              <w:rPr>
                <w:noProof/>
                <w:color w:val="000000"/>
                <w:sz w:val="16"/>
                <w:szCs w:val="16"/>
              </w:rPr>
            </w:pPr>
            <w:r w:rsidRPr="000D0D0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74109B4" w14:textId="77777777" w:rsidR="007C050F" w:rsidRPr="000D0D06" w:rsidRDefault="007C050F" w:rsidP="007C050F">
            <w:pPr>
              <w:spacing w:before="0" w:after="0"/>
              <w:jc w:val="center"/>
              <w:rPr>
                <w:noProof/>
                <w:color w:val="000000"/>
                <w:sz w:val="16"/>
                <w:szCs w:val="16"/>
              </w:rPr>
            </w:pPr>
            <w:r w:rsidRPr="000D0D06">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51E02BA" w14:textId="77777777" w:rsidR="007C050F" w:rsidRPr="000D0D06" w:rsidRDefault="007C050F" w:rsidP="007C050F">
            <w:pPr>
              <w:spacing w:before="0" w:after="0"/>
              <w:jc w:val="center"/>
              <w:rPr>
                <w:noProof/>
                <w:color w:val="000000"/>
                <w:sz w:val="16"/>
                <w:szCs w:val="16"/>
              </w:rPr>
            </w:pPr>
            <w:r w:rsidRPr="000D0D06">
              <w:rPr>
                <w:noProof/>
                <w:color w:val="000000"/>
                <w:sz w:val="16"/>
              </w:rPr>
              <w:t>0</w:t>
            </w:r>
          </w:p>
        </w:tc>
      </w:tr>
      <w:tr w:rsidR="007C050F" w:rsidRPr="000D0D06" w14:paraId="68CF8276"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5C6D6B94" w14:textId="77777777" w:rsidR="007C050F" w:rsidRPr="000D0D06" w:rsidRDefault="007C050F" w:rsidP="007C050F">
            <w:pPr>
              <w:spacing w:before="0" w:after="0"/>
              <w:ind w:firstLineChars="100" w:firstLine="160"/>
              <w:jc w:val="left"/>
              <w:rPr>
                <w:b/>
                <w:bCs/>
                <w:noProof/>
                <w:color w:val="000000"/>
                <w:sz w:val="16"/>
                <w:szCs w:val="16"/>
              </w:rPr>
            </w:pPr>
            <w:r w:rsidRPr="000D0D06">
              <w:rPr>
                <w:b/>
                <w:noProof/>
                <w:color w:val="000000"/>
                <w:sz w:val="16"/>
              </w:rPr>
              <w:t>TOTAL</w:t>
            </w:r>
          </w:p>
        </w:tc>
        <w:tc>
          <w:tcPr>
            <w:tcW w:w="522" w:type="pct"/>
            <w:tcBorders>
              <w:top w:val="nil"/>
              <w:left w:val="nil"/>
              <w:bottom w:val="single" w:sz="8" w:space="0" w:color="auto"/>
              <w:right w:val="single" w:sz="8" w:space="0" w:color="auto"/>
            </w:tcBorders>
            <w:shd w:val="clear" w:color="000000" w:fill="D9D9D9"/>
            <w:vAlign w:val="center"/>
            <w:hideMark/>
          </w:tcPr>
          <w:p w14:paraId="6CC4E28E" w14:textId="77777777" w:rsidR="007C050F" w:rsidRPr="000D0D06" w:rsidRDefault="007C050F" w:rsidP="007C050F">
            <w:pPr>
              <w:spacing w:before="0" w:after="0"/>
              <w:jc w:val="center"/>
              <w:rPr>
                <w:b/>
                <w:bCs/>
                <w:noProof/>
                <w:color w:val="000000"/>
                <w:sz w:val="16"/>
                <w:szCs w:val="16"/>
              </w:rPr>
            </w:pPr>
            <w:r w:rsidRPr="000D0D06">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83460F6" w14:textId="77777777" w:rsidR="007C050F" w:rsidRPr="000D0D06" w:rsidRDefault="007C050F" w:rsidP="007C050F">
            <w:pPr>
              <w:spacing w:before="0" w:after="0"/>
              <w:jc w:val="center"/>
              <w:rPr>
                <w:b/>
                <w:bCs/>
                <w:noProof/>
                <w:color w:val="000000"/>
                <w:sz w:val="16"/>
                <w:szCs w:val="16"/>
              </w:rPr>
            </w:pPr>
            <w:r w:rsidRPr="000D0D06">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C78B57A" w14:textId="77777777" w:rsidR="007C050F" w:rsidRPr="000D0D06" w:rsidRDefault="007C050F" w:rsidP="007C050F">
            <w:pPr>
              <w:spacing w:before="0" w:after="0"/>
              <w:jc w:val="center"/>
              <w:rPr>
                <w:b/>
                <w:bCs/>
                <w:noProof/>
                <w:color w:val="000000"/>
                <w:sz w:val="16"/>
                <w:szCs w:val="16"/>
              </w:rPr>
            </w:pPr>
            <w:r w:rsidRPr="000D0D06">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DD6E9AD" w14:textId="77777777" w:rsidR="007C050F" w:rsidRPr="000D0D06" w:rsidRDefault="007C050F" w:rsidP="007C050F">
            <w:pPr>
              <w:spacing w:before="0" w:after="0"/>
              <w:jc w:val="center"/>
              <w:rPr>
                <w:b/>
                <w:bCs/>
                <w:noProof/>
                <w:color w:val="000000"/>
                <w:sz w:val="16"/>
                <w:szCs w:val="16"/>
              </w:rPr>
            </w:pPr>
            <w:r w:rsidRPr="000D0D06">
              <w:rPr>
                <w:b/>
                <w:noProof/>
                <w:color w:val="000000"/>
                <w:sz w:val="16"/>
              </w:rPr>
              <w:t>0</w:t>
            </w:r>
          </w:p>
        </w:tc>
      </w:tr>
    </w:tbl>
    <w:p w14:paraId="7BCCE95E" w14:textId="77777777" w:rsidR="007C050F" w:rsidRPr="000D0D06" w:rsidRDefault="001936FC" w:rsidP="001936FC">
      <w:pPr>
        <w:pStyle w:val="ManualHeading3"/>
        <w:rPr>
          <w:noProof/>
        </w:rPr>
      </w:pPr>
      <w:bookmarkStart w:id="24" w:name="_Hlk167692843"/>
      <w:bookmarkEnd w:id="23"/>
      <w:r w:rsidRPr="000D0D06">
        <w:rPr>
          <w:noProof/>
        </w:rPr>
        <w:t>3.2.5.</w:t>
      </w:r>
      <w:r w:rsidRPr="000D0D06">
        <w:rPr>
          <w:noProof/>
        </w:rPr>
        <w:tab/>
        <w:t>Resumo do impacto estimado nos investimentos relacionados com tecnologias digitais</w:t>
      </w:r>
    </w:p>
    <w:p w14:paraId="7F21A8B1" w14:textId="77777777" w:rsidR="007C050F" w:rsidRPr="000D0D06" w:rsidRDefault="001936FC" w:rsidP="001936FC">
      <w:pPr>
        <w:pStyle w:val="ManualNumPar1"/>
        <w:rPr>
          <w:noProof/>
        </w:rPr>
      </w:pPr>
      <w:r w:rsidRPr="000D0D06">
        <w:rPr>
          <w:noProof/>
        </w:rPr>
        <w:t>18.</w:t>
      </w:r>
      <w:r w:rsidRPr="000D0D06">
        <w:rPr>
          <w:noProof/>
        </w:rPr>
        <w:tab/>
        <w:t xml:space="preserve">Obrigatório: a melhor estimativa dos investimentos relacionados com tecnologias digitais decorrentes da proposta / iniciativa deve ser incluída no quadro seguinte. </w:t>
      </w:r>
    </w:p>
    <w:p w14:paraId="49517DB8" w14:textId="77777777" w:rsidR="007C050F" w:rsidRPr="000D0D06" w:rsidRDefault="001936FC" w:rsidP="001936FC">
      <w:pPr>
        <w:pStyle w:val="ManualNumPar1"/>
        <w:rPr>
          <w:noProof/>
        </w:rPr>
      </w:pPr>
      <w:r w:rsidRPr="000D0D06">
        <w:rPr>
          <w:noProof/>
        </w:rPr>
        <w:t>19.</w:t>
      </w:r>
      <w:r w:rsidRPr="000D0D06">
        <w:rPr>
          <w:noProof/>
        </w:rPr>
        <w:tab/>
        <w:t xml:space="preserve">Excecionalmente, quando necessário para a execução da proposta / iniciativa, as dotações no âmbito da rubrica 7 devem ser apresentadas na rubrica designada. </w:t>
      </w:r>
    </w:p>
    <w:p w14:paraId="5650D994" w14:textId="77777777" w:rsidR="007C050F" w:rsidRPr="000D0D06" w:rsidRDefault="001936FC" w:rsidP="001936FC">
      <w:pPr>
        <w:pStyle w:val="ManualNumPar1"/>
        <w:rPr>
          <w:noProof/>
        </w:rPr>
      </w:pPr>
      <w:r w:rsidRPr="000D0D06">
        <w:rPr>
          <w:noProof/>
        </w:rPr>
        <w:t>20.</w:t>
      </w:r>
      <w:r w:rsidRPr="000D0D06">
        <w:rPr>
          <w:noProof/>
        </w:rPr>
        <w:tab/>
        <w:t>As dotações no âmbito das rubricas 1-6 devem refletir-se como «Despesas informáticas relativas a programas operacionais específicos». Estas despesas referem-se às dotações operacionais a utilizar para reutilizar / comprar / desenvolver plataformas / ferramentas informáticas diretamente ligadas à execução da iniciativa e aos investimentos associados (por exemplo, licenças, estudos, armazenamento de dados, etc.). As informações constantes deste quadro devem ser coerentes com os dados apresentados no ponto 4, «Dimensões digitais».</w:t>
      </w:r>
    </w:p>
    <w:tbl>
      <w:tblPr>
        <w:tblW w:w="0" w:type="auto"/>
        <w:tblLayout w:type="fixed"/>
        <w:tblLook w:val="04A0" w:firstRow="1" w:lastRow="0" w:firstColumn="1" w:lastColumn="0" w:noHBand="0" w:noVBand="1"/>
      </w:tblPr>
      <w:tblGrid>
        <w:gridCol w:w="3214"/>
        <w:gridCol w:w="835"/>
        <w:gridCol w:w="835"/>
        <w:gridCol w:w="835"/>
        <w:gridCol w:w="835"/>
        <w:gridCol w:w="981"/>
      </w:tblGrid>
      <w:tr w:rsidR="007C050F" w:rsidRPr="000D0D06" w14:paraId="04D58D15" w14:textId="77777777">
        <w:trPr>
          <w:trHeight w:val="525"/>
        </w:trPr>
        <w:tc>
          <w:tcPr>
            <w:tcW w:w="3214" w:type="dxa"/>
            <w:vMerge w:val="restart"/>
            <w:tcBorders>
              <w:top w:val="single" w:sz="8" w:space="0" w:color="auto"/>
              <w:left w:val="single" w:sz="4" w:space="0" w:color="auto"/>
              <w:right w:val="single" w:sz="4" w:space="0" w:color="auto"/>
            </w:tcBorders>
            <w:tcMar>
              <w:left w:w="108" w:type="dxa"/>
              <w:right w:w="108" w:type="dxa"/>
            </w:tcMar>
            <w:vAlign w:val="center"/>
          </w:tcPr>
          <w:p w14:paraId="76B7E585" w14:textId="77777777" w:rsidR="007C050F" w:rsidRPr="000D0D06" w:rsidRDefault="007C050F" w:rsidP="007C050F">
            <w:pPr>
              <w:spacing w:before="0" w:after="0"/>
              <w:jc w:val="center"/>
              <w:rPr>
                <w:b/>
                <w:bCs/>
                <w:noProof/>
                <w:color w:val="000000" w:themeColor="text1"/>
                <w:sz w:val="18"/>
                <w:szCs w:val="18"/>
              </w:rPr>
            </w:pPr>
            <w:r w:rsidRPr="000D0D06">
              <w:rPr>
                <w:b/>
                <w:noProof/>
                <w:color w:val="000000" w:themeColor="text1"/>
                <w:sz w:val="18"/>
              </w:rPr>
              <w:t>TOTAL das dotações digitais e informáticas</w:t>
            </w:r>
          </w:p>
        </w:tc>
        <w:tc>
          <w:tcPr>
            <w:tcW w:w="835" w:type="dxa"/>
            <w:tcBorders>
              <w:top w:val="single" w:sz="8" w:space="0" w:color="auto"/>
              <w:left w:val="single" w:sz="4" w:space="0" w:color="auto"/>
              <w:bottom w:val="nil"/>
              <w:right w:val="single" w:sz="8" w:space="0" w:color="auto"/>
            </w:tcBorders>
            <w:tcMar>
              <w:left w:w="108" w:type="dxa"/>
              <w:right w:w="108" w:type="dxa"/>
            </w:tcMar>
            <w:vAlign w:val="center"/>
          </w:tcPr>
          <w:p w14:paraId="07ED0898" w14:textId="77777777" w:rsidR="007C050F" w:rsidRPr="000D0D06" w:rsidRDefault="007C050F" w:rsidP="007C050F">
            <w:pPr>
              <w:spacing w:before="0" w:after="0"/>
              <w:jc w:val="center"/>
              <w:rPr>
                <w:noProof/>
                <w:color w:val="000000" w:themeColor="text1"/>
                <w:sz w:val="18"/>
                <w:szCs w:val="18"/>
              </w:rPr>
            </w:pPr>
            <w:r w:rsidRPr="000D0D06">
              <w:rPr>
                <w:noProof/>
                <w:color w:val="000000" w:themeColor="text1"/>
                <w:sz w:val="18"/>
              </w:rPr>
              <w:t>Ano</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14:paraId="2B6F6AA3" w14:textId="77777777" w:rsidR="007C050F" w:rsidRPr="000D0D06" w:rsidRDefault="007C050F" w:rsidP="007C050F">
            <w:pPr>
              <w:spacing w:before="0" w:after="0"/>
              <w:jc w:val="center"/>
              <w:rPr>
                <w:noProof/>
                <w:color w:val="000000" w:themeColor="text1"/>
                <w:sz w:val="18"/>
                <w:szCs w:val="18"/>
              </w:rPr>
            </w:pPr>
            <w:r w:rsidRPr="000D0D06">
              <w:rPr>
                <w:noProof/>
                <w:color w:val="000000" w:themeColor="text1"/>
                <w:sz w:val="18"/>
              </w:rPr>
              <w:t>Ano</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14:paraId="6C5ACAA0" w14:textId="77777777" w:rsidR="007C050F" w:rsidRPr="000D0D06" w:rsidRDefault="007C050F" w:rsidP="007C050F">
            <w:pPr>
              <w:spacing w:before="0" w:after="0"/>
              <w:jc w:val="center"/>
              <w:rPr>
                <w:noProof/>
                <w:color w:val="000000" w:themeColor="text1"/>
                <w:sz w:val="18"/>
                <w:szCs w:val="18"/>
              </w:rPr>
            </w:pPr>
            <w:r w:rsidRPr="000D0D06">
              <w:rPr>
                <w:noProof/>
                <w:color w:val="000000" w:themeColor="text1"/>
                <w:sz w:val="18"/>
              </w:rPr>
              <w:t>Ano</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14:paraId="721C4D0A" w14:textId="77777777" w:rsidR="007C050F" w:rsidRPr="000D0D06" w:rsidRDefault="007C050F" w:rsidP="007C050F">
            <w:pPr>
              <w:spacing w:before="0" w:after="0"/>
              <w:jc w:val="center"/>
              <w:rPr>
                <w:noProof/>
                <w:color w:val="000000" w:themeColor="text1"/>
                <w:sz w:val="18"/>
                <w:szCs w:val="18"/>
              </w:rPr>
            </w:pPr>
            <w:r w:rsidRPr="000D0D06">
              <w:rPr>
                <w:noProof/>
                <w:color w:val="000000" w:themeColor="text1"/>
                <w:sz w:val="18"/>
              </w:rPr>
              <w:t>Ano</w:t>
            </w:r>
          </w:p>
        </w:tc>
        <w:tc>
          <w:tcPr>
            <w:tcW w:w="981" w:type="dxa"/>
            <w:vMerge w:val="restart"/>
            <w:tcBorders>
              <w:top w:val="single" w:sz="8" w:space="0" w:color="auto"/>
              <w:left w:val="single" w:sz="8" w:space="0" w:color="auto"/>
              <w:bottom w:val="single" w:sz="8" w:space="0" w:color="auto"/>
              <w:right w:val="single" w:sz="4" w:space="0" w:color="auto"/>
            </w:tcBorders>
            <w:tcMar>
              <w:left w:w="108" w:type="dxa"/>
              <w:right w:w="108" w:type="dxa"/>
            </w:tcMar>
            <w:vAlign w:val="center"/>
          </w:tcPr>
          <w:p w14:paraId="42C46EA5" w14:textId="77777777" w:rsidR="007C050F" w:rsidRPr="000D0D06" w:rsidRDefault="007C050F" w:rsidP="007C050F">
            <w:pPr>
              <w:spacing w:before="0" w:after="0"/>
              <w:jc w:val="center"/>
              <w:rPr>
                <w:b/>
                <w:bCs/>
                <w:noProof/>
                <w:color w:val="000000" w:themeColor="text1"/>
                <w:sz w:val="18"/>
                <w:szCs w:val="18"/>
              </w:rPr>
            </w:pPr>
            <w:r w:rsidRPr="000D0D06">
              <w:rPr>
                <w:b/>
                <w:noProof/>
                <w:color w:val="000000" w:themeColor="text1"/>
                <w:sz w:val="18"/>
              </w:rPr>
              <w:t>TOTAL QFP 2021-2027</w:t>
            </w:r>
          </w:p>
        </w:tc>
      </w:tr>
      <w:tr w:rsidR="007C050F" w:rsidRPr="000D0D06" w14:paraId="77B0AB2B" w14:textId="77777777">
        <w:trPr>
          <w:trHeight w:val="525"/>
        </w:trPr>
        <w:tc>
          <w:tcPr>
            <w:tcW w:w="3214" w:type="dxa"/>
            <w:vMerge/>
            <w:tcBorders>
              <w:top w:val="single" w:sz="8" w:space="0" w:color="auto"/>
              <w:left w:val="single" w:sz="4" w:space="0" w:color="auto"/>
              <w:right w:val="single" w:sz="4" w:space="0" w:color="auto"/>
            </w:tcBorders>
            <w:vAlign w:val="center"/>
          </w:tcPr>
          <w:p w14:paraId="0F9209A4" w14:textId="77777777" w:rsidR="007C050F" w:rsidRPr="000D0D06" w:rsidRDefault="007C050F" w:rsidP="007C050F">
            <w:pPr>
              <w:rPr>
                <w:noProof/>
              </w:rPr>
            </w:pPr>
          </w:p>
        </w:tc>
        <w:tc>
          <w:tcPr>
            <w:tcW w:w="835" w:type="dxa"/>
            <w:tcBorders>
              <w:top w:val="nil"/>
              <w:left w:val="single" w:sz="4" w:space="0" w:color="auto"/>
              <w:bottom w:val="single" w:sz="8" w:space="0" w:color="auto"/>
              <w:right w:val="single" w:sz="8" w:space="0" w:color="auto"/>
            </w:tcBorders>
            <w:tcMar>
              <w:left w:w="108" w:type="dxa"/>
              <w:right w:w="108" w:type="dxa"/>
            </w:tcMar>
            <w:vAlign w:val="center"/>
          </w:tcPr>
          <w:p w14:paraId="70889617" w14:textId="77777777" w:rsidR="007C050F" w:rsidRPr="000D0D06" w:rsidRDefault="007C050F" w:rsidP="007C050F">
            <w:pPr>
              <w:spacing w:before="0" w:after="0"/>
              <w:jc w:val="center"/>
              <w:rPr>
                <w:b/>
                <w:bCs/>
                <w:noProof/>
                <w:color w:val="000000" w:themeColor="text1"/>
                <w:sz w:val="18"/>
                <w:szCs w:val="18"/>
              </w:rPr>
            </w:pPr>
            <w:r w:rsidRPr="000D0D06">
              <w:rPr>
                <w:b/>
                <w:noProof/>
                <w:color w:val="000000" w:themeColor="text1"/>
                <w:sz w:val="18"/>
              </w:rPr>
              <w:t>2024</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14:paraId="42F2F56E" w14:textId="77777777" w:rsidR="007C050F" w:rsidRPr="000D0D06" w:rsidRDefault="007C050F" w:rsidP="007C050F">
            <w:pPr>
              <w:spacing w:before="0" w:after="0"/>
              <w:jc w:val="center"/>
              <w:rPr>
                <w:b/>
                <w:bCs/>
                <w:noProof/>
                <w:color w:val="000000" w:themeColor="text1"/>
                <w:sz w:val="18"/>
                <w:szCs w:val="18"/>
              </w:rPr>
            </w:pPr>
            <w:r w:rsidRPr="000D0D06">
              <w:rPr>
                <w:b/>
                <w:noProof/>
                <w:color w:val="000000" w:themeColor="text1"/>
                <w:sz w:val="18"/>
              </w:rPr>
              <w:t>2025</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14:paraId="7DBE4736" w14:textId="77777777" w:rsidR="007C050F" w:rsidRPr="000D0D06" w:rsidRDefault="007C050F" w:rsidP="007C050F">
            <w:pPr>
              <w:spacing w:before="0" w:after="0"/>
              <w:jc w:val="center"/>
              <w:rPr>
                <w:b/>
                <w:bCs/>
                <w:noProof/>
                <w:color w:val="000000" w:themeColor="text1"/>
                <w:sz w:val="18"/>
                <w:szCs w:val="18"/>
              </w:rPr>
            </w:pPr>
            <w:r w:rsidRPr="000D0D06">
              <w:rPr>
                <w:b/>
                <w:noProof/>
                <w:color w:val="000000" w:themeColor="text1"/>
                <w:sz w:val="18"/>
              </w:rPr>
              <w:t>2026</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14:paraId="07BEE30C" w14:textId="77777777" w:rsidR="007C050F" w:rsidRPr="000D0D06" w:rsidRDefault="007C050F" w:rsidP="007C050F">
            <w:pPr>
              <w:spacing w:before="0" w:after="0"/>
              <w:jc w:val="center"/>
              <w:rPr>
                <w:b/>
                <w:bCs/>
                <w:noProof/>
                <w:color w:val="000000" w:themeColor="text1"/>
                <w:sz w:val="18"/>
                <w:szCs w:val="18"/>
              </w:rPr>
            </w:pPr>
            <w:r w:rsidRPr="000D0D06">
              <w:rPr>
                <w:b/>
                <w:noProof/>
                <w:color w:val="000000" w:themeColor="text1"/>
                <w:sz w:val="18"/>
              </w:rPr>
              <w:t>2027</w:t>
            </w:r>
          </w:p>
        </w:tc>
        <w:tc>
          <w:tcPr>
            <w:tcW w:w="981" w:type="dxa"/>
            <w:vMerge/>
            <w:tcBorders>
              <w:bottom w:val="single" w:sz="4" w:space="0" w:color="auto"/>
              <w:right w:val="single" w:sz="4" w:space="0" w:color="auto"/>
            </w:tcBorders>
            <w:vAlign w:val="center"/>
          </w:tcPr>
          <w:p w14:paraId="411903B9" w14:textId="77777777" w:rsidR="007C050F" w:rsidRPr="000D0D06" w:rsidRDefault="007C050F" w:rsidP="007C050F">
            <w:pPr>
              <w:rPr>
                <w:noProof/>
              </w:rPr>
            </w:pPr>
          </w:p>
        </w:tc>
      </w:tr>
      <w:tr w:rsidR="007C050F" w:rsidRPr="000D0D06" w14:paraId="4E2920BB" w14:textId="77777777">
        <w:trPr>
          <w:trHeight w:val="300"/>
        </w:trPr>
        <w:tc>
          <w:tcPr>
            <w:tcW w:w="7535" w:type="dxa"/>
            <w:gridSpan w:val="6"/>
            <w:tcBorders>
              <w:top w:val="nil"/>
              <w:left w:val="single" w:sz="8" w:space="0" w:color="auto"/>
              <w:bottom w:val="single" w:sz="8" w:space="0" w:color="auto"/>
              <w:right w:val="single" w:sz="8" w:space="0" w:color="auto"/>
            </w:tcBorders>
            <w:tcMar>
              <w:left w:w="108" w:type="dxa"/>
              <w:right w:w="108" w:type="dxa"/>
            </w:tcMar>
            <w:vAlign w:val="center"/>
          </w:tcPr>
          <w:p w14:paraId="4FA37E17" w14:textId="77777777" w:rsidR="007C050F" w:rsidRPr="000D0D06" w:rsidRDefault="007C050F" w:rsidP="007C050F">
            <w:pPr>
              <w:spacing w:before="0" w:after="0"/>
              <w:jc w:val="left"/>
              <w:rPr>
                <w:b/>
                <w:bCs/>
                <w:noProof/>
                <w:sz w:val="16"/>
                <w:szCs w:val="16"/>
              </w:rPr>
            </w:pPr>
            <w:r w:rsidRPr="000D0D06">
              <w:rPr>
                <w:b/>
                <w:noProof/>
                <w:sz w:val="16"/>
              </w:rPr>
              <w:t>RUBRICA 7</w:t>
            </w:r>
          </w:p>
        </w:tc>
      </w:tr>
      <w:tr w:rsidR="007C050F" w:rsidRPr="000D0D06" w14:paraId="6CCD2496" w14:textId="77777777">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D980C0" w14:textId="77777777" w:rsidR="007C050F" w:rsidRPr="000D0D06" w:rsidRDefault="007C050F" w:rsidP="007C050F">
            <w:pPr>
              <w:spacing w:before="0" w:after="0"/>
              <w:jc w:val="left"/>
              <w:rPr>
                <w:noProof/>
                <w:color w:val="000000" w:themeColor="text1"/>
                <w:sz w:val="16"/>
                <w:szCs w:val="16"/>
              </w:rPr>
            </w:pPr>
            <w:r w:rsidRPr="000D0D06">
              <w:rPr>
                <w:rFonts w:ascii="Arial Narrow" w:hAnsi="Arial Narrow"/>
                <w:noProof/>
                <w:color w:val="000000" w:themeColor="text1"/>
                <w:sz w:val="20"/>
              </w:rPr>
              <w:t>Despesas informáticas (institucionais)</w:t>
            </w:r>
            <w:r w:rsidRPr="000D0D06">
              <w:rPr>
                <w:noProof/>
                <w:color w:val="000000" w:themeColor="text1"/>
                <w:sz w:val="16"/>
              </w:rPr>
              <w:t xml:space="preserve"> </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52CFEEC" w14:textId="77777777" w:rsidR="007C050F" w:rsidRPr="000D0D06" w:rsidRDefault="007C050F" w:rsidP="007C050F">
            <w:pPr>
              <w:spacing w:before="0" w:after="0"/>
              <w:jc w:val="right"/>
              <w:rPr>
                <w:noProof/>
                <w:color w:val="000000" w:themeColor="text1"/>
                <w:sz w:val="16"/>
                <w:szCs w:val="16"/>
              </w:rPr>
            </w:pPr>
            <w:r w:rsidRPr="000D0D06">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A3C6DEA" w14:textId="77777777" w:rsidR="007C050F" w:rsidRPr="000D0D06" w:rsidRDefault="007C050F" w:rsidP="007C050F">
            <w:pPr>
              <w:spacing w:before="0" w:after="0"/>
              <w:jc w:val="right"/>
              <w:rPr>
                <w:noProof/>
                <w:color w:val="000000" w:themeColor="text1"/>
                <w:sz w:val="16"/>
                <w:szCs w:val="16"/>
              </w:rPr>
            </w:pPr>
            <w:r w:rsidRPr="000D0D06">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B517D1B" w14:textId="77777777" w:rsidR="007C050F" w:rsidRPr="000D0D06" w:rsidRDefault="007C050F" w:rsidP="007C050F">
            <w:pPr>
              <w:spacing w:before="0" w:after="0"/>
              <w:jc w:val="right"/>
              <w:rPr>
                <w:noProof/>
                <w:color w:val="000000" w:themeColor="text1"/>
                <w:sz w:val="16"/>
                <w:szCs w:val="16"/>
              </w:rPr>
            </w:pPr>
            <w:r w:rsidRPr="000D0D06">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0393924" w14:textId="77777777" w:rsidR="007C050F" w:rsidRPr="000D0D06" w:rsidRDefault="007C050F" w:rsidP="007C050F">
            <w:pPr>
              <w:spacing w:before="0" w:after="0"/>
              <w:jc w:val="right"/>
              <w:rPr>
                <w:noProof/>
                <w:color w:val="000000" w:themeColor="text1"/>
                <w:sz w:val="16"/>
                <w:szCs w:val="16"/>
              </w:rPr>
            </w:pPr>
            <w:r w:rsidRPr="000D0D06">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E520D18" w14:textId="77777777" w:rsidR="007C050F" w:rsidRPr="000D0D06" w:rsidRDefault="007C050F" w:rsidP="007C050F">
            <w:pPr>
              <w:spacing w:before="0" w:after="0"/>
              <w:jc w:val="right"/>
              <w:rPr>
                <w:b/>
                <w:bCs/>
                <w:noProof/>
                <w:color w:val="000000" w:themeColor="text1"/>
                <w:sz w:val="16"/>
                <w:szCs w:val="16"/>
              </w:rPr>
            </w:pPr>
            <w:r w:rsidRPr="000D0D06">
              <w:rPr>
                <w:b/>
                <w:noProof/>
                <w:color w:val="000000" w:themeColor="text1"/>
                <w:sz w:val="16"/>
              </w:rPr>
              <w:t>0,000</w:t>
            </w:r>
          </w:p>
        </w:tc>
      </w:tr>
      <w:tr w:rsidR="007C050F" w:rsidRPr="000D0D06" w14:paraId="496A5232" w14:textId="77777777">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14:paraId="15018AA7" w14:textId="77777777" w:rsidR="007C050F" w:rsidRPr="000D0D06" w:rsidRDefault="007C050F" w:rsidP="007C050F">
            <w:pPr>
              <w:spacing w:before="0" w:after="0"/>
              <w:jc w:val="center"/>
              <w:rPr>
                <w:b/>
                <w:bCs/>
                <w:noProof/>
                <w:color w:val="000000" w:themeColor="text1"/>
                <w:sz w:val="16"/>
                <w:szCs w:val="16"/>
              </w:rPr>
            </w:pPr>
            <w:r w:rsidRPr="000D0D06">
              <w:rPr>
                <w:b/>
                <w:noProof/>
                <w:color w:val="000000" w:themeColor="text1"/>
                <w:sz w:val="16"/>
              </w:rPr>
              <w:t>Subtotal RUBRICA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730DB64" w14:textId="77777777" w:rsidR="007C050F" w:rsidRPr="000D0D06" w:rsidRDefault="007C050F" w:rsidP="007C050F">
            <w:pPr>
              <w:spacing w:before="0" w:after="0"/>
              <w:jc w:val="right"/>
              <w:rPr>
                <w:b/>
                <w:bCs/>
                <w:noProof/>
                <w:color w:val="000000" w:themeColor="text1"/>
                <w:sz w:val="16"/>
                <w:szCs w:val="16"/>
              </w:rPr>
            </w:pPr>
            <w:r w:rsidRPr="000D0D06">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85D8A69" w14:textId="77777777" w:rsidR="007C050F" w:rsidRPr="000D0D06" w:rsidRDefault="007C050F" w:rsidP="007C050F">
            <w:pPr>
              <w:spacing w:before="0" w:after="0"/>
              <w:jc w:val="right"/>
              <w:rPr>
                <w:b/>
                <w:bCs/>
                <w:noProof/>
                <w:color w:val="000000" w:themeColor="text1"/>
                <w:sz w:val="16"/>
                <w:szCs w:val="16"/>
              </w:rPr>
            </w:pPr>
            <w:r w:rsidRPr="000D0D06">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7939405" w14:textId="77777777" w:rsidR="007C050F" w:rsidRPr="000D0D06" w:rsidRDefault="007C050F" w:rsidP="007C050F">
            <w:pPr>
              <w:spacing w:before="0" w:after="0"/>
              <w:jc w:val="right"/>
              <w:rPr>
                <w:b/>
                <w:bCs/>
                <w:noProof/>
                <w:color w:val="000000" w:themeColor="text1"/>
                <w:sz w:val="16"/>
                <w:szCs w:val="16"/>
              </w:rPr>
            </w:pPr>
            <w:r w:rsidRPr="000D0D06">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3A24E4B" w14:textId="77777777" w:rsidR="007C050F" w:rsidRPr="000D0D06" w:rsidRDefault="007C050F" w:rsidP="007C050F">
            <w:pPr>
              <w:spacing w:before="0" w:after="0"/>
              <w:jc w:val="right"/>
              <w:rPr>
                <w:b/>
                <w:bCs/>
                <w:noProof/>
                <w:color w:val="000000" w:themeColor="text1"/>
                <w:sz w:val="16"/>
                <w:szCs w:val="16"/>
              </w:rPr>
            </w:pPr>
            <w:r w:rsidRPr="000D0D06">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4A28237" w14:textId="77777777" w:rsidR="007C050F" w:rsidRPr="000D0D06" w:rsidRDefault="007C050F" w:rsidP="007C050F">
            <w:pPr>
              <w:spacing w:before="0" w:after="0"/>
              <w:jc w:val="right"/>
              <w:rPr>
                <w:b/>
                <w:bCs/>
                <w:noProof/>
                <w:color w:val="000000" w:themeColor="text1"/>
                <w:sz w:val="16"/>
                <w:szCs w:val="16"/>
              </w:rPr>
            </w:pPr>
            <w:r w:rsidRPr="000D0D06">
              <w:rPr>
                <w:b/>
                <w:noProof/>
                <w:color w:val="000000" w:themeColor="text1"/>
                <w:sz w:val="16"/>
              </w:rPr>
              <w:t>0,000</w:t>
            </w:r>
          </w:p>
        </w:tc>
      </w:tr>
      <w:tr w:rsidR="007C050F" w:rsidRPr="000D0D06" w14:paraId="45C4E636" w14:textId="77777777">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E01651" w14:textId="77777777" w:rsidR="007C050F" w:rsidRPr="000D0D06" w:rsidRDefault="007C050F" w:rsidP="007C050F">
            <w:pPr>
              <w:spacing w:before="0" w:after="0"/>
              <w:jc w:val="left"/>
              <w:rPr>
                <w:b/>
                <w:bCs/>
                <w:noProof/>
                <w:sz w:val="16"/>
                <w:szCs w:val="16"/>
              </w:rPr>
            </w:pPr>
            <w:r w:rsidRPr="000D0D06">
              <w:rPr>
                <w:b/>
                <w:noProof/>
                <w:sz w:val="16"/>
              </w:rPr>
              <w:t>Com exclusão da RUBRICA 7</w:t>
            </w:r>
          </w:p>
        </w:tc>
      </w:tr>
      <w:tr w:rsidR="007C050F" w:rsidRPr="000D0D06" w14:paraId="7E70D676" w14:textId="77777777">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C075B8" w14:textId="77777777" w:rsidR="007C050F" w:rsidRPr="000D0D06" w:rsidRDefault="007C050F" w:rsidP="007C050F">
            <w:pPr>
              <w:spacing w:before="0" w:after="0"/>
              <w:jc w:val="left"/>
              <w:rPr>
                <w:rFonts w:ascii="Arial Narrow" w:eastAsia="Arial Narrow" w:hAnsi="Arial Narrow" w:cs="Arial Narrow"/>
                <w:noProof/>
                <w:color w:val="000000" w:themeColor="text1"/>
                <w:sz w:val="20"/>
                <w:szCs w:val="20"/>
              </w:rPr>
            </w:pPr>
            <w:r w:rsidRPr="000D0D06">
              <w:rPr>
                <w:rFonts w:ascii="Arial Narrow" w:hAnsi="Arial Narrow"/>
                <w:noProof/>
                <w:color w:val="000000" w:themeColor="text1"/>
                <w:sz w:val="20"/>
              </w:rPr>
              <w:t>Despesas informáticas relativas a programas operacionais específicos</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B70CDFD" w14:textId="77777777" w:rsidR="007C050F" w:rsidRPr="000D0D06" w:rsidRDefault="007C050F" w:rsidP="007C050F">
            <w:pPr>
              <w:spacing w:before="0" w:after="0"/>
              <w:jc w:val="right"/>
              <w:rPr>
                <w:noProof/>
                <w:color w:val="000000" w:themeColor="text1"/>
                <w:sz w:val="16"/>
                <w:szCs w:val="16"/>
              </w:rPr>
            </w:pPr>
            <w:r w:rsidRPr="000D0D06">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19B3AF3" w14:textId="77777777" w:rsidR="007C050F" w:rsidRPr="000D0D06" w:rsidRDefault="007C050F" w:rsidP="007C050F">
            <w:pPr>
              <w:spacing w:before="0" w:after="0"/>
              <w:jc w:val="right"/>
              <w:rPr>
                <w:noProof/>
                <w:color w:val="000000" w:themeColor="text1"/>
                <w:sz w:val="16"/>
                <w:szCs w:val="16"/>
              </w:rPr>
            </w:pPr>
            <w:r w:rsidRPr="000D0D06">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B316686" w14:textId="77777777" w:rsidR="007C050F" w:rsidRPr="000D0D06" w:rsidRDefault="007C050F" w:rsidP="007C050F">
            <w:pPr>
              <w:spacing w:before="0" w:after="0"/>
              <w:jc w:val="right"/>
              <w:rPr>
                <w:noProof/>
                <w:color w:val="000000" w:themeColor="text1"/>
                <w:sz w:val="16"/>
                <w:szCs w:val="16"/>
              </w:rPr>
            </w:pPr>
            <w:r w:rsidRPr="000D0D06">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1371240" w14:textId="77777777" w:rsidR="007C050F" w:rsidRPr="000D0D06" w:rsidRDefault="007C050F" w:rsidP="007C050F">
            <w:pPr>
              <w:spacing w:before="0" w:after="0"/>
              <w:jc w:val="right"/>
              <w:rPr>
                <w:noProof/>
                <w:color w:val="000000" w:themeColor="text1"/>
                <w:sz w:val="16"/>
                <w:szCs w:val="16"/>
              </w:rPr>
            </w:pPr>
            <w:r w:rsidRPr="000D0D06">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8C3E68F" w14:textId="77777777" w:rsidR="007C050F" w:rsidRPr="000D0D06" w:rsidRDefault="007C050F" w:rsidP="007C050F">
            <w:pPr>
              <w:spacing w:before="0" w:after="0"/>
              <w:jc w:val="right"/>
              <w:rPr>
                <w:b/>
                <w:bCs/>
                <w:noProof/>
                <w:color w:val="000000" w:themeColor="text1"/>
                <w:sz w:val="16"/>
                <w:szCs w:val="16"/>
              </w:rPr>
            </w:pPr>
            <w:r w:rsidRPr="000D0D06">
              <w:rPr>
                <w:b/>
                <w:noProof/>
                <w:color w:val="000000" w:themeColor="text1"/>
                <w:sz w:val="16"/>
              </w:rPr>
              <w:t>0,000</w:t>
            </w:r>
          </w:p>
        </w:tc>
      </w:tr>
      <w:tr w:rsidR="007C050F" w:rsidRPr="000D0D06" w14:paraId="361E6444" w14:textId="77777777">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14:paraId="49E056E4" w14:textId="77777777" w:rsidR="007C050F" w:rsidRPr="000D0D06" w:rsidRDefault="007C050F" w:rsidP="007C050F">
            <w:pPr>
              <w:spacing w:before="0" w:after="0"/>
              <w:jc w:val="center"/>
              <w:rPr>
                <w:b/>
                <w:bCs/>
                <w:noProof/>
                <w:color w:val="000000" w:themeColor="text1"/>
                <w:sz w:val="16"/>
                <w:szCs w:val="16"/>
              </w:rPr>
            </w:pPr>
            <w:r w:rsidRPr="000D0D06">
              <w:rPr>
                <w:b/>
                <w:noProof/>
                <w:color w:val="000000" w:themeColor="text1"/>
                <w:sz w:val="16"/>
              </w:rPr>
              <w:t>Subtotal com exclusão da RUBRICA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E724391" w14:textId="77777777" w:rsidR="007C050F" w:rsidRPr="000D0D06" w:rsidRDefault="007C050F" w:rsidP="007C050F">
            <w:pPr>
              <w:spacing w:before="0" w:after="0"/>
              <w:jc w:val="right"/>
              <w:rPr>
                <w:b/>
                <w:bCs/>
                <w:noProof/>
                <w:color w:val="000000" w:themeColor="text1"/>
                <w:sz w:val="16"/>
                <w:szCs w:val="16"/>
              </w:rPr>
            </w:pPr>
            <w:r w:rsidRPr="000D0D06">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096EA3E" w14:textId="77777777" w:rsidR="007C050F" w:rsidRPr="000D0D06" w:rsidRDefault="007C050F" w:rsidP="007C050F">
            <w:pPr>
              <w:spacing w:before="0" w:after="0"/>
              <w:jc w:val="right"/>
              <w:rPr>
                <w:b/>
                <w:bCs/>
                <w:noProof/>
                <w:color w:val="000000" w:themeColor="text1"/>
                <w:sz w:val="16"/>
                <w:szCs w:val="16"/>
              </w:rPr>
            </w:pPr>
            <w:r w:rsidRPr="000D0D06">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8A51AD2" w14:textId="77777777" w:rsidR="007C050F" w:rsidRPr="000D0D06" w:rsidRDefault="007C050F" w:rsidP="007C050F">
            <w:pPr>
              <w:spacing w:before="0" w:after="0"/>
              <w:jc w:val="right"/>
              <w:rPr>
                <w:b/>
                <w:bCs/>
                <w:noProof/>
                <w:color w:val="000000" w:themeColor="text1"/>
                <w:sz w:val="16"/>
                <w:szCs w:val="16"/>
              </w:rPr>
            </w:pPr>
            <w:r w:rsidRPr="000D0D06">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102E35F" w14:textId="77777777" w:rsidR="007C050F" w:rsidRPr="000D0D06" w:rsidRDefault="007C050F" w:rsidP="007C050F">
            <w:pPr>
              <w:spacing w:before="0" w:after="0"/>
              <w:jc w:val="right"/>
              <w:rPr>
                <w:b/>
                <w:bCs/>
                <w:noProof/>
                <w:color w:val="000000" w:themeColor="text1"/>
                <w:sz w:val="16"/>
                <w:szCs w:val="16"/>
              </w:rPr>
            </w:pPr>
            <w:r w:rsidRPr="000D0D06">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6D9A1BC" w14:textId="77777777" w:rsidR="007C050F" w:rsidRPr="000D0D06" w:rsidRDefault="007C050F" w:rsidP="007C050F">
            <w:pPr>
              <w:spacing w:before="0" w:after="0"/>
              <w:jc w:val="right"/>
              <w:rPr>
                <w:b/>
                <w:bCs/>
                <w:noProof/>
                <w:color w:val="000000" w:themeColor="text1"/>
                <w:sz w:val="16"/>
                <w:szCs w:val="16"/>
              </w:rPr>
            </w:pPr>
            <w:r w:rsidRPr="000D0D06">
              <w:rPr>
                <w:b/>
                <w:noProof/>
                <w:color w:val="000000" w:themeColor="text1"/>
                <w:sz w:val="16"/>
              </w:rPr>
              <w:t>0,000</w:t>
            </w:r>
          </w:p>
        </w:tc>
      </w:tr>
      <w:tr w:rsidR="007C050F" w:rsidRPr="000D0D06" w14:paraId="6764EF66" w14:textId="77777777">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F95CAB" w14:textId="77777777" w:rsidR="007C050F" w:rsidRPr="000D0D06" w:rsidRDefault="007C050F" w:rsidP="007C050F">
            <w:pPr>
              <w:spacing w:before="0" w:after="0"/>
              <w:jc w:val="center"/>
              <w:rPr>
                <w:noProof/>
                <w:color w:val="000000" w:themeColor="text1"/>
                <w:sz w:val="16"/>
                <w:szCs w:val="16"/>
              </w:rPr>
            </w:pPr>
            <w:r w:rsidRPr="000D0D06">
              <w:rPr>
                <w:noProof/>
                <w:color w:val="000000" w:themeColor="text1"/>
                <w:sz w:val="16"/>
              </w:rPr>
              <w:t xml:space="preserve"> </w:t>
            </w:r>
          </w:p>
        </w:tc>
      </w:tr>
      <w:tr w:rsidR="007C050F" w:rsidRPr="000D0D06" w14:paraId="4AE510E5" w14:textId="77777777">
        <w:trPr>
          <w:trHeight w:val="315"/>
        </w:trPr>
        <w:tc>
          <w:tcPr>
            <w:tcW w:w="3214" w:type="dxa"/>
            <w:tcBorders>
              <w:top w:val="single" w:sz="8" w:space="0" w:color="auto"/>
              <w:left w:val="single" w:sz="12" w:space="0" w:color="auto"/>
              <w:bottom w:val="single" w:sz="12" w:space="0" w:color="auto"/>
              <w:right w:val="single" w:sz="8" w:space="0" w:color="auto"/>
            </w:tcBorders>
            <w:tcMar>
              <w:left w:w="108" w:type="dxa"/>
              <w:right w:w="108" w:type="dxa"/>
            </w:tcMar>
            <w:vAlign w:val="center"/>
          </w:tcPr>
          <w:p w14:paraId="26410FBF" w14:textId="77777777" w:rsidR="007C050F" w:rsidRPr="000D0D06" w:rsidRDefault="007C050F" w:rsidP="007C050F">
            <w:pPr>
              <w:spacing w:before="0" w:after="0"/>
              <w:jc w:val="center"/>
              <w:rPr>
                <w:b/>
                <w:bCs/>
                <w:noProof/>
                <w:color w:val="000000" w:themeColor="text1"/>
                <w:sz w:val="16"/>
                <w:szCs w:val="16"/>
              </w:rPr>
            </w:pPr>
            <w:r w:rsidRPr="000D0D06">
              <w:rPr>
                <w:b/>
                <w:noProof/>
                <w:color w:val="000000" w:themeColor="text1"/>
                <w:sz w:val="16"/>
              </w:rPr>
              <w:t>TOTAL</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2905D73F" w14:textId="77777777" w:rsidR="007C050F" w:rsidRPr="000D0D06" w:rsidRDefault="007C050F" w:rsidP="007C050F">
            <w:pPr>
              <w:spacing w:before="0" w:after="0"/>
              <w:jc w:val="right"/>
              <w:rPr>
                <w:b/>
                <w:bCs/>
                <w:noProof/>
                <w:color w:val="000000" w:themeColor="text1"/>
                <w:sz w:val="16"/>
                <w:szCs w:val="16"/>
              </w:rPr>
            </w:pPr>
            <w:r w:rsidRPr="000D0D06">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601F62F4" w14:textId="77777777" w:rsidR="007C050F" w:rsidRPr="000D0D06" w:rsidRDefault="007C050F" w:rsidP="007C050F">
            <w:pPr>
              <w:spacing w:before="0" w:after="0"/>
              <w:jc w:val="right"/>
              <w:rPr>
                <w:b/>
                <w:bCs/>
                <w:noProof/>
                <w:color w:val="000000" w:themeColor="text1"/>
                <w:sz w:val="16"/>
                <w:szCs w:val="16"/>
              </w:rPr>
            </w:pPr>
            <w:r w:rsidRPr="000D0D06">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2F240707" w14:textId="77777777" w:rsidR="007C050F" w:rsidRPr="000D0D06" w:rsidRDefault="007C050F" w:rsidP="007C050F">
            <w:pPr>
              <w:spacing w:before="0" w:after="0"/>
              <w:jc w:val="right"/>
              <w:rPr>
                <w:b/>
                <w:bCs/>
                <w:noProof/>
                <w:color w:val="000000" w:themeColor="text1"/>
                <w:sz w:val="16"/>
                <w:szCs w:val="16"/>
              </w:rPr>
            </w:pPr>
            <w:r w:rsidRPr="000D0D06">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142E6FF6" w14:textId="77777777" w:rsidR="007C050F" w:rsidRPr="000D0D06" w:rsidRDefault="007C050F" w:rsidP="007C050F">
            <w:pPr>
              <w:spacing w:before="0" w:after="0"/>
              <w:jc w:val="right"/>
              <w:rPr>
                <w:b/>
                <w:bCs/>
                <w:noProof/>
                <w:color w:val="000000" w:themeColor="text1"/>
                <w:sz w:val="16"/>
                <w:szCs w:val="16"/>
              </w:rPr>
            </w:pPr>
            <w:r w:rsidRPr="000D0D06">
              <w:rPr>
                <w:b/>
                <w:noProof/>
                <w:color w:val="000000" w:themeColor="text1"/>
                <w:sz w:val="16"/>
              </w:rPr>
              <w:t>0,000</w:t>
            </w:r>
          </w:p>
        </w:tc>
        <w:tc>
          <w:tcPr>
            <w:tcW w:w="981"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5489F0BB" w14:textId="77777777" w:rsidR="007C050F" w:rsidRPr="000D0D06" w:rsidRDefault="007C050F" w:rsidP="007C050F">
            <w:pPr>
              <w:spacing w:before="0" w:after="0"/>
              <w:jc w:val="right"/>
              <w:rPr>
                <w:b/>
                <w:bCs/>
                <w:noProof/>
                <w:color w:val="000000" w:themeColor="text1"/>
                <w:sz w:val="16"/>
                <w:szCs w:val="16"/>
              </w:rPr>
            </w:pPr>
            <w:r w:rsidRPr="000D0D06">
              <w:rPr>
                <w:b/>
                <w:noProof/>
                <w:color w:val="000000" w:themeColor="text1"/>
                <w:sz w:val="16"/>
              </w:rPr>
              <w:t>0,000</w:t>
            </w:r>
          </w:p>
        </w:tc>
      </w:tr>
    </w:tbl>
    <w:bookmarkEnd w:id="24"/>
    <w:p w14:paraId="50C60EA9" w14:textId="77777777" w:rsidR="007C050F" w:rsidRPr="000D0D06" w:rsidRDefault="001936FC" w:rsidP="001936FC">
      <w:pPr>
        <w:pStyle w:val="ManualHeading3"/>
        <w:rPr>
          <w:noProof/>
        </w:rPr>
      </w:pPr>
      <w:r w:rsidRPr="000D0D06">
        <w:rPr>
          <w:noProof/>
        </w:rPr>
        <w:t>3.2.6.</w:t>
      </w:r>
      <w:r w:rsidRPr="000D0D06">
        <w:rPr>
          <w:noProof/>
        </w:rPr>
        <w:tab/>
        <w:t xml:space="preserve">Compatibilidade com o atual quadro financeiro plurianual </w:t>
      </w:r>
    </w:p>
    <w:p w14:paraId="592D51B2" w14:textId="77777777" w:rsidR="007C050F" w:rsidRPr="000D0D06" w:rsidRDefault="001936FC" w:rsidP="001936FC">
      <w:pPr>
        <w:pStyle w:val="ManualNumPar1"/>
        <w:rPr>
          <w:noProof/>
        </w:rPr>
      </w:pPr>
      <w:r w:rsidRPr="000D0D06">
        <w:rPr>
          <w:noProof/>
        </w:rPr>
        <w:t>21.</w:t>
      </w:r>
      <w:r w:rsidRPr="000D0D06">
        <w:rPr>
          <w:noProof/>
        </w:rPr>
        <w:tab/>
        <w:t>A proposta / iniciativa:</w:t>
      </w:r>
    </w:p>
    <w:p w14:paraId="3AA3ED82" w14:textId="77777777" w:rsidR="007C050F" w:rsidRPr="000D0D06" w:rsidRDefault="18076CB6" w:rsidP="007C050F">
      <w:pPr>
        <w:tabs>
          <w:tab w:val="num" w:pos="1134"/>
        </w:tabs>
        <w:ind w:left="1134" w:hanging="283"/>
        <w:rPr>
          <w:rFonts w:eastAsia="Times New Roman"/>
          <w:noProof/>
        </w:rPr>
      </w:pPr>
      <w:r w:rsidRPr="000D0D06">
        <w:rPr>
          <w:rFonts w:ascii="Wingdings" w:hAnsi="Wingdings"/>
          <w:noProof/>
        </w:rPr>
        <w:t></w:t>
      </w:r>
      <w:r w:rsidRPr="000D0D06">
        <w:rPr>
          <w:noProof/>
        </w:rPr>
        <w:tab/>
        <w:t>pode ser integralmente financiada por meio da reafetação de fundos no quadro da rubrica pertinente do quadro financeiro plurianual (QFP)</w:t>
      </w:r>
    </w:p>
    <w:p w14:paraId="3DDB77E2" w14:textId="77777777" w:rsidR="007C050F" w:rsidRPr="000D0D06" w:rsidRDefault="007C050F" w:rsidP="007C050F">
      <w:pPr>
        <w:tabs>
          <w:tab w:val="num" w:pos="1134"/>
        </w:tabs>
        <w:ind w:left="1134" w:hanging="283"/>
        <w:rPr>
          <w:rFonts w:eastAsia="Times New Roman"/>
          <w:noProof/>
        </w:rPr>
      </w:pPr>
      <w:r w:rsidRPr="000D0D06">
        <w:rPr>
          <w:rFonts w:ascii="Wingdings" w:hAnsi="Wingdings"/>
          <w:noProof/>
        </w:rPr>
        <w:t></w:t>
      </w:r>
      <w:r w:rsidRPr="000D0D06">
        <w:rPr>
          <w:noProof/>
        </w:rPr>
        <w:tab/>
        <w:t>requer o recurso à margem não afetada na rubrica em causa do QFP e/ou o recurso a instrumentos especiais tais como definidos no Regulamento QFP</w:t>
      </w:r>
    </w:p>
    <w:p w14:paraId="2792E2E8" w14:textId="77777777" w:rsidR="007C050F" w:rsidRPr="000D0D06" w:rsidRDefault="007C050F" w:rsidP="007C050F">
      <w:pPr>
        <w:tabs>
          <w:tab w:val="num" w:pos="1134"/>
        </w:tabs>
        <w:ind w:left="1134" w:hanging="283"/>
        <w:rPr>
          <w:rFonts w:eastAsia="Times New Roman"/>
          <w:noProof/>
        </w:rPr>
      </w:pPr>
      <w:r w:rsidRPr="000D0D06">
        <w:rPr>
          <w:rFonts w:ascii="Wingdings" w:hAnsi="Wingdings"/>
          <w:noProof/>
        </w:rPr>
        <w:t></w:t>
      </w:r>
      <w:r w:rsidRPr="000D0D06">
        <w:rPr>
          <w:noProof/>
        </w:rPr>
        <w:tab/>
        <w:t>requer uma revisão do QFP</w:t>
      </w:r>
    </w:p>
    <w:p w14:paraId="4917B4E6" w14:textId="77777777" w:rsidR="007C050F" w:rsidRPr="000D0D06" w:rsidRDefault="001936FC" w:rsidP="001936FC">
      <w:pPr>
        <w:pStyle w:val="ManualHeading3"/>
        <w:rPr>
          <w:noProof/>
        </w:rPr>
      </w:pPr>
      <w:r w:rsidRPr="000D0D06">
        <w:rPr>
          <w:noProof/>
        </w:rPr>
        <w:t>3.2.7.</w:t>
      </w:r>
      <w:r w:rsidRPr="000D0D06">
        <w:rPr>
          <w:noProof/>
        </w:rPr>
        <w:tab/>
        <w:t xml:space="preserve">Participação de terceiros no financiamento </w:t>
      </w:r>
    </w:p>
    <w:p w14:paraId="2D83B47F" w14:textId="77777777" w:rsidR="007C050F" w:rsidRPr="000D0D06" w:rsidRDefault="001936FC" w:rsidP="001936FC">
      <w:pPr>
        <w:pStyle w:val="ManualNumPar1"/>
        <w:rPr>
          <w:noProof/>
        </w:rPr>
      </w:pPr>
      <w:r w:rsidRPr="000D0D06">
        <w:rPr>
          <w:noProof/>
        </w:rPr>
        <w:t>22.</w:t>
      </w:r>
      <w:r w:rsidRPr="000D0D06">
        <w:rPr>
          <w:noProof/>
        </w:rPr>
        <w:tab/>
        <w:t>A proposta / iniciativa:</w:t>
      </w:r>
    </w:p>
    <w:p w14:paraId="30B036EB" w14:textId="77777777" w:rsidR="007C050F" w:rsidRPr="000D0D06" w:rsidRDefault="482F18D3" w:rsidP="007C050F">
      <w:pPr>
        <w:tabs>
          <w:tab w:val="num" w:pos="1134"/>
        </w:tabs>
        <w:ind w:left="1134" w:hanging="283"/>
        <w:rPr>
          <w:rFonts w:eastAsia="Times New Roman"/>
          <w:noProof/>
        </w:rPr>
      </w:pPr>
      <w:r w:rsidRPr="000D0D06">
        <w:rPr>
          <w:rFonts w:ascii="Wingdings" w:hAnsi="Wingdings"/>
          <w:noProof/>
        </w:rPr>
        <w:t></w:t>
      </w:r>
      <w:r w:rsidRPr="000D0D06">
        <w:rPr>
          <w:noProof/>
        </w:rPr>
        <w:tab/>
        <w:t>não prevê o cofinanciamento por terceiros</w:t>
      </w:r>
    </w:p>
    <w:p w14:paraId="7337937C" w14:textId="77777777" w:rsidR="007C050F" w:rsidRPr="000D0D06" w:rsidRDefault="007C050F" w:rsidP="007C050F">
      <w:pPr>
        <w:tabs>
          <w:tab w:val="num" w:pos="1134"/>
        </w:tabs>
        <w:ind w:left="1134" w:hanging="283"/>
        <w:rPr>
          <w:rFonts w:eastAsia="Times New Roman"/>
          <w:noProof/>
        </w:rPr>
      </w:pPr>
      <w:r w:rsidRPr="000D0D06">
        <w:rPr>
          <w:rFonts w:ascii="Wingdings" w:hAnsi="Wingdings"/>
          <w:noProof/>
        </w:rPr>
        <w:t></w:t>
      </w:r>
      <w:r w:rsidRPr="000D0D06">
        <w:rPr>
          <w:noProof/>
        </w:rPr>
        <w:tab/>
        <w:t>prevê o seguinte cofinanciamento por terceiros, a seguir estimado:</w:t>
      </w:r>
    </w:p>
    <w:p w14:paraId="3621EC24" w14:textId="77777777" w:rsidR="007C050F" w:rsidRPr="000D0D06" w:rsidRDefault="007C050F" w:rsidP="007C050F">
      <w:pPr>
        <w:jc w:val="right"/>
        <w:rPr>
          <w:noProof/>
          <w:sz w:val="20"/>
        </w:rPr>
      </w:pPr>
      <w:r w:rsidRPr="000D0D06">
        <w:rPr>
          <w:noProof/>
          <w:sz w:val="20"/>
        </w:rPr>
        <w:t>Dotações em milhões de EUR (três casas decimais)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7"/>
        <w:gridCol w:w="1217"/>
        <w:gridCol w:w="1217"/>
        <w:gridCol w:w="1217"/>
        <w:gridCol w:w="1217"/>
        <w:gridCol w:w="1462"/>
      </w:tblGrid>
      <w:tr w:rsidR="007C050F" w:rsidRPr="000D0D06" w14:paraId="1D676431" w14:textId="77777777">
        <w:trPr>
          <w:cantSplit/>
        </w:trPr>
        <w:tc>
          <w:tcPr>
            <w:tcW w:w="1591" w:type="pct"/>
          </w:tcPr>
          <w:p w14:paraId="4E6CF0BA" w14:textId="77777777" w:rsidR="007C050F" w:rsidRPr="000D0D06" w:rsidRDefault="007C050F" w:rsidP="007C050F">
            <w:pPr>
              <w:spacing w:before="60" w:after="60"/>
              <w:rPr>
                <w:noProof/>
                <w:sz w:val="20"/>
              </w:rPr>
            </w:pPr>
          </w:p>
        </w:tc>
        <w:tc>
          <w:tcPr>
            <w:tcW w:w="655" w:type="pct"/>
            <w:vAlign w:val="center"/>
          </w:tcPr>
          <w:p w14:paraId="445BECA2" w14:textId="3BB9DBC7" w:rsidR="007C050F" w:rsidRPr="000D0D06" w:rsidRDefault="007C050F" w:rsidP="007C050F">
            <w:pPr>
              <w:jc w:val="center"/>
              <w:rPr>
                <w:noProof/>
                <w:sz w:val="20"/>
              </w:rPr>
            </w:pPr>
            <w:r w:rsidRPr="000D0D06">
              <w:rPr>
                <w:noProof/>
                <w:sz w:val="20"/>
              </w:rPr>
              <w:t>Ano</w:t>
            </w:r>
            <w:r w:rsidRPr="000D0D06">
              <w:rPr>
                <w:noProof/>
              </w:rPr>
              <w:br/>
            </w:r>
            <w:r w:rsidRPr="000D0D06">
              <w:rPr>
                <w:b/>
                <w:noProof/>
                <w:sz w:val="20"/>
              </w:rPr>
              <w:t>2024</w:t>
            </w:r>
          </w:p>
        </w:tc>
        <w:tc>
          <w:tcPr>
            <w:tcW w:w="655" w:type="pct"/>
            <w:vAlign w:val="center"/>
          </w:tcPr>
          <w:p w14:paraId="1591CD42" w14:textId="4C34117A" w:rsidR="007C050F" w:rsidRPr="000D0D06" w:rsidRDefault="007C050F" w:rsidP="007C050F">
            <w:pPr>
              <w:jc w:val="center"/>
              <w:rPr>
                <w:noProof/>
                <w:sz w:val="20"/>
              </w:rPr>
            </w:pPr>
            <w:r w:rsidRPr="000D0D06">
              <w:rPr>
                <w:noProof/>
                <w:sz w:val="20"/>
              </w:rPr>
              <w:t>Ano</w:t>
            </w:r>
            <w:r w:rsidRPr="000D0D06">
              <w:rPr>
                <w:noProof/>
              </w:rPr>
              <w:br/>
            </w:r>
            <w:r w:rsidRPr="000D0D06">
              <w:rPr>
                <w:b/>
                <w:noProof/>
                <w:sz w:val="20"/>
              </w:rPr>
              <w:t>2025</w:t>
            </w:r>
          </w:p>
        </w:tc>
        <w:tc>
          <w:tcPr>
            <w:tcW w:w="655" w:type="pct"/>
            <w:vAlign w:val="center"/>
          </w:tcPr>
          <w:p w14:paraId="157C1E9E" w14:textId="06D740D9" w:rsidR="007C050F" w:rsidRPr="000D0D06" w:rsidRDefault="007C050F" w:rsidP="007C050F">
            <w:pPr>
              <w:jc w:val="center"/>
              <w:rPr>
                <w:noProof/>
                <w:sz w:val="20"/>
              </w:rPr>
            </w:pPr>
            <w:r w:rsidRPr="000D0D06">
              <w:rPr>
                <w:noProof/>
                <w:sz w:val="20"/>
              </w:rPr>
              <w:t>Ano</w:t>
            </w:r>
            <w:r w:rsidRPr="000D0D06">
              <w:rPr>
                <w:noProof/>
              </w:rPr>
              <w:br/>
            </w:r>
            <w:r w:rsidRPr="000D0D06">
              <w:rPr>
                <w:b/>
                <w:noProof/>
                <w:sz w:val="20"/>
              </w:rPr>
              <w:t>2026</w:t>
            </w:r>
          </w:p>
        </w:tc>
        <w:tc>
          <w:tcPr>
            <w:tcW w:w="655" w:type="pct"/>
            <w:vAlign w:val="center"/>
          </w:tcPr>
          <w:p w14:paraId="55AF4B5E" w14:textId="3BF46AE7" w:rsidR="007C050F" w:rsidRPr="000D0D06" w:rsidRDefault="007C050F" w:rsidP="007C050F">
            <w:pPr>
              <w:jc w:val="center"/>
              <w:rPr>
                <w:noProof/>
                <w:sz w:val="20"/>
              </w:rPr>
            </w:pPr>
            <w:r w:rsidRPr="000D0D06">
              <w:rPr>
                <w:noProof/>
                <w:sz w:val="20"/>
              </w:rPr>
              <w:t>Ano</w:t>
            </w:r>
            <w:r w:rsidRPr="000D0D06">
              <w:rPr>
                <w:noProof/>
              </w:rPr>
              <w:br/>
            </w:r>
            <w:r w:rsidRPr="000D0D06">
              <w:rPr>
                <w:b/>
                <w:noProof/>
                <w:sz w:val="20"/>
              </w:rPr>
              <w:t>2027</w:t>
            </w:r>
          </w:p>
        </w:tc>
        <w:tc>
          <w:tcPr>
            <w:tcW w:w="787" w:type="pct"/>
            <w:vAlign w:val="center"/>
          </w:tcPr>
          <w:p w14:paraId="40EB494A" w14:textId="77777777" w:rsidR="007C050F" w:rsidRPr="000D0D06" w:rsidRDefault="007C050F" w:rsidP="007C050F">
            <w:pPr>
              <w:spacing w:before="60" w:after="60"/>
              <w:jc w:val="center"/>
              <w:rPr>
                <w:noProof/>
                <w:sz w:val="20"/>
              </w:rPr>
            </w:pPr>
            <w:r w:rsidRPr="000D0D06">
              <w:rPr>
                <w:noProof/>
                <w:sz w:val="20"/>
              </w:rPr>
              <w:t>Total</w:t>
            </w:r>
          </w:p>
        </w:tc>
      </w:tr>
      <w:tr w:rsidR="007C050F" w:rsidRPr="000D0D06" w14:paraId="06CBE6E0" w14:textId="77777777">
        <w:trPr>
          <w:cantSplit/>
        </w:trPr>
        <w:tc>
          <w:tcPr>
            <w:tcW w:w="1591" w:type="pct"/>
          </w:tcPr>
          <w:p w14:paraId="227B6A25" w14:textId="77777777" w:rsidR="007C050F" w:rsidRPr="000D0D06" w:rsidRDefault="007C050F" w:rsidP="007C050F">
            <w:pPr>
              <w:rPr>
                <w:noProof/>
              </w:rPr>
            </w:pPr>
            <w:r w:rsidRPr="000D0D06">
              <w:rPr>
                <w:noProof/>
                <w:sz w:val="20"/>
              </w:rPr>
              <w:t>Especificar o organismo de cofinanciamento</w:t>
            </w:r>
            <w:r w:rsidRPr="000D0D06">
              <w:rPr>
                <w:i/>
                <w:noProof/>
                <w:sz w:val="20"/>
              </w:rPr>
              <w:t xml:space="preserve"> </w:t>
            </w:r>
          </w:p>
        </w:tc>
        <w:tc>
          <w:tcPr>
            <w:tcW w:w="655" w:type="pct"/>
            <w:vAlign w:val="center"/>
          </w:tcPr>
          <w:p w14:paraId="73A3C5B6" w14:textId="77777777" w:rsidR="007C050F" w:rsidRPr="000D0D06" w:rsidRDefault="007C050F" w:rsidP="007C050F">
            <w:pPr>
              <w:spacing w:before="60" w:after="60"/>
              <w:jc w:val="center"/>
              <w:rPr>
                <w:noProof/>
                <w:sz w:val="20"/>
              </w:rPr>
            </w:pPr>
          </w:p>
        </w:tc>
        <w:tc>
          <w:tcPr>
            <w:tcW w:w="655" w:type="pct"/>
            <w:vAlign w:val="center"/>
          </w:tcPr>
          <w:p w14:paraId="6CE4C0C4" w14:textId="77777777" w:rsidR="007C050F" w:rsidRPr="000D0D06" w:rsidRDefault="007C050F" w:rsidP="007C050F">
            <w:pPr>
              <w:spacing w:before="60" w:after="60"/>
              <w:jc w:val="center"/>
              <w:rPr>
                <w:noProof/>
                <w:sz w:val="20"/>
              </w:rPr>
            </w:pPr>
          </w:p>
        </w:tc>
        <w:tc>
          <w:tcPr>
            <w:tcW w:w="655" w:type="pct"/>
            <w:vAlign w:val="center"/>
          </w:tcPr>
          <w:p w14:paraId="1EC3FD8A" w14:textId="77777777" w:rsidR="007C050F" w:rsidRPr="000D0D06" w:rsidRDefault="007C050F" w:rsidP="007C050F">
            <w:pPr>
              <w:spacing w:before="60" w:after="60"/>
              <w:jc w:val="center"/>
              <w:rPr>
                <w:noProof/>
                <w:sz w:val="20"/>
              </w:rPr>
            </w:pPr>
          </w:p>
        </w:tc>
        <w:tc>
          <w:tcPr>
            <w:tcW w:w="655" w:type="pct"/>
            <w:vAlign w:val="center"/>
          </w:tcPr>
          <w:p w14:paraId="5FE264FB" w14:textId="77777777" w:rsidR="007C050F" w:rsidRPr="000D0D06" w:rsidRDefault="007C050F" w:rsidP="007C050F">
            <w:pPr>
              <w:spacing w:before="60" w:after="60"/>
              <w:jc w:val="center"/>
              <w:rPr>
                <w:noProof/>
                <w:sz w:val="20"/>
              </w:rPr>
            </w:pPr>
          </w:p>
        </w:tc>
        <w:tc>
          <w:tcPr>
            <w:tcW w:w="787" w:type="pct"/>
            <w:vAlign w:val="center"/>
          </w:tcPr>
          <w:p w14:paraId="0B48E6D3" w14:textId="77777777" w:rsidR="007C050F" w:rsidRPr="000D0D06" w:rsidRDefault="007C050F" w:rsidP="007C050F">
            <w:pPr>
              <w:spacing w:before="60" w:after="60"/>
              <w:jc w:val="center"/>
              <w:rPr>
                <w:noProof/>
                <w:sz w:val="20"/>
              </w:rPr>
            </w:pPr>
          </w:p>
        </w:tc>
      </w:tr>
      <w:tr w:rsidR="007C050F" w:rsidRPr="000D0D06" w14:paraId="0FD68A32" w14:textId="77777777">
        <w:trPr>
          <w:cantSplit/>
        </w:trPr>
        <w:tc>
          <w:tcPr>
            <w:tcW w:w="1591" w:type="pct"/>
          </w:tcPr>
          <w:p w14:paraId="5764D805" w14:textId="77777777" w:rsidR="007C050F" w:rsidRPr="000D0D06" w:rsidRDefault="007C050F" w:rsidP="007C050F">
            <w:pPr>
              <w:spacing w:before="60" w:after="60"/>
              <w:jc w:val="left"/>
              <w:rPr>
                <w:noProof/>
                <w:sz w:val="20"/>
              </w:rPr>
            </w:pPr>
            <w:r w:rsidRPr="000D0D06">
              <w:rPr>
                <w:noProof/>
                <w:sz w:val="20"/>
              </w:rPr>
              <w:t xml:space="preserve">TOTAL das dotações cofinanciadas </w:t>
            </w:r>
          </w:p>
        </w:tc>
        <w:tc>
          <w:tcPr>
            <w:tcW w:w="655" w:type="pct"/>
            <w:vAlign w:val="center"/>
          </w:tcPr>
          <w:p w14:paraId="52C01DF1" w14:textId="77777777" w:rsidR="007C050F" w:rsidRPr="000D0D06" w:rsidRDefault="007C050F" w:rsidP="007C050F">
            <w:pPr>
              <w:spacing w:before="60" w:after="60"/>
              <w:jc w:val="center"/>
              <w:rPr>
                <w:noProof/>
                <w:sz w:val="20"/>
              </w:rPr>
            </w:pPr>
          </w:p>
        </w:tc>
        <w:tc>
          <w:tcPr>
            <w:tcW w:w="655" w:type="pct"/>
            <w:vAlign w:val="center"/>
          </w:tcPr>
          <w:p w14:paraId="2F49967F" w14:textId="77777777" w:rsidR="007C050F" w:rsidRPr="000D0D06" w:rsidRDefault="007C050F" w:rsidP="007C050F">
            <w:pPr>
              <w:spacing w:before="60" w:after="60"/>
              <w:jc w:val="center"/>
              <w:rPr>
                <w:noProof/>
                <w:sz w:val="20"/>
              </w:rPr>
            </w:pPr>
          </w:p>
        </w:tc>
        <w:tc>
          <w:tcPr>
            <w:tcW w:w="655" w:type="pct"/>
            <w:vAlign w:val="center"/>
          </w:tcPr>
          <w:p w14:paraId="351F47DA" w14:textId="77777777" w:rsidR="007C050F" w:rsidRPr="000D0D06" w:rsidRDefault="007C050F" w:rsidP="007C050F">
            <w:pPr>
              <w:spacing w:before="60" w:after="60"/>
              <w:jc w:val="center"/>
              <w:rPr>
                <w:noProof/>
                <w:sz w:val="20"/>
              </w:rPr>
            </w:pPr>
          </w:p>
        </w:tc>
        <w:tc>
          <w:tcPr>
            <w:tcW w:w="655" w:type="pct"/>
            <w:vAlign w:val="center"/>
          </w:tcPr>
          <w:p w14:paraId="0C143523" w14:textId="77777777" w:rsidR="007C050F" w:rsidRPr="000D0D06" w:rsidRDefault="007C050F" w:rsidP="007C050F">
            <w:pPr>
              <w:spacing w:before="60" w:after="60"/>
              <w:jc w:val="center"/>
              <w:rPr>
                <w:noProof/>
                <w:sz w:val="20"/>
              </w:rPr>
            </w:pPr>
          </w:p>
        </w:tc>
        <w:tc>
          <w:tcPr>
            <w:tcW w:w="787" w:type="pct"/>
            <w:vAlign w:val="center"/>
          </w:tcPr>
          <w:p w14:paraId="7E47495E" w14:textId="77777777" w:rsidR="007C050F" w:rsidRPr="000D0D06" w:rsidRDefault="007C050F" w:rsidP="007C050F">
            <w:pPr>
              <w:spacing w:before="60" w:after="60"/>
              <w:jc w:val="center"/>
              <w:rPr>
                <w:noProof/>
                <w:sz w:val="20"/>
              </w:rPr>
            </w:pPr>
          </w:p>
        </w:tc>
      </w:tr>
    </w:tbl>
    <w:p w14:paraId="34805B22" w14:textId="77777777" w:rsidR="007C050F" w:rsidRPr="000D0D06" w:rsidRDefault="007C050F" w:rsidP="007C050F">
      <w:pPr>
        <w:outlineLvl w:val="1"/>
        <w:rPr>
          <w:noProof/>
          <w:szCs w:val="24"/>
        </w:rPr>
      </w:pPr>
      <w:r w:rsidRPr="000D0D06">
        <w:rPr>
          <w:noProof/>
        </w:rPr>
        <w:t xml:space="preserve"> </w:t>
      </w:r>
      <w:r w:rsidRPr="000D0D06">
        <w:rPr>
          <w:noProof/>
        </w:rPr>
        <w:br/>
      </w:r>
      <w:bookmarkStart w:id="25" w:name="_Hlk166860179"/>
      <w:r w:rsidRPr="000D0D06">
        <w:rPr>
          <w:noProof/>
        </w:rPr>
        <w:t>3.3.</w:t>
      </w:r>
      <w:r w:rsidRPr="000D0D06">
        <w:rPr>
          <w:noProof/>
        </w:rPr>
        <w:tab/>
        <w:t xml:space="preserve">Impacto estimado nas receitas </w:t>
      </w:r>
    </w:p>
    <w:bookmarkEnd w:id="25"/>
    <w:p w14:paraId="3B34FF51" w14:textId="77777777" w:rsidR="007C050F" w:rsidRPr="000D0D06" w:rsidRDefault="69EE7856" w:rsidP="007C050F">
      <w:pPr>
        <w:tabs>
          <w:tab w:val="num" w:pos="1134"/>
        </w:tabs>
        <w:ind w:left="1134" w:hanging="283"/>
        <w:rPr>
          <w:rFonts w:eastAsia="Times New Roman"/>
          <w:noProof/>
        </w:rPr>
      </w:pPr>
      <w:r w:rsidRPr="000D0D06">
        <w:rPr>
          <w:rFonts w:ascii="Wingdings" w:hAnsi="Wingdings"/>
          <w:noProof/>
        </w:rPr>
        <w:t></w:t>
      </w:r>
      <w:r w:rsidRPr="000D0D06">
        <w:rPr>
          <w:noProof/>
        </w:rPr>
        <w:tab/>
        <w:t>A proposta / iniciativa não tem impacto financeiro nas receitas</w:t>
      </w:r>
    </w:p>
    <w:p w14:paraId="7B33A9B4" w14:textId="77777777" w:rsidR="007F5606" w:rsidRPr="000D0D06" w:rsidRDefault="007F5606" w:rsidP="007F5606">
      <w:pPr>
        <w:pStyle w:val="ListDash1"/>
        <w:rPr>
          <w:noProof/>
        </w:rPr>
      </w:pPr>
      <w:r w:rsidRPr="000D0D06">
        <w:rPr>
          <w:rFonts w:ascii="Wingdings" w:hAnsi="Wingdings"/>
          <w:noProof/>
        </w:rPr>
        <w:t></w:t>
      </w:r>
      <w:r w:rsidRPr="000D0D06">
        <w:rPr>
          <w:noProof/>
        </w:rPr>
        <w:tab/>
        <w:t>A proposta / iniciativa tem o seguinte impacto financeiro:</w:t>
      </w:r>
    </w:p>
    <w:p w14:paraId="08025215" w14:textId="77777777" w:rsidR="007F5606" w:rsidRPr="000D0D06" w:rsidRDefault="007F5606" w:rsidP="007F5606">
      <w:pPr>
        <w:pStyle w:val="ListNumberLevel3"/>
        <w:rPr>
          <w:noProof/>
        </w:rPr>
      </w:pPr>
      <w:r w:rsidRPr="000D0D06">
        <w:rPr>
          <w:rFonts w:ascii="Wingdings" w:hAnsi="Wingdings"/>
          <w:noProof/>
        </w:rPr>
        <w:t></w:t>
      </w:r>
      <w:r w:rsidRPr="000D0D06">
        <w:rPr>
          <w:noProof/>
        </w:rPr>
        <w:tab/>
        <w:t xml:space="preserve">nos recursos próprios </w:t>
      </w:r>
    </w:p>
    <w:p w14:paraId="5C13B47D" w14:textId="77777777" w:rsidR="007F5606" w:rsidRPr="000D0D06" w:rsidRDefault="007F5606" w:rsidP="007F5606">
      <w:pPr>
        <w:pStyle w:val="ListNumberLevel3"/>
        <w:rPr>
          <w:noProof/>
        </w:rPr>
      </w:pPr>
      <w:r w:rsidRPr="000D0D06">
        <w:rPr>
          <w:rFonts w:ascii="Wingdings" w:hAnsi="Wingdings"/>
          <w:noProof/>
        </w:rPr>
        <w:t></w:t>
      </w:r>
      <w:r w:rsidRPr="000D0D06">
        <w:rPr>
          <w:noProof/>
        </w:rPr>
        <w:tab/>
        <w:t>noutras receitas</w:t>
      </w:r>
    </w:p>
    <w:p w14:paraId="7AFFF679" w14:textId="77777777" w:rsidR="007F5606" w:rsidRPr="000D0D06" w:rsidRDefault="007F5606" w:rsidP="007F5606">
      <w:pPr>
        <w:pStyle w:val="ListNumberLevel3"/>
        <w:rPr>
          <w:noProof/>
        </w:rPr>
      </w:pPr>
      <w:r w:rsidRPr="000D0D06">
        <w:rPr>
          <w:rFonts w:ascii="Wingdings" w:hAnsi="Wingdings"/>
          <w:noProof/>
        </w:rPr>
        <w:t></w:t>
      </w:r>
      <w:r w:rsidRPr="000D0D06">
        <w:rPr>
          <w:noProof/>
        </w:rPr>
        <w:tab/>
        <w:t>indicar, se as receitas forem afetadas a rubricas de despesas</w:t>
      </w:r>
    </w:p>
    <w:p w14:paraId="489F82B5" w14:textId="23214ECE" w:rsidR="007C050F" w:rsidRPr="000D0D06" w:rsidRDefault="007D75F9" w:rsidP="007C050F">
      <w:pPr>
        <w:jc w:val="right"/>
        <w:rPr>
          <w:noProof/>
          <w:sz w:val="20"/>
        </w:rPr>
      </w:pPr>
      <w:r w:rsidRPr="000D0D06">
        <w:rPr>
          <w:noProof/>
          <w:sz w:val="20"/>
        </w:rPr>
        <w:t>Em milhões de EUR (três casas decimais)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3"/>
        <w:gridCol w:w="1614"/>
        <w:gridCol w:w="1692"/>
        <w:gridCol w:w="1044"/>
        <w:gridCol w:w="1035"/>
        <w:gridCol w:w="1259"/>
      </w:tblGrid>
      <w:tr w:rsidR="007C050F" w:rsidRPr="000D0D06" w14:paraId="6D6559EB" w14:textId="77777777">
        <w:trPr>
          <w:trHeight w:val="388"/>
        </w:trPr>
        <w:tc>
          <w:tcPr>
            <w:tcW w:w="1423" w:type="pct"/>
            <w:vMerge w:val="restart"/>
            <w:vAlign w:val="center"/>
          </w:tcPr>
          <w:p w14:paraId="2A66323F" w14:textId="77777777" w:rsidR="007C050F" w:rsidRPr="000D0D06" w:rsidRDefault="007C050F" w:rsidP="007C050F">
            <w:pPr>
              <w:spacing w:before="40" w:after="40"/>
              <w:rPr>
                <w:noProof/>
                <w:sz w:val="18"/>
              </w:rPr>
            </w:pPr>
            <w:r w:rsidRPr="000D0D06">
              <w:rPr>
                <w:noProof/>
                <w:sz w:val="18"/>
              </w:rPr>
              <w:t>Rubrica orçamental das receitas</w:t>
            </w:r>
          </w:p>
        </w:tc>
        <w:tc>
          <w:tcPr>
            <w:tcW w:w="869" w:type="pct"/>
            <w:vMerge w:val="restart"/>
            <w:vAlign w:val="center"/>
          </w:tcPr>
          <w:p w14:paraId="2DA26238" w14:textId="77777777" w:rsidR="007C050F" w:rsidRPr="000D0D06" w:rsidRDefault="007C050F" w:rsidP="007C050F">
            <w:pPr>
              <w:jc w:val="center"/>
              <w:rPr>
                <w:noProof/>
                <w:sz w:val="18"/>
              </w:rPr>
            </w:pPr>
            <w:r w:rsidRPr="000D0D06">
              <w:rPr>
                <w:noProof/>
                <w:sz w:val="18"/>
              </w:rPr>
              <w:t>Dotações disponíveis para o exercício em curso</w:t>
            </w:r>
          </w:p>
        </w:tc>
        <w:tc>
          <w:tcPr>
            <w:tcW w:w="2709" w:type="pct"/>
            <w:gridSpan w:val="4"/>
            <w:vAlign w:val="center"/>
          </w:tcPr>
          <w:p w14:paraId="499ED52F" w14:textId="77777777" w:rsidR="007C050F" w:rsidRPr="000D0D06" w:rsidRDefault="007C050F" w:rsidP="007C050F">
            <w:pPr>
              <w:jc w:val="center"/>
              <w:rPr>
                <w:noProof/>
                <w:sz w:val="18"/>
              </w:rPr>
            </w:pPr>
            <w:r w:rsidRPr="000D0D06">
              <w:rPr>
                <w:noProof/>
                <w:sz w:val="18"/>
              </w:rPr>
              <w:t>Impacto da proposta / iniciativa</w:t>
            </w:r>
            <w:r w:rsidRPr="000D0D06">
              <w:rPr>
                <w:rStyle w:val="FootnoteReference"/>
                <w:noProof/>
              </w:rPr>
              <w:footnoteReference w:id="52"/>
            </w:r>
          </w:p>
        </w:tc>
      </w:tr>
      <w:tr w:rsidR="007C050F" w:rsidRPr="000D0D06" w14:paraId="1491BD0E" w14:textId="77777777">
        <w:trPr>
          <w:trHeight w:val="388"/>
        </w:trPr>
        <w:tc>
          <w:tcPr>
            <w:tcW w:w="1423" w:type="pct"/>
            <w:vMerge/>
          </w:tcPr>
          <w:p w14:paraId="64377126" w14:textId="77777777" w:rsidR="007C050F" w:rsidRPr="000D0D06" w:rsidRDefault="007C050F" w:rsidP="007C050F">
            <w:pPr>
              <w:spacing w:before="40" w:after="40"/>
              <w:rPr>
                <w:noProof/>
                <w:sz w:val="18"/>
              </w:rPr>
            </w:pPr>
          </w:p>
        </w:tc>
        <w:tc>
          <w:tcPr>
            <w:tcW w:w="869" w:type="pct"/>
            <w:vMerge/>
          </w:tcPr>
          <w:p w14:paraId="3DFCA47C" w14:textId="77777777" w:rsidR="007C050F" w:rsidRPr="000D0D06" w:rsidRDefault="007C050F" w:rsidP="007C050F">
            <w:pPr>
              <w:spacing w:beforeLines="40" w:before="96" w:afterLines="40" w:after="96"/>
              <w:rPr>
                <w:i/>
                <w:noProof/>
                <w:sz w:val="18"/>
              </w:rPr>
            </w:pPr>
          </w:p>
        </w:tc>
        <w:tc>
          <w:tcPr>
            <w:tcW w:w="911" w:type="pct"/>
            <w:vAlign w:val="center"/>
          </w:tcPr>
          <w:p w14:paraId="203EEF2F" w14:textId="77777777" w:rsidR="007C050F" w:rsidRPr="000D0D06" w:rsidRDefault="007C050F" w:rsidP="007C050F">
            <w:pPr>
              <w:jc w:val="center"/>
              <w:rPr>
                <w:noProof/>
                <w:sz w:val="18"/>
              </w:rPr>
            </w:pPr>
            <w:r w:rsidRPr="000D0D06">
              <w:rPr>
                <w:noProof/>
                <w:sz w:val="18"/>
              </w:rPr>
              <w:t xml:space="preserve">Ano </w:t>
            </w:r>
            <w:r w:rsidRPr="000D0D06">
              <w:rPr>
                <w:b/>
                <w:noProof/>
                <w:sz w:val="18"/>
              </w:rPr>
              <w:t>2024</w:t>
            </w:r>
          </w:p>
        </w:tc>
        <w:tc>
          <w:tcPr>
            <w:tcW w:w="562" w:type="pct"/>
            <w:vAlign w:val="center"/>
          </w:tcPr>
          <w:p w14:paraId="296A9227" w14:textId="77777777" w:rsidR="007C050F" w:rsidRPr="000D0D06" w:rsidRDefault="007C050F" w:rsidP="007C050F">
            <w:pPr>
              <w:jc w:val="center"/>
              <w:rPr>
                <w:noProof/>
                <w:sz w:val="18"/>
              </w:rPr>
            </w:pPr>
            <w:r w:rsidRPr="000D0D06">
              <w:rPr>
                <w:noProof/>
                <w:sz w:val="18"/>
              </w:rPr>
              <w:t xml:space="preserve">Ano </w:t>
            </w:r>
            <w:r w:rsidRPr="000D0D06">
              <w:rPr>
                <w:b/>
                <w:noProof/>
                <w:sz w:val="18"/>
              </w:rPr>
              <w:t>2025</w:t>
            </w:r>
          </w:p>
        </w:tc>
        <w:tc>
          <w:tcPr>
            <w:tcW w:w="557" w:type="pct"/>
            <w:vAlign w:val="center"/>
          </w:tcPr>
          <w:p w14:paraId="78759EDB" w14:textId="77777777" w:rsidR="007C050F" w:rsidRPr="000D0D06" w:rsidRDefault="007C050F" w:rsidP="007C050F">
            <w:pPr>
              <w:jc w:val="center"/>
              <w:rPr>
                <w:noProof/>
                <w:sz w:val="18"/>
              </w:rPr>
            </w:pPr>
            <w:r w:rsidRPr="000D0D06">
              <w:rPr>
                <w:noProof/>
                <w:sz w:val="18"/>
              </w:rPr>
              <w:t xml:space="preserve">Ano </w:t>
            </w:r>
            <w:r w:rsidRPr="000D0D06">
              <w:rPr>
                <w:b/>
                <w:noProof/>
                <w:sz w:val="18"/>
              </w:rPr>
              <w:t>2026</w:t>
            </w:r>
          </w:p>
        </w:tc>
        <w:tc>
          <w:tcPr>
            <w:tcW w:w="679" w:type="pct"/>
            <w:vAlign w:val="center"/>
          </w:tcPr>
          <w:p w14:paraId="535C3CB5" w14:textId="77777777" w:rsidR="007C050F" w:rsidRPr="000D0D06" w:rsidRDefault="007C050F" w:rsidP="007C050F">
            <w:pPr>
              <w:jc w:val="center"/>
              <w:rPr>
                <w:noProof/>
                <w:sz w:val="18"/>
              </w:rPr>
            </w:pPr>
            <w:r w:rsidRPr="000D0D06">
              <w:rPr>
                <w:noProof/>
                <w:sz w:val="18"/>
              </w:rPr>
              <w:t xml:space="preserve">Ano </w:t>
            </w:r>
            <w:r w:rsidRPr="000D0D06">
              <w:rPr>
                <w:b/>
                <w:noProof/>
                <w:sz w:val="18"/>
              </w:rPr>
              <w:t>2027</w:t>
            </w:r>
          </w:p>
        </w:tc>
      </w:tr>
      <w:tr w:rsidR="007C050F" w:rsidRPr="000D0D06" w14:paraId="3CE449A4" w14:textId="77777777">
        <w:trPr>
          <w:trHeight w:val="388"/>
        </w:trPr>
        <w:tc>
          <w:tcPr>
            <w:tcW w:w="1423" w:type="pct"/>
            <w:vAlign w:val="center"/>
          </w:tcPr>
          <w:p w14:paraId="360E78A2" w14:textId="77777777" w:rsidR="007C050F" w:rsidRPr="000D0D06" w:rsidRDefault="007C050F" w:rsidP="007C050F">
            <w:pPr>
              <w:spacing w:before="40" w:after="40"/>
              <w:rPr>
                <w:noProof/>
                <w:sz w:val="18"/>
              </w:rPr>
            </w:pPr>
            <w:r w:rsidRPr="000D0D06">
              <w:rPr>
                <w:noProof/>
                <w:sz w:val="18"/>
              </w:rPr>
              <w:t>Artigo ………….</w:t>
            </w:r>
          </w:p>
        </w:tc>
        <w:tc>
          <w:tcPr>
            <w:tcW w:w="869" w:type="pct"/>
          </w:tcPr>
          <w:p w14:paraId="6436C1AE" w14:textId="77777777" w:rsidR="007C050F" w:rsidRPr="000D0D06" w:rsidRDefault="007C050F" w:rsidP="007C050F">
            <w:pPr>
              <w:spacing w:beforeLines="40" w:before="96" w:afterLines="40" w:after="96"/>
              <w:jc w:val="center"/>
              <w:rPr>
                <w:i/>
                <w:noProof/>
                <w:sz w:val="18"/>
              </w:rPr>
            </w:pPr>
          </w:p>
        </w:tc>
        <w:tc>
          <w:tcPr>
            <w:tcW w:w="911" w:type="pct"/>
          </w:tcPr>
          <w:p w14:paraId="23B12075" w14:textId="77777777" w:rsidR="007C050F" w:rsidRPr="000D0D06" w:rsidRDefault="007C050F" w:rsidP="007C050F">
            <w:pPr>
              <w:spacing w:beforeLines="40" w:before="96" w:afterLines="40" w:after="96"/>
              <w:jc w:val="center"/>
              <w:rPr>
                <w:noProof/>
                <w:sz w:val="18"/>
              </w:rPr>
            </w:pPr>
          </w:p>
        </w:tc>
        <w:tc>
          <w:tcPr>
            <w:tcW w:w="562" w:type="pct"/>
          </w:tcPr>
          <w:p w14:paraId="5D36DFB9" w14:textId="77777777" w:rsidR="007C050F" w:rsidRPr="000D0D06" w:rsidRDefault="007C050F" w:rsidP="007C050F">
            <w:pPr>
              <w:spacing w:beforeLines="40" w:before="96" w:afterLines="40" w:after="96"/>
              <w:jc w:val="center"/>
              <w:rPr>
                <w:noProof/>
                <w:sz w:val="18"/>
              </w:rPr>
            </w:pPr>
          </w:p>
        </w:tc>
        <w:tc>
          <w:tcPr>
            <w:tcW w:w="557" w:type="pct"/>
          </w:tcPr>
          <w:p w14:paraId="1D31B764" w14:textId="77777777" w:rsidR="007C050F" w:rsidRPr="000D0D06" w:rsidRDefault="007C050F" w:rsidP="007C050F">
            <w:pPr>
              <w:spacing w:beforeLines="40" w:before="96" w:afterLines="40" w:after="96"/>
              <w:jc w:val="center"/>
              <w:rPr>
                <w:noProof/>
                <w:sz w:val="18"/>
              </w:rPr>
            </w:pPr>
          </w:p>
        </w:tc>
        <w:tc>
          <w:tcPr>
            <w:tcW w:w="679" w:type="pct"/>
          </w:tcPr>
          <w:p w14:paraId="1755427C" w14:textId="77777777" w:rsidR="007C050F" w:rsidRPr="000D0D06" w:rsidRDefault="007C050F" w:rsidP="007C050F">
            <w:pPr>
              <w:spacing w:beforeLines="40" w:before="96" w:afterLines="40" w:after="96"/>
              <w:jc w:val="center"/>
              <w:rPr>
                <w:noProof/>
                <w:sz w:val="18"/>
              </w:rPr>
            </w:pPr>
          </w:p>
        </w:tc>
      </w:tr>
    </w:tbl>
    <w:p w14:paraId="1CE9F411" w14:textId="77777777" w:rsidR="007C050F" w:rsidRPr="000D0D06" w:rsidRDefault="001936FC" w:rsidP="001936FC">
      <w:pPr>
        <w:pStyle w:val="ManualNumPar1"/>
        <w:rPr>
          <w:noProof/>
        </w:rPr>
      </w:pPr>
      <w:r w:rsidRPr="000D0D06">
        <w:rPr>
          <w:noProof/>
        </w:rPr>
        <w:t>23.</w:t>
      </w:r>
      <w:r w:rsidRPr="000D0D06">
        <w:rPr>
          <w:noProof/>
        </w:rPr>
        <w:tab/>
        <w:t>Relativamente às receitas que serão «afetadas», especificar as rubricas orçamentais de despesas envolvidas.</w:t>
      </w:r>
    </w:p>
    <w:p w14:paraId="564501B2" w14:textId="77777777" w:rsidR="007C050F" w:rsidRPr="000D0D06" w:rsidRDefault="001936FC" w:rsidP="001936FC">
      <w:pPr>
        <w:pStyle w:val="ManualNumPar1"/>
        <w:rPr>
          <w:noProof/>
        </w:rPr>
      </w:pPr>
      <w:r w:rsidRPr="000D0D06">
        <w:rPr>
          <w:noProof/>
        </w:rPr>
        <w:t>24.</w:t>
      </w:r>
      <w:r w:rsidRPr="000D0D06">
        <w:rPr>
          <w:noProof/>
        </w:rPr>
        <w:tab/>
        <w:t>[…]</w:t>
      </w:r>
    </w:p>
    <w:p w14:paraId="305EFB7B" w14:textId="77777777" w:rsidR="007C785D" w:rsidRPr="000D0D06" w:rsidRDefault="001936FC" w:rsidP="001936FC">
      <w:pPr>
        <w:pStyle w:val="ManualNumPar1"/>
        <w:rPr>
          <w:noProof/>
        </w:rPr>
      </w:pPr>
      <w:r w:rsidRPr="000D0D06">
        <w:rPr>
          <w:noProof/>
        </w:rPr>
        <w:t>25.</w:t>
      </w:r>
      <w:r w:rsidRPr="000D0D06">
        <w:rPr>
          <w:noProof/>
        </w:rPr>
        <w:tab/>
        <w:t>Outras observações (por exemplo, método/fórmula de cálculo do impacto nas receitas ou quaisquer outras informações).</w:t>
      </w:r>
      <w:r w:rsidRPr="000D0D06">
        <w:rPr>
          <w:noProof/>
        </w:rPr>
        <w:br w:type="page"/>
      </w:r>
    </w:p>
    <w:p w14:paraId="46E27427" w14:textId="77777777" w:rsidR="002C5D42" w:rsidRPr="000D0D06" w:rsidRDefault="002C5D42" w:rsidP="007C785D">
      <w:pPr>
        <w:ind w:left="850"/>
        <w:rPr>
          <w:noProof/>
          <w:szCs w:val="24"/>
        </w:rPr>
        <w:sectPr w:rsidR="002C5D42" w:rsidRPr="000D0D06" w:rsidSect="00053915">
          <w:headerReference w:type="default" r:id="rId21"/>
          <w:footerReference w:type="default" r:id="rId22"/>
          <w:pgSz w:w="11907" w:h="16840" w:code="9"/>
          <w:pgMar w:top="1134" w:right="1418" w:bottom="1134" w:left="1418" w:header="709" w:footer="709" w:gutter="0"/>
          <w:pgNumType w:start="1"/>
          <w:cols w:space="720"/>
          <w:docGrid w:linePitch="360"/>
        </w:sectPr>
      </w:pPr>
    </w:p>
    <w:p w14:paraId="788EC72B" w14:textId="77777777" w:rsidR="007C050F" w:rsidRPr="000D0D06" w:rsidRDefault="001936FC" w:rsidP="001936FC">
      <w:pPr>
        <w:pStyle w:val="ManualNumPar1"/>
        <w:rPr>
          <w:noProof/>
        </w:rPr>
      </w:pPr>
      <w:r w:rsidRPr="000D0D06">
        <w:rPr>
          <w:noProof/>
        </w:rPr>
        <w:t>26.</w:t>
      </w:r>
      <w:r w:rsidRPr="000D0D06">
        <w:rPr>
          <w:noProof/>
        </w:rPr>
        <w:tab/>
        <w:t>[…]</w:t>
      </w:r>
    </w:p>
    <w:p w14:paraId="187BB602" w14:textId="77777777" w:rsidR="00C85654" w:rsidRPr="000D0D06" w:rsidRDefault="001936FC" w:rsidP="001936FC">
      <w:pPr>
        <w:pStyle w:val="ManualNumPar1"/>
        <w:rPr>
          <w:noProof/>
        </w:rPr>
      </w:pPr>
      <w:r w:rsidRPr="000D0D06">
        <w:rPr>
          <w:noProof/>
        </w:rPr>
        <w:t>27.</w:t>
      </w:r>
      <w:r w:rsidRPr="000D0D06">
        <w:rPr>
          <w:noProof/>
        </w:rPr>
        <w:tab/>
        <w:t>4. DIMENSÕES DIGITAIS</w:t>
      </w:r>
    </w:p>
    <w:p w14:paraId="5D022817" w14:textId="77777777" w:rsidR="00C85654" w:rsidRPr="000D0D06" w:rsidRDefault="00C85654" w:rsidP="00C85654">
      <w:pPr>
        <w:rPr>
          <w:b/>
          <w:bCs/>
          <w:noProof/>
        </w:rPr>
      </w:pPr>
      <w:r w:rsidRPr="000D0D06">
        <w:rPr>
          <w:b/>
          <w:noProof/>
        </w:rPr>
        <w:t>4.1. Requisitos de relevância digital</w:t>
      </w:r>
    </w:p>
    <w:p w14:paraId="36C8F17E" w14:textId="77777777" w:rsidR="00C85654" w:rsidRPr="000D0D06" w:rsidRDefault="00C85654" w:rsidP="00C85654">
      <w:pPr>
        <w:rPr>
          <w:i/>
          <w:iCs/>
          <w:noProof/>
        </w:rPr>
      </w:pPr>
      <w:r w:rsidRPr="000D0D06">
        <w:rPr>
          <w:i/>
          <w:noProof/>
        </w:rPr>
        <w:t xml:space="preserve">Descrição de âmbito geral dos requisitos com relevância digital e das categorias conexas (dados, digitalização e automatização dos processos, soluções digitais e serviços públicos digitais) </w:t>
      </w:r>
    </w:p>
    <w:tbl>
      <w:tblPr>
        <w:tblStyle w:val="TableGridLight"/>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4389"/>
        <w:gridCol w:w="2690"/>
        <w:gridCol w:w="1843"/>
        <w:gridCol w:w="2177"/>
      </w:tblGrid>
      <w:tr w:rsidR="00C85654" w:rsidRPr="000D0D06" w14:paraId="4483DD85" w14:textId="77777777">
        <w:trPr>
          <w:trHeight w:val="300"/>
        </w:trPr>
        <w:tc>
          <w:tcPr>
            <w:tcW w:w="3093" w:type="dxa"/>
            <w:vAlign w:val="center"/>
          </w:tcPr>
          <w:p w14:paraId="55E54145" w14:textId="77777777" w:rsidR="00C85654" w:rsidRPr="000D0D06" w:rsidRDefault="00C85654">
            <w:pPr>
              <w:jc w:val="left"/>
              <w:rPr>
                <w:b/>
                <w:bCs/>
                <w:noProof/>
              </w:rPr>
            </w:pPr>
            <w:r w:rsidRPr="000D0D06">
              <w:rPr>
                <w:b/>
                <w:noProof/>
              </w:rPr>
              <w:t>Referência ao requisito</w:t>
            </w:r>
          </w:p>
        </w:tc>
        <w:tc>
          <w:tcPr>
            <w:tcW w:w="4415" w:type="dxa"/>
            <w:vAlign w:val="center"/>
          </w:tcPr>
          <w:p w14:paraId="5705CD61" w14:textId="77777777" w:rsidR="00C85654" w:rsidRPr="000D0D06" w:rsidRDefault="00C85654">
            <w:pPr>
              <w:jc w:val="left"/>
              <w:rPr>
                <w:b/>
                <w:bCs/>
                <w:noProof/>
              </w:rPr>
            </w:pPr>
            <w:r w:rsidRPr="000D0D06">
              <w:rPr>
                <w:b/>
                <w:noProof/>
              </w:rPr>
              <w:t>Descrição do requisito</w:t>
            </w:r>
          </w:p>
        </w:tc>
        <w:tc>
          <w:tcPr>
            <w:tcW w:w="2693" w:type="dxa"/>
            <w:vAlign w:val="center"/>
          </w:tcPr>
          <w:p w14:paraId="14A4EFDD" w14:textId="77777777" w:rsidR="00C85654" w:rsidRPr="000D0D06" w:rsidRDefault="00C85654">
            <w:pPr>
              <w:jc w:val="left"/>
              <w:rPr>
                <w:b/>
                <w:bCs/>
                <w:noProof/>
              </w:rPr>
            </w:pPr>
            <w:r w:rsidRPr="000D0D06">
              <w:rPr>
                <w:b/>
                <w:noProof/>
              </w:rPr>
              <w:t>Intervenientes afetados ou abrangidos pelo requisito</w:t>
            </w:r>
          </w:p>
        </w:tc>
        <w:tc>
          <w:tcPr>
            <w:tcW w:w="1785" w:type="dxa"/>
            <w:vAlign w:val="center"/>
          </w:tcPr>
          <w:p w14:paraId="16929ACC" w14:textId="77777777" w:rsidR="00C85654" w:rsidRPr="000D0D06" w:rsidRDefault="00C85654">
            <w:pPr>
              <w:jc w:val="left"/>
              <w:rPr>
                <w:b/>
                <w:bCs/>
                <w:noProof/>
              </w:rPr>
            </w:pPr>
            <w:r w:rsidRPr="000D0D06">
              <w:rPr>
                <w:b/>
                <w:noProof/>
              </w:rPr>
              <w:t>Processos de alto nível</w:t>
            </w:r>
          </w:p>
        </w:tc>
        <w:tc>
          <w:tcPr>
            <w:tcW w:w="2184" w:type="dxa"/>
            <w:vAlign w:val="center"/>
          </w:tcPr>
          <w:p w14:paraId="11494FB7" w14:textId="77777777" w:rsidR="00C85654" w:rsidRPr="000D0D06" w:rsidRDefault="00C85654">
            <w:pPr>
              <w:jc w:val="left"/>
              <w:rPr>
                <w:b/>
                <w:bCs/>
                <w:noProof/>
              </w:rPr>
            </w:pPr>
            <w:r w:rsidRPr="000D0D06">
              <w:rPr>
                <w:b/>
                <w:noProof/>
              </w:rPr>
              <w:t>Categorias</w:t>
            </w:r>
          </w:p>
        </w:tc>
      </w:tr>
      <w:tr w:rsidR="009C4CDA" w:rsidRPr="000D0D06" w14:paraId="646439A5" w14:textId="77777777">
        <w:trPr>
          <w:trHeight w:val="300"/>
        </w:trPr>
        <w:tc>
          <w:tcPr>
            <w:tcW w:w="3093" w:type="dxa"/>
          </w:tcPr>
          <w:p w14:paraId="11D62072" w14:textId="77777777" w:rsidR="009C4CDA" w:rsidRPr="000D0D06" w:rsidRDefault="009C4CDA" w:rsidP="009C4CDA">
            <w:pPr>
              <w:jc w:val="left"/>
              <w:rPr>
                <w:noProof/>
              </w:rPr>
            </w:pPr>
            <w:r w:rsidRPr="000D0D06">
              <w:rPr>
                <w:noProof/>
              </w:rPr>
              <w:t>Artigo 1.º</w:t>
            </w:r>
          </w:p>
        </w:tc>
        <w:tc>
          <w:tcPr>
            <w:tcW w:w="4415" w:type="dxa"/>
          </w:tcPr>
          <w:p w14:paraId="5EA762D2" w14:textId="77777777" w:rsidR="009C4CDA" w:rsidRPr="000D0D06" w:rsidRDefault="009C4CDA" w:rsidP="009C4CDA">
            <w:pPr>
              <w:jc w:val="left"/>
              <w:rPr>
                <w:rFonts w:eastAsia="Calibri"/>
                <w:noProof/>
              </w:rPr>
            </w:pPr>
            <w:r w:rsidRPr="000D0D06">
              <w:rPr>
                <w:noProof/>
              </w:rPr>
              <w:t>Alteração do artigo 1.º, n.º 1, do Regulamento dos Dados, alargando o seu âmbito de aplicação à criação dos seguintes regimes:</w:t>
            </w:r>
          </w:p>
          <w:p w14:paraId="5686EEF9" w14:textId="77777777" w:rsidR="009C4CDA" w:rsidRPr="000D0D06" w:rsidRDefault="009C4CDA" w:rsidP="0014764C">
            <w:pPr>
              <w:pStyle w:val="ListParagraph"/>
              <w:numPr>
                <w:ilvl w:val="0"/>
                <w:numId w:val="23"/>
              </w:numPr>
              <w:tabs>
                <w:tab w:val="left" w:pos="720"/>
              </w:tabs>
              <w:jc w:val="left"/>
              <w:rPr>
                <w:noProof/>
              </w:rPr>
            </w:pPr>
            <w:r w:rsidRPr="000D0D06">
              <w:rPr>
                <w:noProof/>
              </w:rPr>
              <w:t>um regime para o registo dos serviços de intermediação de dados,</w:t>
            </w:r>
          </w:p>
          <w:p w14:paraId="118ABAC0" w14:textId="77777777" w:rsidR="009C4CDA" w:rsidRPr="000D0D06" w:rsidRDefault="009C4CDA" w:rsidP="0014764C">
            <w:pPr>
              <w:pStyle w:val="ListParagraph"/>
              <w:numPr>
                <w:ilvl w:val="0"/>
                <w:numId w:val="23"/>
              </w:numPr>
              <w:tabs>
                <w:tab w:val="left" w:pos="720"/>
              </w:tabs>
              <w:jc w:val="left"/>
              <w:rPr>
                <w:noProof/>
              </w:rPr>
            </w:pPr>
            <w:r w:rsidRPr="000D0D06">
              <w:rPr>
                <w:noProof/>
              </w:rPr>
              <w:t xml:space="preserve">um regime para o registo voluntário das entidades que recolhem e tratam dados disponibilizados para fins altruístas, </w:t>
            </w:r>
          </w:p>
          <w:p w14:paraId="122B07A2" w14:textId="77777777" w:rsidR="009C4CDA" w:rsidRPr="000D0D06" w:rsidRDefault="009C4CDA" w:rsidP="0014764C">
            <w:pPr>
              <w:pStyle w:val="ListParagraph"/>
              <w:numPr>
                <w:ilvl w:val="0"/>
                <w:numId w:val="23"/>
              </w:numPr>
              <w:tabs>
                <w:tab w:val="left" w:pos="720"/>
              </w:tabs>
              <w:jc w:val="left"/>
              <w:rPr>
                <w:noProof/>
              </w:rPr>
            </w:pPr>
            <w:r w:rsidRPr="000D0D06">
              <w:rPr>
                <w:noProof/>
              </w:rPr>
              <w:t>um regime para a criação de um Comité Europeu da Inovação de Dados.</w:t>
            </w:r>
          </w:p>
        </w:tc>
        <w:tc>
          <w:tcPr>
            <w:tcW w:w="2693" w:type="dxa"/>
          </w:tcPr>
          <w:p w14:paraId="17D087F4" w14:textId="77777777" w:rsidR="009C4CDA" w:rsidRPr="000D0D06" w:rsidRDefault="009C4CDA" w:rsidP="009C4CDA">
            <w:pPr>
              <w:jc w:val="left"/>
              <w:rPr>
                <w:noProof/>
              </w:rPr>
            </w:pPr>
            <w:r w:rsidRPr="000D0D06">
              <w:rPr>
                <w:noProof/>
              </w:rPr>
              <w:t>Comissão Europeia</w:t>
            </w:r>
          </w:p>
          <w:p w14:paraId="35FC54A9" w14:textId="77777777" w:rsidR="009C4CDA" w:rsidRPr="000D0D06" w:rsidRDefault="009C4CDA" w:rsidP="009C4CDA">
            <w:pPr>
              <w:jc w:val="left"/>
              <w:rPr>
                <w:noProof/>
              </w:rPr>
            </w:pPr>
            <w:r w:rsidRPr="000D0D06">
              <w:rPr>
                <w:noProof/>
              </w:rPr>
              <w:t>Serviços de intermediação de dados</w:t>
            </w:r>
          </w:p>
          <w:p w14:paraId="2C48BA00" w14:textId="77777777" w:rsidR="009C4CDA" w:rsidRPr="000D0D06" w:rsidRDefault="009C4CDA" w:rsidP="009C4CDA">
            <w:pPr>
              <w:jc w:val="left"/>
              <w:rPr>
                <w:noProof/>
              </w:rPr>
            </w:pPr>
            <w:r w:rsidRPr="000D0D06">
              <w:rPr>
                <w:noProof/>
              </w:rPr>
              <w:t xml:space="preserve">Entidades de recolha e tratamento de dados </w:t>
            </w:r>
          </w:p>
        </w:tc>
        <w:tc>
          <w:tcPr>
            <w:tcW w:w="1785" w:type="dxa"/>
          </w:tcPr>
          <w:p w14:paraId="7D146D56" w14:textId="77777777" w:rsidR="009C4CDA" w:rsidRPr="000D0D06" w:rsidRDefault="009C4CDA" w:rsidP="009C4CDA">
            <w:pPr>
              <w:jc w:val="left"/>
              <w:rPr>
                <w:noProof/>
              </w:rPr>
            </w:pPr>
            <w:r w:rsidRPr="000D0D06">
              <w:rPr>
                <w:noProof/>
              </w:rPr>
              <w:t>Alargamento do âmbito de aplicação do Regulamento dos Dados</w:t>
            </w:r>
          </w:p>
        </w:tc>
        <w:tc>
          <w:tcPr>
            <w:tcW w:w="2184" w:type="dxa"/>
          </w:tcPr>
          <w:p w14:paraId="13B36632" w14:textId="77777777" w:rsidR="009C4CDA" w:rsidRPr="000D0D06" w:rsidRDefault="009C4CDA" w:rsidP="009C4CDA">
            <w:pPr>
              <w:jc w:val="left"/>
              <w:rPr>
                <w:noProof/>
              </w:rPr>
            </w:pPr>
            <w:r w:rsidRPr="000D0D06">
              <w:rPr>
                <w:noProof/>
              </w:rPr>
              <w:t>Serviço público digital</w:t>
            </w:r>
          </w:p>
        </w:tc>
      </w:tr>
      <w:tr w:rsidR="009C4CDA" w:rsidRPr="000D0D06" w14:paraId="2D87DD05" w14:textId="77777777">
        <w:trPr>
          <w:trHeight w:val="300"/>
        </w:trPr>
        <w:tc>
          <w:tcPr>
            <w:tcW w:w="3093" w:type="dxa"/>
          </w:tcPr>
          <w:p w14:paraId="74045298" w14:textId="77777777" w:rsidR="009C4CDA" w:rsidRPr="000D0D06" w:rsidRDefault="009C4CDA" w:rsidP="009C4CDA">
            <w:pPr>
              <w:jc w:val="left"/>
              <w:rPr>
                <w:noProof/>
              </w:rPr>
            </w:pPr>
            <w:r w:rsidRPr="000D0D06">
              <w:rPr>
                <w:noProof/>
              </w:rPr>
              <w:t>Artigo 1.º</w:t>
            </w:r>
          </w:p>
        </w:tc>
        <w:tc>
          <w:tcPr>
            <w:tcW w:w="4415" w:type="dxa"/>
          </w:tcPr>
          <w:p w14:paraId="64E18162" w14:textId="77777777" w:rsidR="009C4CDA" w:rsidRPr="000D0D06" w:rsidRDefault="009C4CDA" w:rsidP="009C4CDA">
            <w:pPr>
              <w:jc w:val="left"/>
              <w:rPr>
                <w:rFonts w:eastAsia="Calibri"/>
                <w:noProof/>
              </w:rPr>
            </w:pPr>
            <w:r w:rsidRPr="000D0D06">
              <w:rPr>
                <w:noProof/>
              </w:rPr>
              <w:t>Alteração do artigo 4.º, n.º 8, e do artigo 5.º, n.º 11, do Regulamento dos Dados. Os detentores dos dados que se recusem a partilhar dados ao abrigo da exceção relativa aos segredos comerciais devem notificar devidamente essa decisão.</w:t>
            </w:r>
          </w:p>
        </w:tc>
        <w:tc>
          <w:tcPr>
            <w:tcW w:w="2693" w:type="dxa"/>
          </w:tcPr>
          <w:p w14:paraId="3A2D89A8" w14:textId="77777777" w:rsidR="009C4CDA" w:rsidRPr="000D0D06" w:rsidRDefault="009C4CDA" w:rsidP="009C4CDA">
            <w:pPr>
              <w:jc w:val="left"/>
              <w:rPr>
                <w:noProof/>
              </w:rPr>
            </w:pPr>
            <w:r w:rsidRPr="000D0D06">
              <w:rPr>
                <w:noProof/>
              </w:rPr>
              <w:t>Detentores dos dados (titulares dos segredos comerciais)</w:t>
            </w:r>
          </w:p>
          <w:p w14:paraId="0006D1F2" w14:textId="77777777" w:rsidR="009C4CDA" w:rsidRPr="000D0D06" w:rsidRDefault="009C4CDA" w:rsidP="009C4CDA">
            <w:pPr>
              <w:spacing w:line="259" w:lineRule="auto"/>
              <w:jc w:val="left"/>
              <w:rPr>
                <w:noProof/>
              </w:rPr>
            </w:pPr>
            <w:r w:rsidRPr="000D0D06">
              <w:rPr>
                <w:noProof/>
              </w:rPr>
              <w:t>Originadores do pedido de acesso</w:t>
            </w:r>
          </w:p>
        </w:tc>
        <w:tc>
          <w:tcPr>
            <w:tcW w:w="1785" w:type="dxa"/>
          </w:tcPr>
          <w:p w14:paraId="20B0D136" w14:textId="77777777" w:rsidR="009C4CDA" w:rsidRPr="000D0D06" w:rsidRDefault="009C4CDA" w:rsidP="009C4CDA">
            <w:pPr>
              <w:jc w:val="left"/>
              <w:rPr>
                <w:noProof/>
              </w:rPr>
            </w:pPr>
            <w:r w:rsidRPr="000D0D06">
              <w:rPr>
                <w:noProof/>
              </w:rPr>
              <w:t>Notificação</w:t>
            </w:r>
          </w:p>
        </w:tc>
        <w:tc>
          <w:tcPr>
            <w:tcW w:w="2184" w:type="dxa"/>
          </w:tcPr>
          <w:p w14:paraId="3A56C31C" w14:textId="77777777" w:rsidR="009C4CDA" w:rsidRPr="000D0D06" w:rsidRDefault="009C4CDA" w:rsidP="009C4CDA">
            <w:pPr>
              <w:jc w:val="left"/>
              <w:rPr>
                <w:noProof/>
              </w:rPr>
            </w:pPr>
            <w:r w:rsidRPr="000D0D06">
              <w:rPr>
                <w:noProof/>
              </w:rPr>
              <w:t>Dados</w:t>
            </w:r>
          </w:p>
        </w:tc>
      </w:tr>
      <w:tr w:rsidR="009C4CDA" w:rsidRPr="000D0D06" w14:paraId="34976F94" w14:textId="77777777">
        <w:trPr>
          <w:trHeight w:val="1955"/>
        </w:trPr>
        <w:tc>
          <w:tcPr>
            <w:tcW w:w="3093" w:type="dxa"/>
          </w:tcPr>
          <w:p w14:paraId="5036C61B" w14:textId="77777777" w:rsidR="009C4CDA" w:rsidRPr="000D0D06" w:rsidRDefault="009C4CDA" w:rsidP="009C4CDA">
            <w:pPr>
              <w:jc w:val="left"/>
              <w:rPr>
                <w:noProof/>
              </w:rPr>
            </w:pPr>
            <w:r w:rsidRPr="000D0D06">
              <w:rPr>
                <w:noProof/>
              </w:rPr>
              <w:t>Artigo 1.º</w:t>
            </w:r>
          </w:p>
        </w:tc>
        <w:tc>
          <w:tcPr>
            <w:tcW w:w="4415" w:type="dxa"/>
          </w:tcPr>
          <w:p w14:paraId="605AE9F9" w14:textId="77777777" w:rsidR="009C4CDA" w:rsidRPr="000D0D06" w:rsidRDefault="009C4CDA" w:rsidP="009C4CDA">
            <w:pPr>
              <w:jc w:val="left"/>
              <w:rPr>
                <w:rFonts w:eastAsia="Calibri"/>
                <w:noProof/>
              </w:rPr>
            </w:pPr>
            <w:r w:rsidRPr="000D0D06">
              <w:rPr>
                <w:noProof/>
              </w:rPr>
              <w:t>Aditamento do artigo 15.º-A ao Regulamento dos Dados. Obrigação de disponibilização de dados por motivo de emergência pública.</w:t>
            </w:r>
          </w:p>
        </w:tc>
        <w:tc>
          <w:tcPr>
            <w:tcW w:w="2693" w:type="dxa"/>
          </w:tcPr>
          <w:p w14:paraId="1ACEF271" w14:textId="77777777" w:rsidR="009C4CDA" w:rsidRPr="000D0D06" w:rsidRDefault="009C4CDA" w:rsidP="009C4CDA">
            <w:pPr>
              <w:jc w:val="left"/>
              <w:rPr>
                <w:noProof/>
              </w:rPr>
            </w:pPr>
            <w:r w:rsidRPr="000D0D06">
              <w:rPr>
                <w:noProof/>
              </w:rPr>
              <w:t>Entidade do setor público</w:t>
            </w:r>
          </w:p>
          <w:p w14:paraId="10378BA1" w14:textId="77777777" w:rsidR="009C4CDA" w:rsidRPr="000D0D06" w:rsidRDefault="009C4CDA" w:rsidP="009C4CDA">
            <w:pPr>
              <w:jc w:val="left"/>
              <w:rPr>
                <w:noProof/>
              </w:rPr>
            </w:pPr>
            <w:r w:rsidRPr="000D0D06">
              <w:rPr>
                <w:noProof/>
              </w:rPr>
              <w:t>Comissão Europeia</w:t>
            </w:r>
          </w:p>
          <w:p w14:paraId="3DF46A44" w14:textId="77777777" w:rsidR="009C4CDA" w:rsidRPr="000D0D06" w:rsidRDefault="009C4CDA" w:rsidP="009C4CDA">
            <w:pPr>
              <w:jc w:val="left"/>
              <w:rPr>
                <w:noProof/>
              </w:rPr>
            </w:pPr>
            <w:r w:rsidRPr="000D0D06">
              <w:rPr>
                <w:noProof/>
              </w:rPr>
              <w:t>Banco Central Europeu</w:t>
            </w:r>
          </w:p>
          <w:p w14:paraId="649D972E" w14:textId="77777777" w:rsidR="009C4CDA" w:rsidRPr="000D0D06" w:rsidRDefault="009C4CDA" w:rsidP="009C4CDA">
            <w:pPr>
              <w:jc w:val="left"/>
              <w:rPr>
                <w:noProof/>
              </w:rPr>
            </w:pPr>
            <w:r w:rsidRPr="000D0D06">
              <w:rPr>
                <w:noProof/>
              </w:rPr>
              <w:t>Órgão da União</w:t>
            </w:r>
          </w:p>
          <w:p w14:paraId="0CBDAFCF" w14:textId="77777777" w:rsidR="009C4CDA" w:rsidRPr="000D0D06" w:rsidRDefault="009C4CDA" w:rsidP="009C4CDA">
            <w:pPr>
              <w:jc w:val="left"/>
              <w:rPr>
                <w:noProof/>
              </w:rPr>
            </w:pPr>
            <w:r w:rsidRPr="000D0D06">
              <w:rPr>
                <w:noProof/>
              </w:rPr>
              <w:t>Detentores dos dados</w:t>
            </w:r>
          </w:p>
        </w:tc>
        <w:tc>
          <w:tcPr>
            <w:tcW w:w="1785" w:type="dxa"/>
          </w:tcPr>
          <w:p w14:paraId="640E417C" w14:textId="77777777" w:rsidR="009C4CDA" w:rsidRPr="000D0D06" w:rsidRDefault="009C4CDA" w:rsidP="009C4CDA">
            <w:pPr>
              <w:jc w:val="left"/>
              <w:rPr>
                <w:noProof/>
              </w:rPr>
            </w:pPr>
            <w:r w:rsidRPr="000D0D06">
              <w:rPr>
                <w:noProof/>
              </w:rPr>
              <w:t>Disponibilização dos dados</w:t>
            </w:r>
          </w:p>
        </w:tc>
        <w:tc>
          <w:tcPr>
            <w:tcW w:w="2184" w:type="dxa"/>
          </w:tcPr>
          <w:p w14:paraId="11F30F1C" w14:textId="77777777" w:rsidR="009C4CDA" w:rsidRPr="000D0D06" w:rsidRDefault="009C4CDA" w:rsidP="009C4CDA">
            <w:pPr>
              <w:jc w:val="left"/>
              <w:rPr>
                <w:noProof/>
              </w:rPr>
            </w:pPr>
            <w:r w:rsidRPr="000D0D06">
              <w:rPr>
                <w:noProof/>
              </w:rPr>
              <w:t>Dados</w:t>
            </w:r>
          </w:p>
        </w:tc>
      </w:tr>
      <w:tr w:rsidR="009C4CDA" w:rsidRPr="000D0D06" w14:paraId="5C5C4FF3" w14:textId="77777777">
        <w:trPr>
          <w:trHeight w:val="300"/>
        </w:trPr>
        <w:tc>
          <w:tcPr>
            <w:tcW w:w="3093" w:type="dxa"/>
          </w:tcPr>
          <w:p w14:paraId="30A04267" w14:textId="77777777" w:rsidR="009C4CDA" w:rsidRPr="000D0D06" w:rsidRDefault="009C4CDA" w:rsidP="009C4CDA">
            <w:pPr>
              <w:jc w:val="left"/>
              <w:rPr>
                <w:noProof/>
              </w:rPr>
            </w:pPr>
            <w:r w:rsidRPr="000D0D06">
              <w:rPr>
                <w:noProof/>
              </w:rPr>
              <w:t>Artigo 1.º</w:t>
            </w:r>
          </w:p>
        </w:tc>
        <w:tc>
          <w:tcPr>
            <w:tcW w:w="4415" w:type="dxa"/>
          </w:tcPr>
          <w:p w14:paraId="0F2047C2" w14:textId="77777777" w:rsidR="009C4CDA" w:rsidRPr="000D0D06" w:rsidRDefault="009C4CDA" w:rsidP="009C4CDA">
            <w:pPr>
              <w:jc w:val="left"/>
              <w:rPr>
                <w:rFonts w:eastAsia="Calibri"/>
                <w:noProof/>
              </w:rPr>
            </w:pPr>
            <w:r w:rsidRPr="000D0D06">
              <w:rPr>
                <w:noProof/>
              </w:rPr>
              <w:t>Alteração do artigo 21.º, n.º 5, do Regulamento dos Dados. Requisitos relativos à partilha de dados obtidos no contexto de uma emergência pública com organismos de investigação ou organismos de estatística.</w:t>
            </w:r>
          </w:p>
          <w:p w14:paraId="646D84E3" w14:textId="77777777" w:rsidR="009C4CDA" w:rsidRPr="000D0D06" w:rsidRDefault="009C4CDA" w:rsidP="009C4CDA">
            <w:pPr>
              <w:jc w:val="left"/>
              <w:rPr>
                <w:rFonts w:eastAsia="Calibri"/>
                <w:noProof/>
              </w:rPr>
            </w:pPr>
            <w:r w:rsidRPr="000D0D06">
              <w:rPr>
                <w:noProof/>
              </w:rPr>
              <w:t>Aditamento do artigo 22.º-A ao Regulamento dos Dados, permitindo a apresentação de reclamações relativas ao capítulo V («Disponibilização de dados aos organismos do setor público, à Comissão, ao Banco Central Europeu e aos órgãos da União com base em necessidades excecionais»).</w:t>
            </w:r>
          </w:p>
        </w:tc>
        <w:tc>
          <w:tcPr>
            <w:tcW w:w="2693" w:type="dxa"/>
          </w:tcPr>
          <w:p w14:paraId="588FE722" w14:textId="77777777" w:rsidR="009C4CDA" w:rsidRPr="000D0D06" w:rsidRDefault="009C4CDA" w:rsidP="009C4CDA">
            <w:pPr>
              <w:jc w:val="left"/>
              <w:rPr>
                <w:noProof/>
              </w:rPr>
            </w:pPr>
            <w:r w:rsidRPr="000D0D06">
              <w:rPr>
                <w:noProof/>
              </w:rPr>
              <w:t>Entidade do setor público</w:t>
            </w:r>
          </w:p>
          <w:p w14:paraId="23A2E80F" w14:textId="77777777" w:rsidR="009C4CDA" w:rsidRPr="000D0D06" w:rsidRDefault="009C4CDA" w:rsidP="009C4CDA">
            <w:pPr>
              <w:jc w:val="left"/>
              <w:rPr>
                <w:noProof/>
              </w:rPr>
            </w:pPr>
            <w:r w:rsidRPr="000D0D06">
              <w:rPr>
                <w:noProof/>
              </w:rPr>
              <w:t>Comissão Europeia</w:t>
            </w:r>
          </w:p>
          <w:p w14:paraId="3BAD3FB9" w14:textId="77777777" w:rsidR="009C4CDA" w:rsidRPr="000D0D06" w:rsidRDefault="009C4CDA" w:rsidP="009C4CDA">
            <w:pPr>
              <w:jc w:val="left"/>
              <w:rPr>
                <w:noProof/>
              </w:rPr>
            </w:pPr>
            <w:r w:rsidRPr="000D0D06">
              <w:rPr>
                <w:noProof/>
              </w:rPr>
              <w:t>Banco Central Europeu</w:t>
            </w:r>
          </w:p>
          <w:p w14:paraId="00725F7F" w14:textId="77777777" w:rsidR="009C4CDA" w:rsidRPr="000D0D06" w:rsidRDefault="009C4CDA" w:rsidP="009C4CDA">
            <w:pPr>
              <w:jc w:val="left"/>
              <w:rPr>
                <w:noProof/>
              </w:rPr>
            </w:pPr>
            <w:r w:rsidRPr="000D0D06">
              <w:rPr>
                <w:noProof/>
              </w:rPr>
              <w:t>Órgão da União</w:t>
            </w:r>
          </w:p>
          <w:p w14:paraId="3EC642F5" w14:textId="77777777" w:rsidR="009C4CDA" w:rsidRPr="000D0D06" w:rsidRDefault="009C4CDA" w:rsidP="009C4CDA">
            <w:pPr>
              <w:jc w:val="left"/>
              <w:rPr>
                <w:noProof/>
              </w:rPr>
            </w:pPr>
            <w:r w:rsidRPr="000D0D06">
              <w:rPr>
                <w:noProof/>
              </w:rPr>
              <w:t>Detentor dos dados</w:t>
            </w:r>
          </w:p>
          <w:p w14:paraId="57039735" w14:textId="77777777" w:rsidR="009C4CDA" w:rsidRPr="000D0D06" w:rsidRDefault="009C4CDA" w:rsidP="009C4CDA">
            <w:pPr>
              <w:jc w:val="left"/>
              <w:rPr>
                <w:noProof/>
              </w:rPr>
            </w:pPr>
            <w:r w:rsidRPr="000D0D06">
              <w:rPr>
                <w:noProof/>
              </w:rPr>
              <w:t>Autoridade nacional competente</w:t>
            </w:r>
          </w:p>
        </w:tc>
        <w:tc>
          <w:tcPr>
            <w:tcW w:w="1785" w:type="dxa"/>
          </w:tcPr>
          <w:p w14:paraId="3FCCA844" w14:textId="77777777" w:rsidR="009C4CDA" w:rsidRPr="000D0D06" w:rsidRDefault="009C4CDA" w:rsidP="009C4CDA">
            <w:pPr>
              <w:jc w:val="left"/>
              <w:rPr>
                <w:noProof/>
              </w:rPr>
            </w:pPr>
            <w:r w:rsidRPr="000D0D06">
              <w:rPr>
                <w:noProof/>
              </w:rPr>
              <w:t>Partilha de dados</w:t>
            </w:r>
          </w:p>
          <w:p w14:paraId="296014A4" w14:textId="77777777" w:rsidR="009C4CDA" w:rsidRPr="000D0D06" w:rsidRDefault="009C4CDA" w:rsidP="009C4CDA">
            <w:pPr>
              <w:jc w:val="left"/>
              <w:rPr>
                <w:noProof/>
              </w:rPr>
            </w:pPr>
            <w:r w:rsidRPr="000D0D06">
              <w:rPr>
                <w:noProof/>
              </w:rPr>
              <w:t>Reclamações</w:t>
            </w:r>
          </w:p>
        </w:tc>
        <w:tc>
          <w:tcPr>
            <w:tcW w:w="2184" w:type="dxa"/>
          </w:tcPr>
          <w:p w14:paraId="6604AC8B" w14:textId="77777777" w:rsidR="009C4CDA" w:rsidRPr="000D0D06" w:rsidRDefault="009C4CDA" w:rsidP="009C4CDA">
            <w:pPr>
              <w:jc w:val="left"/>
              <w:rPr>
                <w:noProof/>
              </w:rPr>
            </w:pPr>
            <w:r w:rsidRPr="000D0D06">
              <w:rPr>
                <w:noProof/>
              </w:rPr>
              <w:t>Dados</w:t>
            </w:r>
          </w:p>
        </w:tc>
      </w:tr>
      <w:tr w:rsidR="009C4CDA" w:rsidRPr="000D0D06" w14:paraId="12EDB55D" w14:textId="77777777">
        <w:trPr>
          <w:trHeight w:val="2760"/>
        </w:trPr>
        <w:tc>
          <w:tcPr>
            <w:tcW w:w="3093" w:type="dxa"/>
          </w:tcPr>
          <w:p w14:paraId="5C73F5FE" w14:textId="77777777" w:rsidR="009C4CDA" w:rsidRPr="000D0D06" w:rsidRDefault="009C4CDA" w:rsidP="009C4CDA">
            <w:pPr>
              <w:jc w:val="left"/>
              <w:rPr>
                <w:noProof/>
              </w:rPr>
            </w:pPr>
            <w:r w:rsidRPr="000D0D06">
              <w:rPr>
                <w:noProof/>
              </w:rPr>
              <w:t>Artigo 1.º</w:t>
            </w:r>
          </w:p>
        </w:tc>
        <w:tc>
          <w:tcPr>
            <w:tcW w:w="4415" w:type="dxa"/>
          </w:tcPr>
          <w:p w14:paraId="67B0ED82" w14:textId="77777777" w:rsidR="009C4CDA" w:rsidRPr="000D0D06" w:rsidRDefault="009C4CDA" w:rsidP="009C4CDA">
            <w:pPr>
              <w:jc w:val="left"/>
              <w:rPr>
                <w:noProof/>
              </w:rPr>
            </w:pPr>
            <w:r w:rsidRPr="000D0D06">
              <w:rPr>
                <w:noProof/>
              </w:rPr>
              <w:t>Alterações do artigo 32.º, n.</w:t>
            </w:r>
            <w:r w:rsidRPr="000D0D06">
              <w:rPr>
                <w:noProof/>
                <w:vertAlign w:val="superscript"/>
              </w:rPr>
              <w:t>os</w:t>
            </w:r>
            <w:r w:rsidRPr="000D0D06">
              <w:rPr>
                <w:noProof/>
              </w:rPr>
              <w:t> 1 a 5, do Regulamento dos Dados relativo ao acesso de países terceiros a dados não pessoais.</w:t>
            </w:r>
          </w:p>
        </w:tc>
        <w:tc>
          <w:tcPr>
            <w:tcW w:w="2693" w:type="dxa"/>
          </w:tcPr>
          <w:p w14:paraId="09948512" w14:textId="77777777" w:rsidR="009C4CDA" w:rsidRPr="000D0D06" w:rsidRDefault="009C4CDA" w:rsidP="009C4CDA">
            <w:pPr>
              <w:spacing w:line="259" w:lineRule="auto"/>
              <w:jc w:val="left"/>
              <w:rPr>
                <w:noProof/>
              </w:rPr>
            </w:pPr>
            <w:r w:rsidRPr="000D0D06">
              <w:rPr>
                <w:noProof/>
              </w:rPr>
              <w:t>Prestadores de serviços de tratamento de dados</w:t>
            </w:r>
          </w:p>
          <w:p w14:paraId="21C1CC26" w14:textId="77777777" w:rsidR="009C4CDA" w:rsidRPr="000D0D06" w:rsidRDefault="009C4CDA" w:rsidP="009C4CDA">
            <w:pPr>
              <w:spacing w:line="259" w:lineRule="auto"/>
              <w:jc w:val="left"/>
              <w:rPr>
                <w:noProof/>
              </w:rPr>
            </w:pPr>
            <w:r w:rsidRPr="000D0D06">
              <w:rPr>
                <w:noProof/>
              </w:rPr>
              <w:t>Prestadores de serviços de intermediação de dados</w:t>
            </w:r>
          </w:p>
          <w:p w14:paraId="22C181A8" w14:textId="77777777" w:rsidR="009C4CDA" w:rsidRPr="000D0D06" w:rsidRDefault="009C4CDA" w:rsidP="009C4CDA">
            <w:pPr>
              <w:spacing w:line="259" w:lineRule="auto"/>
              <w:jc w:val="left"/>
              <w:rPr>
                <w:noProof/>
              </w:rPr>
            </w:pPr>
            <w:r w:rsidRPr="000D0D06">
              <w:rPr>
                <w:noProof/>
              </w:rPr>
              <w:t>Organizações de altruísmo de dados</w:t>
            </w:r>
          </w:p>
          <w:p w14:paraId="7497D82E" w14:textId="77777777" w:rsidR="009C4CDA" w:rsidRPr="000D0D06" w:rsidRDefault="009C4CDA" w:rsidP="009C4CDA">
            <w:pPr>
              <w:spacing w:line="259" w:lineRule="auto"/>
              <w:jc w:val="left"/>
              <w:rPr>
                <w:noProof/>
              </w:rPr>
            </w:pPr>
            <w:r w:rsidRPr="000D0D06">
              <w:rPr>
                <w:noProof/>
              </w:rPr>
              <w:t>Organismos ou autoridades nacionais</w:t>
            </w:r>
          </w:p>
        </w:tc>
        <w:tc>
          <w:tcPr>
            <w:tcW w:w="1785" w:type="dxa"/>
          </w:tcPr>
          <w:p w14:paraId="004D47DD" w14:textId="77777777" w:rsidR="009C4CDA" w:rsidRPr="000D0D06" w:rsidRDefault="009C4CDA" w:rsidP="009C4CDA">
            <w:pPr>
              <w:jc w:val="left"/>
              <w:rPr>
                <w:noProof/>
              </w:rPr>
            </w:pPr>
            <w:r w:rsidRPr="000D0D06">
              <w:rPr>
                <w:noProof/>
              </w:rPr>
              <w:t>Acesso e transferência de dados governamentais internacionais</w:t>
            </w:r>
          </w:p>
        </w:tc>
        <w:tc>
          <w:tcPr>
            <w:tcW w:w="2184" w:type="dxa"/>
          </w:tcPr>
          <w:p w14:paraId="2FCA932C" w14:textId="77777777" w:rsidR="009C4CDA" w:rsidRPr="000D0D06" w:rsidRDefault="009C4CDA" w:rsidP="009C4CDA">
            <w:pPr>
              <w:jc w:val="left"/>
              <w:rPr>
                <w:noProof/>
              </w:rPr>
            </w:pPr>
            <w:r w:rsidRPr="000D0D06">
              <w:rPr>
                <w:noProof/>
              </w:rPr>
              <w:t>Dados</w:t>
            </w:r>
          </w:p>
          <w:p w14:paraId="097CC712" w14:textId="77777777" w:rsidR="009C4CDA" w:rsidRPr="000D0D06" w:rsidRDefault="009C4CDA" w:rsidP="009C4CDA">
            <w:pPr>
              <w:jc w:val="left"/>
              <w:rPr>
                <w:noProof/>
              </w:rPr>
            </w:pPr>
            <w:r w:rsidRPr="000D0D06">
              <w:rPr>
                <w:noProof/>
              </w:rPr>
              <w:t>Serviço público digital</w:t>
            </w:r>
          </w:p>
        </w:tc>
      </w:tr>
      <w:tr w:rsidR="009C4CDA" w:rsidRPr="000D0D06" w14:paraId="689D1C46" w14:textId="77777777">
        <w:trPr>
          <w:trHeight w:val="300"/>
        </w:trPr>
        <w:tc>
          <w:tcPr>
            <w:tcW w:w="3093" w:type="dxa"/>
          </w:tcPr>
          <w:p w14:paraId="445370A0" w14:textId="77777777" w:rsidR="009C4CDA" w:rsidRPr="000D0D06" w:rsidRDefault="009C4CDA" w:rsidP="009C4CDA">
            <w:pPr>
              <w:jc w:val="left"/>
              <w:rPr>
                <w:noProof/>
              </w:rPr>
            </w:pPr>
            <w:r w:rsidRPr="000D0D06">
              <w:rPr>
                <w:noProof/>
              </w:rPr>
              <w:t>Artigo 1.º</w:t>
            </w:r>
          </w:p>
        </w:tc>
        <w:tc>
          <w:tcPr>
            <w:tcW w:w="4415" w:type="dxa"/>
          </w:tcPr>
          <w:p w14:paraId="50147AAC" w14:textId="77777777" w:rsidR="009C4CDA" w:rsidRPr="000D0D06" w:rsidRDefault="009C4CDA" w:rsidP="009C4CDA">
            <w:pPr>
              <w:jc w:val="left"/>
              <w:rPr>
                <w:noProof/>
              </w:rPr>
            </w:pPr>
            <w:r w:rsidRPr="000D0D06">
              <w:rPr>
                <w:noProof/>
              </w:rPr>
              <w:t>Alteração do artigo 35.º, n.º 5, do Regulamento dos Dados, permitindo à Comissão adotar especificações comuns relativas à interoperabilidade dos serviços de tratamento de dados.</w:t>
            </w:r>
          </w:p>
        </w:tc>
        <w:tc>
          <w:tcPr>
            <w:tcW w:w="2693" w:type="dxa"/>
          </w:tcPr>
          <w:p w14:paraId="3CB2FC70" w14:textId="77777777" w:rsidR="009C4CDA" w:rsidRPr="000D0D06" w:rsidRDefault="009C4CDA" w:rsidP="009C4CDA">
            <w:pPr>
              <w:spacing w:line="259" w:lineRule="auto"/>
              <w:jc w:val="left"/>
              <w:rPr>
                <w:noProof/>
              </w:rPr>
            </w:pPr>
            <w:r w:rsidRPr="000D0D06">
              <w:rPr>
                <w:noProof/>
              </w:rPr>
              <w:t>Prestadores de serviços de tratamento de dados</w:t>
            </w:r>
          </w:p>
          <w:p w14:paraId="398B3A5E" w14:textId="77777777" w:rsidR="009C4CDA" w:rsidRPr="000D0D06" w:rsidRDefault="009C4CDA" w:rsidP="009C4CDA">
            <w:pPr>
              <w:spacing w:line="259" w:lineRule="auto"/>
              <w:jc w:val="left"/>
              <w:rPr>
                <w:noProof/>
              </w:rPr>
            </w:pPr>
            <w:r w:rsidRPr="000D0D06">
              <w:rPr>
                <w:noProof/>
              </w:rPr>
              <w:t>Comissão Europeia</w:t>
            </w:r>
          </w:p>
        </w:tc>
        <w:tc>
          <w:tcPr>
            <w:tcW w:w="1785" w:type="dxa"/>
          </w:tcPr>
          <w:p w14:paraId="2D4AEE48" w14:textId="77777777" w:rsidR="009C4CDA" w:rsidRPr="000D0D06" w:rsidRDefault="009C4CDA" w:rsidP="009C4CDA">
            <w:pPr>
              <w:jc w:val="left"/>
              <w:rPr>
                <w:noProof/>
              </w:rPr>
            </w:pPr>
            <w:r w:rsidRPr="000D0D06">
              <w:rPr>
                <w:noProof/>
              </w:rPr>
              <w:t>Adoção de especificações comuns</w:t>
            </w:r>
          </w:p>
        </w:tc>
        <w:tc>
          <w:tcPr>
            <w:tcW w:w="2184" w:type="dxa"/>
          </w:tcPr>
          <w:p w14:paraId="2EA41A99" w14:textId="77777777" w:rsidR="009C4CDA" w:rsidRPr="000D0D06" w:rsidRDefault="009C4CDA" w:rsidP="009C4CDA">
            <w:pPr>
              <w:spacing w:line="259" w:lineRule="auto"/>
              <w:jc w:val="left"/>
              <w:rPr>
                <w:noProof/>
              </w:rPr>
            </w:pPr>
            <w:r w:rsidRPr="000D0D06">
              <w:rPr>
                <w:noProof/>
              </w:rPr>
              <w:t>Serviço público digital</w:t>
            </w:r>
          </w:p>
        </w:tc>
      </w:tr>
      <w:tr w:rsidR="009C4CDA" w:rsidRPr="000D0D06" w14:paraId="519371E3" w14:textId="77777777">
        <w:trPr>
          <w:trHeight w:val="300"/>
        </w:trPr>
        <w:tc>
          <w:tcPr>
            <w:tcW w:w="3093" w:type="dxa"/>
          </w:tcPr>
          <w:p w14:paraId="6E528836" w14:textId="77777777" w:rsidR="009C4CDA" w:rsidRPr="000D0D06" w:rsidRDefault="009C4CDA" w:rsidP="009C4CDA">
            <w:pPr>
              <w:jc w:val="left"/>
              <w:rPr>
                <w:noProof/>
              </w:rPr>
            </w:pPr>
            <w:r w:rsidRPr="000D0D06">
              <w:rPr>
                <w:noProof/>
              </w:rPr>
              <w:t>Artigo 1.º</w:t>
            </w:r>
          </w:p>
        </w:tc>
        <w:tc>
          <w:tcPr>
            <w:tcW w:w="4415" w:type="dxa"/>
          </w:tcPr>
          <w:p w14:paraId="6F407733" w14:textId="49716B49" w:rsidR="009C4CDA" w:rsidRPr="000D0D06" w:rsidRDefault="009C4CDA" w:rsidP="009C4CDA">
            <w:pPr>
              <w:jc w:val="left"/>
              <w:rPr>
                <w:noProof/>
              </w:rPr>
            </w:pPr>
            <w:r w:rsidRPr="000D0D06">
              <w:rPr>
                <w:noProof/>
              </w:rPr>
              <w:t xml:space="preserve">Alterações dos artigos 32.º-A a 32.º-E do Regulamento dos Dados, para introduzir o capítulo VII-A relativo ao quadro regulamentar relativo a um título europeu para os serviços de intermediação de dados, designadamente a notificação, a criação de um registo público, as condições aplicáveis à prestação de serviços, a designação de autoridades competentes e o controlo do cumprimento. </w:t>
            </w:r>
          </w:p>
          <w:p w14:paraId="1729DBD6" w14:textId="77777777" w:rsidR="009C4CDA" w:rsidRPr="000D0D06" w:rsidRDefault="009C4CDA" w:rsidP="009C4CDA">
            <w:pPr>
              <w:jc w:val="left"/>
              <w:rPr>
                <w:noProof/>
              </w:rPr>
            </w:pPr>
            <w:r w:rsidRPr="000D0D06">
              <w:rPr>
                <w:noProof/>
              </w:rPr>
              <w:t>Alterações do artigo 32.º-H do Regulamento dos Dados, para introduzir o capítulo VII-B relativo ao livre fluxo de dados na União, designadamente a proibição de requisitos de localização de dados, as obrigações de notificação à Comissão e a publicação de uma lista consolidada.</w:t>
            </w:r>
          </w:p>
        </w:tc>
        <w:tc>
          <w:tcPr>
            <w:tcW w:w="2693" w:type="dxa"/>
          </w:tcPr>
          <w:p w14:paraId="3BE36168" w14:textId="77777777" w:rsidR="009C4CDA" w:rsidRPr="000D0D06" w:rsidRDefault="009C4CDA" w:rsidP="009C4CDA">
            <w:pPr>
              <w:spacing w:line="259" w:lineRule="auto"/>
              <w:jc w:val="left"/>
              <w:rPr>
                <w:noProof/>
              </w:rPr>
            </w:pPr>
            <w:r w:rsidRPr="000D0D06">
              <w:rPr>
                <w:noProof/>
              </w:rPr>
              <w:t>Prestadores de serviços de intermediação de dados</w:t>
            </w:r>
          </w:p>
          <w:p w14:paraId="1D1CA342" w14:textId="77777777" w:rsidR="009C4CDA" w:rsidRPr="000D0D06" w:rsidRDefault="009C4CDA" w:rsidP="009C4CDA">
            <w:pPr>
              <w:spacing w:line="259" w:lineRule="auto"/>
              <w:jc w:val="left"/>
              <w:rPr>
                <w:noProof/>
              </w:rPr>
            </w:pPr>
            <w:r w:rsidRPr="000D0D06">
              <w:rPr>
                <w:noProof/>
              </w:rPr>
              <w:t>Titulares dos dados, detentores dos dados, utilizadores dos dados</w:t>
            </w:r>
          </w:p>
          <w:p w14:paraId="6EAFD199" w14:textId="77777777" w:rsidR="009C4CDA" w:rsidRPr="000D0D06" w:rsidRDefault="009C4CDA" w:rsidP="009C4CDA">
            <w:pPr>
              <w:spacing w:line="259" w:lineRule="auto"/>
              <w:jc w:val="left"/>
              <w:rPr>
                <w:noProof/>
              </w:rPr>
            </w:pPr>
            <w:r w:rsidRPr="000D0D06">
              <w:rPr>
                <w:noProof/>
              </w:rPr>
              <w:t>Estados-Membros</w:t>
            </w:r>
          </w:p>
          <w:p w14:paraId="6A08C461" w14:textId="77777777" w:rsidR="009C4CDA" w:rsidRPr="000D0D06" w:rsidRDefault="009C4CDA" w:rsidP="009C4CDA">
            <w:pPr>
              <w:spacing w:line="259" w:lineRule="auto"/>
              <w:jc w:val="left"/>
              <w:rPr>
                <w:noProof/>
              </w:rPr>
            </w:pPr>
            <w:r w:rsidRPr="000D0D06">
              <w:rPr>
                <w:noProof/>
              </w:rPr>
              <w:t>Autoridades competentes</w:t>
            </w:r>
          </w:p>
          <w:p w14:paraId="6D62A95B" w14:textId="77777777" w:rsidR="009C4CDA" w:rsidRPr="000D0D06" w:rsidRDefault="009C4CDA" w:rsidP="009C4CDA">
            <w:pPr>
              <w:spacing w:line="259" w:lineRule="auto"/>
              <w:jc w:val="left"/>
              <w:rPr>
                <w:strike/>
                <w:noProof/>
              </w:rPr>
            </w:pPr>
            <w:r w:rsidRPr="000D0D06">
              <w:rPr>
                <w:noProof/>
              </w:rPr>
              <w:t>Comissão Europeia</w:t>
            </w:r>
          </w:p>
        </w:tc>
        <w:tc>
          <w:tcPr>
            <w:tcW w:w="1785" w:type="dxa"/>
          </w:tcPr>
          <w:p w14:paraId="7D080C61" w14:textId="1F2DB3DA" w:rsidR="009C4CDA" w:rsidRPr="000D0D06" w:rsidRDefault="009C4CDA" w:rsidP="009C4CDA">
            <w:pPr>
              <w:jc w:val="left"/>
              <w:rPr>
                <w:noProof/>
              </w:rPr>
            </w:pPr>
            <w:r w:rsidRPr="000D0D06">
              <w:rPr>
                <w:noProof/>
              </w:rPr>
              <w:t xml:space="preserve">Criação do título europeu para os serviços de intermediação de dados </w:t>
            </w:r>
          </w:p>
          <w:p w14:paraId="38CFDD0D" w14:textId="77777777" w:rsidR="009C4CDA" w:rsidRPr="000D0D06" w:rsidRDefault="009C4CDA" w:rsidP="009C4CDA">
            <w:pPr>
              <w:jc w:val="left"/>
              <w:rPr>
                <w:noProof/>
              </w:rPr>
            </w:pPr>
            <w:r w:rsidRPr="000D0D06">
              <w:rPr>
                <w:noProof/>
              </w:rPr>
              <w:t xml:space="preserve">Estabelecimento da livre circulação de dados na União Europeia </w:t>
            </w:r>
          </w:p>
          <w:p w14:paraId="19600049" w14:textId="77777777" w:rsidR="009C4CDA" w:rsidRPr="000D0D06" w:rsidRDefault="009C4CDA" w:rsidP="009C4CDA">
            <w:pPr>
              <w:jc w:val="left"/>
              <w:rPr>
                <w:noProof/>
              </w:rPr>
            </w:pPr>
          </w:p>
        </w:tc>
        <w:tc>
          <w:tcPr>
            <w:tcW w:w="2184" w:type="dxa"/>
          </w:tcPr>
          <w:p w14:paraId="12F7ABB7" w14:textId="77777777" w:rsidR="009C4CDA" w:rsidRPr="000D0D06" w:rsidRDefault="009C4CDA" w:rsidP="009C4CDA">
            <w:pPr>
              <w:jc w:val="left"/>
              <w:rPr>
                <w:noProof/>
              </w:rPr>
            </w:pPr>
            <w:r w:rsidRPr="000D0D06">
              <w:rPr>
                <w:noProof/>
              </w:rPr>
              <w:t>Dados</w:t>
            </w:r>
          </w:p>
          <w:p w14:paraId="428351FD" w14:textId="77777777" w:rsidR="009C4CDA" w:rsidRPr="000D0D06" w:rsidRDefault="009C4CDA" w:rsidP="009C4CDA">
            <w:pPr>
              <w:jc w:val="left"/>
              <w:rPr>
                <w:noProof/>
              </w:rPr>
            </w:pPr>
            <w:r w:rsidRPr="000D0D06">
              <w:rPr>
                <w:noProof/>
              </w:rPr>
              <w:t>Solução digital</w:t>
            </w:r>
          </w:p>
          <w:p w14:paraId="42ED2DD4" w14:textId="77777777" w:rsidR="009C4CDA" w:rsidRPr="000D0D06" w:rsidRDefault="009C4CDA" w:rsidP="009C4CDA">
            <w:pPr>
              <w:jc w:val="left"/>
              <w:rPr>
                <w:noProof/>
              </w:rPr>
            </w:pPr>
            <w:r w:rsidRPr="000D0D06">
              <w:rPr>
                <w:noProof/>
              </w:rPr>
              <w:t>Digitalização de processos</w:t>
            </w:r>
          </w:p>
          <w:p w14:paraId="2003EC78" w14:textId="77777777" w:rsidR="009C4CDA" w:rsidRPr="000D0D06" w:rsidRDefault="009C4CDA" w:rsidP="009C4CDA">
            <w:pPr>
              <w:jc w:val="left"/>
              <w:rPr>
                <w:noProof/>
              </w:rPr>
            </w:pPr>
            <w:r w:rsidRPr="000D0D06">
              <w:rPr>
                <w:noProof/>
              </w:rPr>
              <w:t>Serviço público digital</w:t>
            </w:r>
          </w:p>
        </w:tc>
      </w:tr>
      <w:tr w:rsidR="009C4CDA" w:rsidRPr="000D0D06" w14:paraId="67E366BC" w14:textId="77777777">
        <w:trPr>
          <w:trHeight w:val="4635"/>
        </w:trPr>
        <w:tc>
          <w:tcPr>
            <w:tcW w:w="3093" w:type="dxa"/>
          </w:tcPr>
          <w:p w14:paraId="2084F772" w14:textId="77777777" w:rsidR="009C4CDA" w:rsidRPr="000D0D06" w:rsidRDefault="009C4CDA" w:rsidP="009C4CDA">
            <w:pPr>
              <w:jc w:val="left"/>
              <w:rPr>
                <w:noProof/>
              </w:rPr>
            </w:pPr>
            <w:r w:rsidRPr="000D0D06">
              <w:rPr>
                <w:noProof/>
              </w:rPr>
              <w:t>Artigo 1.º</w:t>
            </w:r>
          </w:p>
        </w:tc>
        <w:tc>
          <w:tcPr>
            <w:tcW w:w="4415" w:type="dxa"/>
          </w:tcPr>
          <w:p w14:paraId="28158C0F" w14:textId="77777777" w:rsidR="009C4CDA" w:rsidRPr="000D0D06" w:rsidRDefault="009C4CDA" w:rsidP="009C4CDA">
            <w:pPr>
              <w:jc w:val="left"/>
              <w:rPr>
                <w:noProof/>
              </w:rPr>
            </w:pPr>
            <w:r w:rsidRPr="000D0D06">
              <w:rPr>
                <w:noProof/>
              </w:rPr>
              <w:t>Alterações do artigo 32.º-H do Regulamento dos Dados, para introduzir o capítulo VII-B relativo ao livre fluxo de dados na União, designadamente a proibição de requisitos de localização de dados, as obrigações de notificação à Comissão e a publicação de uma lista consolidada.</w:t>
            </w:r>
          </w:p>
        </w:tc>
        <w:tc>
          <w:tcPr>
            <w:tcW w:w="2693" w:type="dxa"/>
          </w:tcPr>
          <w:p w14:paraId="5DAAE567" w14:textId="77777777" w:rsidR="009C4CDA" w:rsidRPr="000D0D06" w:rsidRDefault="009C4CDA" w:rsidP="009C4CDA">
            <w:pPr>
              <w:spacing w:line="259" w:lineRule="auto"/>
              <w:jc w:val="left"/>
              <w:rPr>
                <w:noProof/>
              </w:rPr>
            </w:pPr>
            <w:r w:rsidRPr="000D0D06">
              <w:rPr>
                <w:noProof/>
              </w:rPr>
              <w:t xml:space="preserve">Estados-Membros </w:t>
            </w:r>
          </w:p>
          <w:p w14:paraId="002F84FA" w14:textId="77777777" w:rsidR="009C4CDA" w:rsidRPr="000D0D06" w:rsidRDefault="009C4CDA" w:rsidP="009C4CDA">
            <w:pPr>
              <w:spacing w:line="259" w:lineRule="auto"/>
              <w:jc w:val="left"/>
              <w:rPr>
                <w:noProof/>
              </w:rPr>
            </w:pPr>
            <w:r w:rsidRPr="000D0D06">
              <w:rPr>
                <w:noProof/>
              </w:rPr>
              <w:t>Comissão Europeia</w:t>
            </w:r>
          </w:p>
        </w:tc>
        <w:tc>
          <w:tcPr>
            <w:tcW w:w="1785" w:type="dxa"/>
          </w:tcPr>
          <w:p w14:paraId="3A0D1528" w14:textId="77777777" w:rsidR="009C4CDA" w:rsidRPr="000D0D06" w:rsidRDefault="009C4CDA" w:rsidP="009C4CDA">
            <w:pPr>
              <w:jc w:val="left"/>
              <w:rPr>
                <w:noProof/>
              </w:rPr>
            </w:pPr>
            <w:r w:rsidRPr="000D0D06">
              <w:rPr>
                <w:noProof/>
              </w:rPr>
              <w:t xml:space="preserve">Estabelecimento da livre circulação de dados na União Europeia </w:t>
            </w:r>
          </w:p>
        </w:tc>
        <w:tc>
          <w:tcPr>
            <w:tcW w:w="2184" w:type="dxa"/>
          </w:tcPr>
          <w:p w14:paraId="22F16B10" w14:textId="77777777" w:rsidR="009C4CDA" w:rsidRPr="000D0D06" w:rsidRDefault="009C4CDA" w:rsidP="009C4CDA">
            <w:pPr>
              <w:jc w:val="left"/>
              <w:rPr>
                <w:noProof/>
              </w:rPr>
            </w:pPr>
            <w:r w:rsidRPr="000D0D06">
              <w:rPr>
                <w:noProof/>
              </w:rPr>
              <w:t xml:space="preserve">Dados </w:t>
            </w:r>
          </w:p>
          <w:p w14:paraId="22A50A46" w14:textId="77777777" w:rsidR="009C4CDA" w:rsidRPr="000D0D06" w:rsidRDefault="009C4CDA" w:rsidP="009C4CDA">
            <w:pPr>
              <w:jc w:val="left"/>
              <w:rPr>
                <w:noProof/>
              </w:rPr>
            </w:pPr>
            <w:r w:rsidRPr="000D0D06">
              <w:rPr>
                <w:noProof/>
              </w:rPr>
              <w:t xml:space="preserve">Digitalização de processos </w:t>
            </w:r>
          </w:p>
          <w:p w14:paraId="3087E185" w14:textId="77777777" w:rsidR="009C4CDA" w:rsidRPr="000D0D06" w:rsidRDefault="009C4CDA" w:rsidP="009C4CDA">
            <w:pPr>
              <w:jc w:val="left"/>
              <w:rPr>
                <w:noProof/>
              </w:rPr>
            </w:pPr>
            <w:r w:rsidRPr="000D0D06">
              <w:rPr>
                <w:noProof/>
              </w:rPr>
              <w:t>Serviço público digital</w:t>
            </w:r>
          </w:p>
        </w:tc>
      </w:tr>
      <w:tr w:rsidR="009C4CDA" w:rsidRPr="000D0D06" w14:paraId="697A259A" w14:textId="77777777">
        <w:trPr>
          <w:trHeight w:val="300"/>
        </w:trPr>
        <w:tc>
          <w:tcPr>
            <w:tcW w:w="3093" w:type="dxa"/>
          </w:tcPr>
          <w:p w14:paraId="19E915B6" w14:textId="77777777" w:rsidR="009C4CDA" w:rsidRPr="000D0D06" w:rsidRDefault="009C4CDA" w:rsidP="009C4CDA">
            <w:pPr>
              <w:jc w:val="left"/>
              <w:rPr>
                <w:noProof/>
              </w:rPr>
            </w:pPr>
            <w:r w:rsidRPr="000D0D06">
              <w:rPr>
                <w:noProof/>
              </w:rPr>
              <w:t>Artigo 1.º</w:t>
            </w:r>
          </w:p>
        </w:tc>
        <w:tc>
          <w:tcPr>
            <w:tcW w:w="4415" w:type="dxa"/>
          </w:tcPr>
          <w:p w14:paraId="1DF2B1AC" w14:textId="77777777" w:rsidR="009C4CDA" w:rsidRPr="000D0D06" w:rsidRDefault="009C4CDA" w:rsidP="009C4CDA">
            <w:pPr>
              <w:jc w:val="left"/>
              <w:rPr>
                <w:noProof/>
              </w:rPr>
            </w:pPr>
            <w:r w:rsidRPr="000D0D06">
              <w:rPr>
                <w:noProof/>
              </w:rPr>
              <w:t xml:space="preserve">Aditamento do artigo 32.º-I ao Regulamento dos Dados, que define o âmbito de aplicação do capítulo VII-C. Este artigo estabelece um conjunto mínimo de regras que regem a reutilização e as disposições práticas para facilitar a reutilização de dados. </w:t>
            </w:r>
          </w:p>
          <w:p w14:paraId="0296E310" w14:textId="77777777" w:rsidR="009C4CDA" w:rsidRPr="000D0D06" w:rsidRDefault="009C4CDA" w:rsidP="009C4CDA">
            <w:pPr>
              <w:jc w:val="left"/>
              <w:rPr>
                <w:noProof/>
              </w:rPr>
            </w:pPr>
            <w:r w:rsidRPr="000D0D06">
              <w:rPr>
                <w:noProof/>
              </w:rPr>
              <w:t xml:space="preserve">Aditamento do artigo 32.º-J ao Regulamento dos Dados; disposição relativa à não discriminação no que respeita à reutilização de dados e documentos. </w:t>
            </w:r>
          </w:p>
        </w:tc>
        <w:tc>
          <w:tcPr>
            <w:tcW w:w="2693" w:type="dxa"/>
          </w:tcPr>
          <w:p w14:paraId="71918C8A" w14:textId="77777777" w:rsidR="009C4CDA" w:rsidRPr="000D0D06" w:rsidRDefault="009C4CDA" w:rsidP="009C4CDA">
            <w:pPr>
              <w:spacing w:line="259" w:lineRule="auto"/>
              <w:jc w:val="left"/>
              <w:rPr>
                <w:noProof/>
              </w:rPr>
            </w:pPr>
            <w:r w:rsidRPr="000D0D06">
              <w:rPr>
                <w:noProof/>
              </w:rPr>
              <w:t>Estados-Membros</w:t>
            </w:r>
          </w:p>
          <w:p w14:paraId="77C97F05" w14:textId="77777777" w:rsidR="009C4CDA" w:rsidRPr="000D0D06" w:rsidRDefault="009C4CDA" w:rsidP="009C4CDA">
            <w:pPr>
              <w:spacing w:line="259" w:lineRule="auto"/>
              <w:jc w:val="left"/>
              <w:rPr>
                <w:noProof/>
              </w:rPr>
            </w:pPr>
            <w:r w:rsidRPr="000D0D06">
              <w:rPr>
                <w:noProof/>
              </w:rPr>
              <w:t>Detentores dos dados</w:t>
            </w:r>
          </w:p>
          <w:p w14:paraId="081AE186" w14:textId="77777777" w:rsidR="009C4CDA" w:rsidRPr="000D0D06" w:rsidRDefault="009C4CDA" w:rsidP="009C4CDA">
            <w:pPr>
              <w:spacing w:line="259" w:lineRule="auto"/>
              <w:jc w:val="left"/>
              <w:rPr>
                <w:noProof/>
              </w:rPr>
            </w:pPr>
            <w:r w:rsidRPr="000D0D06">
              <w:rPr>
                <w:noProof/>
              </w:rPr>
              <w:t>Utilizadores dos dados</w:t>
            </w:r>
          </w:p>
        </w:tc>
        <w:tc>
          <w:tcPr>
            <w:tcW w:w="1785" w:type="dxa"/>
          </w:tcPr>
          <w:p w14:paraId="0A4A8B27" w14:textId="77777777" w:rsidR="009C4CDA" w:rsidRPr="000D0D06" w:rsidRDefault="009C4CDA" w:rsidP="009C4CDA">
            <w:pPr>
              <w:jc w:val="left"/>
              <w:rPr>
                <w:noProof/>
              </w:rPr>
            </w:pPr>
            <w:r w:rsidRPr="000D0D06">
              <w:rPr>
                <w:noProof/>
              </w:rPr>
              <w:t>Definição do objeto e do âmbito de aplicação</w:t>
            </w:r>
          </w:p>
          <w:p w14:paraId="68C916DB" w14:textId="77777777" w:rsidR="009C4CDA" w:rsidRPr="000D0D06" w:rsidRDefault="009C4CDA" w:rsidP="009C4CDA">
            <w:pPr>
              <w:jc w:val="left"/>
              <w:rPr>
                <w:noProof/>
              </w:rPr>
            </w:pPr>
            <w:r w:rsidRPr="000D0D06">
              <w:rPr>
                <w:noProof/>
              </w:rPr>
              <w:t>Não discriminação</w:t>
            </w:r>
          </w:p>
        </w:tc>
        <w:tc>
          <w:tcPr>
            <w:tcW w:w="2184" w:type="dxa"/>
          </w:tcPr>
          <w:p w14:paraId="057EB889" w14:textId="77777777" w:rsidR="009C4CDA" w:rsidRPr="000D0D06" w:rsidRDefault="009C4CDA" w:rsidP="009C4CDA">
            <w:pPr>
              <w:jc w:val="left"/>
              <w:rPr>
                <w:noProof/>
              </w:rPr>
            </w:pPr>
            <w:r w:rsidRPr="000D0D06">
              <w:rPr>
                <w:noProof/>
              </w:rPr>
              <w:t>Serviço público digital</w:t>
            </w:r>
          </w:p>
        </w:tc>
      </w:tr>
      <w:tr w:rsidR="009C4CDA" w:rsidRPr="000D0D06" w14:paraId="4576D2EA" w14:textId="77777777">
        <w:trPr>
          <w:trHeight w:val="300"/>
        </w:trPr>
        <w:tc>
          <w:tcPr>
            <w:tcW w:w="3093" w:type="dxa"/>
          </w:tcPr>
          <w:p w14:paraId="0E0169E1" w14:textId="77777777" w:rsidR="009C4CDA" w:rsidRPr="000D0D06" w:rsidRDefault="009C4CDA" w:rsidP="009C4CDA">
            <w:pPr>
              <w:jc w:val="left"/>
              <w:rPr>
                <w:noProof/>
              </w:rPr>
            </w:pPr>
            <w:r w:rsidRPr="000D0D06">
              <w:rPr>
                <w:noProof/>
              </w:rPr>
              <w:t>Artigo 1.º</w:t>
            </w:r>
          </w:p>
        </w:tc>
        <w:tc>
          <w:tcPr>
            <w:tcW w:w="4415" w:type="dxa"/>
          </w:tcPr>
          <w:p w14:paraId="6747838D" w14:textId="77777777" w:rsidR="009C4CDA" w:rsidRPr="000D0D06" w:rsidRDefault="009C4CDA" w:rsidP="009C4CDA">
            <w:pPr>
              <w:jc w:val="left"/>
              <w:rPr>
                <w:noProof/>
              </w:rPr>
            </w:pPr>
            <w:r w:rsidRPr="000D0D06">
              <w:rPr>
                <w:noProof/>
              </w:rPr>
              <w:t>Aditamento do artigo 32.º-K ao Regulamento dos Dados. Regras relativas aos acordos de exclusividade para a reutilização de dados. Inclui a obrigação de tornar públicas as condições finais dos acordos.</w:t>
            </w:r>
          </w:p>
        </w:tc>
        <w:tc>
          <w:tcPr>
            <w:tcW w:w="2693" w:type="dxa"/>
          </w:tcPr>
          <w:p w14:paraId="3D8E9582" w14:textId="77777777" w:rsidR="009C4CDA" w:rsidRPr="000D0D06" w:rsidRDefault="009C4CDA" w:rsidP="009C4CDA">
            <w:pPr>
              <w:spacing w:line="259" w:lineRule="auto"/>
              <w:jc w:val="left"/>
              <w:rPr>
                <w:noProof/>
              </w:rPr>
            </w:pPr>
            <w:r w:rsidRPr="000D0D06">
              <w:rPr>
                <w:noProof/>
              </w:rPr>
              <w:t>Potenciais intervenientes no mercado</w:t>
            </w:r>
          </w:p>
          <w:p w14:paraId="220A7B8A" w14:textId="77777777" w:rsidR="009C4CDA" w:rsidRPr="000D0D06" w:rsidRDefault="009C4CDA" w:rsidP="009C4CDA">
            <w:pPr>
              <w:spacing w:line="259" w:lineRule="auto"/>
              <w:jc w:val="left"/>
              <w:rPr>
                <w:noProof/>
              </w:rPr>
            </w:pPr>
            <w:r w:rsidRPr="000D0D06">
              <w:rPr>
                <w:noProof/>
              </w:rPr>
              <w:t>Entidades do setor público</w:t>
            </w:r>
          </w:p>
          <w:p w14:paraId="07321269" w14:textId="77777777" w:rsidR="009C4CDA" w:rsidRPr="000D0D06" w:rsidRDefault="009C4CDA" w:rsidP="009C4CDA">
            <w:pPr>
              <w:spacing w:line="259" w:lineRule="auto"/>
              <w:jc w:val="left"/>
              <w:rPr>
                <w:noProof/>
              </w:rPr>
            </w:pPr>
            <w:r w:rsidRPr="000D0D06">
              <w:rPr>
                <w:noProof/>
              </w:rPr>
              <w:t>Partes nesses acordos</w:t>
            </w:r>
          </w:p>
        </w:tc>
        <w:tc>
          <w:tcPr>
            <w:tcW w:w="1785" w:type="dxa"/>
          </w:tcPr>
          <w:p w14:paraId="26F8FF3E" w14:textId="77777777" w:rsidR="009C4CDA" w:rsidRPr="000D0D06" w:rsidRDefault="009C4CDA" w:rsidP="009C4CDA">
            <w:pPr>
              <w:jc w:val="left"/>
              <w:rPr>
                <w:noProof/>
              </w:rPr>
            </w:pPr>
          </w:p>
        </w:tc>
        <w:tc>
          <w:tcPr>
            <w:tcW w:w="2184" w:type="dxa"/>
          </w:tcPr>
          <w:p w14:paraId="3964B0BC" w14:textId="77777777" w:rsidR="009C4CDA" w:rsidRPr="000D0D06" w:rsidRDefault="009C4CDA" w:rsidP="009C4CDA">
            <w:pPr>
              <w:jc w:val="left"/>
              <w:rPr>
                <w:noProof/>
              </w:rPr>
            </w:pPr>
            <w:r w:rsidRPr="000D0D06">
              <w:rPr>
                <w:noProof/>
              </w:rPr>
              <w:t>Serviço público digital</w:t>
            </w:r>
          </w:p>
          <w:p w14:paraId="66DCF383" w14:textId="77777777" w:rsidR="009C4CDA" w:rsidRPr="000D0D06" w:rsidRDefault="009C4CDA" w:rsidP="009C4CDA">
            <w:pPr>
              <w:jc w:val="left"/>
              <w:rPr>
                <w:noProof/>
              </w:rPr>
            </w:pPr>
            <w:r w:rsidRPr="000D0D06">
              <w:rPr>
                <w:noProof/>
              </w:rPr>
              <w:t>Dados</w:t>
            </w:r>
          </w:p>
        </w:tc>
      </w:tr>
      <w:tr w:rsidR="009C4CDA" w:rsidRPr="000D0D06" w14:paraId="6DA67975" w14:textId="77777777">
        <w:trPr>
          <w:trHeight w:val="2178"/>
        </w:trPr>
        <w:tc>
          <w:tcPr>
            <w:tcW w:w="3093" w:type="dxa"/>
          </w:tcPr>
          <w:p w14:paraId="7A862B2E" w14:textId="77777777" w:rsidR="009C4CDA" w:rsidRPr="000D0D06" w:rsidRDefault="009C4CDA" w:rsidP="009C4CDA">
            <w:pPr>
              <w:jc w:val="left"/>
              <w:rPr>
                <w:noProof/>
              </w:rPr>
            </w:pPr>
            <w:r w:rsidRPr="000D0D06">
              <w:rPr>
                <w:noProof/>
              </w:rPr>
              <w:t>Artigo 1.º</w:t>
            </w:r>
          </w:p>
        </w:tc>
        <w:tc>
          <w:tcPr>
            <w:tcW w:w="4415" w:type="dxa"/>
          </w:tcPr>
          <w:p w14:paraId="08336B31" w14:textId="77777777" w:rsidR="009C4CDA" w:rsidRPr="000D0D06" w:rsidRDefault="009C4CDA" w:rsidP="009C4CDA">
            <w:pPr>
              <w:jc w:val="left"/>
              <w:rPr>
                <w:noProof/>
              </w:rPr>
            </w:pPr>
            <w:r w:rsidRPr="000D0D06">
              <w:rPr>
                <w:noProof/>
              </w:rPr>
              <w:t xml:space="preserve">Alterações do Regulamento dos Dados: </w:t>
            </w:r>
          </w:p>
          <w:p w14:paraId="37A3E46F" w14:textId="77777777" w:rsidR="009C4CDA" w:rsidRPr="000D0D06" w:rsidRDefault="009C4CDA" w:rsidP="0014764C">
            <w:pPr>
              <w:pStyle w:val="ListParagraph"/>
              <w:numPr>
                <w:ilvl w:val="0"/>
                <w:numId w:val="35"/>
              </w:numPr>
              <w:jc w:val="left"/>
              <w:rPr>
                <w:noProof/>
              </w:rPr>
            </w:pPr>
            <w:r w:rsidRPr="000D0D06">
              <w:rPr>
                <w:noProof/>
              </w:rPr>
              <w:t>41): aditamento do artigo 32.º-N relativo ao princípio geral de reutilização dos dados abertos das administrações públicas,</w:t>
            </w:r>
          </w:p>
          <w:p w14:paraId="257F418E" w14:textId="77777777" w:rsidR="009C4CDA" w:rsidRPr="000D0D06" w:rsidRDefault="009C4CDA" w:rsidP="0014764C">
            <w:pPr>
              <w:pStyle w:val="ListParagraph"/>
              <w:numPr>
                <w:ilvl w:val="0"/>
                <w:numId w:val="35"/>
              </w:numPr>
              <w:jc w:val="left"/>
              <w:rPr>
                <w:noProof/>
              </w:rPr>
            </w:pPr>
            <w:r w:rsidRPr="000D0D06">
              <w:rPr>
                <w:noProof/>
              </w:rPr>
              <w:t>42): aditamento do artigo 32.º-O relativo ao tratamento dos pedidos de reutilização de dados,</w:t>
            </w:r>
          </w:p>
          <w:p w14:paraId="1E02A627" w14:textId="77777777" w:rsidR="009C4CDA" w:rsidRPr="000D0D06" w:rsidRDefault="009C4CDA" w:rsidP="0014764C">
            <w:pPr>
              <w:pStyle w:val="ListParagraph"/>
              <w:numPr>
                <w:ilvl w:val="0"/>
                <w:numId w:val="35"/>
              </w:numPr>
              <w:jc w:val="left"/>
              <w:rPr>
                <w:noProof/>
              </w:rPr>
            </w:pPr>
            <w:r w:rsidRPr="000D0D06">
              <w:rPr>
                <w:noProof/>
              </w:rPr>
              <w:t>43): aditamento do artigo 32.º-P relativo aos formatos de reutilização de dados,</w:t>
            </w:r>
          </w:p>
          <w:p w14:paraId="66ACD72B" w14:textId="77777777" w:rsidR="009C4CDA" w:rsidRPr="000D0D06" w:rsidRDefault="009C4CDA" w:rsidP="0014764C">
            <w:pPr>
              <w:pStyle w:val="ListParagraph"/>
              <w:numPr>
                <w:ilvl w:val="0"/>
                <w:numId w:val="35"/>
              </w:numPr>
              <w:jc w:val="left"/>
              <w:rPr>
                <w:noProof/>
              </w:rPr>
            </w:pPr>
            <w:r w:rsidRPr="000D0D06">
              <w:rPr>
                <w:noProof/>
              </w:rPr>
              <w:t>46): aditamento do artigo 32.º-S relativo às disposições práticas que facilitam a pesquisa de dados ou documentos disponíveis para reutilização.</w:t>
            </w:r>
          </w:p>
        </w:tc>
        <w:tc>
          <w:tcPr>
            <w:tcW w:w="2693" w:type="dxa"/>
          </w:tcPr>
          <w:p w14:paraId="0FC784E2" w14:textId="77777777" w:rsidR="009C4CDA" w:rsidRPr="000D0D06" w:rsidRDefault="009C4CDA" w:rsidP="009C4CDA">
            <w:pPr>
              <w:spacing w:line="259" w:lineRule="auto"/>
              <w:jc w:val="left"/>
              <w:rPr>
                <w:noProof/>
              </w:rPr>
            </w:pPr>
            <w:r w:rsidRPr="000D0D06">
              <w:rPr>
                <w:noProof/>
              </w:rPr>
              <w:t>Detentores dos dados</w:t>
            </w:r>
          </w:p>
          <w:p w14:paraId="74419A08" w14:textId="77777777" w:rsidR="009C4CDA" w:rsidRPr="000D0D06" w:rsidRDefault="009C4CDA" w:rsidP="009C4CDA">
            <w:pPr>
              <w:spacing w:line="259" w:lineRule="auto"/>
              <w:jc w:val="left"/>
              <w:rPr>
                <w:noProof/>
              </w:rPr>
            </w:pPr>
            <w:r w:rsidRPr="000D0D06">
              <w:rPr>
                <w:noProof/>
              </w:rPr>
              <w:t>Utilizadores dos dados</w:t>
            </w:r>
          </w:p>
          <w:p w14:paraId="13BF0D22" w14:textId="77777777" w:rsidR="009C4CDA" w:rsidRPr="000D0D06" w:rsidRDefault="009C4CDA" w:rsidP="009C4CDA">
            <w:pPr>
              <w:spacing w:line="259" w:lineRule="auto"/>
              <w:jc w:val="left"/>
              <w:rPr>
                <w:noProof/>
              </w:rPr>
            </w:pPr>
            <w:r w:rsidRPr="000D0D06">
              <w:rPr>
                <w:noProof/>
              </w:rPr>
              <w:t>Estados-Membros (Entidades do setor público)</w:t>
            </w:r>
          </w:p>
          <w:p w14:paraId="23679E4E" w14:textId="77777777" w:rsidR="009C4CDA" w:rsidRPr="000D0D06" w:rsidRDefault="009C4CDA" w:rsidP="009C4CDA">
            <w:pPr>
              <w:spacing w:line="259" w:lineRule="auto"/>
              <w:jc w:val="left"/>
              <w:rPr>
                <w:noProof/>
              </w:rPr>
            </w:pPr>
            <w:r w:rsidRPr="000D0D06">
              <w:rPr>
                <w:noProof/>
              </w:rPr>
              <w:t>Comissão Europeia</w:t>
            </w:r>
          </w:p>
        </w:tc>
        <w:tc>
          <w:tcPr>
            <w:tcW w:w="1785" w:type="dxa"/>
          </w:tcPr>
          <w:p w14:paraId="5930DEB7" w14:textId="77777777" w:rsidR="009C4CDA" w:rsidRPr="000D0D06" w:rsidRDefault="009C4CDA" w:rsidP="009C4CDA">
            <w:pPr>
              <w:jc w:val="left"/>
              <w:rPr>
                <w:noProof/>
              </w:rPr>
            </w:pPr>
            <w:r w:rsidRPr="000D0D06">
              <w:rPr>
                <w:noProof/>
              </w:rPr>
              <w:t>Regras de reutilização de dados</w:t>
            </w:r>
          </w:p>
        </w:tc>
        <w:tc>
          <w:tcPr>
            <w:tcW w:w="2184" w:type="dxa"/>
          </w:tcPr>
          <w:p w14:paraId="42DCFE27" w14:textId="77777777" w:rsidR="009C4CDA" w:rsidRPr="000D0D06" w:rsidRDefault="009C4CDA" w:rsidP="009C4CDA">
            <w:pPr>
              <w:jc w:val="left"/>
              <w:rPr>
                <w:noProof/>
              </w:rPr>
            </w:pPr>
            <w:r w:rsidRPr="000D0D06">
              <w:rPr>
                <w:noProof/>
              </w:rPr>
              <w:t>Serviço público digital</w:t>
            </w:r>
          </w:p>
          <w:p w14:paraId="330EF8AF" w14:textId="77777777" w:rsidR="009C4CDA" w:rsidRPr="000D0D06" w:rsidRDefault="009C4CDA" w:rsidP="009C4CDA">
            <w:pPr>
              <w:jc w:val="left"/>
              <w:rPr>
                <w:noProof/>
              </w:rPr>
            </w:pPr>
            <w:r w:rsidRPr="000D0D06">
              <w:rPr>
                <w:noProof/>
              </w:rPr>
              <w:t>Dados</w:t>
            </w:r>
          </w:p>
          <w:p w14:paraId="6067153C" w14:textId="77777777" w:rsidR="009C4CDA" w:rsidRPr="000D0D06" w:rsidRDefault="009C4CDA" w:rsidP="009C4CDA">
            <w:pPr>
              <w:jc w:val="left"/>
              <w:rPr>
                <w:noProof/>
              </w:rPr>
            </w:pPr>
            <w:r w:rsidRPr="000D0D06">
              <w:rPr>
                <w:noProof/>
              </w:rPr>
              <w:t xml:space="preserve">Digitalização de processos </w:t>
            </w:r>
          </w:p>
        </w:tc>
      </w:tr>
      <w:tr w:rsidR="009C4CDA" w:rsidRPr="000D0D06" w14:paraId="59CA7A6B" w14:textId="77777777">
        <w:trPr>
          <w:trHeight w:val="1215"/>
        </w:trPr>
        <w:tc>
          <w:tcPr>
            <w:tcW w:w="3093" w:type="dxa"/>
          </w:tcPr>
          <w:p w14:paraId="268E7577" w14:textId="77777777" w:rsidR="009C4CDA" w:rsidRPr="000D0D06" w:rsidRDefault="009C4CDA" w:rsidP="009C4CDA">
            <w:pPr>
              <w:jc w:val="left"/>
              <w:rPr>
                <w:noProof/>
              </w:rPr>
            </w:pPr>
            <w:r w:rsidRPr="000D0D06">
              <w:rPr>
                <w:noProof/>
              </w:rPr>
              <w:t>Artigo 1.º</w:t>
            </w:r>
          </w:p>
        </w:tc>
        <w:tc>
          <w:tcPr>
            <w:tcW w:w="4415" w:type="dxa"/>
          </w:tcPr>
          <w:p w14:paraId="423D28BA" w14:textId="77777777" w:rsidR="009C4CDA" w:rsidRPr="000D0D06" w:rsidRDefault="009C4CDA" w:rsidP="009C4CDA">
            <w:pPr>
              <w:jc w:val="left"/>
              <w:rPr>
                <w:noProof/>
              </w:rPr>
            </w:pPr>
            <w:r w:rsidRPr="000D0D06">
              <w:rPr>
                <w:noProof/>
              </w:rPr>
              <w:t xml:space="preserve">Aditamento do artigo 32.º-T ao Regulamento dos Dados; obrigação de apoiar a disponibilidade de dados de investigação. </w:t>
            </w:r>
          </w:p>
        </w:tc>
        <w:tc>
          <w:tcPr>
            <w:tcW w:w="2693" w:type="dxa"/>
          </w:tcPr>
          <w:p w14:paraId="3F5040E3" w14:textId="77777777" w:rsidR="009C4CDA" w:rsidRPr="000D0D06" w:rsidRDefault="009C4CDA" w:rsidP="009C4CDA">
            <w:pPr>
              <w:spacing w:line="259" w:lineRule="auto"/>
              <w:jc w:val="left"/>
              <w:rPr>
                <w:noProof/>
              </w:rPr>
            </w:pPr>
            <w:r w:rsidRPr="000D0D06">
              <w:rPr>
                <w:noProof/>
              </w:rPr>
              <w:t>Estados-Membros</w:t>
            </w:r>
          </w:p>
          <w:p w14:paraId="04D60BBA" w14:textId="77777777" w:rsidR="009C4CDA" w:rsidRPr="000D0D06" w:rsidRDefault="009C4CDA" w:rsidP="009C4CDA">
            <w:pPr>
              <w:spacing w:line="259" w:lineRule="auto"/>
              <w:jc w:val="left"/>
              <w:rPr>
                <w:noProof/>
              </w:rPr>
            </w:pPr>
            <w:r w:rsidRPr="000D0D06">
              <w:rPr>
                <w:noProof/>
              </w:rPr>
              <w:t>Organismos de investigação</w:t>
            </w:r>
          </w:p>
          <w:p w14:paraId="228C8815" w14:textId="77777777" w:rsidR="009C4CDA" w:rsidRPr="000D0D06" w:rsidRDefault="009C4CDA" w:rsidP="009C4CDA">
            <w:pPr>
              <w:spacing w:line="259" w:lineRule="auto"/>
              <w:jc w:val="left"/>
              <w:rPr>
                <w:noProof/>
              </w:rPr>
            </w:pPr>
            <w:r w:rsidRPr="000D0D06">
              <w:rPr>
                <w:noProof/>
              </w:rPr>
              <w:t>Utilizadores dos dados</w:t>
            </w:r>
          </w:p>
        </w:tc>
        <w:tc>
          <w:tcPr>
            <w:tcW w:w="1785" w:type="dxa"/>
          </w:tcPr>
          <w:p w14:paraId="044D593C" w14:textId="77777777" w:rsidR="009C4CDA" w:rsidRPr="000D0D06" w:rsidRDefault="009C4CDA" w:rsidP="009C4CDA">
            <w:pPr>
              <w:jc w:val="left"/>
              <w:rPr>
                <w:noProof/>
              </w:rPr>
            </w:pPr>
            <w:r w:rsidRPr="000D0D06">
              <w:rPr>
                <w:noProof/>
              </w:rPr>
              <w:t>Regras de reutilização de dados</w:t>
            </w:r>
          </w:p>
        </w:tc>
        <w:tc>
          <w:tcPr>
            <w:tcW w:w="2184" w:type="dxa"/>
          </w:tcPr>
          <w:p w14:paraId="266510D7" w14:textId="77777777" w:rsidR="009C4CDA" w:rsidRPr="000D0D06" w:rsidRDefault="009C4CDA" w:rsidP="009C4CDA">
            <w:pPr>
              <w:jc w:val="left"/>
              <w:rPr>
                <w:noProof/>
              </w:rPr>
            </w:pPr>
            <w:r w:rsidRPr="000D0D06">
              <w:rPr>
                <w:noProof/>
              </w:rPr>
              <w:t>Serviço público digital</w:t>
            </w:r>
          </w:p>
          <w:p w14:paraId="0E43CADF" w14:textId="77777777" w:rsidR="009C4CDA" w:rsidRPr="000D0D06" w:rsidRDefault="009C4CDA" w:rsidP="009C4CDA">
            <w:pPr>
              <w:jc w:val="left"/>
              <w:rPr>
                <w:noProof/>
              </w:rPr>
            </w:pPr>
            <w:r w:rsidRPr="000D0D06">
              <w:rPr>
                <w:noProof/>
              </w:rPr>
              <w:t>Dados</w:t>
            </w:r>
          </w:p>
        </w:tc>
      </w:tr>
      <w:tr w:rsidR="009C4CDA" w:rsidRPr="000D0D06" w14:paraId="5BDF5569" w14:textId="77777777">
        <w:trPr>
          <w:trHeight w:val="630"/>
        </w:trPr>
        <w:tc>
          <w:tcPr>
            <w:tcW w:w="3093" w:type="dxa"/>
          </w:tcPr>
          <w:p w14:paraId="47C7378F" w14:textId="77777777" w:rsidR="009C4CDA" w:rsidRPr="000D0D06" w:rsidRDefault="009C4CDA" w:rsidP="009C4CDA">
            <w:pPr>
              <w:jc w:val="left"/>
              <w:rPr>
                <w:noProof/>
              </w:rPr>
            </w:pPr>
            <w:r w:rsidRPr="000D0D06">
              <w:rPr>
                <w:noProof/>
              </w:rPr>
              <w:t>Artigo 1.º</w:t>
            </w:r>
          </w:p>
        </w:tc>
        <w:tc>
          <w:tcPr>
            <w:tcW w:w="4415" w:type="dxa"/>
          </w:tcPr>
          <w:p w14:paraId="40AB36E0" w14:textId="77777777" w:rsidR="009C4CDA" w:rsidRPr="000D0D06" w:rsidRDefault="009C4CDA" w:rsidP="009C4CDA">
            <w:pPr>
              <w:jc w:val="left"/>
              <w:rPr>
                <w:noProof/>
              </w:rPr>
            </w:pPr>
            <w:r w:rsidRPr="000D0D06">
              <w:rPr>
                <w:noProof/>
              </w:rPr>
              <w:t xml:space="preserve">Aditamento do artigo 32.º-U ao Regulamento dos Dados. Definição das disposições relativas à publicação e à reutilização de conjuntos específicos de dados de elevado valor. </w:t>
            </w:r>
          </w:p>
        </w:tc>
        <w:tc>
          <w:tcPr>
            <w:tcW w:w="2693" w:type="dxa"/>
          </w:tcPr>
          <w:p w14:paraId="0365059F" w14:textId="77777777" w:rsidR="009C4CDA" w:rsidRPr="000D0D06" w:rsidRDefault="009C4CDA" w:rsidP="009C4CDA">
            <w:pPr>
              <w:spacing w:line="259" w:lineRule="auto"/>
              <w:jc w:val="left"/>
              <w:rPr>
                <w:noProof/>
              </w:rPr>
            </w:pPr>
            <w:r w:rsidRPr="000D0D06">
              <w:rPr>
                <w:noProof/>
              </w:rPr>
              <w:t>Comissão Europeia</w:t>
            </w:r>
          </w:p>
          <w:p w14:paraId="55955ADC" w14:textId="77777777" w:rsidR="009C4CDA" w:rsidRPr="000D0D06" w:rsidRDefault="009C4CDA" w:rsidP="009C4CDA">
            <w:pPr>
              <w:spacing w:line="259" w:lineRule="auto"/>
              <w:jc w:val="left"/>
              <w:rPr>
                <w:noProof/>
              </w:rPr>
            </w:pPr>
            <w:r w:rsidRPr="000D0D06">
              <w:rPr>
                <w:noProof/>
              </w:rPr>
              <w:t>Organismos do setor público, empresas públicas</w:t>
            </w:r>
          </w:p>
        </w:tc>
        <w:tc>
          <w:tcPr>
            <w:tcW w:w="1785" w:type="dxa"/>
          </w:tcPr>
          <w:p w14:paraId="5DCB894E" w14:textId="77777777" w:rsidR="009C4CDA" w:rsidRPr="000D0D06" w:rsidRDefault="009C4CDA" w:rsidP="009C4CDA">
            <w:pPr>
              <w:jc w:val="left"/>
              <w:rPr>
                <w:noProof/>
              </w:rPr>
            </w:pPr>
            <w:r w:rsidRPr="000D0D06">
              <w:rPr>
                <w:noProof/>
              </w:rPr>
              <w:t>Regras de reutilização de dados</w:t>
            </w:r>
          </w:p>
        </w:tc>
        <w:tc>
          <w:tcPr>
            <w:tcW w:w="2184" w:type="dxa"/>
          </w:tcPr>
          <w:p w14:paraId="645F57F1" w14:textId="77777777" w:rsidR="009C4CDA" w:rsidRPr="000D0D06" w:rsidRDefault="009C4CDA" w:rsidP="009C4CDA">
            <w:pPr>
              <w:jc w:val="left"/>
              <w:rPr>
                <w:noProof/>
              </w:rPr>
            </w:pPr>
            <w:r w:rsidRPr="000D0D06">
              <w:rPr>
                <w:noProof/>
              </w:rPr>
              <w:t>Serviço público digital</w:t>
            </w:r>
          </w:p>
          <w:p w14:paraId="38BD93E4" w14:textId="77777777" w:rsidR="009C4CDA" w:rsidRPr="000D0D06" w:rsidRDefault="009C4CDA" w:rsidP="009C4CDA">
            <w:pPr>
              <w:jc w:val="left"/>
              <w:rPr>
                <w:noProof/>
              </w:rPr>
            </w:pPr>
            <w:r w:rsidRPr="000D0D06">
              <w:rPr>
                <w:noProof/>
              </w:rPr>
              <w:t>Dados</w:t>
            </w:r>
          </w:p>
        </w:tc>
      </w:tr>
      <w:tr w:rsidR="009C4CDA" w:rsidRPr="000D0D06" w14:paraId="18122904" w14:textId="77777777">
        <w:trPr>
          <w:trHeight w:val="630"/>
        </w:trPr>
        <w:tc>
          <w:tcPr>
            <w:tcW w:w="3093" w:type="dxa"/>
          </w:tcPr>
          <w:p w14:paraId="21DC9734" w14:textId="77777777" w:rsidR="009C4CDA" w:rsidRPr="000D0D06" w:rsidRDefault="009C4CDA" w:rsidP="009C4CDA">
            <w:pPr>
              <w:jc w:val="left"/>
              <w:rPr>
                <w:noProof/>
              </w:rPr>
            </w:pPr>
            <w:r w:rsidRPr="000D0D06">
              <w:rPr>
                <w:noProof/>
              </w:rPr>
              <w:t>Artigo 1.º</w:t>
            </w:r>
          </w:p>
        </w:tc>
        <w:tc>
          <w:tcPr>
            <w:tcW w:w="4415" w:type="dxa"/>
          </w:tcPr>
          <w:p w14:paraId="26A17B9C" w14:textId="37596DFD" w:rsidR="009C4CDA" w:rsidRPr="000D0D06" w:rsidRDefault="009C4CDA" w:rsidP="009C4CDA">
            <w:pPr>
              <w:jc w:val="left"/>
              <w:rPr>
                <w:noProof/>
              </w:rPr>
            </w:pPr>
            <w:r w:rsidRPr="000D0D06">
              <w:rPr>
                <w:noProof/>
              </w:rPr>
              <w:t>Aditamento do artigo 32.º-W ao Regulamento dos Dados. Definição das condições aplicáveis à reutilização de determinadas categorias de dados. Os procedimentos de pedido e as condições em que essa reutilização é permitida devem ser disponibilizados ao público através do ponto de informação único.</w:t>
            </w:r>
          </w:p>
        </w:tc>
        <w:tc>
          <w:tcPr>
            <w:tcW w:w="2693" w:type="dxa"/>
          </w:tcPr>
          <w:p w14:paraId="1C0FE1B9" w14:textId="77777777" w:rsidR="009C4CDA" w:rsidRPr="000D0D06" w:rsidRDefault="009C4CDA" w:rsidP="009C4CDA">
            <w:pPr>
              <w:spacing w:line="259" w:lineRule="auto"/>
              <w:jc w:val="left"/>
              <w:rPr>
                <w:noProof/>
              </w:rPr>
            </w:pPr>
            <w:r w:rsidRPr="000D0D06">
              <w:rPr>
                <w:noProof/>
              </w:rPr>
              <w:t>Entidades do setor público</w:t>
            </w:r>
          </w:p>
          <w:p w14:paraId="285325B7" w14:textId="77777777" w:rsidR="009C4CDA" w:rsidRPr="000D0D06" w:rsidRDefault="009C4CDA" w:rsidP="009C4CDA">
            <w:pPr>
              <w:spacing w:line="259" w:lineRule="auto"/>
              <w:jc w:val="left"/>
              <w:rPr>
                <w:noProof/>
              </w:rPr>
            </w:pPr>
            <w:r w:rsidRPr="000D0D06">
              <w:rPr>
                <w:noProof/>
              </w:rPr>
              <w:t>Utilizadores dos dados</w:t>
            </w:r>
          </w:p>
        </w:tc>
        <w:tc>
          <w:tcPr>
            <w:tcW w:w="1785" w:type="dxa"/>
          </w:tcPr>
          <w:p w14:paraId="18DA971A" w14:textId="77777777" w:rsidR="009C4CDA" w:rsidRPr="000D0D06" w:rsidRDefault="009C4CDA" w:rsidP="009C4CDA">
            <w:pPr>
              <w:jc w:val="left"/>
              <w:rPr>
                <w:noProof/>
              </w:rPr>
            </w:pPr>
            <w:r w:rsidRPr="000D0D06">
              <w:rPr>
                <w:noProof/>
              </w:rPr>
              <w:t>Regras de reutilização de dados</w:t>
            </w:r>
          </w:p>
        </w:tc>
        <w:tc>
          <w:tcPr>
            <w:tcW w:w="2184" w:type="dxa"/>
          </w:tcPr>
          <w:p w14:paraId="14E38E13" w14:textId="77777777" w:rsidR="009C4CDA" w:rsidRPr="000D0D06" w:rsidRDefault="009C4CDA" w:rsidP="009C4CDA">
            <w:pPr>
              <w:jc w:val="left"/>
              <w:rPr>
                <w:noProof/>
              </w:rPr>
            </w:pPr>
            <w:r w:rsidRPr="000D0D06">
              <w:rPr>
                <w:noProof/>
              </w:rPr>
              <w:t>Serviço público digital</w:t>
            </w:r>
          </w:p>
          <w:p w14:paraId="78CE2945" w14:textId="77777777" w:rsidR="009C4CDA" w:rsidRPr="000D0D06" w:rsidRDefault="009C4CDA" w:rsidP="009C4CDA">
            <w:pPr>
              <w:jc w:val="left"/>
              <w:rPr>
                <w:noProof/>
              </w:rPr>
            </w:pPr>
            <w:r w:rsidRPr="000D0D06">
              <w:rPr>
                <w:noProof/>
              </w:rPr>
              <w:t>Dados</w:t>
            </w:r>
          </w:p>
        </w:tc>
      </w:tr>
      <w:tr w:rsidR="009C4CDA" w:rsidRPr="000D0D06" w14:paraId="1B973FC9" w14:textId="77777777">
        <w:trPr>
          <w:trHeight w:val="630"/>
        </w:trPr>
        <w:tc>
          <w:tcPr>
            <w:tcW w:w="3093" w:type="dxa"/>
          </w:tcPr>
          <w:p w14:paraId="0BBC3621" w14:textId="77777777" w:rsidR="009C4CDA" w:rsidRPr="000D0D06" w:rsidRDefault="009C4CDA" w:rsidP="009C4CDA">
            <w:pPr>
              <w:jc w:val="left"/>
              <w:rPr>
                <w:noProof/>
              </w:rPr>
            </w:pPr>
            <w:r w:rsidRPr="000D0D06">
              <w:rPr>
                <w:noProof/>
              </w:rPr>
              <w:t>Artigo 1.º</w:t>
            </w:r>
          </w:p>
        </w:tc>
        <w:tc>
          <w:tcPr>
            <w:tcW w:w="4415" w:type="dxa"/>
          </w:tcPr>
          <w:p w14:paraId="4E7541E4" w14:textId="77777777" w:rsidR="009C4CDA" w:rsidRPr="000D0D06" w:rsidRDefault="009C4CDA" w:rsidP="009C4CDA">
            <w:pPr>
              <w:jc w:val="left"/>
              <w:rPr>
                <w:noProof/>
              </w:rPr>
            </w:pPr>
            <w:r w:rsidRPr="000D0D06">
              <w:rPr>
                <w:noProof/>
              </w:rPr>
              <w:t>Aditamento do artigo 32.º-X ao Regulamento dos Dados; requisitos aplicáveis às transferências de dados não pessoais para países terceiros por reutilizadores.</w:t>
            </w:r>
          </w:p>
        </w:tc>
        <w:tc>
          <w:tcPr>
            <w:tcW w:w="2693" w:type="dxa"/>
          </w:tcPr>
          <w:p w14:paraId="036DA09F" w14:textId="77777777" w:rsidR="009C4CDA" w:rsidRPr="000D0D06" w:rsidRDefault="009C4CDA" w:rsidP="009C4CDA">
            <w:pPr>
              <w:spacing w:line="259" w:lineRule="auto"/>
              <w:jc w:val="left"/>
              <w:rPr>
                <w:noProof/>
              </w:rPr>
            </w:pPr>
            <w:r w:rsidRPr="000D0D06">
              <w:rPr>
                <w:noProof/>
              </w:rPr>
              <w:t>Reutilizadores de dados</w:t>
            </w:r>
          </w:p>
          <w:p w14:paraId="1FB7B09B" w14:textId="77777777" w:rsidR="009C4CDA" w:rsidRPr="000D0D06" w:rsidRDefault="009C4CDA" w:rsidP="009C4CDA">
            <w:pPr>
              <w:spacing w:line="259" w:lineRule="auto"/>
              <w:jc w:val="left"/>
              <w:rPr>
                <w:noProof/>
              </w:rPr>
            </w:pPr>
            <w:r w:rsidRPr="000D0D06">
              <w:rPr>
                <w:noProof/>
              </w:rPr>
              <w:t>Entidades do setor público</w:t>
            </w:r>
          </w:p>
          <w:p w14:paraId="64FEF0AA" w14:textId="77777777" w:rsidR="009C4CDA" w:rsidRPr="000D0D06" w:rsidRDefault="009C4CDA" w:rsidP="009C4CDA">
            <w:pPr>
              <w:spacing w:line="259" w:lineRule="auto"/>
              <w:jc w:val="left"/>
              <w:rPr>
                <w:noProof/>
              </w:rPr>
            </w:pPr>
            <w:r w:rsidRPr="000D0D06">
              <w:rPr>
                <w:noProof/>
              </w:rPr>
              <w:t>Pessoas singulares/coletivas cujos direitos podem ser afetados</w:t>
            </w:r>
          </w:p>
        </w:tc>
        <w:tc>
          <w:tcPr>
            <w:tcW w:w="1785" w:type="dxa"/>
          </w:tcPr>
          <w:p w14:paraId="2363991A" w14:textId="77777777" w:rsidR="009C4CDA" w:rsidRPr="000D0D06" w:rsidRDefault="009C4CDA" w:rsidP="009C4CDA">
            <w:pPr>
              <w:jc w:val="left"/>
              <w:rPr>
                <w:noProof/>
              </w:rPr>
            </w:pPr>
            <w:r w:rsidRPr="000D0D06">
              <w:rPr>
                <w:noProof/>
              </w:rPr>
              <w:t>Transferência de dados para países terceiros</w:t>
            </w:r>
          </w:p>
        </w:tc>
        <w:tc>
          <w:tcPr>
            <w:tcW w:w="2184" w:type="dxa"/>
          </w:tcPr>
          <w:p w14:paraId="3EF55123" w14:textId="77777777" w:rsidR="009C4CDA" w:rsidRPr="000D0D06" w:rsidRDefault="009C4CDA" w:rsidP="009C4CDA">
            <w:pPr>
              <w:jc w:val="left"/>
              <w:rPr>
                <w:noProof/>
              </w:rPr>
            </w:pPr>
            <w:r w:rsidRPr="000D0D06">
              <w:rPr>
                <w:noProof/>
              </w:rPr>
              <w:t>Serviço público digital</w:t>
            </w:r>
          </w:p>
          <w:p w14:paraId="64368B9F" w14:textId="77777777" w:rsidR="009C4CDA" w:rsidRPr="000D0D06" w:rsidRDefault="009C4CDA" w:rsidP="009C4CDA">
            <w:pPr>
              <w:jc w:val="left"/>
              <w:rPr>
                <w:noProof/>
              </w:rPr>
            </w:pPr>
            <w:r w:rsidRPr="000D0D06">
              <w:rPr>
                <w:noProof/>
              </w:rPr>
              <w:t>Dados</w:t>
            </w:r>
          </w:p>
        </w:tc>
      </w:tr>
      <w:tr w:rsidR="009C4CDA" w:rsidRPr="000D0D06" w14:paraId="44F5585B" w14:textId="77777777">
        <w:trPr>
          <w:trHeight w:val="630"/>
        </w:trPr>
        <w:tc>
          <w:tcPr>
            <w:tcW w:w="3093" w:type="dxa"/>
          </w:tcPr>
          <w:p w14:paraId="1476C083" w14:textId="77777777" w:rsidR="009C4CDA" w:rsidRPr="000D0D06" w:rsidRDefault="009C4CDA" w:rsidP="009C4CDA">
            <w:pPr>
              <w:jc w:val="left"/>
              <w:rPr>
                <w:noProof/>
              </w:rPr>
            </w:pPr>
            <w:r w:rsidRPr="000D0D06">
              <w:rPr>
                <w:noProof/>
              </w:rPr>
              <w:t>Artigo 1.º</w:t>
            </w:r>
          </w:p>
        </w:tc>
        <w:tc>
          <w:tcPr>
            <w:tcW w:w="4415" w:type="dxa"/>
          </w:tcPr>
          <w:p w14:paraId="2AC427CD" w14:textId="77777777" w:rsidR="009C4CDA" w:rsidRPr="000D0D06" w:rsidRDefault="009C4CDA" w:rsidP="009C4CDA">
            <w:pPr>
              <w:jc w:val="left"/>
              <w:rPr>
                <w:noProof/>
              </w:rPr>
            </w:pPr>
            <w:r w:rsidRPr="000D0D06">
              <w:rPr>
                <w:noProof/>
              </w:rPr>
              <w:t xml:space="preserve">Alterações do Regulamento dos Dados: </w:t>
            </w:r>
          </w:p>
          <w:p w14:paraId="42379E84" w14:textId="77777777" w:rsidR="009C4CDA" w:rsidRPr="000D0D06" w:rsidRDefault="009C4CDA" w:rsidP="0014764C">
            <w:pPr>
              <w:pStyle w:val="ListParagraph"/>
              <w:numPr>
                <w:ilvl w:val="0"/>
                <w:numId w:val="34"/>
              </w:numPr>
              <w:jc w:val="left"/>
              <w:rPr>
                <w:noProof/>
              </w:rPr>
            </w:pPr>
            <w:r w:rsidRPr="000D0D06">
              <w:rPr>
                <w:noProof/>
              </w:rPr>
              <w:t>55): aditamento do artigo 32.º-Z; medidas organizativas relativas aos organismos competentes,</w:t>
            </w:r>
          </w:p>
          <w:p w14:paraId="6AC90CE3" w14:textId="77777777" w:rsidR="009C4CDA" w:rsidRPr="000D0D06" w:rsidRDefault="009C4CDA" w:rsidP="0014764C">
            <w:pPr>
              <w:pStyle w:val="ListParagraph"/>
              <w:numPr>
                <w:ilvl w:val="0"/>
                <w:numId w:val="34"/>
              </w:numPr>
              <w:jc w:val="left"/>
              <w:rPr>
                <w:noProof/>
              </w:rPr>
            </w:pPr>
            <w:r w:rsidRPr="000D0D06">
              <w:rPr>
                <w:noProof/>
              </w:rPr>
              <w:t>57): aditamento do artigo 32.º-AB relativo aos procedimentos de pedidos de reutilização de dados,</w:t>
            </w:r>
          </w:p>
          <w:p w14:paraId="3E003FA0" w14:textId="7CDD5ACC" w:rsidR="009C4CDA" w:rsidRPr="000D0D06" w:rsidRDefault="009C4CDA" w:rsidP="0014764C">
            <w:pPr>
              <w:pStyle w:val="ListParagraph"/>
              <w:numPr>
                <w:ilvl w:val="0"/>
                <w:numId w:val="34"/>
              </w:numPr>
              <w:jc w:val="left"/>
              <w:rPr>
                <w:noProof/>
              </w:rPr>
            </w:pPr>
            <w:r w:rsidRPr="000D0D06">
              <w:rPr>
                <w:noProof/>
              </w:rPr>
              <w:t>58): substituição do artigo 38.º, n.</w:t>
            </w:r>
            <w:r w:rsidRPr="000D0D06">
              <w:rPr>
                <w:noProof/>
                <w:vertAlign w:val="superscript"/>
              </w:rPr>
              <w:t>os</w:t>
            </w:r>
            <w:r w:rsidRPr="000D0D06">
              <w:rPr>
                <w:noProof/>
              </w:rPr>
              <w:t> 1 e 2, relativo ao direito de reclamação.</w:t>
            </w:r>
          </w:p>
        </w:tc>
        <w:tc>
          <w:tcPr>
            <w:tcW w:w="2693" w:type="dxa"/>
          </w:tcPr>
          <w:p w14:paraId="2A95AAFA" w14:textId="77777777" w:rsidR="009C4CDA" w:rsidRPr="000D0D06" w:rsidRDefault="009C4CDA" w:rsidP="009C4CDA">
            <w:pPr>
              <w:spacing w:line="259" w:lineRule="auto"/>
              <w:jc w:val="left"/>
              <w:rPr>
                <w:noProof/>
              </w:rPr>
            </w:pPr>
            <w:r w:rsidRPr="000D0D06">
              <w:rPr>
                <w:noProof/>
              </w:rPr>
              <w:t>Organismos competentes</w:t>
            </w:r>
          </w:p>
          <w:p w14:paraId="4ACD0818" w14:textId="77777777" w:rsidR="009C4CDA" w:rsidRPr="000D0D06" w:rsidRDefault="009C4CDA" w:rsidP="009C4CDA">
            <w:pPr>
              <w:spacing w:line="259" w:lineRule="auto"/>
              <w:jc w:val="left"/>
              <w:rPr>
                <w:noProof/>
              </w:rPr>
            </w:pPr>
            <w:r w:rsidRPr="000D0D06">
              <w:rPr>
                <w:noProof/>
              </w:rPr>
              <w:t>Estados-Membros</w:t>
            </w:r>
          </w:p>
          <w:p w14:paraId="36BC614D" w14:textId="77777777" w:rsidR="009C4CDA" w:rsidRPr="000D0D06" w:rsidRDefault="009C4CDA" w:rsidP="009C4CDA">
            <w:pPr>
              <w:spacing w:line="259" w:lineRule="auto"/>
              <w:jc w:val="left"/>
              <w:rPr>
                <w:noProof/>
              </w:rPr>
            </w:pPr>
            <w:r w:rsidRPr="000D0D06">
              <w:rPr>
                <w:noProof/>
              </w:rPr>
              <w:t>Entidades do setor público</w:t>
            </w:r>
          </w:p>
        </w:tc>
        <w:tc>
          <w:tcPr>
            <w:tcW w:w="1785" w:type="dxa"/>
          </w:tcPr>
          <w:p w14:paraId="73EDA5FB" w14:textId="77777777" w:rsidR="009C4CDA" w:rsidRPr="000D0D06" w:rsidRDefault="009C4CDA" w:rsidP="009C4CDA">
            <w:pPr>
              <w:jc w:val="left"/>
              <w:rPr>
                <w:noProof/>
              </w:rPr>
            </w:pPr>
            <w:r w:rsidRPr="000D0D06">
              <w:rPr>
                <w:noProof/>
              </w:rPr>
              <w:t>Criação de organismos competentes</w:t>
            </w:r>
          </w:p>
          <w:p w14:paraId="7F05744F" w14:textId="77777777" w:rsidR="009C4CDA" w:rsidRPr="000D0D06" w:rsidRDefault="009C4CDA" w:rsidP="009C4CDA">
            <w:pPr>
              <w:jc w:val="left"/>
              <w:rPr>
                <w:noProof/>
              </w:rPr>
            </w:pPr>
            <w:r w:rsidRPr="000D0D06">
              <w:rPr>
                <w:noProof/>
              </w:rPr>
              <w:t>Procedimentos de pedido</w:t>
            </w:r>
          </w:p>
          <w:p w14:paraId="0F4BEAB8" w14:textId="77777777" w:rsidR="009C4CDA" w:rsidRPr="000D0D06" w:rsidRDefault="009C4CDA" w:rsidP="009C4CDA">
            <w:pPr>
              <w:jc w:val="left"/>
              <w:rPr>
                <w:noProof/>
              </w:rPr>
            </w:pPr>
            <w:r w:rsidRPr="000D0D06">
              <w:rPr>
                <w:noProof/>
              </w:rPr>
              <w:t>Reclamações</w:t>
            </w:r>
          </w:p>
        </w:tc>
        <w:tc>
          <w:tcPr>
            <w:tcW w:w="2184" w:type="dxa"/>
          </w:tcPr>
          <w:p w14:paraId="6E785D99" w14:textId="77777777" w:rsidR="009C4CDA" w:rsidRPr="000D0D06" w:rsidRDefault="009C4CDA" w:rsidP="009C4CDA">
            <w:pPr>
              <w:jc w:val="left"/>
              <w:rPr>
                <w:noProof/>
              </w:rPr>
            </w:pPr>
            <w:r w:rsidRPr="000D0D06">
              <w:rPr>
                <w:noProof/>
              </w:rPr>
              <w:t>Serviço público digital</w:t>
            </w:r>
          </w:p>
          <w:p w14:paraId="1AAB9EBC" w14:textId="77777777" w:rsidR="009C4CDA" w:rsidRPr="000D0D06" w:rsidRDefault="009C4CDA" w:rsidP="009C4CDA">
            <w:pPr>
              <w:jc w:val="left"/>
              <w:rPr>
                <w:noProof/>
              </w:rPr>
            </w:pPr>
            <w:r w:rsidRPr="000D0D06">
              <w:rPr>
                <w:noProof/>
              </w:rPr>
              <w:t>Dados</w:t>
            </w:r>
          </w:p>
        </w:tc>
      </w:tr>
      <w:tr w:rsidR="009C4CDA" w:rsidRPr="000D0D06" w14:paraId="008D2710" w14:textId="77777777">
        <w:trPr>
          <w:trHeight w:val="630"/>
        </w:trPr>
        <w:tc>
          <w:tcPr>
            <w:tcW w:w="3093" w:type="dxa"/>
          </w:tcPr>
          <w:p w14:paraId="134B6E88" w14:textId="77777777" w:rsidR="009C4CDA" w:rsidRPr="000D0D06" w:rsidRDefault="009C4CDA" w:rsidP="009C4CDA">
            <w:pPr>
              <w:jc w:val="left"/>
              <w:rPr>
                <w:noProof/>
              </w:rPr>
            </w:pPr>
            <w:r w:rsidRPr="000D0D06">
              <w:rPr>
                <w:noProof/>
              </w:rPr>
              <w:t>Artigo 1.º</w:t>
            </w:r>
          </w:p>
        </w:tc>
        <w:tc>
          <w:tcPr>
            <w:tcW w:w="4415" w:type="dxa"/>
          </w:tcPr>
          <w:p w14:paraId="4FDC1838" w14:textId="77777777" w:rsidR="009C4CDA" w:rsidRPr="000D0D06" w:rsidRDefault="009C4CDA" w:rsidP="009C4CDA">
            <w:pPr>
              <w:jc w:val="left"/>
              <w:rPr>
                <w:noProof/>
              </w:rPr>
            </w:pPr>
            <w:r w:rsidRPr="000D0D06">
              <w:rPr>
                <w:noProof/>
              </w:rPr>
              <w:t xml:space="preserve">Aditamento do artigo 32.º-AA ao Regulamento dos Dados. Tornar obrigatória a utilização de um ponto de informação único para facilitar a reutilização de dados. </w:t>
            </w:r>
          </w:p>
        </w:tc>
        <w:tc>
          <w:tcPr>
            <w:tcW w:w="2693" w:type="dxa"/>
          </w:tcPr>
          <w:p w14:paraId="4999FAC1" w14:textId="77777777" w:rsidR="009C4CDA" w:rsidRPr="000D0D06" w:rsidRDefault="009C4CDA" w:rsidP="009C4CDA">
            <w:pPr>
              <w:spacing w:line="259" w:lineRule="auto"/>
              <w:jc w:val="left"/>
              <w:rPr>
                <w:noProof/>
              </w:rPr>
            </w:pPr>
            <w:r w:rsidRPr="000D0D06">
              <w:rPr>
                <w:noProof/>
              </w:rPr>
              <w:t>Estados-Membros</w:t>
            </w:r>
          </w:p>
          <w:p w14:paraId="333592DC" w14:textId="77777777" w:rsidR="009C4CDA" w:rsidRPr="000D0D06" w:rsidRDefault="009C4CDA" w:rsidP="009C4CDA">
            <w:pPr>
              <w:spacing w:line="259" w:lineRule="auto"/>
              <w:jc w:val="left"/>
              <w:rPr>
                <w:noProof/>
              </w:rPr>
            </w:pPr>
            <w:r w:rsidRPr="000D0D06">
              <w:rPr>
                <w:noProof/>
              </w:rPr>
              <w:t>Detentores dos dados</w:t>
            </w:r>
          </w:p>
          <w:p w14:paraId="294FC61C" w14:textId="77777777" w:rsidR="009C4CDA" w:rsidRPr="000D0D06" w:rsidRDefault="009C4CDA" w:rsidP="009C4CDA">
            <w:pPr>
              <w:spacing w:line="259" w:lineRule="auto"/>
              <w:jc w:val="left"/>
              <w:rPr>
                <w:noProof/>
              </w:rPr>
            </w:pPr>
            <w:r w:rsidRPr="000D0D06">
              <w:rPr>
                <w:noProof/>
              </w:rPr>
              <w:t>Utilizadores dos dados</w:t>
            </w:r>
          </w:p>
          <w:p w14:paraId="746FDEE2" w14:textId="77777777" w:rsidR="009C4CDA" w:rsidRPr="000D0D06" w:rsidRDefault="009C4CDA" w:rsidP="009C4CDA">
            <w:pPr>
              <w:spacing w:line="259" w:lineRule="auto"/>
              <w:jc w:val="left"/>
              <w:rPr>
                <w:noProof/>
              </w:rPr>
            </w:pPr>
            <w:r w:rsidRPr="000D0D06">
              <w:rPr>
                <w:noProof/>
              </w:rPr>
              <w:t xml:space="preserve">Comissão Europeia </w:t>
            </w:r>
          </w:p>
        </w:tc>
        <w:tc>
          <w:tcPr>
            <w:tcW w:w="1785" w:type="dxa"/>
          </w:tcPr>
          <w:p w14:paraId="02C68595" w14:textId="77777777" w:rsidR="009C4CDA" w:rsidRPr="000D0D06" w:rsidRDefault="009C4CDA" w:rsidP="009C4CDA">
            <w:pPr>
              <w:jc w:val="left"/>
              <w:rPr>
                <w:noProof/>
              </w:rPr>
            </w:pPr>
            <w:r w:rsidRPr="000D0D06">
              <w:rPr>
                <w:noProof/>
              </w:rPr>
              <w:t>Criação de um ponto de acesso único</w:t>
            </w:r>
          </w:p>
        </w:tc>
        <w:tc>
          <w:tcPr>
            <w:tcW w:w="2184" w:type="dxa"/>
          </w:tcPr>
          <w:p w14:paraId="14FF53D0" w14:textId="77777777" w:rsidR="009C4CDA" w:rsidRPr="000D0D06" w:rsidRDefault="009C4CDA" w:rsidP="009C4CDA">
            <w:pPr>
              <w:jc w:val="left"/>
              <w:rPr>
                <w:noProof/>
              </w:rPr>
            </w:pPr>
            <w:r w:rsidRPr="000D0D06">
              <w:rPr>
                <w:noProof/>
              </w:rPr>
              <w:t>Soluções digitais</w:t>
            </w:r>
          </w:p>
          <w:p w14:paraId="223F0C43" w14:textId="77777777" w:rsidR="009C4CDA" w:rsidRPr="000D0D06" w:rsidRDefault="009C4CDA" w:rsidP="009C4CDA">
            <w:pPr>
              <w:jc w:val="left"/>
              <w:rPr>
                <w:noProof/>
              </w:rPr>
            </w:pPr>
            <w:r w:rsidRPr="000D0D06">
              <w:rPr>
                <w:noProof/>
              </w:rPr>
              <w:t>Serviço público digital</w:t>
            </w:r>
          </w:p>
          <w:p w14:paraId="67C62B92" w14:textId="77777777" w:rsidR="009C4CDA" w:rsidRPr="000D0D06" w:rsidRDefault="009C4CDA" w:rsidP="009C4CDA">
            <w:pPr>
              <w:jc w:val="left"/>
              <w:rPr>
                <w:noProof/>
              </w:rPr>
            </w:pPr>
            <w:r w:rsidRPr="000D0D06">
              <w:rPr>
                <w:noProof/>
              </w:rPr>
              <w:t>Digitalização de processos</w:t>
            </w:r>
          </w:p>
          <w:p w14:paraId="388279F3" w14:textId="77777777" w:rsidR="009C4CDA" w:rsidRPr="000D0D06" w:rsidRDefault="009C4CDA" w:rsidP="009C4CDA">
            <w:pPr>
              <w:jc w:val="left"/>
              <w:rPr>
                <w:noProof/>
              </w:rPr>
            </w:pPr>
            <w:r w:rsidRPr="000D0D06">
              <w:rPr>
                <w:noProof/>
              </w:rPr>
              <w:t>Dados</w:t>
            </w:r>
          </w:p>
        </w:tc>
      </w:tr>
      <w:tr w:rsidR="009C4CDA" w:rsidRPr="000D0D06" w14:paraId="418F8588" w14:textId="77777777">
        <w:trPr>
          <w:trHeight w:val="5040"/>
        </w:trPr>
        <w:tc>
          <w:tcPr>
            <w:tcW w:w="3093" w:type="dxa"/>
          </w:tcPr>
          <w:p w14:paraId="422044BD" w14:textId="77777777" w:rsidR="009C4CDA" w:rsidRPr="000D0D06" w:rsidRDefault="009C4CDA" w:rsidP="009C4CDA">
            <w:pPr>
              <w:jc w:val="left"/>
              <w:rPr>
                <w:noProof/>
              </w:rPr>
            </w:pPr>
            <w:r w:rsidRPr="000D0D06">
              <w:rPr>
                <w:noProof/>
              </w:rPr>
              <w:t>Artigo 1.º</w:t>
            </w:r>
          </w:p>
        </w:tc>
        <w:tc>
          <w:tcPr>
            <w:tcW w:w="4415" w:type="dxa"/>
          </w:tcPr>
          <w:p w14:paraId="6AF9DBC7" w14:textId="77777777" w:rsidR="009C4CDA" w:rsidRPr="000D0D06" w:rsidRDefault="009C4CDA" w:rsidP="009C4CDA">
            <w:pPr>
              <w:jc w:val="left"/>
              <w:rPr>
                <w:noProof/>
              </w:rPr>
            </w:pPr>
            <w:r w:rsidRPr="000D0D06">
              <w:rPr>
                <w:noProof/>
              </w:rPr>
              <w:t>Alterações dos artigos 41.º-A, 42.º, 45.º, 46.º, 48.º-A, 49.º, 49.º-A do Regulamento dos Dados, para introduzir o capítulo IX-A que cria o Comité Europeu da Inovação de Dados enquanto grupo de peritos para coordenar a aplicação da lei e facilitar o desenvolvimento de uma economia europeia dos dados, incluindo requisitos de composição, função, facilitação da cooperação entre as autoridades competentes e apoio à aplicação coerente dos requisitos legais.</w:t>
            </w:r>
          </w:p>
        </w:tc>
        <w:tc>
          <w:tcPr>
            <w:tcW w:w="2693" w:type="dxa"/>
          </w:tcPr>
          <w:p w14:paraId="0E7153C9" w14:textId="77777777" w:rsidR="009C4CDA" w:rsidRPr="000D0D06" w:rsidRDefault="009C4CDA" w:rsidP="009C4CDA">
            <w:pPr>
              <w:jc w:val="left"/>
              <w:rPr>
                <w:noProof/>
              </w:rPr>
            </w:pPr>
            <w:r w:rsidRPr="000D0D06">
              <w:rPr>
                <w:noProof/>
              </w:rPr>
              <w:t>Comissão Europeia, Comité Europeu da Inovação de Dados</w:t>
            </w:r>
          </w:p>
          <w:p w14:paraId="2CA80E7A" w14:textId="77777777" w:rsidR="009C4CDA" w:rsidRPr="000D0D06" w:rsidRDefault="009C4CDA" w:rsidP="009C4CDA">
            <w:pPr>
              <w:jc w:val="left"/>
              <w:rPr>
                <w:noProof/>
              </w:rPr>
            </w:pPr>
            <w:r w:rsidRPr="000D0D06">
              <w:rPr>
                <w:noProof/>
              </w:rPr>
              <w:t>Representantes dos Estados-Membros competentes em matéria de política de economia dos dados</w:t>
            </w:r>
          </w:p>
          <w:p w14:paraId="46402A99" w14:textId="77777777" w:rsidR="009C4CDA" w:rsidRPr="000D0D06" w:rsidRDefault="009C4CDA" w:rsidP="009C4CDA">
            <w:pPr>
              <w:jc w:val="left"/>
              <w:rPr>
                <w:noProof/>
              </w:rPr>
            </w:pPr>
            <w:r w:rsidRPr="000D0D06">
              <w:rPr>
                <w:noProof/>
              </w:rPr>
              <w:t>Autoridades competentes para a aplicação dos capítulos II, III e V</w:t>
            </w:r>
          </w:p>
          <w:p w14:paraId="26AF05FA" w14:textId="77777777" w:rsidR="009C4CDA" w:rsidRPr="000D0D06" w:rsidRDefault="009C4CDA" w:rsidP="009C4CDA">
            <w:pPr>
              <w:jc w:val="left"/>
              <w:rPr>
                <w:noProof/>
              </w:rPr>
            </w:pPr>
            <w:r w:rsidRPr="000D0D06">
              <w:rPr>
                <w:noProof/>
              </w:rPr>
              <w:t>Autoridades competentes para a reutilização de informações do setor público (Diretiva Dados Abertos)</w:t>
            </w:r>
          </w:p>
          <w:p w14:paraId="23850BDB" w14:textId="77777777" w:rsidR="009C4CDA" w:rsidRPr="000D0D06" w:rsidRDefault="009C4CDA" w:rsidP="009C4CDA">
            <w:pPr>
              <w:jc w:val="left"/>
              <w:rPr>
                <w:noProof/>
              </w:rPr>
            </w:pPr>
            <w:r w:rsidRPr="000D0D06">
              <w:rPr>
                <w:noProof/>
              </w:rPr>
              <w:t>Autoridades competentes em matéria de serviços de intermediação de dados</w:t>
            </w:r>
          </w:p>
          <w:p w14:paraId="4224A7B3" w14:textId="77777777" w:rsidR="009C4CDA" w:rsidRPr="000D0D06" w:rsidRDefault="009C4CDA" w:rsidP="009C4CDA">
            <w:pPr>
              <w:jc w:val="left"/>
              <w:rPr>
                <w:noProof/>
              </w:rPr>
            </w:pPr>
            <w:r w:rsidRPr="000D0D06">
              <w:rPr>
                <w:noProof/>
              </w:rPr>
              <w:t>Autoridades competentes em matéria de registo das organizações de altruísmo de dados</w:t>
            </w:r>
          </w:p>
          <w:p w14:paraId="13426163" w14:textId="77777777" w:rsidR="009C4CDA" w:rsidRPr="000D0D06" w:rsidRDefault="009C4CDA" w:rsidP="009C4CDA">
            <w:pPr>
              <w:jc w:val="left"/>
              <w:rPr>
                <w:noProof/>
              </w:rPr>
            </w:pPr>
            <w:r w:rsidRPr="000D0D06">
              <w:rPr>
                <w:noProof/>
              </w:rPr>
              <w:t>Comité Europeu para a Proteção de Dados (CEPD), Autoridade Europeia para a Proteção de Dados (AEPD)</w:t>
            </w:r>
          </w:p>
          <w:p w14:paraId="749EC0E5" w14:textId="77777777" w:rsidR="009C4CDA" w:rsidRPr="000D0D06" w:rsidRDefault="009C4CDA" w:rsidP="009C4CDA">
            <w:pPr>
              <w:jc w:val="left"/>
              <w:rPr>
                <w:noProof/>
              </w:rPr>
            </w:pPr>
            <w:r w:rsidRPr="000D0D06">
              <w:rPr>
                <w:noProof/>
              </w:rPr>
              <w:t>ENISA (Agência da União Europeia para a Cibersegurança)</w:t>
            </w:r>
          </w:p>
          <w:p w14:paraId="095AF84C" w14:textId="77777777" w:rsidR="009C4CDA" w:rsidRPr="000D0D06" w:rsidRDefault="009C4CDA" w:rsidP="009C4CDA">
            <w:pPr>
              <w:jc w:val="left"/>
              <w:rPr>
                <w:noProof/>
              </w:rPr>
            </w:pPr>
            <w:r w:rsidRPr="000D0D06">
              <w:rPr>
                <w:noProof/>
              </w:rPr>
              <w:t>Representante da UE para as PME ou representante da rede de representantes nacionais das PME</w:t>
            </w:r>
          </w:p>
          <w:p w14:paraId="01F42CB1" w14:textId="77777777" w:rsidR="009C4CDA" w:rsidRPr="000D0D06" w:rsidRDefault="009C4CDA" w:rsidP="009C4CDA">
            <w:pPr>
              <w:jc w:val="left"/>
              <w:rPr>
                <w:noProof/>
              </w:rPr>
            </w:pPr>
            <w:r w:rsidRPr="000D0D06">
              <w:rPr>
                <w:noProof/>
              </w:rPr>
              <w:t>Outros representantes de organismos pertinentes em setores específicos</w:t>
            </w:r>
          </w:p>
          <w:p w14:paraId="0F6334CE" w14:textId="77777777" w:rsidR="009C4CDA" w:rsidRPr="000D0D06" w:rsidRDefault="009C4CDA" w:rsidP="009C4CDA">
            <w:pPr>
              <w:jc w:val="left"/>
              <w:rPr>
                <w:noProof/>
              </w:rPr>
            </w:pPr>
            <w:r w:rsidRPr="000D0D06">
              <w:rPr>
                <w:noProof/>
              </w:rPr>
              <w:t>Organismos com competências específicas</w:t>
            </w:r>
          </w:p>
          <w:p w14:paraId="6BED86A5" w14:textId="77777777" w:rsidR="009C4CDA" w:rsidRPr="000D0D06" w:rsidRDefault="009C4CDA" w:rsidP="009C4CDA">
            <w:pPr>
              <w:jc w:val="left"/>
              <w:rPr>
                <w:noProof/>
              </w:rPr>
            </w:pPr>
            <w:r w:rsidRPr="000D0D06">
              <w:rPr>
                <w:noProof/>
              </w:rPr>
              <w:t>Organizações de normalização</w:t>
            </w:r>
          </w:p>
          <w:p w14:paraId="1253678C" w14:textId="77777777" w:rsidR="009C4CDA" w:rsidRPr="000D0D06" w:rsidRDefault="009C4CDA" w:rsidP="009C4CDA">
            <w:pPr>
              <w:jc w:val="left"/>
              <w:rPr>
                <w:noProof/>
              </w:rPr>
            </w:pPr>
            <w:r w:rsidRPr="000D0D06">
              <w:rPr>
                <w:noProof/>
              </w:rPr>
              <w:t>Parlamento Europeu, Conselho da União Europeia, Comité Económico e Social Europeu</w:t>
            </w:r>
          </w:p>
          <w:p w14:paraId="24B8263A" w14:textId="77777777" w:rsidR="009C4CDA" w:rsidRPr="000D0D06" w:rsidRDefault="009C4CDA" w:rsidP="009C4CDA">
            <w:pPr>
              <w:jc w:val="left"/>
              <w:rPr>
                <w:noProof/>
              </w:rPr>
            </w:pPr>
            <w:r w:rsidRPr="000D0D06">
              <w:rPr>
                <w:noProof/>
              </w:rPr>
              <w:t>Prestadores de serviços de intermediação de dados</w:t>
            </w:r>
          </w:p>
          <w:p w14:paraId="479F33AB" w14:textId="77777777" w:rsidR="009C4CDA" w:rsidRPr="000D0D06" w:rsidRDefault="009C4CDA" w:rsidP="009C4CDA">
            <w:pPr>
              <w:jc w:val="left"/>
              <w:rPr>
                <w:noProof/>
              </w:rPr>
            </w:pPr>
            <w:r w:rsidRPr="000D0D06">
              <w:rPr>
                <w:noProof/>
              </w:rPr>
              <w:t>Organizações de altruísmo de dados reconhecidas</w:t>
            </w:r>
          </w:p>
        </w:tc>
        <w:tc>
          <w:tcPr>
            <w:tcW w:w="1785" w:type="dxa"/>
          </w:tcPr>
          <w:p w14:paraId="418E1497" w14:textId="77777777" w:rsidR="009C4CDA" w:rsidRPr="000D0D06" w:rsidRDefault="009C4CDA" w:rsidP="009C4CDA">
            <w:pPr>
              <w:jc w:val="left"/>
              <w:rPr>
                <w:noProof/>
              </w:rPr>
            </w:pPr>
            <w:r w:rsidRPr="000D0D06">
              <w:rPr>
                <w:noProof/>
              </w:rPr>
              <w:t>Criação do Comité Europeu da Inovação de Dados</w:t>
            </w:r>
          </w:p>
        </w:tc>
        <w:tc>
          <w:tcPr>
            <w:tcW w:w="2184" w:type="dxa"/>
          </w:tcPr>
          <w:p w14:paraId="02B8CD29" w14:textId="77777777" w:rsidR="009C4CDA" w:rsidRPr="000D0D06" w:rsidRDefault="009C4CDA" w:rsidP="009C4CDA">
            <w:pPr>
              <w:jc w:val="left"/>
              <w:rPr>
                <w:noProof/>
              </w:rPr>
            </w:pPr>
            <w:r w:rsidRPr="000D0D06">
              <w:rPr>
                <w:noProof/>
              </w:rPr>
              <w:t>Serviço público digital</w:t>
            </w:r>
          </w:p>
          <w:p w14:paraId="06A34B61" w14:textId="77777777" w:rsidR="009C4CDA" w:rsidRPr="000D0D06" w:rsidRDefault="009C4CDA" w:rsidP="009C4CDA">
            <w:pPr>
              <w:jc w:val="left"/>
              <w:rPr>
                <w:noProof/>
              </w:rPr>
            </w:pPr>
            <w:r w:rsidRPr="000D0D06">
              <w:rPr>
                <w:noProof/>
              </w:rPr>
              <w:t>Dados</w:t>
            </w:r>
          </w:p>
        </w:tc>
      </w:tr>
      <w:tr w:rsidR="009C4CDA" w:rsidRPr="000D0D06" w14:paraId="6AD22FEA" w14:textId="77777777">
        <w:trPr>
          <w:trHeight w:val="2700"/>
        </w:trPr>
        <w:tc>
          <w:tcPr>
            <w:tcW w:w="3093" w:type="dxa"/>
          </w:tcPr>
          <w:p w14:paraId="3A029334" w14:textId="77777777" w:rsidR="009C4CDA" w:rsidRPr="000D0D06" w:rsidRDefault="009C4CDA" w:rsidP="009C4CDA">
            <w:pPr>
              <w:jc w:val="left"/>
              <w:rPr>
                <w:noProof/>
              </w:rPr>
            </w:pPr>
            <w:r w:rsidRPr="000D0D06">
              <w:rPr>
                <w:noProof/>
              </w:rPr>
              <w:t>Artigo 3.º</w:t>
            </w:r>
          </w:p>
        </w:tc>
        <w:tc>
          <w:tcPr>
            <w:tcW w:w="4415" w:type="dxa"/>
          </w:tcPr>
          <w:p w14:paraId="0FD61686" w14:textId="77777777" w:rsidR="009C4CDA" w:rsidRPr="000D0D06" w:rsidRDefault="009C4CDA" w:rsidP="009C4CDA">
            <w:pPr>
              <w:jc w:val="left"/>
              <w:rPr>
                <w:noProof/>
              </w:rPr>
            </w:pPr>
            <w:r w:rsidRPr="000D0D06">
              <w:rPr>
                <w:noProof/>
              </w:rPr>
              <w:t>Alteração do artigo 33.º do Regulamento (UE) 2016/679 (RGPD) relativo às notificações de violações de dados pessoais Torna obrigatória, nomeadamente, a utilização do ponto de entrada único criado nos termos do artigo 23.º-A da Diretiva (UE) 2022/2555 e prevê a utilização de modelos de notificação.</w:t>
            </w:r>
          </w:p>
        </w:tc>
        <w:tc>
          <w:tcPr>
            <w:tcW w:w="2693" w:type="dxa"/>
          </w:tcPr>
          <w:p w14:paraId="232AC3FC" w14:textId="77777777" w:rsidR="009C4CDA" w:rsidRPr="000D0D06" w:rsidRDefault="009C4CDA" w:rsidP="009C4CDA">
            <w:pPr>
              <w:jc w:val="left"/>
              <w:rPr>
                <w:noProof/>
              </w:rPr>
            </w:pPr>
            <w:r w:rsidRPr="000D0D06">
              <w:rPr>
                <w:noProof/>
              </w:rPr>
              <w:t>Titulares dos dados</w:t>
            </w:r>
          </w:p>
          <w:p w14:paraId="3AAD61F4" w14:textId="77777777" w:rsidR="009C4CDA" w:rsidRPr="000D0D06" w:rsidRDefault="009C4CDA" w:rsidP="009C4CDA">
            <w:pPr>
              <w:jc w:val="left"/>
              <w:rPr>
                <w:noProof/>
              </w:rPr>
            </w:pPr>
            <w:r w:rsidRPr="000D0D06">
              <w:rPr>
                <w:noProof/>
              </w:rPr>
              <w:t>Responsáveis pelo tratamento</w:t>
            </w:r>
          </w:p>
          <w:p w14:paraId="2893AB74" w14:textId="77777777" w:rsidR="009C4CDA" w:rsidRPr="000D0D06" w:rsidRDefault="009C4CDA" w:rsidP="009C4CDA">
            <w:pPr>
              <w:jc w:val="left"/>
              <w:rPr>
                <w:noProof/>
              </w:rPr>
            </w:pPr>
            <w:r w:rsidRPr="000D0D06">
              <w:rPr>
                <w:noProof/>
              </w:rPr>
              <w:t>Autoridades de controlo</w:t>
            </w:r>
          </w:p>
          <w:p w14:paraId="44254480" w14:textId="77777777" w:rsidR="009C4CDA" w:rsidRPr="000D0D06" w:rsidRDefault="009C4CDA" w:rsidP="009C4CDA">
            <w:pPr>
              <w:jc w:val="left"/>
              <w:rPr>
                <w:noProof/>
              </w:rPr>
            </w:pPr>
            <w:r w:rsidRPr="000D0D06">
              <w:rPr>
                <w:noProof/>
              </w:rPr>
              <w:t>Comité Europeu para a Proteção de Dados</w:t>
            </w:r>
          </w:p>
          <w:p w14:paraId="64C1C7A7" w14:textId="77777777" w:rsidR="009C4CDA" w:rsidRPr="000D0D06" w:rsidRDefault="009C4CDA" w:rsidP="009C4CDA">
            <w:pPr>
              <w:jc w:val="left"/>
              <w:rPr>
                <w:noProof/>
              </w:rPr>
            </w:pPr>
            <w:r w:rsidRPr="000D0D06">
              <w:rPr>
                <w:noProof/>
              </w:rPr>
              <w:t>Comissão Europeia</w:t>
            </w:r>
          </w:p>
        </w:tc>
        <w:tc>
          <w:tcPr>
            <w:tcW w:w="1785" w:type="dxa"/>
          </w:tcPr>
          <w:p w14:paraId="791533BF" w14:textId="77777777" w:rsidR="009C4CDA" w:rsidRPr="000D0D06" w:rsidRDefault="009C4CDA" w:rsidP="009C4CDA">
            <w:pPr>
              <w:jc w:val="left"/>
              <w:rPr>
                <w:noProof/>
              </w:rPr>
            </w:pPr>
            <w:r w:rsidRPr="000D0D06">
              <w:rPr>
                <w:noProof/>
              </w:rPr>
              <w:t>Notificação</w:t>
            </w:r>
          </w:p>
        </w:tc>
        <w:tc>
          <w:tcPr>
            <w:tcW w:w="2184" w:type="dxa"/>
          </w:tcPr>
          <w:p w14:paraId="3D6F1DAC" w14:textId="77777777" w:rsidR="009C4CDA" w:rsidRPr="000D0D06" w:rsidRDefault="009C4CDA" w:rsidP="009C4CDA">
            <w:pPr>
              <w:jc w:val="left"/>
              <w:rPr>
                <w:noProof/>
              </w:rPr>
            </w:pPr>
            <w:r w:rsidRPr="000D0D06">
              <w:rPr>
                <w:noProof/>
              </w:rPr>
              <w:t>Dados</w:t>
            </w:r>
          </w:p>
        </w:tc>
      </w:tr>
      <w:tr w:rsidR="009C4CDA" w:rsidRPr="000D0D06" w14:paraId="4A9E2543" w14:textId="77777777">
        <w:trPr>
          <w:trHeight w:val="2160"/>
        </w:trPr>
        <w:tc>
          <w:tcPr>
            <w:tcW w:w="3093" w:type="dxa"/>
          </w:tcPr>
          <w:p w14:paraId="1C851B72" w14:textId="77777777" w:rsidR="009C4CDA" w:rsidRPr="000D0D06" w:rsidRDefault="009C4CDA" w:rsidP="009C4CDA">
            <w:pPr>
              <w:jc w:val="left"/>
              <w:rPr>
                <w:noProof/>
              </w:rPr>
            </w:pPr>
            <w:r w:rsidRPr="000D0D06">
              <w:rPr>
                <w:noProof/>
              </w:rPr>
              <w:t>Artigo 3.º</w:t>
            </w:r>
          </w:p>
        </w:tc>
        <w:tc>
          <w:tcPr>
            <w:tcW w:w="4415" w:type="dxa"/>
          </w:tcPr>
          <w:p w14:paraId="397AAC92" w14:textId="77777777" w:rsidR="009C4CDA" w:rsidRPr="000D0D06" w:rsidRDefault="009C4CDA" w:rsidP="009C4CDA">
            <w:pPr>
              <w:jc w:val="left"/>
              <w:rPr>
                <w:noProof/>
              </w:rPr>
            </w:pPr>
            <w:r w:rsidRPr="000D0D06">
              <w:rPr>
                <w:noProof/>
              </w:rPr>
              <w:t xml:space="preserve">Alteração do artigo 35.º e do artigo 70.º, n.º 1, do Regulamento (UE) 2016/679 (RGPD). Obrigação de o Comité Europeu para a Proteção de Dados transmitir à Comissão propostas para tornar mais operacionais determinados aspetos da avaliação de impacto sobre a proteção de dados. Estas propostas incluem um modelo comum para essas avaliações. </w:t>
            </w:r>
          </w:p>
        </w:tc>
        <w:tc>
          <w:tcPr>
            <w:tcW w:w="2693" w:type="dxa"/>
          </w:tcPr>
          <w:p w14:paraId="323B33CF" w14:textId="77777777" w:rsidR="009C4CDA" w:rsidRPr="000D0D06" w:rsidRDefault="009C4CDA" w:rsidP="009C4CDA">
            <w:pPr>
              <w:jc w:val="left"/>
              <w:rPr>
                <w:noProof/>
              </w:rPr>
            </w:pPr>
            <w:r w:rsidRPr="000D0D06">
              <w:rPr>
                <w:noProof/>
              </w:rPr>
              <w:t>Comité Europeu para a Proteção de Dados</w:t>
            </w:r>
          </w:p>
          <w:p w14:paraId="243F4CB7" w14:textId="77777777" w:rsidR="009C4CDA" w:rsidRPr="000D0D06" w:rsidRDefault="009C4CDA" w:rsidP="009C4CDA">
            <w:pPr>
              <w:jc w:val="left"/>
              <w:rPr>
                <w:noProof/>
              </w:rPr>
            </w:pPr>
            <w:r w:rsidRPr="000D0D06">
              <w:rPr>
                <w:noProof/>
              </w:rPr>
              <w:t>Comissão Europeia</w:t>
            </w:r>
          </w:p>
        </w:tc>
        <w:tc>
          <w:tcPr>
            <w:tcW w:w="1785" w:type="dxa"/>
          </w:tcPr>
          <w:p w14:paraId="2B6ECB05" w14:textId="77777777" w:rsidR="009C4CDA" w:rsidRPr="000D0D06" w:rsidRDefault="009C4CDA" w:rsidP="009C4CDA">
            <w:pPr>
              <w:jc w:val="left"/>
              <w:rPr>
                <w:noProof/>
              </w:rPr>
            </w:pPr>
            <w:r w:rsidRPr="000D0D06">
              <w:rPr>
                <w:noProof/>
              </w:rPr>
              <w:t>Propostas do Comité transmitidas à Comissão</w:t>
            </w:r>
          </w:p>
        </w:tc>
        <w:tc>
          <w:tcPr>
            <w:tcW w:w="2184" w:type="dxa"/>
          </w:tcPr>
          <w:p w14:paraId="546F3DAE" w14:textId="77777777" w:rsidR="009C4CDA" w:rsidRPr="000D0D06" w:rsidRDefault="009C4CDA" w:rsidP="009C4CDA">
            <w:pPr>
              <w:jc w:val="left"/>
              <w:rPr>
                <w:noProof/>
              </w:rPr>
            </w:pPr>
            <w:r w:rsidRPr="000D0D06">
              <w:rPr>
                <w:noProof/>
              </w:rPr>
              <w:t>Dados</w:t>
            </w:r>
          </w:p>
        </w:tc>
      </w:tr>
      <w:tr w:rsidR="009C4CDA" w:rsidRPr="000D0D06" w14:paraId="7ED84169" w14:textId="77777777">
        <w:trPr>
          <w:trHeight w:val="1621"/>
        </w:trPr>
        <w:tc>
          <w:tcPr>
            <w:tcW w:w="3093" w:type="dxa"/>
          </w:tcPr>
          <w:p w14:paraId="30084825" w14:textId="77777777" w:rsidR="009C4CDA" w:rsidRPr="000D0D06" w:rsidRDefault="009C4CDA" w:rsidP="009C4CDA">
            <w:pPr>
              <w:jc w:val="left"/>
              <w:rPr>
                <w:noProof/>
              </w:rPr>
            </w:pPr>
            <w:r w:rsidRPr="000D0D06">
              <w:rPr>
                <w:noProof/>
              </w:rPr>
              <w:t>Artigo 3.º</w:t>
            </w:r>
          </w:p>
        </w:tc>
        <w:tc>
          <w:tcPr>
            <w:tcW w:w="4415" w:type="dxa"/>
          </w:tcPr>
          <w:p w14:paraId="48C46DE3" w14:textId="77777777" w:rsidR="009C4CDA" w:rsidRPr="000D0D06" w:rsidRDefault="009C4CDA" w:rsidP="009C4CDA">
            <w:pPr>
              <w:jc w:val="left"/>
              <w:rPr>
                <w:noProof/>
              </w:rPr>
            </w:pPr>
            <w:r w:rsidRPr="000D0D06">
              <w:rPr>
                <w:noProof/>
              </w:rPr>
              <w:t xml:space="preserve">Aditamento do artigo 88.º-B ao Regulamento (UE) 2016/679 (RGPD). os titulares dos dados devem poder dar o seu consentimento/exercer o seu direito de oposição através de meios automatizados e legíveis por máquina. Prevê-se que as normas sejam elaboradas por uma ou mais organizações europeias de normalização. </w:t>
            </w:r>
          </w:p>
        </w:tc>
        <w:tc>
          <w:tcPr>
            <w:tcW w:w="2693" w:type="dxa"/>
          </w:tcPr>
          <w:p w14:paraId="32B86B04" w14:textId="77777777" w:rsidR="009C4CDA" w:rsidRPr="000D0D06" w:rsidRDefault="009C4CDA" w:rsidP="009C4CDA">
            <w:pPr>
              <w:jc w:val="left"/>
              <w:rPr>
                <w:noProof/>
              </w:rPr>
            </w:pPr>
            <w:r w:rsidRPr="000D0D06">
              <w:rPr>
                <w:noProof/>
              </w:rPr>
              <w:t>Titulares dos dados</w:t>
            </w:r>
          </w:p>
          <w:p w14:paraId="67EE5237" w14:textId="77777777" w:rsidR="009C4CDA" w:rsidRPr="000D0D06" w:rsidRDefault="009C4CDA" w:rsidP="009C4CDA">
            <w:pPr>
              <w:jc w:val="left"/>
              <w:rPr>
                <w:noProof/>
              </w:rPr>
            </w:pPr>
            <w:r w:rsidRPr="000D0D06">
              <w:rPr>
                <w:noProof/>
              </w:rPr>
              <w:t>Responsáveis pelo tratamento</w:t>
            </w:r>
          </w:p>
          <w:p w14:paraId="3CD4F90C" w14:textId="77777777" w:rsidR="009C4CDA" w:rsidRPr="000D0D06" w:rsidRDefault="009C4CDA" w:rsidP="009C4CDA">
            <w:pPr>
              <w:jc w:val="left"/>
              <w:rPr>
                <w:noProof/>
              </w:rPr>
            </w:pPr>
            <w:r w:rsidRPr="000D0D06">
              <w:rPr>
                <w:noProof/>
              </w:rPr>
              <w:t>Organizações europeias de normalização</w:t>
            </w:r>
          </w:p>
          <w:p w14:paraId="51631EDF" w14:textId="77777777" w:rsidR="009C4CDA" w:rsidRPr="000D0D06" w:rsidRDefault="009C4CDA" w:rsidP="009C4CDA">
            <w:pPr>
              <w:jc w:val="left"/>
              <w:rPr>
                <w:noProof/>
              </w:rPr>
            </w:pPr>
            <w:r w:rsidRPr="000D0D06">
              <w:rPr>
                <w:noProof/>
              </w:rPr>
              <w:t>Comissão Europeia</w:t>
            </w:r>
          </w:p>
        </w:tc>
        <w:tc>
          <w:tcPr>
            <w:tcW w:w="1785" w:type="dxa"/>
          </w:tcPr>
          <w:p w14:paraId="62A41EDC" w14:textId="77777777" w:rsidR="009C4CDA" w:rsidRPr="000D0D06" w:rsidRDefault="009C4CDA" w:rsidP="009C4CDA">
            <w:pPr>
              <w:jc w:val="left"/>
              <w:rPr>
                <w:noProof/>
              </w:rPr>
            </w:pPr>
            <w:r w:rsidRPr="000D0D06">
              <w:rPr>
                <w:noProof/>
              </w:rPr>
              <w:t>Indicações automatizadas e legíveis por máquina das escolhas do titular dos dados</w:t>
            </w:r>
          </w:p>
        </w:tc>
        <w:tc>
          <w:tcPr>
            <w:tcW w:w="2184" w:type="dxa"/>
          </w:tcPr>
          <w:p w14:paraId="4D40D38F" w14:textId="77777777" w:rsidR="009C4CDA" w:rsidRPr="000D0D06" w:rsidRDefault="009C4CDA" w:rsidP="009C4CDA">
            <w:pPr>
              <w:jc w:val="left"/>
              <w:rPr>
                <w:noProof/>
              </w:rPr>
            </w:pPr>
            <w:r w:rsidRPr="000D0D06">
              <w:rPr>
                <w:noProof/>
              </w:rPr>
              <w:t>Soluções digitais</w:t>
            </w:r>
          </w:p>
          <w:p w14:paraId="4B00F588" w14:textId="77777777" w:rsidR="009C4CDA" w:rsidRPr="000D0D06" w:rsidRDefault="009C4CDA" w:rsidP="009C4CDA">
            <w:pPr>
              <w:jc w:val="left"/>
              <w:rPr>
                <w:noProof/>
              </w:rPr>
            </w:pPr>
            <w:r w:rsidRPr="000D0D06">
              <w:rPr>
                <w:noProof/>
              </w:rPr>
              <w:t>Automatização de processos</w:t>
            </w:r>
          </w:p>
        </w:tc>
      </w:tr>
      <w:tr w:rsidR="009C4CDA" w:rsidRPr="000D0D06" w14:paraId="0E8ABF3C" w14:textId="77777777">
        <w:trPr>
          <w:trHeight w:val="2700"/>
        </w:trPr>
        <w:tc>
          <w:tcPr>
            <w:tcW w:w="3093" w:type="dxa"/>
          </w:tcPr>
          <w:p w14:paraId="495265A3" w14:textId="77777777" w:rsidR="009C4CDA" w:rsidRPr="000D0D06" w:rsidRDefault="009C4CDA" w:rsidP="009C4CDA">
            <w:pPr>
              <w:jc w:val="left"/>
              <w:rPr>
                <w:noProof/>
              </w:rPr>
            </w:pPr>
            <w:r w:rsidRPr="000D0D06">
              <w:rPr>
                <w:noProof/>
              </w:rPr>
              <w:t>Artigo 6.º</w:t>
            </w:r>
          </w:p>
        </w:tc>
        <w:tc>
          <w:tcPr>
            <w:tcW w:w="4415" w:type="dxa"/>
          </w:tcPr>
          <w:p w14:paraId="7911E7DE" w14:textId="77777777" w:rsidR="009C4CDA" w:rsidRPr="000D0D06" w:rsidRDefault="009C4CDA" w:rsidP="009C4CDA">
            <w:pPr>
              <w:jc w:val="left"/>
              <w:rPr>
                <w:noProof/>
              </w:rPr>
            </w:pPr>
            <w:r w:rsidRPr="000D0D06">
              <w:rPr>
                <w:noProof/>
              </w:rPr>
              <w:t>Alteração da Diretiva (UE) 2022/2555 (SRI 2):</w:t>
            </w:r>
          </w:p>
          <w:p w14:paraId="3EF91EB1" w14:textId="52F146C9" w:rsidR="009C4CDA" w:rsidRPr="000D0D06" w:rsidRDefault="009C4CDA" w:rsidP="0014764C">
            <w:pPr>
              <w:pStyle w:val="ListParagraph"/>
              <w:numPr>
                <w:ilvl w:val="0"/>
                <w:numId w:val="33"/>
              </w:numPr>
              <w:jc w:val="left"/>
              <w:rPr>
                <w:noProof/>
              </w:rPr>
            </w:pPr>
            <w:r w:rsidRPr="000D0D06">
              <w:rPr>
                <w:noProof/>
              </w:rPr>
              <w:t>1): aditamento do artigo 23.º-A relativo ao desenvolvimento e à manutenção de um ponto de entrada único para a notificação de incidentes,</w:t>
            </w:r>
          </w:p>
          <w:p w14:paraId="761B4DA1" w14:textId="77777777" w:rsidR="009C4CDA" w:rsidRPr="000D0D06" w:rsidRDefault="009C4CDA" w:rsidP="0014764C">
            <w:pPr>
              <w:pStyle w:val="ListParagraph"/>
              <w:numPr>
                <w:ilvl w:val="0"/>
                <w:numId w:val="33"/>
              </w:numPr>
              <w:jc w:val="left"/>
              <w:rPr>
                <w:noProof/>
              </w:rPr>
            </w:pPr>
            <w:r w:rsidRPr="000D0D06">
              <w:rPr>
                <w:noProof/>
              </w:rPr>
              <w:t xml:space="preserve">3): alteração do artigo 23.º, n.º 4, para tornar obrigatória a utilização do ponto de entrada único para as notificações de incidentes graves, </w:t>
            </w:r>
          </w:p>
          <w:p w14:paraId="107E17D2" w14:textId="77777777" w:rsidR="009C4CDA" w:rsidRPr="000D0D06" w:rsidRDefault="009C4CDA" w:rsidP="0014764C">
            <w:pPr>
              <w:pStyle w:val="ListParagraph"/>
              <w:numPr>
                <w:ilvl w:val="0"/>
                <w:numId w:val="33"/>
              </w:numPr>
              <w:jc w:val="left"/>
              <w:rPr>
                <w:noProof/>
              </w:rPr>
            </w:pPr>
            <w:r w:rsidRPr="000D0D06">
              <w:rPr>
                <w:noProof/>
              </w:rPr>
              <w:t>4): aditamento do artigo 23.º, n.º 12, que assegura que os incidentes graves são comunicados apenas uma vez (ao abrigo da Diretiva SRI 2 ou do Regulamento de Ciber-Resiliência),</w:t>
            </w:r>
          </w:p>
          <w:p w14:paraId="5064905B" w14:textId="77777777" w:rsidR="009C4CDA" w:rsidRPr="000D0D06" w:rsidRDefault="009C4CDA" w:rsidP="0014764C">
            <w:pPr>
              <w:pStyle w:val="ListParagraph"/>
              <w:numPr>
                <w:ilvl w:val="0"/>
                <w:numId w:val="33"/>
              </w:numPr>
              <w:jc w:val="left"/>
              <w:rPr>
                <w:noProof/>
              </w:rPr>
            </w:pPr>
            <w:r w:rsidRPr="000D0D06">
              <w:rPr>
                <w:noProof/>
              </w:rPr>
              <w:t>5): alteração do artigo 30.º, n.º 1, assegurando que o ponto de entrada único possa ser utilizado, a título voluntário, para notificações por diferentes entidades.</w:t>
            </w:r>
          </w:p>
        </w:tc>
        <w:tc>
          <w:tcPr>
            <w:tcW w:w="2693" w:type="dxa"/>
          </w:tcPr>
          <w:p w14:paraId="3D02CE52" w14:textId="77777777" w:rsidR="009C4CDA" w:rsidRPr="000D0D06" w:rsidRDefault="009C4CDA" w:rsidP="009C4CDA">
            <w:pPr>
              <w:jc w:val="left"/>
              <w:rPr>
                <w:noProof/>
              </w:rPr>
            </w:pPr>
            <w:r w:rsidRPr="000D0D06">
              <w:rPr>
                <w:noProof/>
              </w:rPr>
              <w:t xml:space="preserve">Notificantes (entidades essenciais e importantes) </w:t>
            </w:r>
          </w:p>
          <w:p w14:paraId="2FB202C5" w14:textId="77777777" w:rsidR="009C4CDA" w:rsidRPr="000D0D06" w:rsidRDefault="009C4CDA" w:rsidP="009C4CDA">
            <w:pPr>
              <w:jc w:val="left"/>
              <w:rPr>
                <w:noProof/>
              </w:rPr>
            </w:pPr>
            <w:r w:rsidRPr="000D0D06">
              <w:rPr>
                <w:noProof/>
              </w:rPr>
              <w:t xml:space="preserve">CSIRT/autoridades competentes (consoante o caso) </w:t>
            </w:r>
          </w:p>
          <w:p w14:paraId="5B211762" w14:textId="77777777" w:rsidR="009C4CDA" w:rsidRPr="000D0D06" w:rsidRDefault="009C4CDA" w:rsidP="009C4CDA">
            <w:pPr>
              <w:jc w:val="left"/>
              <w:rPr>
                <w:noProof/>
              </w:rPr>
            </w:pPr>
            <w:r w:rsidRPr="000D0D06">
              <w:rPr>
                <w:noProof/>
              </w:rPr>
              <w:t xml:space="preserve">Comissão Europeia </w:t>
            </w:r>
          </w:p>
          <w:p w14:paraId="1F8ADFF2" w14:textId="77777777" w:rsidR="009C4CDA" w:rsidRPr="000D0D06" w:rsidRDefault="009C4CDA" w:rsidP="009C4CDA">
            <w:pPr>
              <w:jc w:val="left"/>
              <w:rPr>
                <w:noProof/>
              </w:rPr>
            </w:pPr>
            <w:r w:rsidRPr="000D0D06">
              <w:rPr>
                <w:noProof/>
              </w:rPr>
              <w:t>ENISA</w:t>
            </w:r>
          </w:p>
        </w:tc>
        <w:tc>
          <w:tcPr>
            <w:tcW w:w="1785" w:type="dxa"/>
          </w:tcPr>
          <w:p w14:paraId="2DBE1C7C" w14:textId="77777777" w:rsidR="009C4CDA" w:rsidRPr="000D0D06" w:rsidRDefault="009C4CDA" w:rsidP="009C4CDA">
            <w:pPr>
              <w:jc w:val="left"/>
              <w:rPr>
                <w:noProof/>
              </w:rPr>
            </w:pPr>
            <w:r w:rsidRPr="000D0D06">
              <w:rPr>
                <w:noProof/>
              </w:rPr>
              <w:t>Notificação</w:t>
            </w:r>
          </w:p>
        </w:tc>
        <w:tc>
          <w:tcPr>
            <w:tcW w:w="2184" w:type="dxa"/>
          </w:tcPr>
          <w:p w14:paraId="71578527" w14:textId="77777777" w:rsidR="009C4CDA" w:rsidRPr="000D0D06" w:rsidRDefault="009C4CDA" w:rsidP="009C4CDA">
            <w:pPr>
              <w:jc w:val="left"/>
              <w:rPr>
                <w:noProof/>
              </w:rPr>
            </w:pPr>
            <w:r w:rsidRPr="000D0D06">
              <w:rPr>
                <w:noProof/>
              </w:rPr>
              <w:t>Dados</w:t>
            </w:r>
          </w:p>
          <w:p w14:paraId="459C2DA4" w14:textId="77777777" w:rsidR="009C4CDA" w:rsidRPr="000D0D06" w:rsidRDefault="009C4CDA" w:rsidP="009C4CDA">
            <w:pPr>
              <w:jc w:val="left"/>
              <w:rPr>
                <w:noProof/>
              </w:rPr>
            </w:pPr>
            <w:r w:rsidRPr="000D0D06">
              <w:rPr>
                <w:noProof/>
              </w:rPr>
              <w:t>Soluções digitais</w:t>
            </w:r>
          </w:p>
          <w:p w14:paraId="138FCBD1" w14:textId="77777777" w:rsidR="009C4CDA" w:rsidRPr="000D0D06" w:rsidRDefault="009C4CDA" w:rsidP="009C4CDA">
            <w:pPr>
              <w:jc w:val="left"/>
              <w:rPr>
                <w:noProof/>
              </w:rPr>
            </w:pPr>
            <w:r w:rsidRPr="000D0D06">
              <w:rPr>
                <w:noProof/>
              </w:rPr>
              <w:t xml:space="preserve">Serviço público digital </w:t>
            </w:r>
          </w:p>
        </w:tc>
      </w:tr>
      <w:tr w:rsidR="009C4CDA" w:rsidRPr="000D0D06" w14:paraId="14228341" w14:textId="77777777">
        <w:trPr>
          <w:trHeight w:val="300"/>
        </w:trPr>
        <w:tc>
          <w:tcPr>
            <w:tcW w:w="3093" w:type="dxa"/>
          </w:tcPr>
          <w:p w14:paraId="7BD71E03" w14:textId="77777777" w:rsidR="009C4CDA" w:rsidRPr="000D0D06" w:rsidRDefault="009C4CDA" w:rsidP="009C4CDA">
            <w:pPr>
              <w:jc w:val="left"/>
              <w:rPr>
                <w:noProof/>
              </w:rPr>
            </w:pPr>
            <w:r w:rsidRPr="000D0D06">
              <w:rPr>
                <w:noProof/>
              </w:rPr>
              <w:t>Artigo 7.º</w:t>
            </w:r>
          </w:p>
        </w:tc>
        <w:tc>
          <w:tcPr>
            <w:tcW w:w="4415" w:type="dxa"/>
          </w:tcPr>
          <w:p w14:paraId="06A7424B" w14:textId="77777777" w:rsidR="009C4CDA" w:rsidRPr="000D0D06" w:rsidRDefault="009C4CDA" w:rsidP="009C4CDA">
            <w:pPr>
              <w:jc w:val="left"/>
              <w:rPr>
                <w:noProof/>
              </w:rPr>
            </w:pPr>
            <w:r w:rsidRPr="000D0D06">
              <w:rPr>
                <w:noProof/>
              </w:rPr>
              <w:t>Alteração do Regulamento (UE) n.º 910/2014 (EUDIW), que exige a utilização do ponto de entrada único nos termos do artigo 23.º-A da Diretiva (UE) 2022/2555 relativamente ao:</w:t>
            </w:r>
          </w:p>
          <w:p w14:paraId="59A6EB9F" w14:textId="77777777" w:rsidR="009C4CDA" w:rsidRPr="000D0D06" w:rsidRDefault="009C4CDA" w:rsidP="0014764C">
            <w:pPr>
              <w:pStyle w:val="ListParagraph"/>
              <w:numPr>
                <w:ilvl w:val="0"/>
                <w:numId w:val="22"/>
              </w:numPr>
              <w:jc w:val="left"/>
              <w:rPr>
                <w:i/>
                <w:iCs/>
                <w:noProof/>
              </w:rPr>
            </w:pPr>
            <w:r w:rsidRPr="000D0D06">
              <w:rPr>
                <w:noProof/>
              </w:rPr>
              <w:t xml:space="preserve">Artigo 19.º-A, n.º 1-A: notificações referidas no n.º 1, alínea b). </w:t>
            </w:r>
          </w:p>
          <w:p w14:paraId="73AA0B53" w14:textId="77777777" w:rsidR="009C4CDA" w:rsidRPr="000D0D06" w:rsidRDefault="009C4CDA" w:rsidP="0014764C">
            <w:pPr>
              <w:pStyle w:val="ListParagraph"/>
              <w:numPr>
                <w:ilvl w:val="0"/>
                <w:numId w:val="22"/>
              </w:numPr>
              <w:jc w:val="left"/>
              <w:rPr>
                <w:i/>
                <w:iCs/>
                <w:noProof/>
              </w:rPr>
            </w:pPr>
            <w:r w:rsidRPr="000D0D06">
              <w:rPr>
                <w:noProof/>
              </w:rPr>
              <w:t xml:space="preserve">Artigo 24.º, n.º 2-A: notificações referidas no n.º 2, alínea f-B). Artigo 45.º-A, n.º 3-A: notificações referidas no n.º 3. </w:t>
            </w:r>
          </w:p>
        </w:tc>
        <w:tc>
          <w:tcPr>
            <w:tcW w:w="2693" w:type="dxa"/>
          </w:tcPr>
          <w:p w14:paraId="5D8163D0" w14:textId="77777777" w:rsidR="009C4CDA" w:rsidRPr="000D0D06" w:rsidRDefault="009C4CDA" w:rsidP="009C4CDA">
            <w:pPr>
              <w:jc w:val="left"/>
              <w:rPr>
                <w:noProof/>
              </w:rPr>
            </w:pPr>
            <w:r w:rsidRPr="000D0D06">
              <w:rPr>
                <w:noProof/>
              </w:rPr>
              <w:t>Notificantes (prestadores não qualificados de serviços de confiança; prestadores qualificados de serviços de confiança; fornecedores de um navegador Web)</w:t>
            </w:r>
          </w:p>
          <w:p w14:paraId="47DF1BB9" w14:textId="77777777" w:rsidR="009C4CDA" w:rsidRPr="000D0D06" w:rsidRDefault="009C4CDA" w:rsidP="009C4CDA">
            <w:pPr>
              <w:jc w:val="left"/>
              <w:rPr>
                <w:noProof/>
              </w:rPr>
            </w:pPr>
            <w:r w:rsidRPr="000D0D06">
              <w:rPr>
                <w:noProof/>
              </w:rPr>
              <w:t>Entidades supervisoras</w:t>
            </w:r>
          </w:p>
          <w:p w14:paraId="55375708" w14:textId="77777777" w:rsidR="009C4CDA" w:rsidRPr="000D0D06" w:rsidRDefault="009C4CDA" w:rsidP="009C4CDA">
            <w:pPr>
              <w:jc w:val="left"/>
              <w:rPr>
                <w:noProof/>
              </w:rPr>
            </w:pPr>
            <w:r w:rsidRPr="000D0D06">
              <w:rPr>
                <w:noProof/>
              </w:rPr>
              <w:t>Outros organismos/autoridades competentes pertinentes</w:t>
            </w:r>
          </w:p>
          <w:p w14:paraId="4712AB0B" w14:textId="77777777" w:rsidR="009C4CDA" w:rsidRPr="000D0D06" w:rsidRDefault="009C4CDA" w:rsidP="009C4CDA">
            <w:pPr>
              <w:jc w:val="left"/>
              <w:rPr>
                <w:noProof/>
              </w:rPr>
            </w:pPr>
            <w:r w:rsidRPr="000D0D06">
              <w:rPr>
                <w:noProof/>
              </w:rPr>
              <w:t>Comissão Europeia</w:t>
            </w:r>
          </w:p>
        </w:tc>
        <w:tc>
          <w:tcPr>
            <w:tcW w:w="1785" w:type="dxa"/>
          </w:tcPr>
          <w:p w14:paraId="3238965F" w14:textId="77777777" w:rsidR="009C4CDA" w:rsidRPr="000D0D06" w:rsidRDefault="009C4CDA" w:rsidP="009C4CDA">
            <w:pPr>
              <w:jc w:val="left"/>
              <w:rPr>
                <w:noProof/>
              </w:rPr>
            </w:pPr>
            <w:r w:rsidRPr="000D0D06">
              <w:rPr>
                <w:noProof/>
              </w:rPr>
              <w:t>Notificação</w:t>
            </w:r>
          </w:p>
        </w:tc>
        <w:tc>
          <w:tcPr>
            <w:tcW w:w="2184" w:type="dxa"/>
          </w:tcPr>
          <w:p w14:paraId="3FED7807" w14:textId="77777777" w:rsidR="009C4CDA" w:rsidRPr="000D0D06" w:rsidRDefault="009C4CDA" w:rsidP="009C4CDA">
            <w:pPr>
              <w:jc w:val="left"/>
              <w:rPr>
                <w:noProof/>
              </w:rPr>
            </w:pPr>
            <w:r w:rsidRPr="000D0D06">
              <w:rPr>
                <w:noProof/>
              </w:rPr>
              <w:t>Dados</w:t>
            </w:r>
          </w:p>
        </w:tc>
      </w:tr>
      <w:tr w:rsidR="009C4CDA" w:rsidRPr="000D0D06" w14:paraId="59B9F744" w14:textId="77777777">
        <w:trPr>
          <w:trHeight w:val="2805"/>
        </w:trPr>
        <w:tc>
          <w:tcPr>
            <w:tcW w:w="3093" w:type="dxa"/>
          </w:tcPr>
          <w:p w14:paraId="0B121EDF" w14:textId="77777777" w:rsidR="009C4CDA" w:rsidRPr="000D0D06" w:rsidRDefault="009C4CDA" w:rsidP="009C4CDA">
            <w:pPr>
              <w:spacing w:line="259" w:lineRule="auto"/>
              <w:jc w:val="left"/>
              <w:rPr>
                <w:noProof/>
              </w:rPr>
            </w:pPr>
            <w:r w:rsidRPr="000D0D06">
              <w:rPr>
                <w:noProof/>
              </w:rPr>
              <w:t>Artigo 8.º</w:t>
            </w:r>
          </w:p>
        </w:tc>
        <w:tc>
          <w:tcPr>
            <w:tcW w:w="4415" w:type="dxa"/>
          </w:tcPr>
          <w:p w14:paraId="513704B6" w14:textId="77777777" w:rsidR="009C4CDA" w:rsidRPr="000D0D06" w:rsidRDefault="009C4CDA" w:rsidP="009C4CDA">
            <w:pPr>
              <w:jc w:val="left"/>
              <w:rPr>
                <w:noProof/>
              </w:rPr>
            </w:pPr>
            <w:r w:rsidRPr="000D0D06">
              <w:rPr>
                <w:noProof/>
              </w:rPr>
              <w:t xml:space="preserve">Alteração do Regulamento (UE) 2022/2554 (Regulamento DORA), que exige a utilização do ponto de entrada único nos termos do artigo 23.º-A da Diretiva (UE) 2022/2555 relativamente ao: </w:t>
            </w:r>
          </w:p>
          <w:p w14:paraId="46BCA0B2" w14:textId="0D355E78" w:rsidR="009C4CDA" w:rsidRPr="000D0D06" w:rsidRDefault="009C4CDA" w:rsidP="0014764C">
            <w:pPr>
              <w:pStyle w:val="ListParagraph"/>
              <w:numPr>
                <w:ilvl w:val="0"/>
                <w:numId w:val="32"/>
              </w:numPr>
              <w:jc w:val="left"/>
              <w:rPr>
                <w:noProof/>
              </w:rPr>
            </w:pPr>
            <w:r w:rsidRPr="000D0D06">
              <w:rPr>
                <w:noProof/>
              </w:rPr>
              <w:t xml:space="preserve">Artigo 19.º, n.º 1: incidentes de caráter severo relacionados com as TIC, </w:t>
            </w:r>
          </w:p>
          <w:p w14:paraId="4D6D99B1" w14:textId="77777777" w:rsidR="009C4CDA" w:rsidRPr="000D0D06" w:rsidRDefault="009C4CDA" w:rsidP="0014764C">
            <w:pPr>
              <w:pStyle w:val="ListParagraph"/>
              <w:numPr>
                <w:ilvl w:val="0"/>
                <w:numId w:val="32"/>
              </w:numPr>
              <w:jc w:val="left"/>
              <w:rPr>
                <w:strike/>
                <w:noProof/>
              </w:rPr>
            </w:pPr>
            <w:r w:rsidRPr="000D0D06">
              <w:rPr>
                <w:noProof/>
              </w:rPr>
              <w:t>Artigo 19.º, n.º 2: notificações voluntárias de ciberameaças significativas.</w:t>
            </w:r>
          </w:p>
        </w:tc>
        <w:tc>
          <w:tcPr>
            <w:tcW w:w="2693" w:type="dxa"/>
          </w:tcPr>
          <w:p w14:paraId="00ADEAA7" w14:textId="77777777" w:rsidR="009C4CDA" w:rsidRPr="000D0D06" w:rsidRDefault="009C4CDA" w:rsidP="009C4CDA">
            <w:pPr>
              <w:jc w:val="left"/>
              <w:rPr>
                <w:noProof/>
              </w:rPr>
            </w:pPr>
            <w:r w:rsidRPr="000D0D06">
              <w:rPr>
                <w:noProof/>
              </w:rPr>
              <w:t>Notificantes (entidades financeiras)</w:t>
            </w:r>
          </w:p>
          <w:p w14:paraId="2B0FC9DB" w14:textId="77777777" w:rsidR="009C4CDA" w:rsidRPr="000D0D06" w:rsidRDefault="009C4CDA" w:rsidP="009C4CDA">
            <w:pPr>
              <w:jc w:val="left"/>
              <w:rPr>
                <w:noProof/>
              </w:rPr>
            </w:pPr>
            <w:r w:rsidRPr="000D0D06">
              <w:rPr>
                <w:noProof/>
              </w:rPr>
              <w:t>Entidades supervisoras</w:t>
            </w:r>
          </w:p>
          <w:p w14:paraId="17BFB173" w14:textId="77777777" w:rsidR="009C4CDA" w:rsidRPr="000D0D06" w:rsidRDefault="009C4CDA" w:rsidP="009C4CDA">
            <w:pPr>
              <w:jc w:val="left"/>
              <w:rPr>
                <w:noProof/>
              </w:rPr>
            </w:pPr>
            <w:r w:rsidRPr="000D0D06">
              <w:rPr>
                <w:noProof/>
              </w:rPr>
              <w:t>Outros organismos/autoridades competentes pertinentes</w:t>
            </w:r>
          </w:p>
          <w:p w14:paraId="3007546B" w14:textId="77777777" w:rsidR="009C4CDA" w:rsidRPr="000D0D06" w:rsidRDefault="009C4CDA" w:rsidP="009C4CDA">
            <w:pPr>
              <w:jc w:val="left"/>
              <w:rPr>
                <w:noProof/>
              </w:rPr>
            </w:pPr>
            <w:r w:rsidRPr="000D0D06">
              <w:rPr>
                <w:noProof/>
              </w:rPr>
              <w:t>Comissão Europeia</w:t>
            </w:r>
          </w:p>
          <w:p w14:paraId="243E6194" w14:textId="77777777" w:rsidR="009C4CDA" w:rsidRPr="000D0D06" w:rsidRDefault="009C4CDA" w:rsidP="009C4CDA">
            <w:pPr>
              <w:jc w:val="left"/>
              <w:rPr>
                <w:noProof/>
              </w:rPr>
            </w:pPr>
            <w:r w:rsidRPr="000D0D06">
              <w:rPr>
                <w:noProof/>
              </w:rPr>
              <w:t>ENISA</w:t>
            </w:r>
          </w:p>
        </w:tc>
        <w:tc>
          <w:tcPr>
            <w:tcW w:w="1785" w:type="dxa"/>
          </w:tcPr>
          <w:p w14:paraId="08323EA7" w14:textId="77777777" w:rsidR="009C4CDA" w:rsidRPr="000D0D06" w:rsidRDefault="009C4CDA" w:rsidP="009C4CDA">
            <w:pPr>
              <w:jc w:val="left"/>
              <w:rPr>
                <w:noProof/>
              </w:rPr>
            </w:pPr>
            <w:r w:rsidRPr="000D0D06">
              <w:rPr>
                <w:noProof/>
              </w:rPr>
              <w:t>Notificação</w:t>
            </w:r>
          </w:p>
        </w:tc>
        <w:tc>
          <w:tcPr>
            <w:tcW w:w="2184" w:type="dxa"/>
          </w:tcPr>
          <w:p w14:paraId="0A9A3A44" w14:textId="77777777" w:rsidR="009C4CDA" w:rsidRPr="000D0D06" w:rsidRDefault="009C4CDA" w:rsidP="009C4CDA">
            <w:pPr>
              <w:jc w:val="left"/>
              <w:rPr>
                <w:noProof/>
              </w:rPr>
            </w:pPr>
            <w:r w:rsidRPr="000D0D06">
              <w:rPr>
                <w:noProof/>
              </w:rPr>
              <w:t>Dados</w:t>
            </w:r>
          </w:p>
        </w:tc>
      </w:tr>
      <w:tr w:rsidR="009C4CDA" w:rsidRPr="000D0D06" w14:paraId="422095FC" w14:textId="77777777">
        <w:trPr>
          <w:trHeight w:val="2805"/>
        </w:trPr>
        <w:tc>
          <w:tcPr>
            <w:tcW w:w="3093" w:type="dxa"/>
          </w:tcPr>
          <w:p w14:paraId="4E4FC282" w14:textId="77777777" w:rsidR="009C4CDA" w:rsidRPr="000D0D06" w:rsidRDefault="009C4CDA" w:rsidP="009C4CDA">
            <w:pPr>
              <w:spacing w:line="259" w:lineRule="auto"/>
              <w:jc w:val="left"/>
              <w:rPr>
                <w:noProof/>
              </w:rPr>
            </w:pPr>
            <w:r w:rsidRPr="000D0D06">
              <w:rPr>
                <w:noProof/>
              </w:rPr>
              <w:t>Artigo 9.º</w:t>
            </w:r>
          </w:p>
        </w:tc>
        <w:tc>
          <w:tcPr>
            <w:tcW w:w="4415" w:type="dxa"/>
          </w:tcPr>
          <w:p w14:paraId="64E5CC71" w14:textId="77777777" w:rsidR="009C4CDA" w:rsidRPr="000D0D06" w:rsidRDefault="009C4CDA" w:rsidP="009C4CDA">
            <w:pPr>
              <w:jc w:val="left"/>
              <w:rPr>
                <w:noProof/>
              </w:rPr>
            </w:pPr>
            <w:r w:rsidRPr="000D0D06">
              <w:rPr>
                <w:noProof/>
              </w:rPr>
              <w:t xml:space="preserve">Alteração da Diretiva (UE) 2022/2557 (Diretiva REC), que exige a utilização do ponto de entrada único nos termos do artigo 23.º-A da Diretiva (UE) 2022/2555 relativamente ao: </w:t>
            </w:r>
          </w:p>
          <w:p w14:paraId="5EE0F55F" w14:textId="77777777" w:rsidR="009C4CDA" w:rsidRPr="000D0D06" w:rsidRDefault="009C4CDA" w:rsidP="0014764C">
            <w:pPr>
              <w:pStyle w:val="ListParagraph"/>
              <w:numPr>
                <w:ilvl w:val="0"/>
                <w:numId w:val="31"/>
              </w:numPr>
              <w:jc w:val="left"/>
              <w:rPr>
                <w:noProof/>
              </w:rPr>
            </w:pPr>
            <w:r w:rsidRPr="000D0D06">
              <w:rPr>
                <w:noProof/>
              </w:rPr>
              <w:t>Artigo 15.º, n.º 1: incidentes que perturbem significativamente, ou sejam suscetíveis de perturbar significativamente, a prestação de serviços essenciais.</w:t>
            </w:r>
          </w:p>
        </w:tc>
        <w:tc>
          <w:tcPr>
            <w:tcW w:w="2693" w:type="dxa"/>
          </w:tcPr>
          <w:p w14:paraId="7732340C" w14:textId="77777777" w:rsidR="009C4CDA" w:rsidRPr="000D0D06" w:rsidRDefault="009C4CDA" w:rsidP="009C4CDA">
            <w:pPr>
              <w:jc w:val="left"/>
              <w:rPr>
                <w:noProof/>
              </w:rPr>
            </w:pPr>
            <w:r w:rsidRPr="000D0D06">
              <w:rPr>
                <w:noProof/>
              </w:rPr>
              <w:t xml:space="preserve">Notificantes (entidades críticas) </w:t>
            </w:r>
          </w:p>
          <w:p w14:paraId="5C0397D5" w14:textId="77777777" w:rsidR="009C4CDA" w:rsidRPr="000D0D06" w:rsidRDefault="009C4CDA" w:rsidP="009C4CDA">
            <w:pPr>
              <w:jc w:val="left"/>
              <w:rPr>
                <w:noProof/>
              </w:rPr>
            </w:pPr>
            <w:r w:rsidRPr="000D0D06">
              <w:rPr>
                <w:noProof/>
              </w:rPr>
              <w:t>Entidades supervisoras</w:t>
            </w:r>
          </w:p>
          <w:p w14:paraId="10E4C0BD" w14:textId="77777777" w:rsidR="009C4CDA" w:rsidRPr="000D0D06" w:rsidRDefault="009C4CDA" w:rsidP="009C4CDA">
            <w:pPr>
              <w:jc w:val="left"/>
              <w:rPr>
                <w:noProof/>
              </w:rPr>
            </w:pPr>
            <w:r w:rsidRPr="000D0D06">
              <w:rPr>
                <w:noProof/>
              </w:rPr>
              <w:t>Outros organismos/autoridades competentes pertinentes</w:t>
            </w:r>
          </w:p>
          <w:p w14:paraId="32C2DDE4" w14:textId="77777777" w:rsidR="009C4CDA" w:rsidRPr="000D0D06" w:rsidRDefault="009C4CDA" w:rsidP="009C4CDA">
            <w:pPr>
              <w:jc w:val="left"/>
              <w:rPr>
                <w:noProof/>
              </w:rPr>
            </w:pPr>
            <w:r w:rsidRPr="000D0D06">
              <w:rPr>
                <w:noProof/>
              </w:rPr>
              <w:t>Comissão Europeia</w:t>
            </w:r>
          </w:p>
          <w:p w14:paraId="78C73563" w14:textId="77777777" w:rsidR="009C4CDA" w:rsidRPr="000D0D06" w:rsidRDefault="009C4CDA" w:rsidP="009C4CDA">
            <w:pPr>
              <w:jc w:val="left"/>
              <w:rPr>
                <w:noProof/>
              </w:rPr>
            </w:pPr>
            <w:r w:rsidRPr="000D0D06">
              <w:rPr>
                <w:noProof/>
              </w:rPr>
              <w:t>ENISA</w:t>
            </w:r>
          </w:p>
        </w:tc>
        <w:tc>
          <w:tcPr>
            <w:tcW w:w="1785" w:type="dxa"/>
          </w:tcPr>
          <w:p w14:paraId="0D5814B3" w14:textId="77777777" w:rsidR="009C4CDA" w:rsidRPr="000D0D06" w:rsidRDefault="009C4CDA" w:rsidP="009C4CDA">
            <w:pPr>
              <w:jc w:val="left"/>
              <w:rPr>
                <w:noProof/>
              </w:rPr>
            </w:pPr>
            <w:r w:rsidRPr="000D0D06">
              <w:rPr>
                <w:noProof/>
              </w:rPr>
              <w:t>Notificação</w:t>
            </w:r>
          </w:p>
        </w:tc>
        <w:tc>
          <w:tcPr>
            <w:tcW w:w="2184" w:type="dxa"/>
          </w:tcPr>
          <w:p w14:paraId="071EC2B7" w14:textId="77777777" w:rsidR="009C4CDA" w:rsidRPr="000D0D06" w:rsidRDefault="009C4CDA" w:rsidP="009C4CDA">
            <w:pPr>
              <w:jc w:val="left"/>
              <w:rPr>
                <w:noProof/>
              </w:rPr>
            </w:pPr>
            <w:r w:rsidRPr="000D0D06">
              <w:rPr>
                <w:noProof/>
              </w:rPr>
              <w:t>Dados</w:t>
            </w:r>
          </w:p>
        </w:tc>
      </w:tr>
    </w:tbl>
    <w:p w14:paraId="7726C487" w14:textId="77777777" w:rsidR="00C85654" w:rsidRPr="000D0D06" w:rsidRDefault="00C85654" w:rsidP="00C85654">
      <w:pPr>
        <w:spacing w:before="0" w:after="0"/>
        <w:jc w:val="left"/>
        <w:rPr>
          <w:b/>
          <w:bCs/>
          <w:noProof/>
        </w:rPr>
      </w:pPr>
    </w:p>
    <w:p w14:paraId="254E6309" w14:textId="77777777" w:rsidR="00C85654" w:rsidRPr="000D0D06" w:rsidRDefault="00C85654" w:rsidP="00C85654">
      <w:pPr>
        <w:spacing w:before="0" w:after="0"/>
        <w:jc w:val="left"/>
        <w:rPr>
          <w:b/>
          <w:bCs/>
          <w:noProof/>
        </w:rPr>
      </w:pPr>
    </w:p>
    <w:p w14:paraId="4B3A0AA3" w14:textId="77777777" w:rsidR="00C85654" w:rsidRPr="000D0D06" w:rsidRDefault="00C85654" w:rsidP="00C85654">
      <w:pPr>
        <w:spacing w:before="0" w:after="0"/>
        <w:rPr>
          <w:noProof/>
        </w:rPr>
      </w:pPr>
      <w:r w:rsidRPr="000D0D06">
        <w:rPr>
          <w:noProof/>
        </w:rPr>
        <w:br w:type="page"/>
      </w:r>
    </w:p>
    <w:p w14:paraId="0CB6FC2A" w14:textId="77777777" w:rsidR="00C85654" w:rsidRPr="000D0D06" w:rsidRDefault="00C85654" w:rsidP="00C85654">
      <w:pPr>
        <w:spacing w:before="0" w:after="0"/>
        <w:jc w:val="left"/>
        <w:rPr>
          <w:i/>
          <w:iCs/>
          <w:noProof/>
        </w:rPr>
      </w:pPr>
      <w:r w:rsidRPr="000D0D06">
        <w:rPr>
          <w:b/>
          <w:noProof/>
        </w:rPr>
        <w:t>4.2. Dados</w:t>
      </w:r>
    </w:p>
    <w:p w14:paraId="62F48EC7" w14:textId="77777777" w:rsidR="00C85654" w:rsidRPr="000D0D06" w:rsidRDefault="00C85654" w:rsidP="00C85654">
      <w:pPr>
        <w:rPr>
          <w:i/>
          <w:iCs/>
          <w:noProof/>
        </w:rPr>
      </w:pPr>
      <w:r w:rsidRPr="000D0D06">
        <w:rPr>
          <w:i/>
          <w:noProof/>
        </w:rPr>
        <w:t>Descrição de âmbito geral dos dados abrangidos</w:t>
      </w:r>
    </w:p>
    <w:tbl>
      <w:tblPr>
        <w:tblStyle w:val="TableGridLight"/>
        <w:tblW w:w="1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686"/>
        <w:gridCol w:w="5324"/>
      </w:tblGrid>
      <w:tr w:rsidR="00C85654" w:rsidRPr="000D0D06" w14:paraId="0938A41D" w14:textId="77777777">
        <w:tc>
          <w:tcPr>
            <w:tcW w:w="5240" w:type="dxa"/>
          </w:tcPr>
          <w:p w14:paraId="5B1658FC" w14:textId="77777777" w:rsidR="00C85654" w:rsidRPr="000D0D06" w:rsidRDefault="00C85654">
            <w:pPr>
              <w:jc w:val="left"/>
              <w:rPr>
                <w:b/>
                <w:bCs/>
                <w:noProof/>
              </w:rPr>
            </w:pPr>
            <w:r w:rsidRPr="000D0D06">
              <w:rPr>
                <w:b/>
                <w:noProof/>
              </w:rPr>
              <w:t xml:space="preserve">Tipo de dados </w:t>
            </w:r>
          </w:p>
        </w:tc>
        <w:tc>
          <w:tcPr>
            <w:tcW w:w="3686" w:type="dxa"/>
          </w:tcPr>
          <w:p w14:paraId="03609C95" w14:textId="77777777" w:rsidR="00C85654" w:rsidRPr="000D0D06" w:rsidRDefault="00C85654">
            <w:pPr>
              <w:jc w:val="left"/>
              <w:rPr>
                <w:b/>
                <w:bCs/>
                <w:noProof/>
              </w:rPr>
            </w:pPr>
            <w:r w:rsidRPr="000D0D06">
              <w:rPr>
                <w:b/>
                <w:noProof/>
              </w:rPr>
              <w:t>Referência aos requisitos</w:t>
            </w:r>
          </w:p>
        </w:tc>
        <w:tc>
          <w:tcPr>
            <w:tcW w:w="5324" w:type="dxa"/>
          </w:tcPr>
          <w:p w14:paraId="2C63BC39" w14:textId="77777777" w:rsidR="00C85654" w:rsidRPr="000D0D06" w:rsidRDefault="00C85654">
            <w:pPr>
              <w:jc w:val="left"/>
              <w:rPr>
                <w:b/>
                <w:bCs/>
                <w:noProof/>
              </w:rPr>
            </w:pPr>
            <w:r w:rsidRPr="000D0D06">
              <w:rPr>
                <w:b/>
                <w:noProof/>
              </w:rPr>
              <w:t>Norma e/ou especificação (se aplicável)</w:t>
            </w:r>
          </w:p>
        </w:tc>
      </w:tr>
      <w:tr w:rsidR="009C4CDA" w:rsidRPr="000D0D06" w14:paraId="21D91DBE" w14:textId="77777777">
        <w:trPr>
          <w:trHeight w:val="300"/>
        </w:trPr>
        <w:tc>
          <w:tcPr>
            <w:tcW w:w="5240" w:type="dxa"/>
          </w:tcPr>
          <w:p w14:paraId="5CFC91FF" w14:textId="77777777" w:rsidR="009C4CDA" w:rsidRPr="000D0D06" w:rsidRDefault="009C4CDA" w:rsidP="009C4CDA">
            <w:pPr>
              <w:jc w:val="left"/>
              <w:rPr>
                <w:noProof/>
              </w:rPr>
            </w:pPr>
            <w:r w:rsidRPr="000D0D06">
              <w:rPr>
                <w:noProof/>
              </w:rPr>
              <w:t>Recusa de um pedido de acesso a dados com base na exceção relativa ao segredo comercial (</w:t>
            </w:r>
            <w:r w:rsidRPr="000D0D06">
              <w:rPr>
                <w:i/>
                <w:noProof/>
              </w:rPr>
              <w:t>e notificação da mesma à autoridade competente</w:t>
            </w:r>
            <w:r w:rsidRPr="000D0D06">
              <w:rPr>
                <w:noProof/>
              </w:rPr>
              <w:t xml:space="preserve">) </w:t>
            </w:r>
          </w:p>
        </w:tc>
        <w:tc>
          <w:tcPr>
            <w:tcW w:w="3686" w:type="dxa"/>
          </w:tcPr>
          <w:p w14:paraId="6079DCF2" w14:textId="77777777" w:rsidR="009C4CDA" w:rsidRPr="000D0D06" w:rsidRDefault="009C4CDA" w:rsidP="009C4CDA">
            <w:pPr>
              <w:jc w:val="left"/>
              <w:rPr>
                <w:noProof/>
              </w:rPr>
            </w:pPr>
            <w:r w:rsidRPr="000D0D06">
              <w:rPr>
                <w:noProof/>
              </w:rPr>
              <w:t>Artigo 1.º</w:t>
            </w:r>
          </w:p>
        </w:tc>
        <w:tc>
          <w:tcPr>
            <w:tcW w:w="5324" w:type="dxa"/>
          </w:tcPr>
          <w:p w14:paraId="3E1E0CAD" w14:textId="77777777" w:rsidR="009C4CDA" w:rsidRPr="000D0D06" w:rsidRDefault="009C4CDA" w:rsidP="009C4CDA">
            <w:pPr>
              <w:spacing w:line="259" w:lineRule="auto"/>
              <w:jc w:val="left"/>
              <w:rPr>
                <w:noProof/>
              </w:rPr>
            </w:pPr>
            <w:r w:rsidRPr="000D0D06">
              <w:rPr>
                <w:noProof/>
              </w:rPr>
              <w:t xml:space="preserve">A fundamentar devidamente com base em elementos objetivos. </w:t>
            </w:r>
          </w:p>
        </w:tc>
      </w:tr>
      <w:tr w:rsidR="009C4CDA" w:rsidRPr="000D0D06" w14:paraId="1816EA09" w14:textId="77777777">
        <w:trPr>
          <w:trHeight w:val="300"/>
        </w:trPr>
        <w:tc>
          <w:tcPr>
            <w:tcW w:w="5240" w:type="dxa"/>
          </w:tcPr>
          <w:p w14:paraId="2156D426" w14:textId="77777777" w:rsidR="009C4CDA" w:rsidRPr="000D0D06" w:rsidRDefault="009C4CDA" w:rsidP="009C4CDA">
            <w:pPr>
              <w:jc w:val="left"/>
              <w:rPr>
                <w:noProof/>
              </w:rPr>
            </w:pPr>
            <w:r w:rsidRPr="000D0D06">
              <w:rPr>
                <w:noProof/>
              </w:rPr>
              <w:t>Dados a disponibilizar no contexto de uma emergência pública</w:t>
            </w:r>
          </w:p>
        </w:tc>
        <w:tc>
          <w:tcPr>
            <w:tcW w:w="3686" w:type="dxa"/>
          </w:tcPr>
          <w:p w14:paraId="1B156C48" w14:textId="77777777" w:rsidR="009C4CDA" w:rsidRPr="000D0D06" w:rsidRDefault="009C4CDA" w:rsidP="009C4CDA">
            <w:pPr>
              <w:jc w:val="left"/>
              <w:rPr>
                <w:noProof/>
              </w:rPr>
            </w:pPr>
            <w:r w:rsidRPr="000D0D06">
              <w:rPr>
                <w:noProof/>
              </w:rPr>
              <w:t>Artigo 1.º</w:t>
            </w:r>
          </w:p>
        </w:tc>
        <w:tc>
          <w:tcPr>
            <w:tcW w:w="5324" w:type="dxa"/>
          </w:tcPr>
          <w:p w14:paraId="1FE7BBA8" w14:textId="77777777" w:rsidR="009C4CDA" w:rsidRPr="000D0D06" w:rsidRDefault="009C4CDA" w:rsidP="009C4CDA">
            <w:pPr>
              <w:spacing w:line="259" w:lineRule="auto"/>
              <w:jc w:val="left"/>
              <w:rPr>
                <w:noProof/>
              </w:rPr>
            </w:pPr>
            <w:r w:rsidRPr="000D0D06">
              <w:rPr>
                <w:noProof/>
              </w:rPr>
              <w:t xml:space="preserve">Incluindo os metadados necessários para interpretar e utilizar os dados. No caso dos dados pessoais, pseudonimizados, sempre que possível. </w:t>
            </w:r>
          </w:p>
        </w:tc>
      </w:tr>
      <w:tr w:rsidR="009C4CDA" w:rsidRPr="000D0D06" w14:paraId="041AD69C" w14:textId="77777777">
        <w:trPr>
          <w:trHeight w:val="300"/>
        </w:trPr>
        <w:tc>
          <w:tcPr>
            <w:tcW w:w="5240" w:type="dxa"/>
          </w:tcPr>
          <w:p w14:paraId="421D121E" w14:textId="77777777" w:rsidR="009C4CDA" w:rsidRPr="000D0D06" w:rsidRDefault="009C4CDA" w:rsidP="009C4CDA">
            <w:pPr>
              <w:jc w:val="left"/>
              <w:rPr>
                <w:noProof/>
              </w:rPr>
            </w:pPr>
            <w:r w:rsidRPr="000D0D06">
              <w:rPr>
                <w:noProof/>
              </w:rPr>
              <w:t>Notificação da intenção de disponibilizar dados no contexto de uma emergência pública</w:t>
            </w:r>
          </w:p>
        </w:tc>
        <w:tc>
          <w:tcPr>
            <w:tcW w:w="3686" w:type="dxa"/>
          </w:tcPr>
          <w:p w14:paraId="704CE13C" w14:textId="77777777" w:rsidR="009C4CDA" w:rsidRPr="000D0D06" w:rsidRDefault="009C4CDA" w:rsidP="009C4CDA">
            <w:pPr>
              <w:jc w:val="left"/>
              <w:rPr>
                <w:noProof/>
              </w:rPr>
            </w:pPr>
            <w:r w:rsidRPr="000D0D06">
              <w:rPr>
                <w:noProof/>
              </w:rPr>
              <w:t>Artigo 1.º</w:t>
            </w:r>
          </w:p>
        </w:tc>
        <w:tc>
          <w:tcPr>
            <w:tcW w:w="5324" w:type="dxa"/>
          </w:tcPr>
          <w:p w14:paraId="5069C0EB" w14:textId="5375E614" w:rsidR="009C4CDA" w:rsidRPr="000D0D06" w:rsidRDefault="009C4CDA" w:rsidP="009C4CDA">
            <w:pPr>
              <w:spacing w:line="259" w:lineRule="auto"/>
              <w:jc w:val="left"/>
              <w:rPr>
                <w:noProof/>
              </w:rPr>
            </w:pPr>
            <w:r w:rsidRPr="000D0D06">
              <w:rPr>
                <w:noProof/>
              </w:rPr>
              <w:t>Indicar a identidade e os dados de contacto da organização ou da pessoa singular que receberá os dados, a finalidade da transmissão ou disponibilização dos dados, o período de utilização dos dados e as medidas de proteção adotadas, tanto técnicas como organizativas.</w:t>
            </w:r>
          </w:p>
        </w:tc>
      </w:tr>
      <w:tr w:rsidR="009C4CDA" w:rsidRPr="000D0D06" w14:paraId="73626859" w14:textId="77777777">
        <w:trPr>
          <w:trHeight w:val="300"/>
        </w:trPr>
        <w:tc>
          <w:tcPr>
            <w:tcW w:w="5240" w:type="dxa"/>
          </w:tcPr>
          <w:p w14:paraId="14A7CCFB" w14:textId="77777777" w:rsidR="009C4CDA" w:rsidRPr="000D0D06" w:rsidRDefault="009C4CDA" w:rsidP="009C4CDA">
            <w:pPr>
              <w:jc w:val="left"/>
              <w:rPr>
                <w:noProof/>
              </w:rPr>
            </w:pPr>
            <w:r w:rsidRPr="000D0D06">
              <w:rPr>
                <w:noProof/>
              </w:rPr>
              <w:t>Reclamações ao abrigo do capítulo V («</w:t>
            </w:r>
            <w:r w:rsidRPr="000D0D06">
              <w:rPr>
                <w:i/>
                <w:noProof/>
              </w:rPr>
              <w:t>Disponibilização de dados aos organismos do setor público, à Comissão, ao Banco Central Europeu e aos órgãos da União com base em necessidades excecionais</w:t>
            </w:r>
            <w:r w:rsidRPr="000D0D06">
              <w:rPr>
                <w:noProof/>
              </w:rPr>
              <w:t>»)</w:t>
            </w:r>
          </w:p>
        </w:tc>
        <w:tc>
          <w:tcPr>
            <w:tcW w:w="3686" w:type="dxa"/>
          </w:tcPr>
          <w:p w14:paraId="046F7667" w14:textId="77777777" w:rsidR="009C4CDA" w:rsidRPr="000D0D06" w:rsidRDefault="009C4CDA" w:rsidP="009C4CDA">
            <w:pPr>
              <w:jc w:val="left"/>
              <w:rPr>
                <w:noProof/>
              </w:rPr>
            </w:pPr>
            <w:r w:rsidRPr="000D0D06">
              <w:rPr>
                <w:noProof/>
              </w:rPr>
              <w:t>Artigo 1.º</w:t>
            </w:r>
          </w:p>
        </w:tc>
        <w:tc>
          <w:tcPr>
            <w:tcW w:w="5324" w:type="dxa"/>
          </w:tcPr>
          <w:p w14:paraId="431E1041" w14:textId="77777777" w:rsidR="009C4CDA" w:rsidRPr="000D0D06" w:rsidRDefault="009C4CDA" w:rsidP="009C4CDA">
            <w:pPr>
              <w:spacing w:line="259" w:lineRule="auto"/>
              <w:jc w:val="left"/>
              <w:rPr>
                <w:noProof/>
              </w:rPr>
            </w:pPr>
            <w:r w:rsidRPr="000D0D06">
              <w:rPr>
                <w:noProof/>
              </w:rPr>
              <w:t>//</w:t>
            </w:r>
          </w:p>
        </w:tc>
      </w:tr>
      <w:tr w:rsidR="009C4CDA" w:rsidRPr="000D0D06" w14:paraId="1FE15C9D" w14:textId="77777777">
        <w:tc>
          <w:tcPr>
            <w:tcW w:w="5240" w:type="dxa"/>
          </w:tcPr>
          <w:p w14:paraId="214A1D43" w14:textId="77777777" w:rsidR="009C4CDA" w:rsidRPr="000D0D06" w:rsidRDefault="009C4CDA" w:rsidP="009C4CDA">
            <w:pPr>
              <w:spacing w:before="240" w:after="240"/>
              <w:jc w:val="left"/>
              <w:rPr>
                <w:noProof/>
              </w:rPr>
            </w:pPr>
            <w:r w:rsidRPr="000D0D06">
              <w:rPr>
                <w:noProof/>
              </w:rPr>
              <w:t>Dados não pessoais detidos na União Europeia</w:t>
            </w:r>
          </w:p>
        </w:tc>
        <w:tc>
          <w:tcPr>
            <w:tcW w:w="3686" w:type="dxa"/>
          </w:tcPr>
          <w:p w14:paraId="335161CA" w14:textId="77777777" w:rsidR="009C4CDA" w:rsidRPr="000D0D06" w:rsidRDefault="009C4CDA" w:rsidP="009C4CDA">
            <w:pPr>
              <w:jc w:val="left"/>
              <w:rPr>
                <w:noProof/>
              </w:rPr>
            </w:pPr>
            <w:r w:rsidRPr="000D0D06">
              <w:rPr>
                <w:noProof/>
              </w:rPr>
              <w:t>Artigo 1.º</w:t>
            </w:r>
          </w:p>
        </w:tc>
        <w:tc>
          <w:tcPr>
            <w:tcW w:w="5324" w:type="dxa"/>
          </w:tcPr>
          <w:p w14:paraId="5421630A" w14:textId="77777777" w:rsidR="009C4CDA" w:rsidRPr="000D0D06" w:rsidRDefault="009C4CDA" w:rsidP="009C4CDA">
            <w:pPr>
              <w:spacing w:line="259" w:lineRule="auto"/>
              <w:jc w:val="left"/>
              <w:rPr>
                <w:noProof/>
              </w:rPr>
            </w:pPr>
            <w:r w:rsidRPr="000D0D06">
              <w:rPr>
                <w:noProof/>
              </w:rPr>
              <w:t>//</w:t>
            </w:r>
          </w:p>
        </w:tc>
      </w:tr>
      <w:tr w:rsidR="009C4CDA" w:rsidRPr="000D0D06" w14:paraId="240FFA43" w14:textId="77777777">
        <w:trPr>
          <w:trHeight w:val="300"/>
        </w:trPr>
        <w:tc>
          <w:tcPr>
            <w:tcW w:w="5240" w:type="dxa"/>
          </w:tcPr>
          <w:p w14:paraId="23AAAEAE" w14:textId="77777777" w:rsidR="009C4CDA" w:rsidRPr="000D0D06" w:rsidRDefault="009C4CDA" w:rsidP="009C4CDA">
            <w:pPr>
              <w:jc w:val="left"/>
              <w:rPr>
                <w:noProof/>
              </w:rPr>
            </w:pPr>
            <w:r w:rsidRPr="000D0D06">
              <w:rPr>
                <w:noProof/>
              </w:rPr>
              <w:t>Dados a fornecer em resposta a um pedido de reutilização de dados</w:t>
            </w:r>
          </w:p>
        </w:tc>
        <w:tc>
          <w:tcPr>
            <w:tcW w:w="3686" w:type="dxa"/>
          </w:tcPr>
          <w:p w14:paraId="65FC132A" w14:textId="77777777" w:rsidR="009C4CDA" w:rsidRPr="000D0D06" w:rsidRDefault="009C4CDA" w:rsidP="009C4CDA">
            <w:pPr>
              <w:jc w:val="left"/>
              <w:rPr>
                <w:noProof/>
              </w:rPr>
            </w:pPr>
            <w:r w:rsidRPr="000D0D06">
              <w:rPr>
                <w:noProof/>
              </w:rPr>
              <w:t>Artigo 1.º</w:t>
            </w:r>
          </w:p>
        </w:tc>
        <w:tc>
          <w:tcPr>
            <w:tcW w:w="5324" w:type="dxa"/>
          </w:tcPr>
          <w:p w14:paraId="127816D1" w14:textId="77777777" w:rsidR="009C4CDA" w:rsidRPr="000D0D06" w:rsidRDefault="009C4CDA" w:rsidP="009C4CDA">
            <w:pPr>
              <w:spacing w:line="259" w:lineRule="auto"/>
              <w:jc w:val="left"/>
              <w:rPr>
                <w:noProof/>
              </w:rPr>
            </w:pPr>
            <w:r w:rsidRPr="000D0D06">
              <w:rPr>
                <w:noProof/>
              </w:rPr>
              <w:t>Facultar a quantidade mínima de dados admissível</w:t>
            </w:r>
          </w:p>
        </w:tc>
      </w:tr>
      <w:tr w:rsidR="009C4CDA" w:rsidRPr="000D0D06" w14:paraId="227EE3EC" w14:textId="77777777">
        <w:trPr>
          <w:trHeight w:val="300"/>
        </w:trPr>
        <w:tc>
          <w:tcPr>
            <w:tcW w:w="5240" w:type="dxa"/>
          </w:tcPr>
          <w:p w14:paraId="1400A7DF" w14:textId="77777777" w:rsidR="009C4CDA" w:rsidRPr="000D0D06" w:rsidRDefault="009C4CDA" w:rsidP="009C4CDA">
            <w:pPr>
              <w:jc w:val="left"/>
              <w:rPr>
                <w:noProof/>
              </w:rPr>
            </w:pPr>
            <w:r w:rsidRPr="000D0D06">
              <w:rPr>
                <w:noProof/>
              </w:rPr>
              <w:t xml:space="preserve">Notificação de pedido de reutilização de dados em vias de ser deferido </w:t>
            </w:r>
          </w:p>
        </w:tc>
        <w:tc>
          <w:tcPr>
            <w:tcW w:w="3686" w:type="dxa"/>
          </w:tcPr>
          <w:p w14:paraId="7834CD15" w14:textId="77777777" w:rsidR="009C4CDA" w:rsidRPr="000D0D06" w:rsidRDefault="009C4CDA" w:rsidP="009C4CDA">
            <w:pPr>
              <w:jc w:val="left"/>
              <w:rPr>
                <w:noProof/>
              </w:rPr>
            </w:pPr>
            <w:r w:rsidRPr="000D0D06">
              <w:rPr>
                <w:noProof/>
              </w:rPr>
              <w:t xml:space="preserve">Artigo 1.º </w:t>
            </w:r>
          </w:p>
        </w:tc>
        <w:tc>
          <w:tcPr>
            <w:tcW w:w="5324" w:type="dxa"/>
          </w:tcPr>
          <w:p w14:paraId="1CAC8BE0" w14:textId="77777777" w:rsidR="009C4CDA" w:rsidRPr="000D0D06" w:rsidRDefault="009C4CDA" w:rsidP="009C4CDA">
            <w:pPr>
              <w:spacing w:line="259" w:lineRule="auto"/>
              <w:jc w:val="left"/>
              <w:rPr>
                <w:noProof/>
              </w:rPr>
            </w:pPr>
            <w:r w:rsidRPr="000D0D06">
              <w:rPr>
                <w:noProof/>
              </w:rPr>
              <w:t>//</w:t>
            </w:r>
          </w:p>
        </w:tc>
      </w:tr>
      <w:tr w:rsidR="009C4CDA" w:rsidRPr="000D0D06" w14:paraId="55F5A3AC" w14:textId="77777777">
        <w:trPr>
          <w:trHeight w:val="990"/>
        </w:trPr>
        <w:tc>
          <w:tcPr>
            <w:tcW w:w="5240" w:type="dxa"/>
          </w:tcPr>
          <w:p w14:paraId="78FA9C83" w14:textId="6D0867DA" w:rsidR="009C4CDA" w:rsidRPr="000D0D06" w:rsidRDefault="009C4CDA" w:rsidP="009C4CDA">
            <w:pPr>
              <w:jc w:val="left"/>
              <w:rPr>
                <w:noProof/>
              </w:rPr>
            </w:pPr>
            <w:r w:rsidRPr="000D0D06">
              <w:rPr>
                <w:noProof/>
              </w:rPr>
              <w:t>Dados para os quais sejam prestados serviços de intermediação (título europeu para os serviços de intermediação de dados e organizações de altruísmo de dados)</w:t>
            </w:r>
          </w:p>
        </w:tc>
        <w:tc>
          <w:tcPr>
            <w:tcW w:w="3686" w:type="dxa"/>
          </w:tcPr>
          <w:p w14:paraId="41534E3E" w14:textId="77777777" w:rsidR="009C4CDA" w:rsidRPr="000D0D06" w:rsidRDefault="009C4CDA" w:rsidP="009C4CDA">
            <w:pPr>
              <w:jc w:val="left"/>
              <w:rPr>
                <w:noProof/>
              </w:rPr>
            </w:pPr>
            <w:r w:rsidRPr="000D0D06">
              <w:rPr>
                <w:noProof/>
              </w:rPr>
              <w:t>Artigo 1.º</w:t>
            </w:r>
          </w:p>
          <w:p w14:paraId="33ED75B8" w14:textId="77777777" w:rsidR="009C4CDA" w:rsidRPr="000D0D06" w:rsidRDefault="009C4CDA" w:rsidP="009C4CDA">
            <w:pPr>
              <w:jc w:val="left"/>
              <w:rPr>
                <w:noProof/>
              </w:rPr>
            </w:pPr>
          </w:p>
        </w:tc>
        <w:tc>
          <w:tcPr>
            <w:tcW w:w="5324" w:type="dxa"/>
          </w:tcPr>
          <w:p w14:paraId="37C9DB7A" w14:textId="77777777" w:rsidR="009C4CDA" w:rsidRPr="000D0D06" w:rsidRDefault="009C4CDA" w:rsidP="009C4CDA">
            <w:pPr>
              <w:spacing w:before="0" w:after="0"/>
              <w:jc w:val="left"/>
              <w:rPr>
                <w:noProof/>
              </w:rPr>
            </w:pPr>
            <w:r w:rsidRPr="000D0D06">
              <w:rPr>
                <w:noProof/>
              </w:rPr>
              <w:t xml:space="preserve">Formato recebido do titular/detentor dos dados, conversões apenas para reforçar a interoperabilidade ou cumprir as normas internacionais/europeias em matéria de dados </w:t>
            </w:r>
          </w:p>
        </w:tc>
      </w:tr>
      <w:tr w:rsidR="009C4CDA" w:rsidRPr="000D0D06" w14:paraId="4AE208CD" w14:textId="77777777">
        <w:trPr>
          <w:trHeight w:val="300"/>
        </w:trPr>
        <w:tc>
          <w:tcPr>
            <w:tcW w:w="5240" w:type="dxa"/>
          </w:tcPr>
          <w:p w14:paraId="4B94DAD8" w14:textId="7685072F" w:rsidR="009C4CDA" w:rsidRPr="000D0D06" w:rsidRDefault="009C4CDA" w:rsidP="009C4CDA">
            <w:pPr>
              <w:jc w:val="left"/>
              <w:rPr>
                <w:noProof/>
              </w:rPr>
            </w:pPr>
            <w:r w:rsidRPr="000D0D06">
              <w:rPr>
                <w:noProof/>
              </w:rPr>
              <w:t>Informações sobre utilizações de dados e condições aplicáveis aos dados (título europeu para os serviços de intermediação de dados e organizações de altruísmo de dados)</w:t>
            </w:r>
          </w:p>
        </w:tc>
        <w:tc>
          <w:tcPr>
            <w:tcW w:w="3686" w:type="dxa"/>
          </w:tcPr>
          <w:p w14:paraId="289C76BF" w14:textId="77777777" w:rsidR="009C4CDA" w:rsidRPr="000D0D06" w:rsidRDefault="009C4CDA" w:rsidP="009C4CDA">
            <w:pPr>
              <w:jc w:val="left"/>
              <w:rPr>
                <w:noProof/>
              </w:rPr>
            </w:pPr>
            <w:r w:rsidRPr="000D0D06">
              <w:rPr>
                <w:noProof/>
              </w:rPr>
              <w:t>Artigo 1.º</w:t>
            </w:r>
          </w:p>
          <w:p w14:paraId="158454E8" w14:textId="77777777" w:rsidR="009C4CDA" w:rsidRPr="000D0D06" w:rsidRDefault="009C4CDA" w:rsidP="009C4CDA">
            <w:pPr>
              <w:jc w:val="left"/>
              <w:rPr>
                <w:noProof/>
              </w:rPr>
            </w:pPr>
          </w:p>
        </w:tc>
        <w:tc>
          <w:tcPr>
            <w:tcW w:w="5324" w:type="dxa"/>
          </w:tcPr>
          <w:p w14:paraId="10BA01C1" w14:textId="77777777" w:rsidR="009C4CDA" w:rsidRPr="000D0D06" w:rsidRDefault="009C4CDA" w:rsidP="009C4CDA">
            <w:pPr>
              <w:jc w:val="left"/>
              <w:rPr>
                <w:noProof/>
              </w:rPr>
            </w:pPr>
            <w:r w:rsidRPr="000D0D06">
              <w:rPr>
                <w:noProof/>
              </w:rPr>
              <w:t>Devem ser fornecidas de forma concisa, transparente, inteligível e de fácil acesso</w:t>
            </w:r>
          </w:p>
        </w:tc>
      </w:tr>
      <w:tr w:rsidR="009C4CDA" w:rsidRPr="000D0D06" w14:paraId="6E3D681E" w14:textId="77777777">
        <w:trPr>
          <w:trHeight w:val="300"/>
        </w:trPr>
        <w:tc>
          <w:tcPr>
            <w:tcW w:w="5240" w:type="dxa"/>
          </w:tcPr>
          <w:p w14:paraId="5C788972" w14:textId="687192FA" w:rsidR="009C4CDA" w:rsidRPr="000D0D06" w:rsidRDefault="009C4CDA" w:rsidP="009C4CDA">
            <w:pPr>
              <w:jc w:val="left"/>
              <w:rPr>
                <w:noProof/>
              </w:rPr>
            </w:pPr>
            <w:r w:rsidRPr="000D0D06">
              <w:rPr>
                <w:noProof/>
              </w:rPr>
              <w:t>Pedidos de registo no registo público da União e alterações das informações notificadas (título europeu para os serviços de intermediação de dados e organizações de altruísmo de dados)</w:t>
            </w:r>
          </w:p>
        </w:tc>
        <w:tc>
          <w:tcPr>
            <w:tcW w:w="3686" w:type="dxa"/>
          </w:tcPr>
          <w:p w14:paraId="173DC69D" w14:textId="77777777" w:rsidR="009C4CDA" w:rsidRPr="000D0D06" w:rsidRDefault="009C4CDA" w:rsidP="009C4CDA">
            <w:pPr>
              <w:jc w:val="left"/>
              <w:rPr>
                <w:noProof/>
              </w:rPr>
            </w:pPr>
            <w:r w:rsidRPr="000D0D06">
              <w:rPr>
                <w:noProof/>
              </w:rPr>
              <w:t>Artigo 1.º</w:t>
            </w:r>
          </w:p>
        </w:tc>
        <w:tc>
          <w:tcPr>
            <w:tcW w:w="5324" w:type="dxa"/>
          </w:tcPr>
          <w:p w14:paraId="37F9339A" w14:textId="77777777" w:rsidR="009C4CDA" w:rsidRPr="000D0D06" w:rsidRDefault="009C4CDA" w:rsidP="009C4CDA">
            <w:pPr>
              <w:spacing w:line="259" w:lineRule="auto"/>
              <w:jc w:val="left"/>
              <w:rPr>
                <w:noProof/>
              </w:rPr>
            </w:pPr>
            <w:r w:rsidRPr="000D0D06">
              <w:rPr>
                <w:noProof/>
              </w:rPr>
              <w:t>As autoridades competentes devem estabelecer os formulários de pedido necessários.</w:t>
            </w:r>
          </w:p>
        </w:tc>
      </w:tr>
      <w:tr w:rsidR="009C4CDA" w:rsidRPr="000D0D06" w14:paraId="2F6CD41A" w14:textId="77777777">
        <w:trPr>
          <w:trHeight w:val="300"/>
        </w:trPr>
        <w:tc>
          <w:tcPr>
            <w:tcW w:w="5240" w:type="dxa"/>
          </w:tcPr>
          <w:p w14:paraId="44D04A8C" w14:textId="6820793A" w:rsidR="009C4CDA" w:rsidRPr="000D0D06" w:rsidRDefault="009C4CDA" w:rsidP="009C4CDA">
            <w:pPr>
              <w:jc w:val="left"/>
              <w:rPr>
                <w:noProof/>
              </w:rPr>
            </w:pPr>
            <w:r w:rsidRPr="000D0D06">
              <w:rPr>
                <w:noProof/>
              </w:rPr>
              <w:t>Pedidos de registo aceites para inscrição no registo público da União (título europeu para os serviços de intermediação de dados e organizações de altruísmo de dados)</w:t>
            </w:r>
          </w:p>
        </w:tc>
        <w:tc>
          <w:tcPr>
            <w:tcW w:w="3686" w:type="dxa"/>
          </w:tcPr>
          <w:p w14:paraId="05C8BC3F" w14:textId="77777777" w:rsidR="009C4CDA" w:rsidRPr="000D0D06" w:rsidRDefault="009C4CDA" w:rsidP="009C4CDA">
            <w:pPr>
              <w:jc w:val="left"/>
              <w:rPr>
                <w:noProof/>
              </w:rPr>
            </w:pPr>
            <w:r w:rsidRPr="000D0D06">
              <w:rPr>
                <w:noProof/>
              </w:rPr>
              <w:t xml:space="preserve">Artigo 1.º </w:t>
            </w:r>
          </w:p>
          <w:p w14:paraId="00EA7922" w14:textId="77777777" w:rsidR="009C4CDA" w:rsidRPr="000D0D06" w:rsidRDefault="009C4CDA" w:rsidP="009C4CDA">
            <w:pPr>
              <w:jc w:val="left"/>
              <w:rPr>
                <w:noProof/>
              </w:rPr>
            </w:pPr>
          </w:p>
        </w:tc>
        <w:tc>
          <w:tcPr>
            <w:tcW w:w="5324" w:type="dxa"/>
          </w:tcPr>
          <w:p w14:paraId="3E35C254" w14:textId="77777777" w:rsidR="009C4CDA" w:rsidRPr="000D0D06" w:rsidRDefault="009C4CDA" w:rsidP="009C4CDA">
            <w:pPr>
              <w:spacing w:line="259" w:lineRule="auto"/>
              <w:jc w:val="left"/>
              <w:rPr>
                <w:noProof/>
              </w:rPr>
            </w:pPr>
            <w:r w:rsidRPr="000D0D06">
              <w:rPr>
                <w:noProof/>
              </w:rPr>
              <w:t>//</w:t>
            </w:r>
          </w:p>
        </w:tc>
      </w:tr>
      <w:tr w:rsidR="009C4CDA" w:rsidRPr="000D0D06" w14:paraId="736F324A" w14:textId="77777777">
        <w:trPr>
          <w:trHeight w:val="300"/>
        </w:trPr>
        <w:tc>
          <w:tcPr>
            <w:tcW w:w="5240" w:type="dxa"/>
          </w:tcPr>
          <w:p w14:paraId="7D11C89A" w14:textId="40D7A24D" w:rsidR="009C4CDA" w:rsidRPr="000D0D06" w:rsidRDefault="009C4CDA" w:rsidP="009C4CDA">
            <w:pPr>
              <w:jc w:val="left"/>
              <w:rPr>
                <w:noProof/>
              </w:rPr>
            </w:pPr>
            <w:r w:rsidRPr="000D0D06">
              <w:rPr>
                <w:noProof/>
              </w:rPr>
              <w:t>Notificação de alterações subsequentes das informações fornecidas durante o processo de pedido (título europeu para os serviços de intermediação de dados e organizações de altruísmo de dados)</w:t>
            </w:r>
          </w:p>
        </w:tc>
        <w:tc>
          <w:tcPr>
            <w:tcW w:w="3686" w:type="dxa"/>
          </w:tcPr>
          <w:p w14:paraId="2E49B003" w14:textId="77777777" w:rsidR="009C4CDA" w:rsidRPr="000D0D06" w:rsidRDefault="009C4CDA" w:rsidP="009C4CDA">
            <w:pPr>
              <w:jc w:val="left"/>
              <w:rPr>
                <w:noProof/>
              </w:rPr>
            </w:pPr>
            <w:r w:rsidRPr="000D0D06">
              <w:rPr>
                <w:noProof/>
              </w:rPr>
              <w:t>Artigo 1.º</w:t>
            </w:r>
          </w:p>
        </w:tc>
        <w:tc>
          <w:tcPr>
            <w:tcW w:w="5324" w:type="dxa"/>
          </w:tcPr>
          <w:p w14:paraId="5BF22480" w14:textId="77777777" w:rsidR="009C4CDA" w:rsidRPr="000D0D06" w:rsidRDefault="009C4CDA" w:rsidP="009C4CDA">
            <w:pPr>
              <w:spacing w:line="259" w:lineRule="auto"/>
              <w:jc w:val="left"/>
              <w:rPr>
                <w:noProof/>
              </w:rPr>
            </w:pPr>
            <w:r w:rsidRPr="000D0D06">
              <w:rPr>
                <w:noProof/>
              </w:rPr>
              <w:t>//</w:t>
            </w:r>
          </w:p>
        </w:tc>
      </w:tr>
      <w:tr w:rsidR="009C4CDA" w:rsidRPr="000D0D06" w14:paraId="752E5BBB" w14:textId="77777777">
        <w:trPr>
          <w:trHeight w:val="300"/>
        </w:trPr>
        <w:tc>
          <w:tcPr>
            <w:tcW w:w="5240" w:type="dxa"/>
          </w:tcPr>
          <w:p w14:paraId="0BE94163" w14:textId="2B7A43F5" w:rsidR="009C4CDA" w:rsidRPr="000D0D06" w:rsidRDefault="009C4CDA" w:rsidP="009C4CDA">
            <w:pPr>
              <w:jc w:val="left"/>
              <w:rPr>
                <w:noProof/>
              </w:rPr>
            </w:pPr>
            <w:r w:rsidRPr="000D0D06">
              <w:rPr>
                <w:noProof/>
              </w:rPr>
              <w:t>Receção da notificação de alterações subsequentes (título europeu para os serviços de intermediação de dados e organizações de altruísmo de dados)</w:t>
            </w:r>
          </w:p>
        </w:tc>
        <w:tc>
          <w:tcPr>
            <w:tcW w:w="3686" w:type="dxa"/>
          </w:tcPr>
          <w:p w14:paraId="0E7E3A3A" w14:textId="77777777" w:rsidR="009C4CDA" w:rsidRPr="000D0D06" w:rsidRDefault="009C4CDA" w:rsidP="009C4CDA">
            <w:pPr>
              <w:jc w:val="left"/>
              <w:rPr>
                <w:noProof/>
              </w:rPr>
            </w:pPr>
            <w:r w:rsidRPr="000D0D06">
              <w:rPr>
                <w:noProof/>
              </w:rPr>
              <w:t>Artigo 1.º</w:t>
            </w:r>
          </w:p>
        </w:tc>
        <w:tc>
          <w:tcPr>
            <w:tcW w:w="5324" w:type="dxa"/>
          </w:tcPr>
          <w:p w14:paraId="1B8C6C95" w14:textId="77777777" w:rsidR="009C4CDA" w:rsidRPr="000D0D06" w:rsidRDefault="009C4CDA" w:rsidP="009C4CDA">
            <w:pPr>
              <w:spacing w:line="259" w:lineRule="auto"/>
              <w:jc w:val="left"/>
              <w:rPr>
                <w:noProof/>
              </w:rPr>
            </w:pPr>
            <w:r w:rsidRPr="000D0D06">
              <w:rPr>
                <w:noProof/>
              </w:rPr>
              <w:t>//</w:t>
            </w:r>
          </w:p>
        </w:tc>
      </w:tr>
      <w:tr w:rsidR="009C4CDA" w:rsidRPr="000D0D06" w14:paraId="31D08760" w14:textId="77777777">
        <w:trPr>
          <w:trHeight w:val="300"/>
        </w:trPr>
        <w:tc>
          <w:tcPr>
            <w:tcW w:w="5240" w:type="dxa"/>
          </w:tcPr>
          <w:p w14:paraId="0E81F957" w14:textId="0C8DDBA2" w:rsidR="009C4CDA" w:rsidRPr="000D0D06" w:rsidRDefault="009C4CDA" w:rsidP="009C4CDA">
            <w:pPr>
              <w:jc w:val="left"/>
              <w:rPr>
                <w:noProof/>
              </w:rPr>
            </w:pPr>
            <w:r w:rsidRPr="000D0D06">
              <w:rPr>
                <w:noProof/>
              </w:rPr>
              <w:t>Informações fornecidas aos titulares/detentores dos dados antes do tratamento (título europeu para os serviços de intermediação de dados e organizações de altruísmo de dados)</w:t>
            </w:r>
          </w:p>
        </w:tc>
        <w:tc>
          <w:tcPr>
            <w:tcW w:w="3686" w:type="dxa"/>
          </w:tcPr>
          <w:p w14:paraId="2B47415E" w14:textId="77777777" w:rsidR="009C4CDA" w:rsidRPr="000D0D06" w:rsidRDefault="009C4CDA" w:rsidP="009C4CDA">
            <w:pPr>
              <w:jc w:val="left"/>
              <w:rPr>
                <w:noProof/>
              </w:rPr>
            </w:pPr>
            <w:r w:rsidRPr="000D0D06">
              <w:rPr>
                <w:noProof/>
              </w:rPr>
              <w:t>Artigo 1.º</w:t>
            </w:r>
          </w:p>
          <w:p w14:paraId="67A386EB" w14:textId="77777777" w:rsidR="009C4CDA" w:rsidRPr="000D0D06" w:rsidRDefault="009C4CDA" w:rsidP="009C4CDA">
            <w:pPr>
              <w:jc w:val="left"/>
              <w:rPr>
                <w:noProof/>
              </w:rPr>
            </w:pPr>
          </w:p>
        </w:tc>
        <w:tc>
          <w:tcPr>
            <w:tcW w:w="5324" w:type="dxa"/>
          </w:tcPr>
          <w:p w14:paraId="077BC210" w14:textId="77777777" w:rsidR="009C4CDA" w:rsidRPr="000D0D06" w:rsidRDefault="009C4CDA" w:rsidP="009C4CDA">
            <w:pPr>
              <w:spacing w:line="259" w:lineRule="auto"/>
              <w:jc w:val="left"/>
              <w:rPr>
                <w:noProof/>
              </w:rPr>
            </w:pPr>
            <w:r w:rsidRPr="000D0D06">
              <w:rPr>
                <w:noProof/>
              </w:rPr>
              <w:t>//</w:t>
            </w:r>
          </w:p>
        </w:tc>
      </w:tr>
      <w:tr w:rsidR="009C4CDA" w:rsidRPr="000D0D06" w14:paraId="17399072" w14:textId="77777777">
        <w:trPr>
          <w:trHeight w:val="300"/>
        </w:trPr>
        <w:tc>
          <w:tcPr>
            <w:tcW w:w="5240" w:type="dxa"/>
          </w:tcPr>
          <w:p w14:paraId="27E6441F" w14:textId="392F9039" w:rsidR="009C4CDA" w:rsidRPr="000D0D06" w:rsidRDefault="009C4CDA" w:rsidP="009C4CDA">
            <w:pPr>
              <w:jc w:val="left"/>
              <w:rPr>
                <w:noProof/>
              </w:rPr>
            </w:pPr>
            <w:r w:rsidRPr="000D0D06">
              <w:rPr>
                <w:noProof/>
              </w:rPr>
              <w:t>Consentimento (ou retirada do consentimento) para o tratamento de dados por uma organização de altruísmo de dados reconhecida (título europeu para os serviços de intermediação de dados e organizações de altruísmo de dados)</w:t>
            </w:r>
          </w:p>
        </w:tc>
        <w:tc>
          <w:tcPr>
            <w:tcW w:w="3686" w:type="dxa"/>
          </w:tcPr>
          <w:p w14:paraId="47D00F5C" w14:textId="77777777" w:rsidR="009C4CDA" w:rsidRPr="000D0D06" w:rsidRDefault="009C4CDA" w:rsidP="009C4CDA">
            <w:pPr>
              <w:jc w:val="left"/>
              <w:rPr>
                <w:noProof/>
              </w:rPr>
            </w:pPr>
            <w:r w:rsidRPr="000D0D06">
              <w:rPr>
                <w:noProof/>
              </w:rPr>
              <w:t>Artigo 1.º</w:t>
            </w:r>
          </w:p>
        </w:tc>
        <w:tc>
          <w:tcPr>
            <w:tcW w:w="5324" w:type="dxa"/>
          </w:tcPr>
          <w:p w14:paraId="13EA1BCF" w14:textId="77777777" w:rsidR="009C4CDA" w:rsidRPr="000D0D06" w:rsidRDefault="009C4CDA" w:rsidP="009C4CDA">
            <w:pPr>
              <w:spacing w:line="259" w:lineRule="auto"/>
              <w:jc w:val="left"/>
              <w:rPr>
                <w:noProof/>
              </w:rPr>
            </w:pPr>
            <w:r w:rsidRPr="000D0D06">
              <w:rPr>
                <w:noProof/>
              </w:rPr>
              <w:t>A obter por via eletrónica</w:t>
            </w:r>
          </w:p>
        </w:tc>
      </w:tr>
      <w:tr w:rsidR="009C4CDA" w:rsidRPr="000D0D06" w14:paraId="47851C1C" w14:textId="77777777">
        <w:trPr>
          <w:trHeight w:val="300"/>
        </w:trPr>
        <w:tc>
          <w:tcPr>
            <w:tcW w:w="5240" w:type="dxa"/>
          </w:tcPr>
          <w:p w14:paraId="16671A64" w14:textId="77777777" w:rsidR="009C4CDA" w:rsidRPr="000D0D06" w:rsidRDefault="009C4CDA" w:rsidP="009C4CDA">
            <w:pPr>
              <w:jc w:val="left"/>
              <w:rPr>
                <w:noProof/>
              </w:rPr>
            </w:pPr>
            <w:r w:rsidRPr="000D0D06">
              <w:rPr>
                <w:noProof/>
              </w:rPr>
              <w:t>Informações sobre a jurisdição do país terceiro em que a utilização dos dados se destina a ser efetuada</w:t>
            </w:r>
          </w:p>
        </w:tc>
        <w:tc>
          <w:tcPr>
            <w:tcW w:w="3686" w:type="dxa"/>
          </w:tcPr>
          <w:p w14:paraId="0C6C31EB" w14:textId="77777777" w:rsidR="009C4CDA" w:rsidRPr="000D0D06" w:rsidRDefault="009C4CDA" w:rsidP="009C4CDA">
            <w:pPr>
              <w:jc w:val="left"/>
              <w:rPr>
                <w:noProof/>
              </w:rPr>
            </w:pPr>
            <w:r w:rsidRPr="000D0D06">
              <w:rPr>
                <w:noProof/>
              </w:rPr>
              <w:t>Artigo 1.º</w:t>
            </w:r>
          </w:p>
        </w:tc>
        <w:tc>
          <w:tcPr>
            <w:tcW w:w="5324" w:type="dxa"/>
          </w:tcPr>
          <w:p w14:paraId="2DC3B1B4" w14:textId="77777777" w:rsidR="009C4CDA" w:rsidRPr="000D0D06" w:rsidRDefault="009C4CDA" w:rsidP="009C4CDA">
            <w:pPr>
              <w:spacing w:line="259" w:lineRule="auto"/>
              <w:jc w:val="left"/>
              <w:rPr>
                <w:noProof/>
              </w:rPr>
            </w:pPr>
            <w:r w:rsidRPr="000D0D06">
              <w:rPr>
                <w:noProof/>
              </w:rPr>
              <w:t>//</w:t>
            </w:r>
          </w:p>
        </w:tc>
      </w:tr>
      <w:tr w:rsidR="009C4CDA" w:rsidRPr="000D0D06" w14:paraId="544D1692" w14:textId="77777777">
        <w:trPr>
          <w:trHeight w:val="300"/>
        </w:trPr>
        <w:tc>
          <w:tcPr>
            <w:tcW w:w="5240" w:type="dxa"/>
          </w:tcPr>
          <w:p w14:paraId="58943038" w14:textId="70BCA149" w:rsidR="009C4CDA" w:rsidRPr="000D0D06" w:rsidRDefault="009C4CDA" w:rsidP="009C4CDA">
            <w:pPr>
              <w:jc w:val="left"/>
              <w:rPr>
                <w:noProof/>
              </w:rPr>
            </w:pPr>
            <w:r w:rsidRPr="000D0D06">
              <w:rPr>
                <w:noProof/>
              </w:rPr>
              <w:t>Notificação de transferências, acesso ou utilização não autorizados de dados não pessoais (título europeu para os serviços de intermediação de dados e organizações de altruísmo de dados)</w:t>
            </w:r>
          </w:p>
        </w:tc>
        <w:tc>
          <w:tcPr>
            <w:tcW w:w="3686" w:type="dxa"/>
          </w:tcPr>
          <w:p w14:paraId="480AAA36" w14:textId="77777777" w:rsidR="009C4CDA" w:rsidRPr="000D0D06" w:rsidRDefault="009C4CDA" w:rsidP="009C4CDA">
            <w:pPr>
              <w:jc w:val="left"/>
              <w:rPr>
                <w:noProof/>
              </w:rPr>
            </w:pPr>
            <w:r w:rsidRPr="000D0D06">
              <w:rPr>
                <w:noProof/>
              </w:rPr>
              <w:t>Artigo 1.º</w:t>
            </w:r>
          </w:p>
        </w:tc>
        <w:tc>
          <w:tcPr>
            <w:tcW w:w="5324" w:type="dxa"/>
          </w:tcPr>
          <w:p w14:paraId="5C30B999" w14:textId="77777777" w:rsidR="009C4CDA" w:rsidRPr="000D0D06" w:rsidRDefault="009C4CDA" w:rsidP="009C4CDA">
            <w:pPr>
              <w:spacing w:line="259" w:lineRule="auto"/>
              <w:jc w:val="left"/>
              <w:rPr>
                <w:noProof/>
              </w:rPr>
            </w:pPr>
            <w:r w:rsidRPr="000D0D06">
              <w:rPr>
                <w:noProof/>
              </w:rPr>
              <w:t>//</w:t>
            </w:r>
          </w:p>
        </w:tc>
      </w:tr>
      <w:tr w:rsidR="009C4CDA" w:rsidRPr="000D0D06" w14:paraId="598372A6" w14:textId="77777777">
        <w:trPr>
          <w:trHeight w:val="300"/>
        </w:trPr>
        <w:tc>
          <w:tcPr>
            <w:tcW w:w="5240" w:type="dxa"/>
          </w:tcPr>
          <w:p w14:paraId="2C67BFC6" w14:textId="0F8471C5" w:rsidR="009C4CDA" w:rsidRPr="000D0D06" w:rsidRDefault="009C4CDA" w:rsidP="009C4CDA">
            <w:pPr>
              <w:jc w:val="left"/>
              <w:rPr>
                <w:noProof/>
              </w:rPr>
            </w:pPr>
            <w:r w:rsidRPr="000D0D06">
              <w:rPr>
                <w:noProof/>
              </w:rPr>
              <w:t>Informações para o controlo do cumprimento (título europeu para os serviços de intermediação de dados e organizações de altruísmo de dados)</w:t>
            </w:r>
          </w:p>
        </w:tc>
        <w:tc>
          <w:tcPr>
            <w:tcW w:w="3686" w:type="dxa"/>
          </w:tcPr>
          <w:p w14:paraId="2334D584" w14:textId="77777777" w:rsidR="009C4CDA" w:rsidRPr="000D0D06" w:rsidRDefault="009C4CDA" w:rsidP="009C4CDA">
            <w:pPr>
              <w:jc w:val="left"/>
              <w:rPr>
                <w:noProof/>
              </w:rPr>
            </w:pPr>
            <w:r w:rsidRPr="000D0D06">
              <w:rPr>
                <w:noProof/>
              </w:rPr>
              <w:t>Artigo 1.º</w:t>
            </w:r>
          </w:p>
        </w:tc>
        <w:tc>
          <w:tcPr>
            <w:tcW w:w="5324" w:type="dxa"/>
          </w:tcPr>
          <w:p w14:paraId="3CEFE07A" w14:textId="77777777" w:rsidR="009C4CDA" w:rsidRPr="000D0D06" w:rsidRDefault="009C4CDA" w:rsidP="009C4CDA">
            <w:pPr>
              <w:jc w:val="left"/>
              <w:rPr>
                <w:noProof/>
              </w:rPr>
            </w:pPr>
            <w:r w:rsidRPr="000D0D06">
              <w:rPr>
                <w:noProof/>
              </w:rPr>
              <w:t>Os pedidos devem ser proporcionados e fundamentados</w:t>
            </w:r>
          </w:p>
        </w:tc>
      </w:tr>
      <w:tr w:rsidR="009C4CDA" w:rsidRPr="000D0D06" w14:paraId="73A1EBDC" w14:textId="77777777">
        <w:trPr>
          <w:trHeight w:val="300"/>
        </w:trPr>
        <w:tc>
          <w:tcPr>
            <w:tcW w:w="5240" w:type="dxa"/>
          </w:tcPr>
          <w:p w14:paraId="22D22B57" w14:textId="670D5CF8" w:rsidR="009C4CDA" w:rsidRPr="000D0D06" w:rsidRDefault="009C4CDA" w:rsidP="009C4CDA">
            <w:pPr>
              <w:jc w:val="left"/>
              <w:rPr>
                <w:noProof/>
              </w:rPr>
            </w:pPr>
            <w:r w:rsidRPr="000D0D06">
              <w:rPr>
                <w:noProof/>
              </w:rPr>
              <w:t>Notificação de incumprimento (título europeu para os serviços de intermediação de dados e organizações de altruísmo de dados)</w:t>
            </w:r>
          </w:p>
        </w:tc>
        <w:tc>
          <w:tcPr>
            <w:tcW w:w="3686" w:type="dxa"/>
          </w:tcPr>
          <w:p w14:paraId="73D564B2" w14:textId="77777777" w:rsidR="009C4CDA" w:rsidRPr="000D0D06" w:rsidRDefault="009C4CDA" w:rsidP="009C4CDA">
            <w:pPr>
              <w:jc w:val="left"/>
              <w:rPr>
                <w:noProof/>
              </w:rPr>
            </w:pPr>
            <w:r w:rsidRPr="000D0D06">
              <w:rPr>
                <w:noProof/>
              </w:rPr>
              <w:t>Artigo 1.º</w:t>
            </w:r>
          </w:p>
        </w:tc>
        <w:tc>
          <w:tcPr>
            <w:tcW w:w="5324" w:type="dxa"/>
          </w:tcPr>
          <w:p w14:paraId="5C84F46D" w14:textId="77777777" w:rsidR="009C4CDA" w:rsidRPr="000D0D06" w:rsidRDefault="009C4CDA" w:rsidP="009C4CDA">
            <w:pPr>
              <w:jc w:val="left"/>
              <w:rPr>
                <w:noProof/>
              </w:rPr>
            </w:pPr>
            <w:r w:rsidRPr="000D0D06">
              <w:rPr>
                <w:noProof/>
              </w:rPr>
              <w:t>//</w:t>
            </w:r>
          </w:p>
        </w:tc>
      </w:tr>
      <w:tr w:rsidR="009C4CDA" w:rsidRPr="000D0D06" w14:paraId="3A563F94" w14:textId="77777777">
        <w:trPr>
          <w:trHeight w:val="300"/>
        </w:trPr>
        <w:tc>
          <w:tcPr>
            <w:tcW w:w="5240" w:type="dxa"/>
          </w:tcPr>
          <w:p w14:paraId="25E25733" w14:textId="55563D0D" w:rsidR="009C4CDA" w:rsidRPr="000D0D06" w:rsidRDefault="009C4CDA" w:rsidP="009C4CDA">
            <w:pPr>
              <w:jc w:val="left"/>
              <w:rPr>
                <w:noProof/>
              </w:rPr>
            </w:pPr>
            <w:r w:rsidRPr="000D0D06">
              <w:rPr>
                <w:noProof/>
              </w:rPr>
              <w:t>Decisão de revogar o direito de utilização do título (título europeu para os serviços de intermediação de dados e organizações de altruísmo de dados)</w:t>
            </w:r>
          </w:p>
        </w:tc>
        <w:tc>
          <w:tcPr>
            <w:tcW w:w="3686" w:type="dxa"/>
          </w:tcPr>
          <w:p w14:paraId="7738182A" w14:textId="77777777" w:rsidR="009C4CDA" w:rsidRPr="000D0D06" w:rsidRDefault="009C4CDA" w:rsidP="009C4CDA">
            <w:pPr>
              <w:jc w:val="left"/>
              <w:rPr>
                <w:noProof/>
              </w:rPr>
            </w:pPr>
            <w:r w:rsidRPr="000D0D06">
              <w:rPr>
                <w:noProof/>
              </w:rPr>
              <w:t>Artigo 1.º</w:t>
            </w:r>
          </w:p>
        </w:tc>
        <w:tc>
          <w:tcPr>
            <w:tcW w:w="5324" w:type="dxa"/>
          </w:tcPr>
          <w:p w14:paraId="3E03FEE4" w14:textId="77777777" w:rsidR="009C4CDA" w:rsidRPr="000D0D06" w:rsidRDefault="009C4CDA" w:rsidP="009C4CDA">
            <w:pPr>
              <w:jc w:val="left"/>
              <w:rPr>
                <w:noProof/>
              </w:rPr>
            </w:pPr>
            <w:r w:rsidRPr="000D0D06">
              <w:rPr>
                <w:noProof/>
              </w:rPr>
              <w:t>//</w:t>
            </w:r>
          </w:p>
        </w:tc>
      </w:tr>
      <w:tr w:rsidR="009C4CDA" w:rsidRPr="000D0D06" w14:paraId="56B58EB1" w14:textId="77777777">
        <w:trPr>
          <w:trHeight w:val="636"/>
        </w:trPr>
        <w:tc>
          <w:tcPr>
            <w:tcW w:w="5240" w:type="dxa"/>
          </w:tcPr>
          <w:p w14:paraId="19D1E6F0" w14:textId="77777777" w:rsidR="009C4CDA" w:rsidRPr="000D0D06" w:rsidRDefault="009C4CDA" w:rsidP="009C4CDA">
            <w:pPr>
              <w:jc w:val="left"/>
              <w:rPr>
                <w:noProof/>
              </w:rPr>
            </w:pPr>
            <w:r w:rsidRPr="000D0D06">
              <w:rPr>
                <w:noProof/>
              </w:rPr>
              <w:t xml:space="preserve">Projetos de atos relativos aos requisitos de localização de dados </w:t>
            </w:r>
          </w:p>
        </w:tc>
        <w:tc>
          <w:tcPr>
            <w:tcW w:w="3686" w:type="dxa"/>
          </w:tcPr>
          <w:p w14:paraId="24953452" w14:textId="77777777" w:rsidR="009C4CDA" w:rsidRPr="000D0D06" w:rsidRDefault="009C4CDA" w:rsidP="009C4CDA">
            <w:pPr>
              <w:jc w:val="left"/>
              <w:rPr>
                <w:noProof/>
              </w:rPr>
            </w:pPr>
            <w:r w:rsidRPr="000D0D06">
              <w:rPr>
                <w:noProof/>
              </w:rPr>
              <w:t>Artigo 1.º</w:t>
            </w:r>
          </w:p>
        </w:tc>
        <w:tc>
          <w:tcPr>
            <w:tcW w:w="5324" w:type="dxa"/>
          </w:tcPr>
          <w:p w14:paraId="0B04EAEF" w14:textId="77777777" w:rsidR="009C4CDA" w:rsidRPr="000D0D06" w:rsidRDefault="009C4CDA" w:rsidP="009C4CDA">
            <w:pPr>
              <w:spacing w:line="259" w:lineRule="auto"/>
              <w:jc w:val="left"/>
              <w:rPr>
                <w:noProof/>
              </w:rPr>
            </w:pPr>
            <w:r w:rsidRPr="000D0D06">
              <w:rPr>
                <w:noProof/>
              </w:rPr>
              <w:t>//</w:t>
            </w:r>
          </w:p>
        </w:tc>
      </w:tr>
      <w:tr w:rsidR="009C4CDA" w:rsidRPr="000D0D06" w14:paraId="020E27E5" w14:textId="77777777">
        <w:trPr>
          <w:trHeight w:val="300"/>
        </w:trPr>
        <w:tc>
          <w:tcPr>
            <w:tcW w:w="5240" w:type="dxa"/>
          </w:tcPr>
          <w:p w14:paraId="0E2FFB2A" w14:textId="77777777" w:rsidR="009C4CDA" w:rsidRPr="000D0D06" w:rsidRDefault="009C4CDA" w:rsidP="009C4CDA">
            <w:pPr>
              <w:jc w:val="left"/>
              <w:rPr>
                <w:noProof/>
              </w:rPr>
            </w:pPr>
            <w:r w:rsidRPr="000D0D06">
              <w:rPr>
                <w:noProof/>
              </w:rPr>
              <w:t>Condições finais dos acordos de exclusividade</w:t>
            </w:r>
          </w:p>
        </w:tc>
        <w:tc>
          <w:tcPr>
            <w:tcW w:w="3686" w:type="dxa"/>
          </w:tcPr>
          <w:p w14:paraId="61C32C15" w14:textId="77777777" w:rsidR="009C4CDA" w:rsidRPr="000D0D06" w:rsidRDefault="009C4CDA" w:rsidP="009C4CDA">
            <w:pPr>
              <w:jc w:val="left"/>
              <w:rPr>
                <w:noProof/>
              </w:rPr>
            </w:pPr>
            <w:r w:rsidRPr="000D0D06">
              <w:rPr>
                <w:noProof/>
              </w:rPr>
              <w:t>Artigo 1.º</w:t>
            </w:r>
          </w:p>
        </w:tc>
        <w:tc>
          <w:tcPr>
            <w:tcW w:w="5324" w:type="dxa"/>
          </w:tcPr>
          <w:p w14:paraId="177F19D1" w14:textId="77777777" w:rsidR="009C4CDA" w:rsidRPr="000D0D06" w:rsidRDefault="009C4CDA" w:rsidP="009C4CDA">
            <w:pPr>
              <w:spacing w:line="259" w:lineRule="auto"/>
              <w:jc w:val="left"/>
              <w:rPr>
                <w:noProof/>
              </w:rPr>
            </w:pPr>
            <w:r w:rsidRPr="000D0D06">
              <w:rPr>
                <w:noProof/>
              </w:rPr>
              <w:t>//</w:t>
            </w:r>
          </w:p>
        </w:tc>
      </w:tr>
      <w:tr w:rsidR="009C4CDA" w:rsidRPr="000D0D06" w14:paraId="4F613481" w14:textId="77777777">
        <w:trPr>
          <w:trHeight w:val="300"/>
        </w:trPr>
        <w:tc>
          <w:tcPr>
            <w:tcW w:w="5240" w:type="dxa"/>
          </w:tcPr>
          <w:p w14:paraId="741D1BCF" w14:textId="77777777" w:rsidR="009C4CDA" w:rsidRPr="000D0D06" w:rsidRDefault="009C4CDA" w:rsidP="009C4CDA">
            <w:pPr>
              <w:jc w:val="left"/>
              <w:rPr>
                <w:noProof/>
              </w:rPr>
            </w:pPr>
            <w:r w:rsidRPr="000D0D06">
              <w:rPr>
                <w:noProof/>
              </w:rPr>
              <w:t xml:space="preserve">Dados (e/ou notificações) relativos a um pedido de reutilização </w:t>
            </w:r>
          </w:p>
        </w:tc>
        <w:tc>
          <w:tcPr>
            <w:tcW w:w="3686" w:type="dxa"/>
          </w:tcPr>
          <w:p w14:paraId="1BC0C712" w14:textId="77777777" w:rsidR="009C4CDA" w:rsidRPr="000D0D06" w:rsidRDefault="009C4CDA" w:rsidP="009C4CDA">
            <w:pPr>
              <w:jc w:val="left"/>
              <w:rPr>
                <w:noProof/>
              </w:rPr>
            </w:pPr>
            <w:r w:rsidRPr="000D0D06">
              <w:rPr>
                <w:noProof/>
              </w:rPr>
              <w:t>Artigo 1.º</w:t>
            </w:r>
          </w:p>
        </w:tc>
        <w:tc>
          <w:tcPr>
            <w:tcW w:w="5324" w:type="dxa"/>
          </w:tcPr>
          <w:p w14:paraId="4DA1B31D" w14:textId="77777777" w:rsidR="009C4CDA" w:rsidRPr="000D0D06" w:rsidRDefault="009C4CDA" w:rsidP="009C4CDA">
            <w:pPr>
              <w:spacing w:line="259" w:lineRule="auto"/>
              <w:jc w:val="left"/>
              <w:rPr>
                <w:noProof/>
              </w:rPr>
            </w:pPr>
            <w:r w:rsidRPr="000D0D06">
              <w:rPr>
                <w:noProof/>
              </w:rPr>
              <w:t>Em qualquer formato ou linguagem em que já existam e, se possível e adequado, através de meios eletrónicos, em formatos que sejam abertos, legíveis por máquina, acessíveis e localizáveis e reutilizáveis, juntamente com os respetivos metadados.</w:t>
            </w:r>
          </w:p>
        </w:tc>
      </w:tr>
      <w:tr w:rsidR="009C4CDA" w:rsidRPr="000D0D06" w14:paraId="39F31717" w14:textId="77777777">
        <w:trPr>
          <w:trHeight w:val="300"/>
        </w:trPr>
        <w:tc>
          <w:tcPr>
            <w:tcW w:w="5240" w:type="dxa"/>
          </w:tcPr>
          <w:p w14:paraId="5F2811F4" w14:textId="68710FDC" w:rsidR="009C4CDA" w:rsidRPr="000D0D06" w:rsidRDefault="009C4CDA" w:rsidP="009C4CDA">
            <w:pPr>
              <w:jc w:val="left"/>
              <w:rPr>
                <w:noProof/>
              </w:rPr>
            </w:pPr>
            <w:r w:rsidRPr="000D0D06">
              <w:rPr>
                <w:noProof/>
              </w:rPr>
              <w:t xml:space="preserve">Dados de investigação financiada por fundos públicos </w:t>
            </w:r>
          </w:p>
        </w:tc>
        <w:tc>
          <w:tcPr>
            <w:tcW w:w="3686" w:type="dxa"/>
          </w:tcPr>
          <w:p w14:paraId="1F45965C" w14:textId="77777777" w:rsidR="009C4CDA" w:rsidRPr="000D0D06" w:rsidRDefault="009C4CDA" w:rsidP="009C4CDA">
            <w:pPr>
              <w:jc w:val="left"/>
              <w:rPr>
                <w:noProof/>
              </w:rPr>
            </w:pPr>
            <w:r w:rsidRPr="000D0D06">
              <w:rPr>
                <w:noProof/>
              </w:rPr>
              <w:t>Artigo 1.º</w:t>
            </w:r>
          </w:p>
        </w:tc>
        <w:tc>
          <w:tcPr>
            <w:tcW w:w="5324" w:type="dxa"/>
          </w:tcPr>
          <w:p w14:paraId="4BA5FD4C" w14:textId="77777777" w:rsidR="009C4CDA" w:rsidRPr="000D0D06" w:rsidRDefault="009C4CDA" w:rsidP="009C4CDA">
            <w:pPr>
              <w:spacing w:line="259" w:lineRule="auto"/>
              <w:jc w:val="left"/>
              <w:rPr>
                <w:noProof/>
              </w:rPr>
            </w:pPr>
            <w:r w:rsidRPr="000D0D06">
              <w:rPr>
                <w:noProof/>
              </w:rPr>
              <w:t>Dados de livre acesso, em consonância com o princípio «abertura por defeito» e em conformidade com os princípios FAIR</w:t>
            </w:r>
          </w:p>
        </w:tc>
      </w:tr>
      <w:tr w:rsidR="009C4CDA" w:rsidRPr="000D0D06" w14:paraId="45628104" w14:textId="77777777">
        <w:trPr>
          <w:trHeight w:val="300"/>
        </w:trPr>
        <w:tc>
          <w:tcPr>
            <w:tcW w:w="5240" w:type="dxa"/>
          </w:tcPr>
          <w:p w14:paraId="3DC995F6" w14:textId="77777777" w:rsidR="009C4CDA" w:rsidRPr="000D0D06" w:rsidRDefault="009C4CDA" w:rsidP="009C4CDA">
            <w:pPr>
              <w:jc w:val="left"/>
              <w:rPr>
                <w:noProof/>
              </w:rPr>
            </w:pPr>
            <w:r w:rsidRPr="000D0D06">
              <w:rPr>
                <w:noProof/>
              </w:rPr>
              <w:t>Conjuntos específicos de dados de elevado valor</w:t>
            </w:r>
          </w:p>
        </w:tc>
        <w:tc>
          <w:tcPr>
            <w:tcW w:w="3686" w:type="dxa"/>
          </w:tcPr>
          <w:p w14:paraId="798AD894" w14:textId="77777777" w:rsidR="009C4CDA" w:rsidRPr="000D0D06" w:rsidRDefault="009C4CDA" w:rsidP="009C4CDA">
            <w:pPr>
              <w:jc w:val="left"/>
              <w:rPr>
                <w:noProof/>
              </w:rPr>
            </w:pPr>
            <w:r w:rsidRPr="000D0D06">
              <w:rPr>
                <w:noProof/>
              </w:rPr>
              <w:t>Artigo 1.º</w:t>
            </w:r>
          </w:p>
        </w:tc>
        <w:tc>
          <w:tcPr>
            <w:tcW w:w="5324" w:type="dxa"/>
          </w:tcPr>
          <w:p w14:paraId="5EA39A47" w14:textId="77777777" w:rsidR="009C4CDA" w:rsidRPr="000D0D06" w:rsidRDefault="009C4CDA" w:rsidP="009C4CDA">
            <w:pPr>
              <w:spacing w:line="259" w:lineRule="auto"/>
              <w:jc w:val="left"/>
              <w:rPr>
                <w:noProof/>
              </w:rPr>
            </w:pPr>
            <w:r w:rsidRPr="000D0D06">
              <w:rPr>
                <w:noProof/>
              </w:rPr>
              <w:t xml:space="preserve">Disponibilizados gratuitamente; Legíveis por máquina; acessíveis através de IPA e fornecidos sob a forma de descarregamento em bloco (se for caso disso). Atos de execução a adotar; estes podem incluir formatos de dados e metadados. </w:t>
            </w:r>
          </w:p>
        </w:tc>
      </w:tr>
      <w:tr w:rsidR="009C4CDA" w:rsidRPr="000D0D06" w14:paraId="57A1AD6F" w14:textId="77777777">
        <w:trPr>
          <w:trHeight w:val="300"/>
        </w:trPr>
        <w:tc>
          <w:tcPr>
            <w:tcW w:w="5240" w:type="dxa"/>
          </w:tcPr>
          <w:p w14:paraId="6EFC4D84" w14:textId="547A5997" w:rsidR="009C4CDA" w:rsidRPr="000D0D06" w:rsidRDefault="009C4CDA" w:rsidP="009C4CDA">
            <w:pPr>
              <w:jc w:val="left"/>
              <w:rPr>
                <w:noProof/>
              </w:rPr>
            </w:pPr>
            <w:r w:rsidRPr="000D0D06">
              <w:rPr>
                <w:noProof/>
              </w:rPr>
              <w:t>Condições em que é permitida a reutilização de dados ou documentos a que se refere o artigo 2.º, ponto 54</w:t>
            </w:r>
          </w:p>
        </w:tc>
        <w:tc>
          <w:tcPr>
            <w:tcW w:w="3686" w:type="dxa"/>
          </w:tcPr>
          <w:p w14:paraId="6036C3B4" w14:textId="77777777" w:rsidR="009C4CDA" w:rsidRPr="000D0D06" w:rsidRDefault="009C4CDA" w:rsidP="009C4CDA">
            <w:pPr>
              <w:jc w:val="left"/>
              <w:rPr>
                <w:noProof/>
              </w:rPr>
            </w:pPr>
            <w:r w:rsidRPr="000D0D06">
              <w:rPr>
                <w:noProof/>
              </w:rPr>
              <w:t>Artigo 1.º</w:t>
            </w:r>
          </w:p>
        </w:tc>
        <w:tc>
          <w:tcPr>
            <w:tcW w:w="5324" w:type="dxa"/>
          </w:tcPr>
          <w:p w14:paraId="2FFEA8E2" w14:textId="77777777" w:rsidR="009C4CDA" w:rsidRPr="000D0D06" w:rsidRDefault="009C4CDA" w:rsidP="009C4CDA">
            <w:pPr>
              <w:spacing w:line="259" w:lineRule="auto"/>
              <w:jc w:val="left"/>
              <w:rPr>
                <w:noProof/>
              </w:rPr>
            </w:pPr>
            <w:r w:rsidRPr="000D0D06">
              <w:rPr>
                <w:noProof/>
              </w:rPr>
              <w:t xml:space="preserve">Disponível ao público. </w:t>
            </w:r>
          </w:p>
        </w:tc>
      </w:tr>
      <w:tr w:rsidR="009C4CDA" w:rsidRPr="000D0D06" w14:paraId="6911ED0D" w14:textId="77777777">
        <w:trPr>
          <w:trHeight w:val="300"/>
        </w:trPr>
        <w:tc>
          <w:tcPr>
            <w:tcW w:w="5240" w:type="dxa"/>
          </w:tcPr>
          <w:p w14:paraId="7087522A" w14:textId="77777777" w:rsidR="009C4CDA" w:rsidRPr="000D0D06" w:rsidRDefault="009C4CDA" w:rsidP="009C4CDA">
            <w:pPr>
              <w:jc w:val="left"/>
              <w:rPr>
                <w:noProof/>
              </w:rPr>
            </w:pPr>
            <w:r w:rsidRPr="000D0D06">
              <w:rPr>
                <w:noProof/>
              </w:rPr>
              <w:t>Notificação da reutilização não autorizada de dados não pessoais</w:t>
            </w:r>
          </w:p>
        </w:tc>
        <w:tc>
          <w:tcPr>
            <w:tcW w:w="3686" w:type="dxa"/>
          </w:tcPr>
          <w:p w14:paraId="1268031B" w14:textId="77777777" w:rsidR="009C4CDA" w:rsidRPr="000D0D06" w:rsidRDefault="009C4CDA" w:rsidP="009C4CDA">
            <w:pPr>
              <w:jc w:val="left"/>
              <w:rPr>
                <w:noProof/>
              </w:rPr>
            </w:pPr>
            <w:r w:rsidRPr="000D0D06">
              <w:rPr>
                <w:noProof/>
              </w:rPr>
              <w:t>Artigo 1.º</w:t>
            </w:r>
          </w:p>
        </w:tc>
        <w:tc>
          <w:tcPr>
            <w:tcW w:w="5324" w:type="dxa"/>
          </w:tcPr>
          <w:p w14:paraId="3B4BE160" w14:textId="77777777" w:rsidR="009C4CDA" w:rsidRPr="000D0D06" w:rsidRDefault="009C4CDA" w:rsidP="009C4CDA">
            <w:pPr>
              <w:spacing w:line="259" w:lineRule="auto"/>
              <w:jc w:val="left"/>
              <w:rPr>
                <w:noProof/>
              </w:rPr>
            </w:pPr>
            <w:r w:rsidRPr="000D0D06">
              <w:rPr>
                <w:noProof/>
              </w:rPr>
              <w:t>//</w:t>
            </w:r>
          </w:p>
        </w:tc>
      </w:tr>
      <w:tr w:rsidR="009C4CDA" w:rsidRPr="000D0D06" w14:paraId="7DABA0BD" w14:textId="77777777">
        <w:trPr>
          <w:trHeight w:val="300"/>
        </w:trPr>
        <w:tc>
          <w:tcPr>
            <w:tcW w:w="5240" w:type="dxa"/>
          </w:tcPr>
          <w:p w14:paraId="6FBFE901" w14:textId="77777777" w:rsidR="009C4CDA" w:rsidRPr="000D0D06" w:rsidRDefault="009C4CDA" w:rsidP="009C4CDA">
            <w:pPr>
              <w:jc w:val="left"/>
              <w:rPr>
                <w:noProof/>
              </w:rPr>
            </w:pPr>
            <w:r w:rsidRPr="000D0D06">
              <w:rPr>
                <w:noProof/>
              </w:rPr>
              <w:t>Notificação da intenção de transferir dados não pessoais para um país terceiro e da finalidade dessa transferência (</w:t>
            </w:r>
            <w:r w:rsidRPr="000D0D06">
              <w:rPr>
                <w:i/>
                <w:noProof/>
              </w:rPr>
              <w:t>no caso do organismo do setor público</w:t>
            </w:r>
            <w:r w:rsidRPr="000D0D06">
              <w:rPr>
                <w:noProof/>
              </w:rPr>
              <w:t>)</w:t>
            </w:r>
          </w:p>
        </w:tc>
        <w:tc>
          <w:tcPr>
            <w:tcW w:w="3686" w:type="dxa"/>
          </w:tcPr>
          <w:p w14:paraId="305AD109" w14:textId="77777777" w:rsidR="009C4CDA" w:rsidRPr="000D0D06" w:rsidRDefault="009C4CDA" w:rsidP="009C4CDA">
            <w:pPr>
              <w:jc w:val="left"/>
              <w:rPr>
                <w:noProof/>
              </w:rPr>
            </w:pPr>
            <w:r w:rsidRPr="000D0D06">
              <w:rPr>
                <w:noProof/>
              </w:rPr>
              <w:t>Artigo 1.º</w:t>
            </w:r>
          </w:p>
        </w:tc>
        <w:tc>
          <w:tcPr>
            <w:tcW w:w="5324" w:type="dxa"/>
          </w:tcPr>
          <w:p w14:paraId="271221E9" w14:textId="77777777" w:rsidR="009C4CDA" w:rsidRPr="000D0D06" w:rsidRDefault="009C4CDA" w:rsidP="009C4CDA">
            <w:pPr>
              <w:spacing w:line="259" w:lineRule="auto"/>
              <w:jc w:val="left"/>
              <w:rPr>
                <w:noProof/>
              </w:rPr>
            </w:pPr>
            <w:r w:rsidRPr="000D0D06">
              <w:rPr>
                <w:noProof/>
              </w:rPr>
              <w:t>//</w:t>
            </w:r>
          </w:p>
        </w:tc>
      </w:tr>
      <w:tr w:rsidR="009C4CDA" w:rsidRPr="000D0D06" w14:paraId="7F9CEE91" w14:textId="77777777">
        <w:trPr>
          <w:trHeight w:val="300"/>
        </w:trPr>
        <w:tc>
          <w:tcPr>
            <w:tcW w:w="5240" w:type="dxa"/>
          </w:tcPr>
          <w:p w14:paraId="3C425C3C" w14:textId="74CBDA8E" w:rsidR="009C4CDA" w:rsidRPr="000D0D06" w:rsidRDefault="009C4CDA" w:rsidP="009C4CDA">
            <w:pPr>
              <w:jc w:val="left"/>
              <w:rPr>
                <w:noProof/>
              </w:rPr>
            </w:pPr>
            <w:r w:rsidRPr="000D0D06">
              <w:rPr>
                <w:noProof/>
              </w:rPr>
              <w:t>Notificação da intenção de transferir dados não pessoais para um país terceiro, da finalidade dessa transferência e das garantias adequadas (</w:t>
            </w:r>
            <w:r w:rsidRPr="000D0D06">
              <w:rPr>
                <w:i/>
                <w:noProof/>
              </w:rPr>
              <w:t>no caso da pessoa singular ou coletiva cujos direitos e interesses possam ser afetados</w:t>
            </w:r>
            <w:r w:rsidRPr="000D0D06">
              <w:rPr>
                <w:noProof/>
              </w:rPr>
              <w:t>)</w:t>
            </w:r>
          </w:p>
        </w:tc>
        <w:tc>
          <w:tcPr>
            <w:tcW w:w="3686" w:type="dxa"/>
          </w:tcPr>
          <w:p w14:paraId="58D94116" w14:textId="77777777" w:rsidR="009C4CDA" w:rsidRPr="000D0D06" w:rsidRDefault="009C4CDA" w:rsidP="009C4CDA">
            <w:pPr>
              <w:jc w:val="left"/>
              <w:rPr>
                <w:noProof/>
              </w:rPr>
            </w:pPr>
            <w:r w:rsidRPr="000D0D06">
              <w:rPr>
                <w:noProof/>
              </w:rPr>
              <w:t>Artigo 1.º</w:t>
            </w:r>
          </w:p>
        </w:tc>
        <w:tc>
          <w:tcPr>
            <w:tcW w:w="5324" w:type="dxa"/>
          </w:tcPr>
          <w:p w14:paraId="21A2DA49" w14:textId="77777777" w:rsidR="009C4CDA" w:rsidRPr="000D0D06" w:rsidRDefault="009C4CDA" w:rsidP="009C4CDA">
            <w:pPr>
              <w:spacing w:line="259" w:lineRule="auto"/>
              <w:jc w:val="left"/>
              <w:rPr>
                <w:noProof/>
              </w:rPr>
            </w:pPr>
            <w:r w:rsidRPr="000D0D06">
              <w:rPr>
                <w:noProof/>
              </w:rPr>
              <w:t>//</w:t>
            </w:r>
          </w:p>
        </w:tc>
      </w:tr>
      <w:tr w:rsidR="009C4CDA" w:rsidRPr="000D0D06" w14:paraId="6B7961B1" w14:textId="77777777">
        <w:trPr>
          <w:trHeight w:val="300"/>
        </w:trPr>
        <w:tc>
          <w:tcPr>
            <w:tcW w:w="5240" w:type="dxa"/>
          </w:tcPr>
          <w:p w14:paraId="42793EE4" w14:textId="77777777" w:rsidR="009C4CDA" w:rsidRPr="000D0D06" w:rsidRDefault="009C4CDA" w:rsidP="009C4CDA">
            <w:pPr>
              <w:jc w:val="left"/>
              <w:rPr>
                <w:noProof/>
              </w:rPr>
            </w:pPr>
            <w:r w:rsidRPr="000D0D06">
              <w:rPr>
                <w:noProof/>
              </w:rPr>
              <w:t xml:space="preserve">Todas as informações pertinentes relativas à aplicação dos artigos 32.º-Z [condições de reutilização], 32.º-AA [países terceiros] e 32.º-AB [taxas] do Regulamento dos Dados. </w:t>
            </w:r>
          </w:p>
        </w:tc>
        <w:tc>
          <w:tcPr>
            <w:tcW w:w="3686" w:type="dxa"/>
          </w:tcPr>
          <w:p w14:paraId="406E8160" w14:textId="77777777" w:rsidR="009C4CDA" w:rsidRPr="000D0D06" w:rsidRDefault="009C4CDA" w:rsidP="009C4CDA">
            <w:pPr>
              <w:jc w:val="left"/>
              <w:rPr>
                <w:noProof/>
              </w:rPr>
            </w:pPr>
            <w:r w:rsidRPr="000D0D06">
              <w:rPr>
                <w:noProof/>
              </w:rPr>
              <w:t>Artigo 1.º</w:t>
            </w:r>
          </w:p>
        </w:tc>
        <w:tc>
          <w:tcPr>
            <w:tcW w:w="5324" w:type="dxa"/>
          </w:tcPr>
          <w:p w14:paraId="6A6623D4" w14:textId="77777777" w:rsidR="009C4CDA" w:rsidRPr="000D0D06" w:rsidRDefault="009C4CDA" w:rsidP="009C4CDA">
            <w:pPr>
              <w:spacing w:line="259" w:lineRule="auto"/>
              <w:jc w:val="left"/>
              <w:rPr>
                <w:noProof/>
              </w:rPr>
            </w:pPr>
            <w:r w:rsidRPr="000D0D06">
              <w:rPr>
                <w:noProof/>
              </w:rPr>
              <w:t>Disponíveis e facilmente acessíveis através de um ponto de informação único.</w:t>
            </w:r>
          </w:p>
        </w:tc>
      </w:tr>
      <w:tr w:rsidR="009C4CDA" w:rsidRPr="000D0D06" w14:paraId="78136FCA" w14:textId="77777777">
        <w:trPr>
          <w:trHeight w:val="300"/>
        </w:trPr>
        <w:tc>
          <w:tcPr>
            <w:tcW w:w="5240" w:type="dxa"/>
          </w:tcPr>
          <w:p w14:paraId="2AA5AFCC" w14:textId="77777777" w:rsidR="009C4CDA" w:rsidRPr="000D0D06" w:rsidRDefault="009C4CDA" w:rsidP="009C4CDA">
            <w:pPr>
              <w:spacing w:line="259" w:lineRule="auto"/>
              <w:jc w:val="left"/>
              <w:rPr>
                <w:noProof/>
              </w:rPr>
            </w:pPr>
            <w:r w:rsidRPr="000D0D06">
              <w:rPr>
                <w:noProof/>
              </w:rPr>
              <w:t>Reclamação apresentada por pessoas singulares/coletivas em caso de violação dos seus direitos ao abrigo do Regulamento dos Dados ou no que diz respeito a outras questões pertinentes</w:t>
            </w:r>
          </w:p>
        </w:tc>
        <w:tc>
          <w:tcPr>
            <w:tcW w:w="3686" w:type="dxa"/>
          </w:tcPr>
          <w:p w14:paraId="3155FF8D" w14:textId="77777777" w:rsidR="009C4CDA" w:rsidRPr="000D0D06" w:rsidRDefault="009C4CDA" w:rsidP="009C4CDA">
            <w:pPr>
              <w:spacing w:line="259" w:lineRule="auto"/>
              <w:jc w:val="left"/>
              <w:rPr>
                <w:noProof/>
              </w:rPr>
            </w:pPr>
            <w:r w:rsidRPr="000D0D06">
              <w:rPr>
                <w:noProof/>
              </w:rPr>
              <w:t>Artigo 1.º</w:t>
            </w:r>
          </w:p>
        </w:tc>
        <w:tc>
          <w:tcPr>
            <w:tcW w:w="5324" w:type="dxa"/>
          </w:tcPr>
          <w:p w14:paraId="4B3980EA" w14:textId="77777777" w:rsidR="009C4CDA" w:rsidRPr="000D0D06" w:rsidRDefault="009C4CDA" w:rsidP="009C4CDA">
            <w:pPr>
              <w:spacing w:line="259" w:lineRule="auto"/>
              <w:jc w:val="left"/>
              <w:rPr>
                <w:noProof/>
              </w:rPr>
            </w:pPr>
            <w:r w:rsidRPr="000D0D06">
              <w:rPr>
                <w:noProof/>
              </w:rPr>
              <w:t>//</w:t>
            </w:r>
          </w:p>
        </w:tc>
      </w:tr>
      <w:tr w:rsidR="009C4CDA" w:rsidRPr="000D0D06" w14:paraId="4D435F36" w14:textId="77777777">
        <w:trPr>
          <w:trHeight w:val="300"/>
        </w:trPr>
        <w:tc>
          <w:tcPr>
            <w:tcW w:w="5240" w:type="dxa"/>
          </w:tcPr>
          <w:p w14:paraId="1CB48FF9" w14:textId="77777777" w:rsidR="009C4CDA" w:rsidRPr="000D0D06" w:rsidRDefault="009C4CDA" w:rsidP="009C4CDA">
            <w:pPr>
              <w:spacing w:line="259" w:lineRule="auto"/>
              <w:jc w:val="left"/>
              <w:rPr>
                <w:noProof/>
              </w:rPr>
            </w:pPr>
            <w:r w:rsidRPr="000D0D06">
              <w:rPr>
                <w:noProof/>
              </w:rPr>
              <w:t>Informações sobre o andamento dos processos/recursos judiciais relacionados com uma reclamação apresentada ao abrigo do Regulamento dos Dados</w:t>
            </w:r>
          </w:p>
        </w:tc>
        <w:tc>
          <w:tcPr>
            <w:tcW w:w="3686" w:type="dxa"/>
          </w:tcPr>
          <w:p w14:paraId="5603F309" w14:textId="77777777" w:rsidR="009C4CDA" w:rsidRPr="000D0D06" w:rsidRDefault="009C4CDA" w:rsidP="009C4CDA">
            <w:pPr>
              <w:spacing w:line="259" w:lineRule="auto"/>
              <w:jc w:val="left"/>
              <w:rPr>
                <w:noProof/>
              </w:rPr>
            </w:pPr>
            <w:r w:rsidRPr="000D0D06">
              <w:rPr>
                <w:noProof/>
              </w:rPr>
              <w:t>Artigo 1.º</w:t>
            </w:r>
          </w:p>
        </w:tc>
        <w:tc>
          <w:tcPr>
            <w:tcW w:w="5324" w:type="dxa"/>
          </w:tcPr>
          <w:p w14:paraId="708F8738" w14:textId="77777777" w:rsidR="009C4CDA" w:rsidRPr="000D0D06" w:rsidRDefault="009C4CDA" w:rsidP="009C4CDA">
            <w:pPr>
              <w:spacing w:line="259" w:lineRule="auto"/>
              <w:jc w:val="left"/>
              <w:rPr>
                <w:noProof/>
              </w:rPr>
            </w:pPr>
            <w:r w:rsidRPr="000D0D06">
              <w:rPr>
                <w:noProof/>
              </w:rPr>
              <w:t>//</w:t>
            </w:r>
          </w:p>
        </w:tc>
      </w:tr>
      <w:tr w:rsidR="009C4CDA" w:rsidRPr="000D0D06" w14:paraId="0C189DC3" w14:textId="77777777">
        <w:trPr>
          <w:trHeight w:val="636"/>
        </w:trPr>
        <w:tc>
          <w:tcPr>
            <w:tcW w:w="5240" w:type="dxa"/>
          </w:tcPr>
          <w:p w14:paraId="2CA87BCD" w14:textId="77777777" w:rsidR="009C4CDA" w:rsidRPr="000D0D06" w:rsidRDefault="009C4CDA" w:rsidP="009C4CDA">
            <w:pPr>
              <w:jc w:val="left"/>
              <w:rPr>
                <w:noProof/>
              </w:rPr>
            </w:pPr>
            <w:r w:rsidRPr="000D0D06">
              <w:rPr>
                <w:noProof/>
              </w:rPr>
              <w:t>Dados relativos à experiência e às boas práticas (Comité Europeu da Inovação de Dados)</w:t>
            </w:r>
          </w:p>
        </w:tc>
        <w:tc>
          <w:tcPr>
            <w:tcW w:w="3686" w:type="dxa"/>
          </w:tcPr>
          <w:p w14:paraId="56A23180" w14:textId="77777777" w:rsidR="009C4CDA" w:rsidRPr="000D0D06" w:rsidRDefault="009C4CDA" w:rsidP="009C4CDA">
            <w:pPr>
              <w:jc w:val="left"/>
              <w:rPr>
                <w:noProof/>
              </w:rPr>
            </w:pPr>
            <w:r w:rsidRPr="000D0D06">
              <w:rPr>
                <w:noProof/>
              </w:rPr>
              <w:t>Artigo 1.º</w:t>
            </w:r>
          </w:p>
        </w:tc>
        <w:tc>
          <w:tcPr>
            <w:tcW w:w="5324" w:type="dxa"/>
          </w:tcPr>
          <w:p w14:paraId="2751E706" w14:textId="77777777" w:rsidR="009C4CDA" w:rsidRPr="000D0D06" w:rsidRDefault="009C4CDA" w:rsidP="009C4CDA">
            <w:pPr>
              <w:jc w:val="left"/>
              <w:rPr>
                <w:noProof/>
              </w:rPr>
            </w:pPr>
            <w:r w:rsidRPr="000D0D06">
              <w:rPr>
                <w:noProof/>
              </w:rPr>
              <w:t>//</w:t>
            </w:r>
          </w:p>
        </w:tc>
      </w:tr>
      <w:tr w:rsidR="009C4CDA" w:rsidRPr="000D0D06" w14:paraId="0FB65A4A" w14:textId="77777777">
        <w:trPr>
          <w:trHeight w:val="300"/>
        </w:trPr>
        <w:tc>
          <w:tcPr>
            <w:tcW w:w="5240" w:type="dxa"/>
          </w:tcPr>
          <w:p w14:paraId="2768E761" w14:textId="77777777" w:rsidR="009C4CDA" w:rsidRPr="000D0D06" w:rsidRDefault="009C4CDA" w:rsidP="009C4CDA">
            <w:pPr>
              <w:jc w:val="left"/>
              <w:rPr>
                <w:noProof/>
              </w:rPr>
            </w:pPr>
            <w:r w:rsidRPr="000D0D06">
              <w:rPr>
                <w:noProof/>
              </w:rPr>
              <w:t>Avaliação dos capítulos II, III, IV, V, VI, VII e VIII do Regulamento dos Dados</w:t>
            </w:r>
          </w:p>
          <w:p w14:paraId="7E814E26" w14:textId="77777777" w:rsidR="009C4CDA" w:rsidRPr="000D0D06" w:rsidRDefault="009C4CDA" w:rsidP="009C4CDA">
            <w:pPr>
              <w:jc w:val="left"/>
              <w:rPr>
                <w:noProof/>
              </w:rPr>
            </w:pPr>
            <w:r w:rsidRPr="000D0D06">
              <w:rPr>
                <w:noProof/>
              </w:rPr>
              <w:t>Avaliação dos capítulos VII-A, VII-B e VII-C do Regulamento dos Dados</w:t>
            </w:r>
          </w:p>
        </w:tc>
        <w:tc>
          <w:tcPr>
            <w:tcW w:w="3686" w:type="dxa"/>
          </w:tcPr>
          <w:p w14:paraId="41A006CF" w14:textId="77777777" w:rsidR="009C4CDA" w:rsidRPr="000D0D06" w:rsidRDefault="009C4CDA" w:rsidP="009C4CDA">
            <w:pPr>
              <w:jc w:val="left"/>
              <w:rPr>
                <w:noProof/>
              </w:rPr>
            </w:pPr>
            <w:r w:rsidRPr="000D0D06">
              <w:rPr>
                <w:noProof/>
              </w:rPr>
              <w:t>Artigo 1.º</w:t>
            </w:r>
          </w:p>
          <w:p w14:paraId="3332088B" w14:textId="77777777" w:rsidR="009C4CDA" w:rsidRPr="000D0D06" w:rsidRDefault="009C4CDA" w:rsidP="009C4CDA">
            <w:pPr>
              <w:jc w:val="left"/>
              <w:rPr>
                <w:noProof/>
              </w:rPr>
            </w:pPr>
            <w:r w:rsidRPr="000D0D06">
              <w:rPr>
                <w:noProof/>
              </w:rPr>
              <w:t>Artigo 1.º</w:t>
            </w:r>
          </w:p>
        </w:tc>
        <w:tc>
          <w:tcPr>
            <w:tcW w:w="5324" w:type="dxa"/>
          </w:tcPr>
          <w:p w14:paraId="217E9211" w14:textId="77777777" w:rsidR="009C4CDA" w:rsidRPr="000D0D06" w:rsidRDefault="009C4CDA" w:rsidP="009C4CDA">
            <w:pPr>
              <w:jc w:val="left"/>
              <w:rPr>
                <w:noProof/>
              </w:rPr>
            </w:pPr>
            <w:r w:rsidRPr="000D0D06">
              <w:rPr>
                <w:noProof/>
              </w:rPr>
              <w:t xml:space="preserve">São fornecidos os requisitos mínimos relativos ao conteúdo dos relatórios. </w:t>
            </w:r>
          </w:p>
        </w:tc>
      </w:tr>
      <w:tr w:rsidR="009C4CDA" w:rsidRPr="000D0D06" w14:paraId="0664CDEB" w14:textId="77777777">
        <w:trPr>
          <w:trHeight w:val="468"/>
        </w:trPr>
        <w:tc>
          <w:tcPr>
            <w:tcW w:w="5240" w:type="dxa"/>
          </w:tcPr>
          <w:p w14:paraId="61B280A1" w14:textId="77777777" w:rsidR="009C4CDA" w:rsidRPr="000D0D06" w:rsidRDefault="009C4CDA" w:rsidP="009C4CDA">
            <w:pPr>
              <w:jc w:val="left"/>
              <w:rPr>
                <w:noProof/>
              </w:rPr>
            </w:pPr>
            <w:r w:rsidRPr="000D0D06">
              <w:rPr>
                <w:noProof/>
              </w:rPr>
              <w:t>Notificações de violações de dados pessoais</w:t>
            </w:r>
          </w:p>
        </w:tc>
        <w:tc>
          <w:tcPr>
            <w:tcW w:w="3686" w:type="dxa"/>
          </w:tcPr>
          <w:p w14:paraId="17FD7FBA" w14:textId="77777777" w:rsidR="009C4CDA" w:rsidRPr="000D0D06" w:rsidRDefault="009C4CDA" w:rsidP="009C4CDA">
            <w:pPr>
              <w:jc w:val="left"/>
              <w:rPr>
                <w:noProof/>
              </w:rPr>
            </w:pPr>
            <w:r w:rsidRPr="000D0D06">
              <w:rPr>
                <w:noProof/>
              </w:rPr>
              <w:t>Artigo 3.º</w:t>
            </w:r>
          </w:p>
        </w:tc>
        <w:tc>
          <w:tcPr>
            <w:tcW w:w="5324" w:type="dxa"/>
          </w:tcPr>
          <w:p w14:paraId="7319B0E0" w14:textId="77777777" w:rsidR="009C4CDA" w:rsidRPr="000D0D06" w:rsidRDefault="009C4CDA" w:rsidP="009C4CDA">
            <w:pPr>
              <w:spacing w:line="259" w:lineRule="auto"/>
              <w:jc w:val="left"/>
              <w:rPr>
                <w:noProof/>
              </w:rPr>
            </w:pPr>
            <w:r w:rsidRPr="000D0D06">
              <w:rPr>
                <w:noProof/>
              </w:rPr>
              <w:t>Através do (e, por conseguinte, respeitando as especificações do) ponto de entrada único criado nos termos do artigo 23.º-A da Diretiva (UE) 2022/2555.</w:t>
            </w:r>
          </w:p>
          <w:p w14:paraId="3BA364F5" w14:textId="77777777" w:rsidR="009C4CDA" w:rsidRPr="000D0D06" w:rsidRDefault="009C4CDA" w:rsidP="009C4CDA">
            <w:pPr>
              <w:spacing w:line="259" w:lineRule="auto"/>
              <w:jc w:val="left"/>
              <w:rPr>
                <w:noProof/>
              </w:rPr>
            </w:pPr>
            <w:r w:rsidRPr="000D0D06">
              <w:rPr>
                <w:noProof/>
              </w:rPr>
              <w:t>O Comité Europeu para a Proteção de Dados elabora uma proposta de modelo comum (</w:t>
            </w:r>
            <w:r w:rsidRPr="000D0D06">
              <w:rPr>
                <w:i/>
                <w:noProof/>
              </w:rPr>
              <w:t>ver entrada seguinte</w:t>
            </w:r>
            <w:r w:rsidRPr="000D0D06">
              <w:rPr>
                <w:noProof/>
              </w:rPr>
              <w:t xml:space="preserve">). </w:t>
            </w:r>
          </w:p>
        </w:tc>
      </w:tr>
      <w:tr w:rsidR="009C4CDA" w:rsidRPr="000D0D06" w14:paraId="4B849C47" w14:textId="77777777">
        <w:trPr>
          <w:trHeight w:val="468"/>
        </w:trPr>
        <w:tc>
          <w:tcPr>
            <w:tcW w:w="5240" w:type="dxa"/>
          </w:tcPr>
          <w:p w14:paraId="643C6BB6" w14:textId="77777777" w:rsidR="009C4CDA" w:rsidRPr="000D0D06" w:rsidRDefault="009C4CDA" w:rsidP="009C4CDA">
            <w:pPr>
              <w:jc w:val="left"/>
              <w:rPr>
                <w:noProof/>
              </w:rPr>
            </w:pPr>
            <w:r w:rsidRPr="000D0D06">
              <w:rPr>
                <w:noProof/>
              </w:rPr>
              <w:t>Proposta do CEPD relativa a um modelo comum de notificação de violações de dados</w:t>
            </w:r>
          </w:p>
        </w:tc>
        <w:tc>
          <w:tcPr>
            <w:tcW w:w="3686" w:type="dxa"/>
          </w:tcPr>
          <w:p w14:paraId="7CFD1FEC" w14:textId="77777777" w:rsidR="009C4CDA" w:rsidRPr="000D0D06" w:rsidRDefault="009C4CDA" w:rsidP="009C4CDA">
            <w:pPr>
              <w:jc w:val="left"/>
              <w:rPr>
                <w:noProof/>
              </w:rPr>
            </w:pPr>
            <w:r w:rsidRPr="000D0D06">
              <w:rPr>
                <w:noProof/>
              </w:rPr>
              <w:t>Artigo 3.º</w:t>
            </w:r>
          </w:p>
        </w:tc>
        <w:tc>
          <w:tcPr>
            <w:tcW w:w="5324" w:type="dxa"/>
          </w:tcPr>
          <w:p w14:paraId="15BE95C6" w14:textId="77777777" w:rsidR="009C4CDA" w:rsidRPr="000D0D06" w:rsidRDefault="009C4CDA" w:rsidP="009C4CDA">
            <w:pPr>
              <w:spacing w:line="259" w:lineRule="auto"/>
              <w:jc w:val="left"/>
              <w:rPr>
                <w:noProof/>
              </w:rPr>
            </w:pPr>
            <w:r w:rsidRPr="000D0D06">
              <w:rPr>
                <w:noProof/>
              </w:rPr>
              <w:t>//</w:t>
            </w:r>
          </w:p>
        </w:tc>
      </w:tr>
      <w:tr w:rsidR="009C4CDA" w:rsidRPr="000D0D06" w14:paraId="39E3F0DF" w14:textId="77777777">
        <w:trPr>
          <w:trHeight w:val="468"/>
        </w:trPr>
        <w:tc>
          <w:tcPr>
            <w:tcW w:w="5240" w:type="dxa"/>
          </w:tcPr>
          <w:p w14:paraId="396C3758" w14:textId="77777777" w:rsidR="009C4CDA" w:rsidRPr="000D0D06" w:rsidRDefault="009C4CDA" w:rsidP="009C4CDA">
            <w:pPr>
              <w:jc w:val="left"/>
              <w:rPr>
                <w:noProof/>
              </w:rPr>
            </w:pPr>
            <w:r w:rsidRPr="000D0D06">
              <w:rPr>
                <w:noProof/>
              </w:rPr>
              <w:t>Propostas do CEPD relativas à avaliação de impacto sobre a proteção de dados</w:t>
            </w:r>
          </w:p>
        </w:tc>
        <w:tc>
          <w:tcPr>
            <w:tcW w:w="3686" w:type="dxa"/>
          </w:tcPr>
          <w:p w14:paraId="079405DC" w14:textId="77777777" w:rsidR="009C4CDA" w:rsidRPr="000D0D06" w:rsidRDefault="009C4CDA" w:rsidP="009C4CDA">
            <w:pPr>
              <w:jc w:val="left"/>
              <w:rPr>
                <w:noProof/>
              </w:rPr>
            </w:pPr>
            <w:r w:rsidRPr="000D0D06">
              <w:rPr>
                <w:noProof/>
              </w:rPr>
              <w:t>Artigo 3.º</w:t>
            </w:r>
          </w:p>
        </w:tc>
        <w:tc>
          <w:tcPr>
            <w:tcW w:w="5324" w:type="dxa"/>
          </w:tcPr>
          <w:p w14:paraId="54B1890F" w14:textId="77777777" w:rsidR="009C4CDA" w:rsidRPr="000D0D06" w:rsidRDefault="009C4CDA" w:rsidP="009C4CDA">
            <w:pPr>
              <w:jc w:val="left"/>
              <w:rPr>
                <w:noProof/>
              </w:rPr>
            </w:pPr>
            <w:r w:rsidRPr="000D0D06">
              <w:rPr>
                <w:noProof/>
              </w:rPr>
              <w:t>//</w:t>
            </w:r>
          </w:p>
        </w:tc>
      </w:tr>
      <w:tr w:rsidR="009C4CDA" w:rsidRPr="000D0D06" w14:paraId="5BE0127E" w14:textId="77777777">
        <w:trPr>
          <w:trHeight w:val="300"/>
        </w:trPr>
        <w:tc>
          <w:tcPr>
            <w:tcW w:w="5240" w:type="dxa"/>
          </w:tcPr>
          <w:p w14:paraId="789C6E7B" w14:textId="77777777" w:rsidR="009C4CDA" w:rsidRPr="000D0D06" w:rsidRDefault="009C4CDA" w:rsidP="009C4CDA">
            <w:pPr>
              <w:jc w:val="left"/>
              <w:rPr>
                <w:noProof/>
              </w:rPr>
            </w:pPr>
            <w:r w:rsidRPr="000D0D06">
              <w:rPr>
                <w:noProof/>
              </w:rPr>
              <w:t>Relatórios sobre incidentes significativos nos termos da Diretiva SRI 2</w:t>
            </w:r>
          </w:p>
        </w:tc>
        <w:tc>
          <w:tcPr>
            <w:tcW w:w="3686" w:type="dxa"/>
          </w:tcPr>
          <w:p w14:paraId="24474BDD" w14:textId="77777777" w:rsidR="009C4CDA" w:rsidRPr="000D0D06" w:rsidRDefault="009C4CDA" w:rsidP="009C4CDA">
            <w:pPr>
              <w:jc w:val="left"/>
              <w:rPr>
                <w:noProof/>
              </w:rPr>
            </w:pPr>
            <w:r w:rsidRPr="000D0D06">
              <w:rPr>
                <w:noProof/>
              </w:rPr>
              <w:t>Artigo 6.º</w:t>
            </w:r>
          </w:p>
        </w:tc>
        <w:tc>
          <w:tcPr>
            <w:tcW w:w="5324" w:type="dxa"/>
          </w:tcPr>
          <w:p w14:paraId="5E361568" w14:textId="77777777" w:rsidR="009C4CDA" w:rsidRPr="000D0D06" w:rsidRDefault="009C4CDA" w:rsidP="009C4CDA">
            <w:pPr>
              <w:jc w:val="left"/>
              <w:rPr>
                <w:noProof/>
              </w:rPr>
            </w:pPr>
            <w:r w:rsidRPr="000D0D06">
              <w:rPr>
                <w:noProof/>
              </w:rPr>
              <w:t xml:space="preserve">Através do (e, por conseguinte, respeitando as especificações do) ponto de entrada único criado nos termos do artigo 23.º-A da Diretiva (UE) 2022/2555. </w:t>
            </w:r>
          </w:p>
        </w:tc>
      </w:tr>
      <w:tr w:rsidR="009C4CDA" w:rsidRPr="000D0D06" w14:paraId="3A06E1BB" w14:textId="77777777">
        <w:trPr>
          <w:trHeight w:val="300"/>
        </w:trPr>
        <w:tc>
          <w:tcPr>
            <w:tcW w:w="5240" w:type="dxa"/>
          </w:tcPr>
          <w:p w14:paraId="3E325233" w14:textId="77777777" w:rsidR="009C4CDA" w:rsidRPr="000D0D06" w:rsidRDefault="009C4CDA" w:rsidP="009C4CDA">
            <w:pPr>
              <w:jc w:val="left"/>
              <w:rPr>
                <w:noProof/>
              </w:rPr>
            </w:pPr>
            <w:r w:rsidRPr="000D0D06">
              <w:rPr>
                <w:noProof/>
              </w:rPr>
              <w:t>Notificações de violações de dados pessoais</w:t>
            </w:r>
          </w:p>
        </w:tc>
        <w:tc>
          <w:tcPr>
            <w:tcW w:w="3686" w:type="dxa"/>
          </w:tcPr>
          <w:p w14:paraId="2B8853FB" w14:textId="77777777" w:rsidR="009C4CDA" w:rsidRPr="000D0D06" w:rsidRDefault="009C4CDA" w:rsidP="009C4CDA">
            <w:pPr>
              <w:jc w:val="left"/>
              <w:rPr>
                <w:noProof/>
              </w:rPr>
            </w:pPr>
            <w:r w:rsidRPr="000D0D06">
              <w:rPr>
                <w:noProof/>
              </w:rPr>
              <w:t>Artigo 3.º</w:t>
            </w:r>
          </w:p>
        </w:tc>
        <w:tc>
          <w:tcPr>
            <w:tcW w:w="5324" w:type="dxa"/>
          </w:tcPr>
          <w:p w14:paraId="280A9BC7" w14:textId="77777777" w:rsidR="009C4CDA" w:rsidRPr="000D0D06" w:rsidRDefault="009C4CDA" w:rsidP="009C4CDA">
            <w:pPr>
              <w:jc w:val="left"/>
              <w:rPr>
                <w:noProof/>
              </w:rPr>
            </w:pPr>
            <w:r w:rsidRPr="000D0D06">
              <w:rPr>
                <w:noProof/>
              </w:rPr>
              <w:t>Através do (e, por conseguinte, respeitando as especificações do) ponto de entrada único criado nos termos do artigo 23.º-A da Diretiva (UE) 2022/2555.</w:t>
            </w:r>
          </w:p>
        </w:tc>
      </w:tr>
      <w:tr w:rsidR="009C4CDA" w:rsidRPr="000D0D06" w14:paraId="2D54D15E" w14:textId="77777777">
        <w:trPr>
          <w:trHeight w:val="300"/>
        </w:trPr>
        <w:tc>
          <w:tcPr>
            <w:tcW w:w="5240" w:type="dxa"/>
          </w:tcPr>
          <w:p w14:paraId="350EA4DE" w14:textId="4B8C7E95" w:rsidR="009C4CDA" w:rsidRPr="000D0D06" w:rsidRDefault="009C4CDA" w:rsidP="009C4CDA">
            <w:pPr>
              <w:jc w:val="left"/>
              <w:rPr>
                <w:noProof/>
              </w:rPr>
            </w:pPr>
            <w:r w:rsidRPr="000D0D06">
              <w:rPr>
                <w:noProof/>
              </w:rPr>
              <w:t>Notificações de incidentes de caráter severo relacionados com as TIC nos termos do Regulamento DORA; notificações voluntárias de ciberameaças significativas nos termos do Regulamento DORA</w:t>
            </w:r>
          </w:p>
        </w:tc>
        <w:tc>
          <w:tcPr>
            <w:tcW w:w="3686" w:type="dxa"/>
          </w:tcPr>
          <w:p w14:paraId="0DD79BA3" w14:textId="77777777" w:rsidR="009C4CDA" w:rsidRPr="000D0D06" w:rsidRDefault="009C4CDA" w:rsidP="009C4CDA">
            <w:pPr>
              <w:jc w:val="left"/>
              <w:rPr>
                <w:noProof/>
              </w:rPr>
            </w:pPr>
            <w:r w:rsidRPr="000D0D06">
              <w:rPr>
                <w:noProof/>
              </w:rPr>
              <w:t>Artigo 8.º</w:t>
            </w:r>
          </w:p>
        </w:tc>
        <w:tc>
          <w:tcPr>
            <w:tcW w:w="5324" w:type="dxa"/>
          </w:tcPr>
          <w:p w14:paraId="237A7E87" w14:textId="77777777" w:rsidR="009C4CDA" w:rsidRPr="000D0D06" w:rsidRDefault="009C4CDA" w:rsidP="009C4CDA">
            <w:pPr>
              <w:jc w:val="left"/>
              <w:rPr>
                <w:noProof/>
              </w:rPr>
            </w:pPr>
            <w:r w:rsidRPr="000D0D06">
              <w:rPr>
                <w:noProof/>
              </w:rPr>
              <w:t>Através do (e, por conseguinte, respeitando as especificações do) ponto de entrada único criado nos termos do artigo 23.º-A da Diretiva (UE) 2022/2555.</w:t>
            </w:r>
          </w:p>
        </w:tc>
      </w:tr>
      <w:tr w:rsidR="009C4CDA" w:rsidRPr="000D0D06" w14:paraId="7A211757" w14:textId="77777777">
        <w:trPr>
          <w:trHeight w:val="300"/>
        </w:trPr>
        <w:tc>
          <w:tcPr>
            <w:tcW w:w="5240" w:type="dxa"/>
          </w:tcPr>
          <w:p w14:paraId="29F0D233" w14:textId="77777777" w:rsidR="009C4CDA" w:rsidRPr="000D0D06" w:rsidRDefault="009C4CDA" w:rsidP="009C4CDA">
            <w:pPr>
              <w:jc w:val="left"/>
              <w:rPr>
                <w:noProof/>
              </w:rPr>
            </w:pPr>
            <w:r w:rsidRPr="000D0D06">
              <w:rPr>
                <w:noProof/>
              </w:rPr>
              <w:t>Notificações de incidentes que perturbem significativamente, ou sejam suscetíveis de perturbar significativamente, a prestação de serviços essenciais, nos termos da Diretiva REC</w:t>
            </w:r>
          </w:p>
        </w:tc>
        <w:tc>
          <w:tcPr>
            <w:tcW w:w="3686" w:type="dxa"/>
          </w:tcPr>
          <w:p w14:paraId="16BCBA35" w14:textId="77777777" w:rsidR="009C4CDA" w:rsidRPr="000D0D06" w:rsidRDefault="009C4CDA" w:rsidP="009C4CDA">
            <w:pPr>
              <w:jc w:val="left"/>
              <w:rPr>
                <w:noProof/>
              </w:rPr>
            </w:pPr>
            <w:r w:rsidRPr="000D0D06">
              <w:rPr>
                <w:noProof/>
              </w:rPr>
              <w:t>Artigo 9.º</w:t>
            </w:r>
          </w:p>
        </w:tc>
        <w:tc>
          <w:tcPr>
            <w:tcW w:w="5324" w:type="dxa"/>
          </w:tcPr>
          <w:p w14:paraId="61404843" w14:textId="77777777" w:rsidR="009C4CDA" w:rsidRPr="000D0D06" w:rsidRDefault="009C4CDA" w:rsidP="009C4CDA">
            <w:pPr>
              <w:jc w:val="left"/>
              <w:rPr>
                <w:noProof/>
              </w:rPr>
            </w:pPr>
            <w:r w:rsidRPr="000D0D06">
              <w:rPr>
                <w:noProof/>
              </w:rPr>
              <w:t>Através do (e, por conseguinte, respeitando as especificações do) ponto de entrada único criado nos termos do artigo 23.º-A da Diretiva (UE) 2022/2555.</w:t>
            </w:r>
          </w:p>
        </w:tc>
      </w:tr>
    </w:tbl>
    <w:p w14:paraId="62895F1D" w14:textId="77777777" w:rsidR="00C85654" w:rsidRPr="000D0D06" w:rsidRDefault="00C85654" w:rsidP="00C85654">
      <w:pPr>
        <w:rPr>
          <w:b/>
          <w:bCs/>
          <w:noProof/>
        </w:rPr>
      </w:pPr>
      <w:r w:rsidRPr="000D0D06">
        <w:rPr>
          <w:b/>
          <w:noProof/>
        </w:rPr>
        <w:t>Alinhamento com a Estratégia Europeia para os Dados</w:t>
      </w:r>
    </w:p>
    <w:p w14:paraId="4B12B4C6" w14:textId="77777777" w:rsidR="00C85654" w:rsidRPr="000D0D06" w:rsidRDefault="00C85654" w:rsidP="00C85654">
      <w:pPr>
        <w:rPr>
          <w:i/>
          <w:iCs/>
          <w:noProof/>
        </w:rPr>
      </w:pPr>
      <w:r w:rsidRPr="000D0D06">
        <w:rPr>
          <w:i/>
          <w:noProof/>
        </w:rPr>
        <w:t>Explicação da forma como os requisitos estão alinhados com a Estratégia Europeia para os Dados</w:t>
      </w:r>
    </w:p>
    <w:tbl>
      <w:tblPr>
        <w:tblStyle w:val="TableGridLight"/>
        <w:tblW w:w="0" w:type="auto"/>
        <w:tblLook w:val="04A0" w:firstRow="1" w:lastRow="0" w:firstColumn="1" w:lastColumn="0" w:noHBand="0" w:noVBand="1"/>
      </w:tblPr>
      <w:tblGrid>
        <w:gridCol w:w="13994"/>
      </w:tblGrid>
      <w:tr w:rsidR="00C85654" w:rsidRPr="000D0D06" w14:paraId="57D9861F" w14:textId="77777777">
        <w:tc>
          <w:tcPr>
            <w:tcW w:w="13994" w:type="dxa"/>
            <w:tcBorders>
              <w:top w:val="single" w:sz="4" w:space="0" w:color="auto"/>
              <w:left w:val="single" w:sz="4" w:space="0" w:color="auto"/>
              <w:bottom w:val="single" w:sz="4" w:space="0" w:color="auto"/>
              <w:right w:val="single" w:sz="4" w:space="0" w:color="auto"/>
            </w:tcBorders>
          </w:tcPr>
          <w:p w14:paraId="27ADF695" w14:textId="67E103DA" w:rsidR="00C85654" w:rsidRPr="000D0D06" w:rsidRDefault="00C85654">
            <w:pPr>
              <w:rPr>
                <w:noProof/>
              </w:rPr>
            </w:pPr>
            <w:r w:rsidRPr="000D0D06">
              <w:rPr>
                <w:noProof/>
              </w:rPr>
              <w:t xml:space="preserve">Estas alterações do Regulamento dos Dados introduzem o Comité Europeu da Inovação de Dados (capítulo IX-A), que coordena a aplicação das regras e elabora orientações para os espaços comuns de dados europeus setoriais; os títulos europeus para os serviços de intermediação de dados e as organizações de altruísmo de dados (capítulo VII-A), que criam um ecossistema fiável para a partilha de dados com proteção dos direitos e para a proteção dos direitos em vigor; o capítulo VII-B aplica o livre fluxo de dados não pessoais, proibindo requisitos injustificados de localização de dados; o capítulo VII-C simplifica as regras relativas à reutilização de dados do setor público, fundindo as disposições da Diretiva Dados Abertos e do Regulamento Governação de Dados; as regras relativas às transferências internacionais de dados reforçam a soberania digital europeia, protegendo os dados contra o acesso não autorizado por países terceiros; por último, as isenções para as PME e a presença do representante da UE para as PME no Comité Europeu da Inovação de Dados asseguram que a economia dos dados também seja mais acessível às pequenas empresas. </w:t>
            </w:r>
          </w:p>
        </w:tc>
      </w:tr>
    </w:tbl>
    <w:p w14:paraId="4EFB44DA" w14:textId="77777777" w:rsidR="00C85654" w:rsidRPr="000D0D06" w:rsidRDefault="00C85654" w:rsidP="00C85654">
      <w:pPr>
        <w:rPr>
          <w:b/>
          <w:bCs/>
          <w:noProof/>
        </w:rPr>
      </w:pPr>
      <w:r w:rsidRPr="000D0D06">
        <w:rPr>
          <w:b/>
          <w:noProof/>
        </w:rPr>
        <w:t>Alinhamento com o princípio da declaração única</w:t>
      </w:r>
    </w:p>
    <w:p w14:paraId="188D4720" w14:textId="77777777" w:rsidR="00C85654" w:rsidRPr="000D0D06" w:rsidRDefault="00C85654" w:rsidP="00C85654">
      <w:pPr>
        <w:rPr>
          <w:i/>
          <w:iCs/>
          <w:noProof/>
        </w:rPr>
      </w:pPr>
      <w:r w:rsidRPr="000D0D06">
        <w:rPr>
          <w:i/>
          <w:noProof/>
        </w:rPr>
        <w:t>Explicação da forma como foi tido em conta o princípio da declaração única e como foi explorada a possibilidade de reutilização dos dados existentes</w:t>
      </w:r>
    </w:p>
    <w:tbl>
      <w:tblPr>
        <w:tblStyle w:val="TableGridLight"/>
        <w:tblW w:w="0" w:type="auto"/>
        <w:tblLook w:val="04A0" w:firstRow="1" w:lastRow="0" w:firstColumn="1" w:lastColumn="0" w:noHBand="0" w:noVBand="1"/>
      </w:tblPr>
      <w:tblGrid>
        <w:gridCol w:w="13994"/>
      </w:tblGrid>
      <w:tr w:rsidR="00C85654" w:rsidRPr="000D0D06" w14:paraId="163EBD63" w14:textId="77777777">
        <w:tc>
          <w:tcPr>
            <w:tcW w:w="13994" w:type="dxa"/>
            <w:tcBorders>
              <w:top w:val="single" w:sz="4" w:space="0" w:color="auto"/>
              <w:left w:val="single" w:sz="4" w:space="0" w:color="auto"/>
              <w:bottom w:val="single" w:sz="4" w:space="0" w:color="auto"/>
              <w:right w:val="single" w:sz="4" w:space="0" w:color="auto"/>
            </w:tcBorders>
          </w:tcPr>
          <w:p w14:paraId="7EEE47A0" w14:textId="5199BC9C" w:rsidR="00C85654" w:rsidRPr="000D0D06" w:rsidRDefault="00C85654">
            <w:pPr>
              <w:rPr>
                <w:noProof/>
              </w:rPr>
            </w:pPr>
            <w:r w:rsidRPr="000D0D06">
              <w:rPr>
                <w:noProof/>
              </w:rPr>
              <w:t>Estas alterações apoiam o princípio da declaração única, criando infraestruturas para uma reutilização eficiente dos dados: o Comité Europeu da Inovação de Dados elabora normas de interoperabilidade no domínio dos espaços comuns europeus de dados, a fim de reduzir a duplicação do fornecimento de dados; os serviços de intermediação de dados atuam como intermediários de confiança, permitindo a partilha segura dos dados existentes e eliminando a recolha redundante; as organizações de altruísmo de dados facilitam a partilha voluntária de dados em benefício do público, disponibilizando dados reutilizáveis para a investigação e os serviços públicos; as disposições relativas ao livre fluxo impedem as limitações que exigem a duplicação do armazenamento em diferentes locais; e as salvaguardas em matéria de transferências internacionais asseguram a acessibilidade transfronteiriça dos dados, mantendo simultaneamente a proteção, permitindo coletivamente que as pessoas e as empresas forneçam os seus dados uma vez satisfeitas as necessidades subsequentes através de mecanismos de partilha seguros e respeitadores dos direitos. Entretanto, as disposições relativas ao ponto de entrada único reforçam o princípio da declaração única no que diz respeito à notificação de incidentes.</w:t>
            </w:r>
          </w:p>
        </w:tc>
      </w:tr>
    </w:tbl>
    <w:p w14:paraId="7FF446F8" w14:textId="77777777" w:rsidR="00C85654" w:rsidRPr="000D0D06" w:rsidRDefault="00C85654" w:rsidP="00C85654">
      <w:pPr>
        <w:rPr>
          <w:i/>
          <w:iCs/>
          <w:noProof/>
        </w:rPr>
      </w:pPr>
      <w:r w:rsidRPr="000D0D06">
        <w:rPr>
          <w:i/>
          <w:noProof/>
        </w:rPr>
        <w:t>Explicação da forma como os dados recentemente criados são localizáveis, acessíveis, interoperáveis e reutilizáveis e cumprem normas de elevada qualidade</w:t>
      </w:r>
    </w:p>
    <w:tbl>
      <w:tblPr>
        <w:tblStyle w:val="TableGridLight"/>
        <w:tblW w:w="0" w:type="auto"/>
        <w:tblLook w:val="04A0" w:firstRow="1" w:lastRow="0" w:firstColumn="1" w:lastColumn="0" w:noHBand="0" w:noVBand="1"/>
      </w:tblPr>
      <w:tblGrid>
        <w:gridCol w:w="13994"/>
      </w:tblGrid>
      <w:tr w:rsidR="00C85654" w:rsidRPr="000D0D06" w14:paraId="7479EAA3" w14:textId="77777777">
        <w:tc>
          <w:tcPr>
            <w:tcW w:w="13994" w:type="dxa"/>
            <w:tcBorders>
              <w:top w:val="single" w:sz="4" w:space="0" w:color="auto"/>
              <w:left w:val="single" w:sz="4" w:space="0" w:color="auto"/>
              <w:bottom w:val="single" w:sz="4" w:space="0" w:color="auto"/>
              <w:right w:val="single" w:sz="4" w:space="0" w:color="auto"/>
            </w:tcBorders>
          </w:tcPr>
          <w:p w14:paraId="59538749" w14:textId="11E5919A" w:rsidR="00C85654" w:rsidRPr="000D0D06" w:rsidRDefault="00C85654">
            <w:pPr>
              <w:rPr>
                <w:noProof/>
              </w:rPr>
            </w:pPr>
            <w:r w:rsidRPr="000D0D06">
              <w:rPr>
                <w:noProof/>
              </w:rPr>
              <w:t>Estas alterações asseguram que os dados recentemente criados cumprem os princípios FAIR e as normas de qualidade através de mecanismos coordenados: o Comité Europeu da Inovação de Dados elabora especificações técnicas comuns e protocolos de interoperabilidade acessíveis em todos os espaços setoriais de dados; as disposições relativas ao livre fluxo impedem a fragmentação que compromete a qualidade dos dados; o papel de coordenação do Comité Europeu da Inovação de Dados pode permitir a aplicação harmonizada de normas em matéria de metadados, requisitos técnicos e parâmetros de referência de qualidade em todos os Estados-Membros.</w:t>
            </w:r>
          </w:p>
        </w:tc>
      </w:tr>
    </w:tbl>
    <w:p w14:paraId="042B575F" w14:textId="77777777" w:rsidR="00C85654" w:rsidRPr="000D0D06" w:rsidRDefault="00C85654" w:rsidP="00C85654">
      <w:pPr>
        <w:rPr>
          <w:b/>
          <w:bCs/>
          <w:noProof/>
        </w:rPr>
      </w:pPr>
    </w:p>
    <w:p w14:paraId="0DC37736" w14:textId="77777777" w:rsidR="00C85654" w:rsidRPr="000D0D06" w:rsidRDefault="00C85654" w:rsidP="00C85654">
      <w:pPr>
        <w:tabs>
          <w:tab w:val="left" w:pos="5370"/>
        </w:tabs>
        <w:rPr>
          <w:b/>
          <w:bCs/>
          <w:noProof/>
        </w:rPr>
      </w:pPr>
      <w:r w:rsidRPr="000D0D06">
        <w:rPr>
          <w:b/>
          <w:noProof/>
        </w:rPr>
        <w:t>Fluxos de dados</w:t>
      </w:r>
    </w:p>
    <w:p w14:paraId="1EC0FFBA" w14:textId="77777777" w:rsidR="00C85654" w:rsidRPr="000D0D06" w:rsidRDefault="00C85654" w:rsidP="00C85654">
      <w:pPr>
        <w:tabs>
          <w:tab w:val="left" w:pos="5370"/>
        </w:tabs>
        <w:rPr>
          <w:i/>
          <w:iCs/>
          <w:noProof/>
        </w:rPr>
      </w:pPr>
      <w:r w:rsidRPr="000D0D06">
        <w:rPr>
          <w:i/>
          <w:noProof/>
        </w:rPr>
        <w:t>Descrição de âmbito geral dos fluxos de dados</w:t>
      </w:r>
    </w:p>
    <w:p w14:paraId="6D1F4362" w14:textId="77777777" w:rsidR="00C85654" w:rsidRPr="000D0D06" w:rsidRDefault="00C85654" w:rsidP="00C85654">
      <w:pPr>
        <w:tabs>
          <w:tab w:val="left" w:pos="5370"/>
        </w:tabs>
        <w:rPr>
          <w:i/>
          <w:iCs/>
          <w:noProof/>
          <w:u w:val="single"/>
        </w:rPr>
      </w:pPr>
      <w:r w:rsidRPr="000D0D06">
        <w:rPr>
          <w:i/>
          <w:noProof/>
          <w:u w:val="single"/>
        </w:rPr>
        <w:t>N. B.: a maioria dos fluxos de dados a seguir especificados são fluxos preexistentes que estão a ser transferidos de um regulamento para outro. Em especial, as disposições do Regulamento Governação de Dados são transferidas para o Regulamento dos Dados.</w:t>
      </w:r>
    </w:p>
    <w:tbl>
      <w:tblPr>
        <w:tblStyle w:val="TableGridLight"/>
        <w:tblW w:w="14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2220"/>
        <w:gridCol w:w="1948"/>
        <w:gridCol w:w="2138"/>
        <w:gridCol w:w="2377"/>
        <w:gridCol w:w="2789"/>
      </w:tblGrid>
      <w:tr w:rsidR="00C85654" w:rsidRPr="000D0D06" w14:paraId="12138CC8" w14:textId="77777777">
        <w:trPr>
          <w:trHeight w:val="300"/>
        </w:trPr>
        <w:tc>
          <w:tcPr>
            <w:tcW w:w="3448" w:type="dxa"/>
          </w:tcPr>
          <w:p w14:paraId="6368E502" w14:textId="77777777" w:rsidR="00C85654" w:rsidRPr="000D0D06" w:rsidRDefault="00C85654">
            <w:pPr>
              <w:jc w:val="left"/>
              <w:rPr>
                <w:b/>
                <w:bCs/>
                <w:noProof/>
              </w:rPr>
            </w:pPr>
            <w:r w:rsidRPr="000D0D06">
              <w:rPr>
                <w:b/>
                <w:noProof/>
              </w:rPr>
              <w:t>Tipo de dados</w:t>
            </w:r>
          </w:p>
        </w:tc>
        <w:tc>
          <w:tcPr>
            <w:tcW w:w="2419" w:type="dxa"/>
          </w:tcPr>
          <w:p w14:paraId="4A2678D5" w14:textId="77777777" w:rsidR="00C85654" w:rsidRPr="000D0D06" w:rsidRDefault="00C85654">
            <w:pPr>
              <w:jc w:val="left"/>
              <w:rPr>
                <w:b/>
                <w:bCs/>
                <w:noProof/>
              </w:rPr>
            </w:pPr>
            <w:r w:rsidRPr="000D0D06">
              <w:rPr>
                <w:b/>
                <w:noProof/>
              </w:rPr>
              <w:t>Referências aos requisitos</w:t>
            </w:r>
          </w:p>
        </w:tc>
        <w:tc>
          <w:tcPr>
            <w:tcW w:w="2029" w:type="dxa"/>
          </w:tcPr>
          <w:p w14:paraId="40F66DED" w14:textId="77777777" w:rsidR="00C85654" w:rsidRPr="000D0D06" w:rsidRDefault="00C85654">
            <w:pPr>
              <w:jc w:val="left"/>
              <w:rPr>
                <w:b/>
                <w:bCs/>
                <w:noProof/>
              </w:rPr>
            </w:pPr>
            <w:r w:rsidRPr="000D0D06">
              <w:rPr>
                <w:b/>
                <w:noProof/>
              </w:rPr>
              <w:t>Intervenientes que fornecem os dados</w:t>
            </w:r>
          </w:p>
        </w:tc>
        <w:tc>
          <w:tcPr>
            <w:tcW w:w="2143" w:type="dxa"/>
          </w:tcPr>
          <w:p w14:paraId="48E4022D" w14:textId="77777777" w:rsidR="00C85654" w:rsidRPr="000D0D06" w:rsidRDefault="00C85654">
            <w:pPr>
              <w:jc w:val="left"/>
              <w:rPr>
                <w:b/>
                <w:bCs/>
                <w:noProof/>
              </w:rPr>
            </w:pPr>
            <w:r w:rsidRPr="000D0D06">
              <w:rPr>
                <w:b/>
                <w:noProof/>
              </w:rPr>
              <w:t>Intervenientes que recebem os dados</w:t>
            </w:r>
          </w:p>
        </w:tc>
        <w:tc>
          <w:tcPr>
            <w:tcW w:w="2483" w:type="dxa"/>
          </w:tcPr>
          <w:p w14:paraId="6E345375" w14:textId="77777777" w:rsidR="00C85654" w:rsidRPr="000D0D06" w:rsidRDefault="00C85654">
            <w:pPr>
              <w:jc w:val="left"/>
              <w:rPr>
                <w:b/>
                <w:bCs/>
                <w:noProof/>
              </w:rPr>
            </w:pPr>
            <w:r w:rsidRPr="000D0D06">
              <w:rPr>
                <w:b/>
                <w:noProof/>
              </w:rPr>
              <w:t>Fator que desencadeia o intercâmbio de dados</w:t>
            </w:r>
          </w:p>
        </w:tc>
        <w:tc>
          <w:tcPr>
            <w:tcW w:w="2070" w:type="dxa"/>
          </w:tcPr>
          <w:p w14:paraId="6872AAE9" w14:textId="77777777" w:rsidR="00C85654" w:rsidRPr="000D0D06" w:rsidRDefault="00C85654">
            <w:pPr>
              <w:jc w:val="left"/>
              <w:rPr>
                <w:b/>
                <w:bCs/>
                <w:noProof/>
              </w:rPr>
            </w:pPr>
            <w:r w:rsidRPr="000D0D06">
              <w:rPr>
                <w:b/>
                <w:noProof/>
              </w:rPr>
              <w:t>Frequência (se aplicável)</w:t>
            </w:r>
          </w:p>
        </w:tc>
      </w:tr>
      <w:tr w:rsidR="009C4CDA" w:rsidRPr="000D0D06" w14:paraId="09625F6E" w14:textId="77777777">
        <w:trPr>
          <w:trHeight w:val="300"/>
        </w:trPr>
        <w:tc>
          <w:tcPr>
            <w:tcW w:w="3448" w:type="dxa"/>
          </w:tcPr>
          <w:p w14:paraId="130C89DC" w14:textId="77777777" w:rsidR="009C4CDA" w:rsidRPr="000D0D06" w:rsidRDefault="009C4CDA" w:rsidP="009C4CDA">
            <w:pPr>
              <w:jc w:val="left"/>
              <w:rPr>
                <w:noProof/>
              </w:rPr>
            </w:pPr>
            <w:r w:rsidRPr="000D0D06">
              <w:rPr>
                <w:noProof/>
              </w:rPr>
              <w:t>Recusa de um pedido de acesso a dados com base na exceção relativa ao segredo comercial (</w:t>
            </w:r>
            <w:r w:rsidRPr="000D0D06">
              <w:rPr>
                <w:i/>
                <w:noProof/>
              </w:rPr>
              <w:t>e notificação da mesma à autoridade competente</w:t>
            </w:r>
            <w:r w:rsidRPr="000D0D06">
              <w:rPr>
                <w:noProof/>
              </w:rPr>
              <w:t xml:space="preserve">) </w:t>
            </w:r>
          </w:p>
        </w:tc>
        <w:tc>
          <w:tcPr>
            <w:tcW w:w="2419" w:type="dxa"/>
          </w:tcPr>
          <w:p w14:paraId="63116F0C" w14:textId="77777777" w:rsidR="009C4CDA" w:rsidRPr="000D0D06" w:rsidRDefault="009C4CDA" w:rsidP="009C4CDA">
            <w:pPr>
              <w:jc w:val="left"/>
              <w:rPr>
                <w:noProof/>
              </w:rPr>
            </w:pPr>
            <w:r w:rsidRPr="000D0D06">
              <w:rPr>
                <w:noProof/>
              </w:rPr>
              <w:t>Artigo 1.º</w:t>
            </w:r>
          </w:p>
          <w:p w14:paraId="2EDE0D0E" w14:textId="77777777" w:rsidR="009C4CDA" w:rsidRPr="000D0D06" w:rsidRDefault="009C4CDA" w:rsidP="009C4CDA">
            <w:pPr>
              <w:jc w:val="left"/>
              <w:rPr>
                <w:noProof/>
              </w:rPr>
            </w:pPr>
            <w:r w:rsidRPr="000D0D06">
              <w:rPr>
                <w:i/>
                <w:noProof/>
              </w:rPr>
              <w:t>Alteração do artigo 4.º, n.º 8, e do artigo 5.º, n.º 11, do Regulamento dos Dados</w:t>
            </w:r>
            <w:r w:rsidRPr="000D0D06">
              <w:rPr>
                <w:noProof/>
              </w:rPr>
              <w:t xml:space="preserve"> </w:t>
            </w:r>
          </w:p>
        </w:tc>
        <w:tc>
          <w:tcPr>
            <w:tcW w:w="2029" w:type="dxa"/>
          </w:tcPr>
          <w:p w14:paraId="17A7A8EE" w14:textId="77777777" w:rsidR="009C4CDA" w:rsidRPr="000D0D06" w:rsidRDefault="009C4CDA" w:rsidP="009C4CDA">
            <w:pPr>
              <w:jc w:val="left"/>
              <w:rPr>
                <w:noProof/>
              </w:rPr>
            </w:pPr>
            <w:r w:rsidRPr="000D0D06">
              <w:rPr>
                <w:noProof/>
              </w:rPr>
              <w:t>Detentor dos dados</w:t>
            </w:r>
          </w:p>
        </w:tc>
        <w:tc>
          <w:tcPr>
            <w:tcW w:w="2143" w:type="dxa"/>
          </w:tcPr>
          <w:p w14:paraId="160879F2" w14:textId="77777777" w:rsidR="009C4CDA" w:rsidRPr="000D0D06" w:rsidRDefault="009C4CDA" w:rsidP="009C4CDA">
            <w:pPr>
              <w:jc w:val="left"/>
              <w:rPr>
                <w:noProof/>
              </w:rPr>
            </w:pPr>
            <w:r w:rsidRPr="000D0D06">
              <w:rPr>
                <w:noProof/>
              </w:rPr>
              <w:t xml:space="preserve">Utilizador dos dados (que apresenta o pedido); A autoridade competente designada nos termos do artigo 37.º </w:t>
            </w:r>
          </w:p>
        </w:tc>
        <w:tc>
          <w:tcPr>
            <w:tcW w:w="2483" w:type="dxa"/>
          </w:tcPr>
          <w:p w14:paraId="5E3AF754" w14:textId="77777777" w:rsidR="009C4CDA" w:rsidRPr="000D0D06" w:rsidRDefault="009C4CDA" w:rsidP="009C4CDA">
            <w:pPr>
              <w:jc w:val="left"/>
              <w:rPr>
                <w:noProof/>
              </w:rPr>
            </w:pPr>
            <w:r w:rsidRPr="000D0D06">
              <w:rPr>
                <w:noProof/>
              </w:rPr>
              <w:t>Recusa de um pedido de acesso a dados com base na exceção relativa ao segredo comercial</w:t>
            </w:r>
          </w:p>
        </w:tc>
        <w:tc>
          <w:tcPr>
            <w:tcW w:w="2070" w:type="dxa"/>
          </w:tcPr>
          <w:p w14:paraId="172F371F" w14:textId="77777777" w:rsidR="009C4CDA" w:rsidRPr="000D0D06" w:rsidRDefault="009C4CDA" w:rsidP="009C4CDA">
            <w:pPr>
              <w:jc w:val="left"/>
              <w:rPr>
                <w:noProof/>
              </w:rPr>
            </w:pPr>
            <w:r w:rsidRPr="000D0D06">
              <w:rPr>
                <w:i/>
                <w:iCs/>
                <w:noProof/>
              </w:rPr>
              <w:t>Ad hoc</w:t>
            </w:r>
          </w:p>
        </w:tc>
      </w:tr>
      <w:tr w:rsidR="009C4CDA" w:rsidRPr="000D0D06" w14:paraId="0066C289" w14:textId="77777777">
        <w:trPr>
          <w:trHeight w:val="300"/>
        </w:trPr>
        <w:tc>
          <w:tcPr>
            <w:tcW w:w="3448" w:type="dxa"/>
          </w:tcPr>
          <w:p w14:paraId="1DF3B729" w14:textId="77777777" w:rsidR="009C4CDA" w:rsidRPr="000D0D06" w:rsidRDefault="009C4CDA" w:rsidP="009C4CDA">
            <w:pPr>
              <w:jc w:val="left"/>
              <w:rPr>
                <w:noProof/>
              </w:rPr>
            </w:pPr>
            <w:r w:rsidRPr="000D0D06">
              <w:rPr>
                <w:noProof/>
              </w:rPr>
              <w:t>Dados a disponibilizar no contexto de uma emergência pública</w:t>
            </w:r>
          </w:p>
        </w:tc>
        <w:tc>
          <w:tcPr>
            <w:tcW w:w="2419" w:type="dxa"/>
          </w:tcPr>
          <w:p w14:paraId="29C65C37" w14:textId="77777777" w:rsidR="009C4CDA" w:rsidRPr="000D0D06" w:rsidRDefault="009C4CDA" w:rsidP="009C4CDA">
            <w:pPr>
              <w:jc w:val="left"/>
              <w:rPr>
                <w:noProof/>
              </w:rPr>
            </w:pPr>
            <w:r w:rsidRPr="000D0D06">
              <w:rPr>
                <w:noProof/>
              </w:rPr>
              <w:t>Artigo 1.º</w:t>
            </w:r>
          </w:p>
          <w:p w14:paraId="39CC65EC" w14:textId="77777777" w:rsidR="009C4CDA" w:rsidRPr="000D0D06" w:rsidRDefault="009C4CDA" w:rsidP="009C4CDA">
            <w:pPr>
              <w:jc w:val="left"/>
              <w:rPr>
                <w:noProof/>
              </w:rPr>
            </w:pPr>
            <w:r w:rsidRPr="000D0D06">
              <w:rPr>
                <w:i/>
                <w:noProof/>
              </w:rPr>
              <w:t>Aditamento do artigo 15.º-A ao Regulamento dos Dados</w:t>
            </w:r>
            <w:r w:rsidRPr="000D0D06">
              <w:rPr>
                <w:noProof/>
              </w:rPr>
              <w:t xml:space="preserve"> </w:t>
            </w:r>
          </w:p>
        </w:tc>
        <w:tc>
          <w:tcPr>
            <w:tcW w:w="2029" w:type="dxa"/>
          </w:tcPr>
          <w:p w14:paraId="716EF48F" w14:textId="77777777" w:rsidR="009C4CDA" w:rsidRPr="000D0D06" w:rsidRDefault="009C4CDA" w:rsidP="009C4CDA">
            <w:pPr>
              <w:jc w:val="left"/>
              <w:rPr>
                <w:noProof/>
              </w:rPr>
            </w:pPr>
            <w:r w:rsidRPr="000D0D06">
              <w:rPr>
                <w:noProof/>
              </w:rPr>
              <w:t>Detentor dos dados</w:t>
            </w:r>
          </w:p>
        </w:tc>
        <w:tc>
          <w:tcPr>
            <w:tcW w:w="2143" w:type="dxa"/>
          </w:tcPr>
          <w:p w14:paraId="48A90C62" w14:textId="77777777" w:rsidR="009C4CDA" w:rsidRPr="000D0D06" w:rsidRDefault="009C4CDA" w:rsidP="009C4CDA">
            <w:pPr>
              <w:jc w:val="left"/>
              <w:rPr>
                <w:noProof/>
              </w:rPr>
            </w:pPr>
            <w:r w:rsidRPr="000D0D06">
              <w:rPr>
                <w:noProof/>
              </w:rPr>
              <w:t>Entidade do setor público; Comissão Europeia; Banco Central Europeu; órgão da União</w:t>
            </w:r>
          </w:p>
        </w:tc>
        <w:tc>
          <w:tcPr>
            <w:tcW w:w="2483" w:type="dxa"/>
          </w:tcPr>
          <w:p w14:paraId="184CDDF3" w14:textId="77777777" w:rsidR="009C4CDA" w:rsidRPr="000D0D06" w:rsidRDefault="009C4CDA" w:rsidP="009C4CDA">
            <w:pPr>
              <w:jc w:val="left"/>
              <w:rPr>
                <w:noProof/>
              </w:rPr>
            </w:pPr>
            <w:r w:rsidRPr="000D0D06">
              <w:rPr>
                <w:noProof/>
              </w:rPr>
              <w:t xml:space="preserve">Emergência pública + pedido de acesso a dados que preencha as condições necessárias </w:t>
            </w:r>
          </w:p>
        </w:tc>
        <w:tc>
          <w:tcPr>
            <w:tcW w:w="2070" w:type="dxa"/>
          </w:tcPr>
          <w:p w14:paraId="57EB7EA7" w14:textId="77777777" w:rsidR="009C4CDA" w:rsidRPr="000D0D06" w:rsidRDefault="009C4CDA" w:rsidP="009C4CDA">
            <w:pPr>
              <w:jc w:val="left"/>
              <w:rPr>
                <w:noProof/>
              </w:rPr>
            </w:pPr>
            <w:r w:rsidRPr="000D0D06">
              <w:rPr>
                <w:i/>
                <w:iCs/>
                <w:noProof/>
              </w:rPr>
              <w:t>Ad hoc</w:t>
            </w:r>
          </w:p>
        </w:tc>
      </w:tr>
      <w:tr w:rsidR="009C4CDA" w:rsidRPr="000D0D06" w14:paraId="1C26FBBF" w14:textId="77777777">
        <w:trPr>
          <w:trHeight w:val="300"/>
        </w:trPr>
        <w:tc>
          <w:tcPr>
            <w:tcW w:w="3448" w:type="dxa"/>
          </w:tcPr>
          <w:p w14:paraId="0141AA89" w14:textId="77777777" w:rsidR="009C4CDA" w:rsidRPr="000D0D06" w:rsidRDefault="009C4CDA" w:rsidP="009C4CDA">
            <w:pPr>
              <w:jc w:val="left"/>
              <w:rPr>
                <w:noProof/>
              </w:rPr>
            </w:pPr>
            <w:r w:rsidRPr="000D0D06">
              <w:rPr>
                <w:noProof/>
              </w:rPr>
              <w:t xml:space="preserve">Notificação da intenção de disponibilizar dados no contexto de uma emergência pública </w:t>
            </w:r>
          </w:p>
        </w:tc>
        <w:tc>
          <w:tcPr>
            <w:tcW w:w="2419" w:type="dxa"/>
          </w:tcPr>
          <w:p w14:paraId="4F37F60E" w14:textId="77777777" w:rsidR="009C4CDA" w:rsidRPr="000D0D06" w:rsidRDefault="009C4CDA" w:rsidP="009C4CDA">
            <w:pPr>
              <w:jc w:val="left"/>
              <w:rPr>
                <w:noProof/>
              </w:rPr>
            </w:pPr>
            <w:r w:rsidRPr="000D0D06">
              <w:rPr>
                <w:noProof/>
              </w:rPr>
              <w:t>Artigo 1.º</w:t>
            </w:r>
          </w:p>
          <w:p w14:paraId="30E74659" w14:textId="77777777" w:rsidR="009C4CDA" w:rsidRPr="000D0D06" w:rsidRDefault="009C4CDA" w:rsidP="009C4CDA">
            <w:pPr>
              <w:jc w:val="left"/>
              <w:rPr>
                <w:i/>
                <w:iCs/>
                <w:noProof/>
              </w:rPr>
            </w:pPr>
            <w:r w:rsidRPr="000D0D06">
              <w:rPr>
                <w:i/>
                <w:noProof/>
              </w:rPr>
              <w:t>Alteração do artigo 21.º, n.º 5, do Regulamento dos Dados</w:t>
            </w:r>
          </w:p>
        </w:tc>
        <w:tc>
          <w:tcPr>
            <w:tcW w:w="2029" w:type="dxa"/>
          </w:tcPr>
          <w:p w14:paraId="33829987" w14:textId="77777777" w:rsidR="009C4CDA" w:rsidRPr="000D0D06" w:rsidRDefault="009C4CDA" w:rsidP="009C4CDA">
            <w:pPr>
              <w:jc w:val="left"/>
              <w:rPr>
                <w:noProof/>
              </w:rPr>
            </w:pPr>
            <w:r w:rsidRPr="000D0D06">
              <w:rPr>
                <w:noProof/>
              </w:rPr>
              <w:t>Entidade do setor público; Comissão Europeia; Banco Central Europeu; órgão da União</w:t>
            </w:r>
          </w:p>
        </w:tc>
        <w:tc>
          <w:tcPr>
            <w:tcW w:w="2143" w:type="dxa"/>
          </w:tcPr>
          <w:p w14:paraId="344897AD" w14:textId="77777777" w:rsidR="009C4CDA" w:rsidRPr="000D0D06" w:rsidRDefault="009C4CDA" w:rsidP="009C4CDA">
            <w:pPr>
              <w:jc w:val="left"/>
              <w:rPr>
                <w:noProof/>
              </w:rPr>
            </w:pPr>
            <w:r w:rsidRPr="000D0D06">
              <w:rPr>
                <w:noProof/>
              </w:rPr>
              <w:t>Detentor dos dados de quem os dados foram recebidos</w:t>
            </w:r>
          </w:p>
        </w:tc>
        <w:tc>
          <w:tcPr>
            <w:tcW w:w="2483" w:type="dxa"/>
          </w:tcPr>
          <w:p w14:paraId="5FEF9433" w14:textId="77777777" w:rsidR="009C4CDA" w:rsidRPr="000D0D06" w:rsidRDefault="009C4CDA" w:rsidP="009C4CDA">
            <w:pPr>
              <w:jc w:val="left"/>
              <w:rPr>
                <w:noProof/>
              </w:rPr>
            </w:pPr>
            <w:r w:rsidRPr="000D0D06">
              <w:rPr>
                <w:noProof/>
              </w:rPr>
              <w:t>Emergência pública + intenção de transmitir ou disponibilizar dados</w:t>
            </w:r>
          </w:p>
        </w:tc>
        <w:tc>
          <w:tcPr>
            <w:tcW w:w="2070" w:type="dxa"/>
          </w:tcPr>
          <w:p w14:paraId="051545E4" w14:textId="77777777" w:rsidR="009C4CDA" w:rsidRPr="000D0D06" w:rsidRDefault="009C4CDA" w:rsidP="009C4CDA">
            <w:pPr>
              <w:jc w:val="left"/>
              <w:rPr>
                <w:noProof/>
              </w:rPr>
            </w:pPr>
            <w:r w:rsidRPr="000D0D06">
              <w:rPr>
                <w:i/>
                <w:iCs/>
                <w:noProof/>
              </w:rPr>
              <w:t>Ad hoc</w:t>
            </w:r>
          </w:p>
        </w:tc>
      </w:tr>
      <w:tr w:rsidR="009C4CDA" w:rsidRPr="000D0D06" w14:paraId="6CCEF6C9" w14:textId="77777777">
        <w:trPr>
          <w:trHeight w:val="300"/>
        </w:trPr>
        <w:tc>
          <w:tcPr>
            <w:tcW w:w="3448" w:type="dxa"/>
          </w:tcPr>
          <w:p w14:paraId="1E947F8B" w14:textId="77777777" w:rsidR="009C4CDA" w:rsidRPr="000D0D06" w:rsidRDefault="009C4CDA" w:rsidP="009C4CDA">
            <w:pPr>
              <w:jc w:val="left"/>
              <w:rPr>
                <w:noProof/>
              </w:rPr>
            </w:pPr>
            <w:r w:rsidRPr="000D0D06">
              <w:rPr>
                <w:noProof/>
              </w:rPr>
              <w:t xml:space="preserve">Reclamações ao abrigo do capítulo V («Disponibilização de dados aos organismos do setor público, à Comissão, ao Banco Central Europeu e aos órgãos da União com base em necessidades excecionais») </w:t>
            </w:r>
          </w:p>
        </w:tc>
        <w:tc>
          <w:tcPr>
            <w:tcW w:w="2419" w:type="dxa"/>
          </w:tcPr>
          <w:p w14:paraId="41EDB0F7" w14:textId="77777777" w:rsidR="009C4CDA" w:rsidRPr="000D0D06" w:rsidRDefault="009C4CDA" w:rsidP="009C4CDA">
            <w:pPr>
              <w:jc w:val="left"/>
              <w:rPr>
                <w:noProof/>
              </w:rPr>
            </w:pPr>
            <w:r w:rsidRPr="000D0D06">
              <w:rPr>
                <w:noProof/>
              </w:rPr>
              <w:t>Artigo 1.º</w:t>
            </w:r>
          </w:p>
          <w:p w14:paraId="56AAD9C8" w14:textId="77777777" w:rsidR="009C4CDA" w:rsidRPr="000D0D06" w:rsidRDefault="009C4CDA" w:rsidP="009C4CDA">
            <w:pPr>
              <w:jc w:val="left"/>
              <w:rPr>
                <w:i/>
                <w:iCs/>
                <w:noProof/>
              </w:rPr>
            </w:pPr>
            <w:r w:rsidRPr="000D0D06">
              <w:rPr>
                <w:i/>
                <w:noProof/>
              </w:rPr>
              <w:t>Aditamento do artigo 22.º-A ao Regulamento dos Dados</w:t>
            </w:r>
          </w:p>
        </w:tc>
        <w:tc>
          <w:tcPr>
            <w:tcW w:w="2029" w:type="dxa"/>
          </w:tcPr>
          <w:p w14:paraId="7371B6A1" w14:textId="77777777" w:rsidR="009C4CDA" w:rsidRPr="000D0D06" w:rsidRDefault="009C4CDA" w:rsidP="009C4CDA">
            <w:pPr>
              <w:jc w:val="left"/>
              <w:rPr>
                <w:noProof/>
              </w:rPr>
            </w:pPr>
            <w:r w:rsidRPr="000D0D06">
              <w:rPr>
                <w:noProof/>
              </w:rPr>
              <w:t>Detentor dos dados; entidade do setor público; Comissão Europeia; Banco Central Europeu; órgão da União</w:t>
            </w:r>
          </w:p>
        </w:tc>
        <w:tc>
          <w:tcPr>
            <w:tcW w:w="2143" w:type="dxa"/>
          </w:tcPr>
          <w:p w14:paraId="6C782AAF" w14:textId="77777777" w:rsidR="009C4CDA" w:rsidRPr="000D0D06" w:rsidRDefault="009C4CDA" w:rsidP="009C4CDA">
            <w:pPr>
              <w:jc w:val="left"/>
              <w:rPr>
                <w:noProof/>
              </w:rPr>
            </w:pPr>
            <w:r w:rsidRPr="000D0D06">
              <w:rPr>
                <w:noProof/>
              </w:rPr>
              <w:t>Autoridade competente do Estado-Membro em que o detentor dos dados está estabelecido</w:t>
            </w:r>
          </w:p>
        </w:tc>
        <w:tc>
          <w:tcPr>
            <w:tcW w:w="2483" w:type="dxa"/>
          </w:tcPr>
          <w:p w14:paraId="590A6080" w14:textId="77777777" w:rsidR="009C4CDA" w:rsidRPr="000D0D06" w:rsidRDefault="009C4CDA" w:rsidP="009C4CDA">
            <w:pPr>
              <w:jc w:val="left"/>
              <w:rPr>
                <w:noProof/>
              </w:rPr>
            </w:pPr>
            <w:r w:rsidRPr="000D0D06">
              <w:rPr>
                <w:noProof/>
              </w:rPr>
              <w:t>Em caso de litígio relativo a um pedido de dados ao abrigo do artigo 15.º-A do Regulamento dos Dados</w:t>
            </w:r>
          </w:p>
        </w:tc>
        <w:tc>
          <w:tcPr>
            <w:tcW w:w="2070" w:type="dxa"/>
          </w:tcPr>
          <w:p w14:paraId="7E25021C" w14:textId="77777777" w:rsidR="009C4CDA" w:rsidRPr="000D0D06" w:rsidRDefault="009C4CDA" w:rsidP="009C4CDA">
            <w:pPr>
              <w:jc w:val="left"/>
              <w:rPr>
                <w:noProof/>
              </w:rPr>
            </w:pPr>
            <w:r w:rsidRPr="000D0D06">
              <w:rPr>
                <w:i/>
                <w:iCs/>
                <w:noProof/>
              </w:rPr>
              <w:t>Ad hoc</w:t>
            </w:r>
          </w:p>
        </w:tc>
      </w:tr>
      <w:tr w:rsidR="009C4CDA" w:rsidRPr="000D0D06" w14:paraId="22DAE903" w14:textId="77777777">
        <w:trPr>
          <w:trHeight w:val="300"/>
        </w:trPr>
        <w:tc>
          <w:tcPr>
            <w:tcW w:w="3448" w:type="dxa"/>
          </w:tcPr>
          <w:p w14:paraId="5ADE7EB8" w14:textId="77777777" w:rsidR="009C4CDA" w:rsidRPr="000D0D06" w:rsidRDefault="009C4CDA" w:rsidP="009C4CDA">
            <w:pPr>
              <w:spacing w:line="259" w:lineRule="auto"/>
              <w:jc w:val="left"/>
              <w:rPr>
                <w:noProof/>
              </w:rPr>
            </w:pPr>
            <w:r w:rsidRPr="000D0D06">
              <w:rPr>
                <w:noProof/>
              </w:rPr>
              <w:t>Dados não pessoais detidos na União Europeia</w:t>
            </w:r>
          </w:p>
        </w:tc>
        <w:tc>
          <w:tcPr>
            <w:tcW w:w="2419" w:type="dxa"/>
          </w:tcPr>
          <w:p w14:paraId="24B042DF" w14:textId="77777777" w:rsidR="009C4CDA" w:rsidRPr="000D0D06" w:rsidRDefault="009C4CDA" w:rsidP="009C4CDA">
            <w:pPr>
              <w:spacing w:line="259" w:lineRule="auto"/>
              <w:jc w:val="left"/>
              <w:rPr>
                <w:noProof/>
              </w:rPr>
            </w:pPr>
            <w:r w:rsidRPr="000D0D06">
              <w:rPr>
                <w:noProof/>
              </w:rPr>
              <w:t>Artigo 1.º</w:t>
            </w:r>
          </w:p>
          <w:p w14:paraId="19021950" w14:textId="77777777" w:rsidR="009C4CDA" w:rsidRPr="000D0D06" w:rsidRDefault="009C4CDA" w:rsidP="009C4CDA">
            <w:pPr>
              <w:jc w:val="left"/>
              <w:rPr>
                <w:i/>
                <w:iCs/>
                <w:noProof/>
              </w:rPr>
            </w:pPr>
            <w:r w:rsidRPr="000D0D06">
              <w:rPr>
                <w:i/>
                <w:noProof/>
              </w:rPr>
              <w:t>Alteração dos seguintes artigos do Regulamento dos Dados:</w:t>
            </w:r>
          </w:p>
          <w:p w14:paraId="0091E3AA" w14:textId="77777777" w:rsidR="009C4CDA" w:rsidRPr="000D0D06" w:rsidRDefault="009C4CDA" w:rsidP="009C4CDA">
            <w:pPr>
              <w:jc w:val="left"/>
              <w:rPr>
                <w:i/>
                <w:iCs/>
                <w:noProof/>
              </w:rPr>
            </w:pPr>
            <w:r w:rsidRPr="000D0D06">
              <w:rPr>
                <w:i/>
                <w:noProof/>
              </w:rPr>
              <w:t>Artigo 32.º, n.</w:t>
            </w:r>
            <w:r w:rsidRPr="000D0D06">
              <w:rPr>
                <w:i/>
                <w:noProof/>
                <w:vertAlign w:val="superscript"/>
              </w:rPr>
              <w:t>os</w:t>
            </w:r>
            <w:r w:rsidRPr="000D0D06">
              <w:rPr>
                <w:i/>
                <w:noProof/>
              </w:rPr>
              <w:t> 1, 3 e 4</w:t>
            </w:r>
          </w:p>
        </w:tc>
        <w:tc>
          <w:tcPr>
            <w:tcW w:w="2029" w:type="dxa"/>
          </w:tcPr>
          <w:p w14:paraId="77D79CD0" w14:textId="77777777" w:rsidR="009C4CDA" w:rsidRPr="000D0D06" w:rsidRDefault="009C4CDA" w:rsidP="009C4CDA">
            <w:pPr>
              <w:spacing w:line="259" w:lineRule="auto"/>
              <w:jc w:val="left"/>
              <w:rPr>
                <w:noProof/>
              </w:rPr>
            </w:pPr>
            <w:r w:rsidRPr="000D0D06">
              <w:rPr>
                <w:noProof/>
              </w:rPr>
              <w:t xml:space="preserve">Prestadores de serviços de tratamento de dados, prestadores de serviços de intermediação de dados e organizações de altruísmo de dados </w:t>
            </w:r>
          </w:p>
        </w:tc>
        <w:tc>
          <w:tcPr>
            <w:tcW w:w="2143" w:type="dxa"/>
          </w:tcPr>
          <w:p w14:paraId="25A7D046" w14:textId="77777777" w:rsidR="009C4CDA" w:rsidRPr="000D0D06" w:rsidRDefault="009C4CDA" w:rsidP="009C4CDA">
            <w:pPr>
              <w:spacing w:line="259" w:lineRule="auto"/>
              <w:jc w:val="left"/>
              <w:rPr>
                <w:noProof/>
              </w:rPr>
            </w:pPr>
            <w:r w:rsidRPr="000D0D06">
              <w:rPr>
                <w:noProof/>
              </w:rPr>
              <w:t>Órgãos jurisdicionais de países terceiros,</w:t>
            </w:r>
          </w:p>
          <w:p w14:paraId="31EDE46C" w14:textId="77777777" w:rsidR="009C4CDA" w:rsidRPr="000D0D06" w:rsidRDefault="009C4CDA" w:rsidP="009C4CDA">
            <w:pPr>
              <w:spacing w:before="0" w:after="0"/>
              <w:jc w:val="left"/>
              <w:rPr>
                <w:noProof/>
              </w:rPr>
            </w:pPr>
            <w:r w:rsidRPr="000D0D06">
              <w:rPr>
                <w:noProof/>
              </w:rPr>
              <w:t>autoridades administrativas de países terceiros, clientes (detentores/titulares dos dados)</w:t>
            </w:r>
          </w:p>
          <w:p w14:paraId="0E60D8A8" w14:textId="77777777" w:rsidR="009C4CDA" w:rsidRPr="000D0D06" w:rsidRDefault="009C4CDA" w:rsidP="009C4CDA">
            <w:pPr>
              <w:jc w:val="left"/>
              <w:rPr>
                <w:noProof/>
              </w:rPr>
            </w:pPr>
          </w:p>
        </w:tc>
        <w:tc>
          <w:tcPr>
            <w:tcW w:w="2483" w:type="dxa"/>
          </w:tcPr>
          <w:p w14:paraId="34645B35" w14:textId="77777777" w:rsidR="009C4CDA" w:rsidRPr="000D0D06" w:rsidRDefault="009C4CDA" w:rsidP="009C4CDA">
            <w:pPr>
              <w:spacing w:line="259" w:lineRule="auto"/>
              <w:jc w:val="left"/>
              <w:rPr>
                <w:noProof/>
              </w:rPr>
            </w:pPr>
            <w:r w:rsidRPr="000D0D06">
              <w:rPr>
                <w:noProof/>
              </w:rPr>
              <w:t xml:space="preserve">Pedido de um país terceiro com base num acordo internacional, pedido de um país terceiro que preenche as condições do artigo 32.º, n.º 3, pedido de acesso do cliente aos seus próprios dados </w:t>
            </w:r>
          </w:p>
        </w:tc>
        <w:tc>
          <w:tcPr>
            <w:tcW w:w="2070" w:type="dxa"/>
          </w:tcPr>
          <w:p w14:paraId="090BC03F" w14:textId="77777777" w:rsidR="009C4CDA" w:rsidRPr="000D0D06" w:rsidRDefault="009C4CDA" w:rsidP="009C4CDA">
            <w:pPr>
              <w:jc w:val="left"/>
              <w:rPr>
                <w:noProof/>
              </w:rPr>
            </w:pPr>
            <w:r w:rsidRPr="000D0D06">
              <w:rPr>
                <w:i/>
                <w:iCs/>
                <w:noProof/>
              </w:rPr>
              <w:t>Ad hoc</w:t>
            </w:r>
          </w:p>
        </w:tc>
      </w:tr>
      <w:tr w:rsidR="009C4CDA" w:rsidRPr="000D0D06" w14:paraId="18378288" w14:textId="77777777">
        <w:trPr>
          <w:trHeight w:val="300"/>
        </w:trPr>
        <w:tc>
          <w:tcPr>
            <w:tcW w:w="3448" w:type="dxa"/>
          </w:tcPr>
          <w:p w14:paraId="4329CD70" w14:textId="77777777" w:rsidR="009C4CDA" w:rsidRPr="000D0D06" w:rsidRDefault="009C4CDA" w:rsidP="009C4CDA">
            <w:pPr>
              <w:jc w:val="left"/>
              <w:rPr>
                <w:noProof/>
              </w:rPr>
            </w:pPr>
            <w:r w:rsidRPr="000D0D06">
              <w:rPr>
                <w:noProof/>
              </w:rPr>
              <w:t>Dados a fornecer em resposta a um pedido de reutilização de dados</w:t>
            </w:r>
          </w:p>
        </w:tc>
        <w:tc>
          <w:tcPr>
            <w:tcW w:w="2419" w:type="dxa"/>
          </w:tcPr>
          <w:p w14:paraId="35BB281E" w14:textId="77777777" w:rsidR="009C4CDA" w:rsidRPr="000D0D06" w:rsidRDefault="009C4CDA" w:rsidP="009C4CDA">
            <w:pPr>
              <w:jc w:val="left"/>
              <w:rPr>
                <w:noProof/>
              </w:rPr>
            </w:pPr>
            <w:r w:rsidRPr="000D0D06">
              <w:rPr>
                <w:noProof/>
              </w:rPr>
              <w:t>Artigo 1.º</w:t>
            </w:r>
          </w:p>
          <w:p w14:paraId="67FEC5FC" w14:textId="77777777" w:rsidR="009C4CDA" w:rsidRPr="000D0D06" w:rsidRDefault="009C4CDA" w:rsidP="009C4CDA">
            <w:pPr>
              <w:jc w:val="left"/>
              <w:rPr>
                <w:i/>
                <w:iCs/>
                <w:noProof/>
              </w:rPr>
            </w:pPr>
            <w:r w:rsidRPr="000D0D06">
              <w:rPr>
                <w:i/>
                <w:noProof/>
              </w:rPr>
              <w:t>Alteração do artigo 32.º, n.</w:t>
            </w:r>
            <w:r w:rsidRPr="000D0D06">
              <w:rPr>
                <w:i/>
                <w:noProof/>
                <w:vertAlign w:val="superscript"/>
              </w:rPr>
              <w:t>os</w:t>
            </w:r>
            <w:r w:rsidRPr="000D0D06">
              <w:rPr>
                <w:i/>
                <w:noProof/>
              </w:rPr>
              <w:t> 4 a 5, do Regulamento dos Dados</w:t>
            </w:r>
          </w:p>
        </w:tc>
        <w:tc>
          <w:tcPr>
            <w:tcW w:w="2029" w:type="dxa"/>
          </w:tcPr>
          <w:p w14:paraId="33FE5281" w14:textId="77777777" w:rsidR="009C4CDA" w:rsidRPr="000D0D06" w:rsidRDefault="009C4CDA" w:rsidP="009C4CDA">
            <w:pPr>
              <w:jc w:val="left"/>
              <w:rPr>
                <w:noProof/>
              </w:rPr>
            </w:pPr>
            <w:r w:rsidRPr="000D0D06">
              <w:rPr>
                <w:noProof/>
              </w:rPr>
              <w:t>Prestador de serviços de intermediação de dados ou organização de altruísmo de dados reconhecida</w:t>
            </w:r>
          </w:p>
        </w:tc>
        <w:tc>
          <w:tcPr>
            <w:tcW w:w="2143" w:type="dxa"/>
          </w:tcPr>
          <w:p w14:paraId="3EAFDF4D" w14:textId="77777777" w:rsidR="009C4CDA" w:rsidRPr="000D0D06" w:rsidRDefault="009C4CDA" w:rsidP="009C4CDA">
            <w:pPr>
              <w:jc w:val="left"/>
              <w:rPr>
                <w:noProof/>
              </w:rPr>
            </w:pPr>
            <w:r w:rsidRPr="000D0D06">
              <w:rPr>
                <w:noProof/>
              </w:rPr>
              <w:t>Originador do pedido de reutilização de dados (autoridade de país terceiro)</w:t>
            </w:r>
          </w:p>
        </w:tc>
        <w:tc>
          <w:tcPr>
            <w:tcW w:w="2483" w:type="dxa"/>
          </w:tcPr>
          <w:p w14:paraId="7C166EE7" w14:textId="77777777" w:rsidR="009C4CDA" w:rsidRPr="000D0D06" w:rsidRDefault="009C4CDA" w:rsidP="009C4CDA">
            <w:pPr>
              <w:jc w:val="left"/>
              <w:rPr>
                <w:noProof/>
              </w:rPr>
            </w:pPr>
            <w:r w:rsidRPr="000D0D06">
              <w:rPr>
                <w:noProof/>
              </w:rPr>
              <w:t>Data de deferimento do pedido de reutilização</w:t>
            </w:r>
          </w:p>
        </w:tc>
        <w:tc>
          <w:tcPr>
            <w:tcW w:w="2070" w:type="dxa"/>
          </w:tcPr>
          <w:p w14:paraId="03A97D45" w14:textId="77777777" w:rsidR="009C4CDA" w:rsidRPr="000D0D06" w:rsidRDefault="009C4CDA" w:rsidP="009C4CDA">
            <w:pPr>
              <w:jc w:val="left"/>
              <w:rPr>
                <w:noProof/>
              </w:rPr>
            </w:pPr>
            <w:r w:rsidRPr="000D0D06">
              <w:rPr>
                <w:i/>
                <w:iCs/>
                <w:noProof/>
              </w:rPr>
              <w:t>Ad hoc</w:t>
            </w:r>
          </w:p>
        </w:tc>
      </w:tr>
      <w:tr w:rsidR="009C4CDA" w:rsidRPr="000D0D06" w14:paraId="0A5DDE00" w14:textId="77777777">
        <w:trPr>
          <w:trHeight w:val="300"/>
        </w:trPr>
        <w:tc>
          <w:tcPr>
            <w:tcW w:w="3448" w:type="dxa"/>
          </w:tcPr>
          <w:p w14:paraId="2497534E" w14:textId="77777777" w:rsidR="009C4CDA" w:rsidRPr="000D0D06" w:rsidRDefault="009C4CDA" w:rsidP="009C4CDA">
            <w:pPr>
              <w:jc w:val="left"/>
              <w:rPr>
                <w:noProof/>
              </w:rPr>
            </w:pPr>
            <w:r w:rsidRPr="000D0D06">
              <w:rPr>
                <w:noProof/>
              </w:rPr>
              <w:t xml:space="preserve">Notificação de pedido de reutilização de dados em vias de ser deferido </w:t>
            </w:r>
          </w:p>
        </w:tc>
        <w:tc>
          <w:tcPr>
            <w:tcW w:w="2419" w:type="dxa"/>
          </w:tcPr>
          <w:p w14:paraId="5C639E24" w14:textId="77777777" w:rsidR="009C4CDA" w:rsidRPr="000D0D06" w:rsidRDefault="009C4CDA" w:rsidP="009C4CDA">
            <w:pPr>
              <w:jc w:val="left"/>
              <w:rPr>
                <w:noProof/>
              </w:rPr>
            </w:pPr>
            <w:r w:rsidRPr="000D0D06">
              <w:rPr>
                <w:noProof/>
              </w:rPr>
              <w:t>Artigo 1.º</w:t>
            </w:r>
          </w:p>
          <w:p w14:paraId="74B6BDDE" w14:textId="77777777" w:rsidR="009C4CDA" w:rsidRPr="000D0D06" w:rsidRDefault="009C4CDA" w:rsidP="009C4CDA">
            <w:pPr>
              <w:jc w:val="left"/>
              <w:rPr>
                <w:i/>
                <w:iCs/>
                <w:noProof/>
              </w:rPr>
            </w:pPr>
            <w:r w:rsidRPr="000D0D06">
              <w:rPr>
                <w:i/>
                <w:noProof/>
              </w:rPr>
              <w:t>Alteração do artigo 32.º, n.</w:t>
            </w:r>
            <w:r w:rsidRPr="000D0D06">
              <w:rPr>
                <w:i/>
                <w:noProof/>
                <w:vertAlign w:val="superscript"/>
              </w:rPr>
              <w:t>os</w:t>
            </w:r>
            <w:r w:rsidRPr="000D0D06">
              <w:rPr>
                <w:i/>
                <w:noProof/>
              </w:rPr>
              <w:t> 4 a 5, do Regulamento dos Dados</w:t>
            </w:r>
          </w:p>
        </w:tc>
        <w:tc>
          <w:tcPr>
            <w:tcW w:w="2029" w:type="dxa"/>
          </w:tcPr>
          <w:p w14:paraId="219ED1FB" w14:textId="77777777" w:rsidR="009C4CDA" w:rsidRPr="000D0D06" w:rsidRDefault="009C4CDA" w:rsidP="009C4CDA">
            <w:pPr>
              <w:jc w:val="left"/>
              <w:rPr>
                <w:noProof/>
              </w:rPr>
            </w:pPr>
            <w:r w:rsidRPr="000D0D06">
              <w:rPr>
                <w:noProof/>
              </w:rPr>
              <w:t>Prestador de serviços de intermediação de dados ou organização de altruísmo de dados reconhecida</w:t>
            </w:r>
          </w:p>
        </w:tc>
        <w:tc>
          <w:tcPr>
            <w:tcW w:w="2143" w:type="dxa"/>
          </w:tcPr>
          <w:p w14:paraId="64EA460D" w14:textId="77777777" w:rsidR="009C4CDA" w:rsidRPr="000D0D06" w:rsidRDefault="009C4CDA" w:rsidP="009C4CDA">
            <w:pPr>
              <w:jc w:val="left"/>
              <w:rPr>
                <w:noProof/>
              </w:rPr>
            </w:pPr>
            <w:r w:rsidRPr="000D0D06">
              <w:rPr>
                <w:noProof/>
              </w:rPr>
              <w:t>Cliente</w:t>
            </w:r>
          </w:p>
        </w:tc>
        <w:tc>
          <w:tcPr>
            <w:tcW w:w="2483" w:type="dxa"/>
          </w:tcPr>
          <w:p w14:paraId="0A8E3F96" w14:textId="77777777" w:rsidR="009C4CDA" w:rsidRPr="000D0D06" w:rsidRDefault="009C4CDA" w:rsidP="009C4CDA">
            <w:pPr>
              <w:jc w:val="left"/>
              <w:rPr>
                <w:noProof/>
              </w:rPr>
            </w:pPr>
            <w:r w:rsidRPr="000D0D06">
              <w:rPr>
                <w:noProof/>
              </w:rPr>
              <w:t>Data de deferimento do pedido de reutilização da autoridade de país terceiro (</w:t>
            </w:r>
            <w:r w:rsidRPr="000D0D06">
              <w:rPr>
                <w:i/>
                <w:noProof/>
              </w:rPr>
              <w:t>exceto nos casos em que o pedido vise finalidades relativas ao cumprimento da lei</w:t>
            </w:r>
            <w:r w:rsidRPr="000D0D06">
              <w:rPr>
                <w:noProof/>
              </w:rPr>
              <w:t>)</w:t>
            </w:r>
          </w:p>
          <w:p w14:paraId="0E2A0F53" w14:textId="77777777" w:rsidR="009C4CDA" w:rsidRPr="000D0D06" w:rsidRDefault="009C4CDA" w:rsidP="009C4CDA">
            <w:pPr>
              <w:jc w:val="left"/>
              <w:rPr>
                <w:noProof/>
              </w:rPr>
            </w:pPr>
          </w:p>
        </w:tc>
        <w:tc>
          <w:tcPr>
            <w:tcW w:w="2070" w:type="dxa"/>
          </w:tcPr>
          <w:p w14:paraId="7E9A8E9B" w14:textId="77777777" w:rsidR="009C4CDA" w:rsidRPr="000D0D06" w:rsidRDefault="009C4CDA" w:rsidP="009C4CDA">
            <w:pPr>
              <w:jc w:val="left"/>
              <w:rPr>
                <w:noProof/>
              </w:rPr>
            </w:pPr>
            <w:r w:rsidRPr="000D0D06">
              <w:rPr>
                <w:i/>
                <w:iCs/>
                <w:noProof/>
              </w:rPr>
              <w:t>Ad hoc</w:t>
            </w:r>
          </w:p>
        </w:tc>
      </w:tr>
      <w:tr w:rsidR="009C4CDA" w:rsidRPr="000D0D06" w14:paraId="61E5AF6B" w14:textId="77777777">
        <w:trPr>
          <w:trHeight w:val="300"/>
        </w:trPr>
        <w:tc>
          <w:tcPr>
            <w:tcW w:w="3448" w:type="dxa"/>
          </w:tcPr>
          <w:p w14:paraId="4E1A6C0F" w14:textId="29E9E36A" w:rsidR="009C4CDA" w:rsidRPr="000D0D06" w:rsidRDefault="009C4CDA" w:rsidP="009C4CDA">
            <w:pPr>
              <w:jc w:val="left"/>
              <w:rPr>
                <w:noProof/>
              </w:rPr>
            </w:pPr>
            <w:r w:rsidRPr="000D0D06">
              <w:rPr>
                <w:noProof/>
              </w:rPr>
              <w:t>Informações a publicar nos registos públicos (título europeu para os serviços de intermediação de dados e organizações de altruísmo de dados)</w:t>
            </w:r>
          </w:p>
        </w:tc>
        <w:tc>
          <w:tcPr>
            <w:tcW w:w="2419" w:type="dxa"/>
          </w:tcPr>
          <w:p w14:paraId="66B04EEB" w14:textId="77777777" w:rsidR="009C4CDA" w:rsidRPr="000D0D06" w:rsidRDefault="009C4CDA" w:rsidP="009C4CDA">
            <w:pPr>
              <w:jc w:val="left"/>
              <w:rPr>
                <w:noProof/>
              </w:rPr>
            </w:pPr>
            <w:r w:rsidRPr="000D0D06">
              <w:rPr>
                <w:noProof/>
              </w:rPr>
              <w:t>Artigo 1.º</w:t>
            </w:r>
          </w:p>
          <w:p w14:paraId="14D0748D" w14:textId="77777777" w:rsidR="009C4CDA" w:rsidRPr="000D0D06" w:rsidRDefault="009C4CDA" w:rsidP="009C4CDA">
            <w:pPr>
              <w:jc w:val="left"/>
              <w:rPr>
                <w:i/>
                <w:iCs/>
                <w:noProof/>
              </w:rPr>
            </w:pPr>
            <w:r w:rsidRPr="000D0D06">
              <w:rPr>
                <w:i/>
                <w:noProof/>
              </w:rPr>
              <w:t>Aditamento do artigo 32.º-A ao Regulamento dos Dados</w:t>
            </w:r>
          </w:p>
        </w:tc>
        <w:tc>
          <w:tcPr>
            <w:tcW w:w="2029" w:type="dxa"/>
          </w:tcPr>
          <w:p w14:paraId="1C13FD46" w14:textId="77777777" w:rsidR="009C4CDA" w:rsidRPr="000D0D06" w:rsidRDefault="009C4CDA" w:rsidP="009C4CDA">
            <w:pPr>
              <w:jc w:val="left"/>
              <w:rPr>
                <w:noProof/>
              </w:rPr>
            </w:pPr>
            <w:r w:rsidRPr="000D0D06">
              <w:rPr>
                <w:noProof/>
              </w:rPr>
              <w:t>Comissão Europeia</w:t>
            </w:r>
          </w:p>
        </w:tc>
        <w:tc>
          <w:tcPr>
            <w:tcW w:w="2143" w:type="dxa"/>
          </w:tcPr>
          <w:p w14:paraId="45E814CF" w14:textId="77777777" w:rsidR="009C4CDA" w:rsidRPr="000D0D06" w:rsidRDefault="009C4CDA" w:rsidP="009C4CDA">
            <w:pPr>
              <w:jc w:val="left"/>
              <w:rPr>
                <w:noProof/>
              </w:rPr>
            </w:pPr>
            <w:r w:rsidRPr="000D0D06">
              <w:rPr>
                <w:noProof/>
              </w:rPr>
              <w:t>Público</w:t>
            </w:r>
          </w:p>
        </w:tc>
        <w:tc>
          <w:tcPr>
            <w:tcW w:w="2483" w:type="dxa"/>
          </w:tcPr>
          <w:p w14:paraId="737333BF" w14:textId="77777777" w:rsidR="009C4CDA" w:rsidRPr="000D0D06" w:rsidRDefault="009C4CDA" w:rsidP="009C4CDA">
            <w:pPr>
              <w:spacing w:line="259" w:lineRule="auto"/>
              <w:jc w:val="left"/>
              <w:rPr>
                <w:noProof/>
              </w:rPr>
            </w:pPr>
            <w:r w:rsidRPr="000D0D06">
              <w:rPr>
                <w:noProof/>
              </w:rPr>
              <w:t>As informações sobre os serviços de intermediação de dados reconhecidos ou sobre as organizações de altruísmo de dados reconhecidas ficam disponíveis ou têm de ser alteradas</w:t>
            </w:r>
          </w:p>
        </w:tc>
        <w:tc>
          <w:tcPr>
            <w:tcW w:w="2070" w:type="dxa"/>
          </w:tcPr>
          <w:p w14:paraId="25950B78" w14:textId="77777777" w:rsidR="009C4CDA" w:rsidRPr="000D0D06" w:rsidRDefault="009C4CDA" w:rsidP="009C4CDA">
            <w:pPr>
              <w:jc w:val="left"/>
              <w:rPr>
                <w:noProof/>
              </w:rPr>
            </w:pPr>
            <w:r w:rsidRPr="000D0D06">
              <w:rPr>
                <w:noProof/>
              </w:rPr>
              <w:t>Em curso (registo atualizado regularmente)</w:t>
            </w:r>
          </w:p>
        </w:tc>
      </w:tr>
      <w:tr w:rsidR="009C4CDA" w:rsidRPr="000D0D06" w14:paraId="55136402" w14:textId="77777777">
        <w:trPr>
          <w:trHeight w:val="300"/>
        </w:trPr>
        <w:tc>
          <w:tcPr>
            <w:tcW w:w="3448" w:type="dxa"/>
          </w:tcPr>
          <w:p w14:paraId="438777E2" w14:textId="0CC62A6F" w:rsidR="009C4CDA" w:rsidRPr="000D0D06" w:rsidRDefault="009C4CDA" w:rsidP="009C4CDA">
            <w:pPr>
              <w:spacing w:before="240" w:after="240"/>
              <w:jc w:val="left"/>
              <w:rPr>
                <w:noProof/>
              </w:rPr>
            </w:pPr>
            <w:r w:rsidRPr="000D0D06">
              <w:rPr>
                <w:noProof/>
              </w:rPr>
              <w:t>Dados para os quais sejam prestados serviços de intermediação (título europeu para os serviços de intermediação de dados e organizações de altruísmo de dados)</w:t>
            </w:r>
          </w:p>
          <w:p w14:paraId="3F0EF50A" w14:textId="77777777" w:rsidR="009C4CDA" w:rsidRPr="000D0D06" w:rsidRDefault="009C4CDA" w:rsidP="009C4CDA">
            <w:pPr>
              <w:spacing w:before="240" w:after="240"/>
              <w:jc w:val="left"/>
              <w:rPr>
                <w:noProof/>
              </w:rPr>
            </w:pPr>
          </w:p>
        </w:tc>
        <w:tc>
          <w:tcPr>
            <w:tcW w:w="2419" w:type="dxa"/>
          </w:tcPr>
          <w:p w14:paraId="3BDB559A" w14:textId="77777777" w:rsidR="009C4CDA" w:rsidRPr="000D0D06" w:rsidRDefault="009C4CDA" w:rsidP="009C4CDA">
            <w:pPr>
              <w:jc w:val="left"/>
              <w:rPr>
                <w:noProof/>
              </w:rPr>
            </w:pPr>
            <w:r w:rsidRPr="000D0D06">
              <w:rPr>
                <w:noProof/>
              </w:rPr>
              <w:t>Artigo 1.º</w:t>
            </w:r>
          </w:p>
          <w:p w14:paraId="686FCE08" w14:textId="77777777" w:rsidR="009C4CDA" w:rsidRPr="000D0D06" w:rsidRDefault="009C4CDA" w:rsidP="009C4CDA">
            <w:pPr>
              <w:jc w:val="left"/>
              <w:rPr>
                <w:i/>
                <w:iCs/>
                <w:noProof/>
              </w:rPr>
            </w:pPr>
            <w:r w:rsidRPr="000D0D06">
              <w:rPr>
                <w:i/>
                <w:noProof/>
              </w:rPr>
              <w:t>Aditamento do artigo 32.º-C ao Regulamento dos Dados</w:t>
            </w:r>
          </w:p>
        </w:tc>
        <w:tc>
          <w:tcPr>
            <w:tcW w:w="2029" w:type="dxa"/>
          </w:tcPr>
          <w:p w14:paraId="244007FD" w14:textId="77777777" w:rsidR="009C4CDA" w:rsidRPr="000D0D06" w:rsidRDefault="009C4CDA" w:rsidP="009C4CDA">
            <w:pPr>
              <w:jc w:val="left"/>
              <w:rPr>
                <w:noProof/>
              </w:rPr>
            </w:pPr>
            <w:r w:rsidRPr="000D0D06">
              <w:rPr>
                <w:noProof/>
              </w:rPr>
              <w:t>Titulares dos dados</w:t>
            </w:r>
          </w:p>
          <w:p w14:paraId="477F2AC9" w14:textId="77777777" w:rsidR="009C4CDA" w:rsidRPr="000D0D06" w:rsidRDefault="009C4CDA" w:rsidP="009C4CDA">
            <w:pPr>
              <w:jc w:val="left"/>
              <w:rPr>
                <w:noProof/>
              </w:rPr>
            </w:pPr>
            <w:r w:rsidRPr="000D0D06">
              <w:rPr>
                <w:noProof/>
              </w:rPr>
              <w:t>Detentores dos dados</w:t>
            </w:r>
          </w:p>
          <w:p w14:paraId="74992B7F" w14:textId="77777777" w:rsidR="009C4CDA" w:rsidRPr="000D0D06" w:rsidRDefault="009C4CDA" w:rsidP="009C4CDA">
            <w:pPr>
              <w:jc w:val="left"/>
              <w:rPr>
                <w:rFonts w:eastAsia="Calibri"/>
                <w:noProof/>
              </w:rPr>
            </w:pPr>
          </w:p>
        </w:tc>
        <w:tc>
          <w:tcPr>
            <w:tcW w:w="2143" w:type="dxa"/>
          </w:tcPr>
          <w:p w14:paraId="3326961B" w14:textId="77777777" w:rsidR="009C4CDA" w:rsidRPr="000D0D06" w:rsidRDefault="009C4CDA" w:rsidP="009C4CDA">
            <w:pPr>
              <w:jc w:val="left"/>
              <w:rPr>
                <w:noProof/>
              </w:rPr>
            </w:pPr>
            <w:r w:rsidRPr="000D0D06">
              <w:rPr>
                <w:noProof/>
              </w:rPr>
              <w:t>Utilizadores dos dados (através do prestador de serviços de intermediação de dados)</w:t>
            </w:r>
          </w:p>
          <w:p w14:paraId="6A596418" w14:textId="77777777" w:rsidR="009C4CDA" w:rsidRPr="000D0D06" w:rsidRDefault="009C4CDA" w:rsidP="009C4CDA">
            <w:pPr>
              <w:jc w:val="left"/>
              <w:rPr>
                <w:rFonts w:eastAsia="Calibri"/>
                <w:noProof/>
              </w:rPr>
            </w:pPr>
          </w:p>
        </w:tc>
        <w:tc>
          <w:tcPr>
            <w:tcW w:w="2483" w:type="dxa"/>
          </w:tcPr>
          <w:p w14:paraId="0261E834" w14:textId="77777777" w:rsidR="009C4CDA" w:rsidRPr="000D0D06" w:rsidRDefault="009C4CDA" w:rsidP="009C4CDA">
            <w:pPr>
              <w:jc w:val="left"/>
              <w:rPr>
                <w:noProof/>
              </w:rPr>
            </w:pPr>
            <w:r w:rsidRPr="000D0D06">
              <w:rPr>
                <w:noProof/>
              </w:rPr>
              <w:t>Consentimento do titular dos dados</w:t>
            </w:r>
          </w:p>
          <w:p w14:paraId="0115D38F" w14:textId="77777777" w:rsidR="009C4CDA" w:rsidRPr="000D0D06" w:rsidRDefault="009C4CDA" w:rsidP="009C4CDA">
            <w:pPr>
              <w:jc w:val="left"/>
              <w:rPr>
                <w:noProof/>
              </w:rPr>
            </w:pPr>
            <w:r w:rsidRPr="000D0D06">
              <w:rPr>
                <w:noProof/>
              </w:rPr>
              <w:t>Autorização do detentor dos dados</w:t>
            </w:r>
          </w:p>
          <w:p w14:paraId="3D61BF10" w14:textId="77777777" w:rsidR="009C4CDA" w:rsidRPr="000D0D06" w:rsidRDefault="009C4CDA" w:rsidP="009C4CDA">
            <w:pPr>
              <w:jc w:val="left"/>
              <w:rPr>
                <w:noProof/>
              </w:rPr>
            </w:pPr>
            <w:r w:rsidRPr="000D0D06">
              <w:rPr>
                <w:noProof/>
              </w:rPr>
              <w:t>Pedido do utilizador dos dados</w:t>
            </w:r>
          </w:p>
          <w:p w14:paraId="69EB966E" w14:textId="77777777" w:rsidR="009C4CDA" w:rsidRPr="000D0D06" w:rsidRDefault="009C4CDA" w:rsidP="009C4CDA">
            <w:pPr>
              <w:jc w:val="left"/>
              <w:rPr>
                <w:rFonts w:eastAsia="Calibri"/>
                <w:noProof/>
              </w:rPr>
            </w:pPr>
          </w:p>
        </w:tc>
        <w:tc>
          <w:tcPr>
            <w:tcW w:w="2070" w:type="dxa"/>
          </w:tcPr>
          <w:p w14:paraId="0DF6EDF4" w14:textId="77777777" w:rsidR="009C4CDA" w:rsidRPr="000D0D06" w:rsidRDefault="009C4CDA" w:rsidP="009C4CDA">
            <w:pPr>
              <w:jc w:val="left"/>
              <w:rPr>
                <w:noProof/>
              </w:rPr>
            </w:pPr>
            <w:r w:rsidRPr="000D0D06">
              <w:rPr>
                <w:noProof/>
              </w:rPr>
              <w:t>Em conformidade com o acordo/contrato entre as partes</w:t>
            </w:r>
          </w:p>
        </w:tc>
      </w:tr>
      <w:tr w:rsidR="009C4CDA" w:rsidRPr="000D0D06" w14:paraId="12EF9C08" w14:textId="77777777">
        <w:trPr>
          <w:trHeight w:val="300"/>
        </w:trPr>
        <w:tc>
          <w:tcPr>
            <w:tcW w:w="3448" w:type="dxa"/>
          </w:tcPr>
          <w:p w14:paraId="63F08DAC" w14:textId="29569E65" w:rsidR="009C4CDA" w:rsidRPr="000D0D06" w:rsidRDefault="009C4CDA" w:rsidP="009C4CDA">
            <w:pPr>
              <w:jc w:val="left"/>
              <w:rPr>
                <w:noProof/>
              </w:rPr>
            </w:pPr>
            <w:r w:rsidRPr="000D0D06">
              <w:rPr>
                <w:noProof/>
              </w:rPr>
              <w:t>Informações sobre utilizações de dados e condições aplicáveis aos dados (título europeu para os serviços de intermediação de dados e organizações de altruísmo de dados)</w:t>
            </w:r>
          </w:p>
        </w:tc>
        <w:tc>
          <w:tcPr>
            <w:tcW w:w="2419" w:type="dxa"/>
          </w:tcPr>
          <w:p w14:paraId="1E77DD5F" w14:textId="02CC188D" w:rsidR="009C4CDA" w:rsidRPr="000D0D06" w:rsidRDefault="009C4CDA" w:rsidP="009C4CDA">
            <w:pPr>
              <w:jc w:val="left"/>
              <w:rPr>
                <w:noProof/>
              </w:rPr>
            </w:pPr>
            <w:r w:rsidRPr="000D0D06">
              <w:rPr>
                <w:noProof/>
              </w:rPr>
              <w:t>Artigo 1.º</w:t>
            </w:r>
          </w:p>
          <w:p w14:paraId="77744FD6" w14:textId="77777777" w:rsidR="009C4CDA" w:rsidRPr="000D0D06" w:rsidRDefault="009C4CDA" w:rsidP="009C4CDA">
            <w:pPr>
              <w:jc w:val="left"/>
              <w:rPr>
                <w:i/>
                <w:iCs/>
                <w:noProof/>
              </w:rPr>
            </w:pPr>
            <w:r w:rsidRPr="000D0D06">
              <w:rPr>
                <w:i/>
                <w:noProof/>
              </w:rPr>
              <w:t>Aditamento do artigo 32.º-C ao Regulamento dos Dados</w:t>
            </w:r>
          </w:p>
        </w:tc>
        <w:tc>
          <w:tcPr>
            <w:tcW w:w="2029" w:type="dxa"/>
          </w:tcPr>
          <w:p w14:paraId="4427CC23" w14:textId="77777777" w:rsidR="009C4CDA" w:rsidRPr="000D0D06" w:rsidRDefault="009C4CDA" w:rsidP="009C4CDA">
            <w:pPr>
              <w:spacing w:line="259" w:lineRule="auto"/>
              <w:jc w:val="left"/>
              <w:rPr>
                <w:noProof/>
              </w:rPr>
            </w:pPr>
            <w:r w:rsidRPr="000D0D06">
              <w:rPr>
                <w:noProof/>
              </w:rPr>
              <w:t>Prestador de serviços de intermediação de dados</w:t>
            </w:r>
          </w:p>
          <w:p w14:paraId="45CF3D3F" w14:textId="77777777" w:rsidR="009C4CDA" w:rsidRPr="000D0D06" w:rsidRDefault="009C4CDA" w:rsidP="009C4CDA">
            <w:pPr>
              <w:jc w:val="left"/>
              <w:rPr>
                <w:rFonts w:eastAsia="Calibri"/>
                <w:noProof/>
              </w:rPr>
            </w:pPr>
          </w:p>
        </w:tc>
        <w:tc>
          <w:tcPr>
            <w:tcW w:w="2143" w:type="dxa"/>
          </w:tcPr>
          <w:p w14:paraId="3A6D6E42" w14:textId="77777777" w:rsidR="009C4CDA" w:rsidRPr="000D0D06" w:rsidRDefault="009C4CDA" w:rsidP="009C4CDA">
            <w:pPr>
              <w:spacing w:line="259" w:lineRule="auto"/>
              <w:jc w:val="left"/>
              <w:rPr>
                <w:strike/>
                <w:noProof/>
              </w:rPr>
            </w:pPr>
            <w:r w:rsidRPr="000D0D06">
              <w:rPr>
                <w:noProof/>
              </w:rPr>
              <w:t>Titulares dos dados</w:t>
            </w:r>
          </w:p>
          <w:p w14:paraId="132BA1B0" w14:textId="77777777" w:rsidR="009C4CDA" w:rsidRPr="000D0D06" w:rsidRDefault="009C4CDA" w:rsidP="009C4CDA">
            <w:pPr>
              <w:jc w:val="left"/>
              <w:rPr>
                <w:rFonts w:eastAsia="Calibri"/>
                <w:noProof/>
              </w:rPr>
            </w:pPr>
          </w:p>
        </w:tc>
        <w:tc>
          <w:tcPr>
            <w:tcW w:w="2483" w:type="dxa"/>
          </w:tcPr>
          <w:p w14:paraId="0BE689E6" w14:textId="77777777" w:rsidR="009C4CDA" w:rsidRPr="000D0D06" w:rsidRDefault="009C4CDA" w:rsidP="009C4CDA">
            <w:pPr>
              <w:jc w:val="left"/>
              <w:rPr>
                <w:noProof/>
              </w:rPr>
            </w:pPr>
            <w:r w:rsidRPr="000D0D06">
              <w:rPr>
                <w:noProof/>
              </w:rPr>
              <w:t>Antes de o titular dos dados dar o seu consentimento para a utilização dos dados</w:t>
            </w:r>
          </w:p>
        </w:tc>
        <w:tc>
          <w:tcPr>
            <w:tcW w:w="2070" w:type="dxa"/>
          </w:tcPr>
          <w:p w14:paraId="2644EF6F" w14:textId="77777777" w:rsidR="009C4CDA" w:rsidRPr="000D0D06" w:rsidRDefault="009C4CDA" w:rsidP="009C4CDA">
            <w:pPr>
              <w:spacing w:line="259" w:lineRule="auto"/>
              <w:jc w:val="left"/>
              <w:rPr>
                <w:noProof/>
              </w:rPr>
            </w:pPr>
            <w:r w:rsidRPr="000D0D06">
              <w:rPr>
                <w:noProof/>
              </w:rPr>
              <w:t>Sempre antes de o consentimento ser solicitado</w:t>
            </w:r>
          </w:p>
          <w:p w14:paraId="3DA2359D" w14:textId="77777777" w:rsidR="009C4CDA" w:rsidRPr="000D0D06" w:rsidRDefault="009C4CDA" w:rsidP="009C4CDA">
            <w:pPr>
              <w:jc w:val="left"/>
              <w:rPr>
                <w:noProof/>
              </w:rPr>
            </w:pPr>
          </w:p>
        </w:tc>
      </w:tr>
      <w:tr w:rsidR="009C4CDA" w:rsidRPr="000D0D06" w14:paraId="0D40A8FA" w14:textId="77777777">
        <w:trPr>
          <w:trHeight w:val="300"/>
        </w:trPr>
        <w:tc>
          <w:tcPr>
            <w:tcW w:w="3448" w:type="dxa"/>
          </w:tcPr>
          <w:p w14:paraId="0D41AA23" w14:textId="7B0759C3" w:rsidR="009C4CDA" w:rsidRPr="000D0D06" w:rsidRDefault="009C4CDA" w:rsidP="009C4CDA">
            <w:pPr>
              <w:jc w:val="left"/>
              <w:rPr>
                <w:noProof/>
              </w:rPr>
            </w:pPr>
            <w:r w:rsidRPr="000D0D06">
              <w:rPr>
                <w:noProof/>
              </w:rPr>
              <w:t>Pedidos de registo no registo público da União e alterações das informações notificadas (título europeu para os serviços de intermediação de dados e organizações de altruísmo de dados)</w:t>
            </w:r>
          </w:p>
        </w:tc>
        <w:tc>
          <w:tcPr>
            <w:tcW w:w="2419" w:type="dxa"/>
          </w:tcPr>
          <w:p w14:paraId="2B28C247" w14:textId="44B25743" w:rsidR="009C4CDA" w:rsidRPr="000D0D06" w:rsidRDefault="009C4CDA" w:rsidP="009C4CDA">
            <w:pPr>
              <w:jc w:val="left"/>
              <w:rPr>
                <w:noProof/>
              </w:rPr>
            </w:pPr>
            <w:r w:rsidRPr="000D0D06">
              <w:rPr>
                <w:noProof/>
              </w:rPr>
              <w:t>Artigo 1.º</w:t>
            </w:r>
          </w:p>
          <w:p w14:paraId="55B1F529" w14:textId="77777777" w:rsidR="009C4CDA" w:rsidRPr="000D0D06" w:rsidRDefault="009C4CDA" w:rsidP="009C4CDA">
            <w:pPr>
              <w:jc w:val="left"/>
              <w:rPr>
                <w:i/>
                <w:iCs/>
                <w:noProof/>
              </w:rPr>
            </w:pPr>
            <w:r w:rsidRPr="000D0D06">
              <w:rPr>
                <w:i/>
                <w:noProof/>
              </w:rPr>
              <w:t>Aditamento do artigo 32.º-E ao Regulamento dos Dados</w:t>
            </w:r>
          </w:p>
        </w:tc>
        <w:tc>
          <w:tcPr>
            <w:tcW w:w="2029" w:type="dxa"/>
          </w:tcPr>
          <w:p w14:paraId="2716F7CB" w14:textId="77777777" w:rsidR="009C4CDA" w:rsidRPr="000D0D06" w:rsidRDefault="009C4CDA" w:rsidP="009C4CDA">
            <w:pPr>
              <w:spacing w:line="259" w:lineRule="auto"/>
              <w:jc w:val="left"/>
              <w:rPr>
                <w:rFonts w:eastAsia="Calibri"/>
                <w:noProof/>
              </w:rPr>
            </w:pPr>
            <w:r w:rsidRPr="000D0D06">
              <w:rPr>
                <w:noProof/>
              </w:rPr>
              <w:t>Prestadores de serviços de intermediação de dados</w:t>
            </w:r>
          </w:p>
          <w:p w14:paraId="372CEEAE" w14:textId="77777777" w:rsidR="009C4CDA" w:rsidRPr="000D0D06" w:rsidRDefault="009C4CDA" w:rsidP="009C4CDA">
            <w:pPr>
              <w:spacing w:line="259" w:lineRule="auto"/>
              <w:jc w:val="left"/>
              <w:rPr>
                <w:noProof/>
              </w:rPr>
            </w:pPr>
            <w:r w:rsidRPr="000D0D06">
              <w:rPr>
                <w:noProof/>
              </w:rPr>
              <w:t>Organizações de altruísmo de dados</w:t>
            </w:r>
          </w:p>
          <w:p w14:paraId="51CD4B12" w14:textId="77777777" w:rsidR="009C4CDA" w:rsidRPr="000D0D06" w:rsidRDefault="009C4CDA" w:rsidP="009C4CDA">
            <w:pPr>
              <w:jc w:val="left"/>
              <w:rPr>
                <w:rFonts w:eastAsia="Calibri"/>
                <w:noProof/>
              </w:rPr>
            </w:pPr>
          </w:p>
        </w:tc>
        <w:tc>
          <w:tcPr>
            <w:tcW w:w="2143" w:type="dxa"/>
          </w:tcPr>
          <w:p w14:paraId="4BC5E4C7" w14:textId="77777777" w:rsidR="009C4CDA" w:rsidRPr="000D0D06" w:rsidRDefault="009C4CDA" w:rsidP="009C4CDA">
            <w:pPr>
              <w:spacing w:line="259" w:lineRule="auto"/>
              <w:jc w:val="left"/>
              <w:rPr>
                <w:strike/>
                <w:noProof/>
              </w:rPr>
            </w:pPr>
            <w:r w:rsidRPr="000D0D06">
              <w:rPr>
                <w:noProof/>
              </w:rPr>
              <w:t>Autoridade competente do Estado-Membro em que esta tem o seu estabelecimento principal</w:t>
            </w:r>
          </w:p>
          <w:p w14:paraId="01E68E13" w14:textId="77777777" w:rsidR="009C4CDA" w:rsidRPr="000D0D06" w:rsidRDefault="009C4CDA" w:rsidP="009C4CDA">
            <w:pPr>
              <w:jc w:val="left"/>
              <w:rPr>
                <w:rFonts w:eastAsia="Calibri"/>
                <w:noProof/>
              </w:rPr>
            </w:pPr>
          </w:p>
        </w:tc>
        <w:tc>
          <w:tcPr>
            <w:tcW w:w="2483" w:type="dxa"/>
          </w:tcPr>
          <w:p w14:paraId="04E511F9" w14:textId="77777777" w:rsidR="009C4CDA" w:rsidRPr="000D0D06" w:rsidRDefault="009C4CDA" w:rsidP="009C4CDA">
            <w:pPr>
              <w:jc w:val="left"/>
              <w:rPr>
                <w:noProof/>
              </w:rPr>
            </w:pPr>
            <w:r w:rsidRPr="000D0D06">
              <w:rPr>
                <w:noProof/>
              </w:rPr>
              <w:t>Pedido</w:t>
            </w:r>
          </w:p>
        </w:tc>
        <w:tc>
          <w:tcPr>
            <w:tcW w:w="2070" w:type="dxa"/>
          </w:tcPr>
          <w:p w14:paraId="62EF313C" w14:textId="77777777" w:rsidR="009C4CDA" w:rsidRPr="000D0D06" w:rsidRDefault="009C4CDA" w:rsidP="009C4CDA">
            <w:pPr>
              <w:spacing w:line="259" w:lineRule="auto"/>
              <w:jc w:val="left"/>
              <w:rPr>
                <w:noProof/>
              </w:rPr>
            </w:pPr>
            <w:r w:rsidRPr="000D0D06">
              <w:rPr>
                <w:i/>
                <w:iCs/>
                <w:noProof/>
              </w:rPr>
              <w:t>Ad hoc</w:t>
            </w:r>
          </w:p>
        </w:tc>
      </w:tr>
      <w:tr w:rsidR="009C4CDA" w:rsidRPr="000D0D06" w14:paraId="3E217524" w14:textId="77777777">
        <w:trPr>
          <w:trHeight w:val="300"/>
        </w:trPr>
        <w:tc>
          <w:tcPr>
            <w:tcW w:w="3448" w:type="dxa"/>
          </w:tcPr>
          <w:p w14:paraId="049F2F61" w14:textId="640B7C35" w:rsidR="009C4CDA" w:rsidRPr="000D0D06" w:rsidRDefault="009C4CDA" w:rsidP="009C4CDA">
            <w:pPr>
              <w:jc w:val="left"/>
              <w:rPr>
                <w:noProof/>
              </w:rPr>
            </w:pPr>
            <w:r w:rsidRPr="000D0D06">
              <w:rPr>
                <w:noProof/>
              </w:rPr>
              <w:t>Pedidos de registo aceites para inscrição no registo público da União (título europeu para os serviços de intermediação de dados e organizações de altruísmo de dados)</w:t>
            </w:r>
          </w:p>
        </w:tc>
        <w:tc>
          <w:tcPr>
            <w:tcW w:w="2419" w:type="dxa"/>
          </w:tcPr>
          <w:p w14:paraId="69E94453" w14:textId="5A082A32" w:rsidR="009C4CDA" w:rsidRPr="000D0D06" w:rsidRDefault="009C4CDA" w:rsidP="009C4CDA">
            <w:pPr>
              <w:jc w:val="left"/>
              <w:rPr>
                <w:noProof/>
              </w:rPr>
            </w:pPr>
            <w:r w:rsidRPr="000D0D06">
              <w:rPr>
                <w:noProof/>
              </w:rPr>
              <w:t>Artigo 1.º</w:t>
            </w:r>
          </w:p>
          <w:p w14:paraId="34EF04D0" w14:textId="77777777" w:rsidR="009C4CDA" w:rsidRPr="000D0D06" w:rsidRDefault="009C4CDA" w:rsidP="009C4CDA">
            <w:pPr>
              <w:jc w:val="left"/>
              <w:rPr>
                <w:i/>
                <w:iCs/>
                <w:noProof/>
              </w:rPr>
            </w:pPr>
            <w:r w:rsidRPr="000D0D06">
              <w:rPr>
                <w:i/>
                <w:noProof/>
              </w:rPr>
              <w:t>Aditamento do artigo 32.º-E ao Regulamento dos Dados</w:t>
            </w:r>
          </w:p>
        </w:tc>
        <w:tc>
          <w:tcPr>
            <w:tcW w:w="2029" w:type="dxa"/>
          </w:tcPr>
          <w:p w14:paraId="50985F2D" w14:textId="77777777" w:rsidR="009C4CDA" w:rsidRPr="000D0D06" w:rsidRDefault="009C4CDA" w:rsidP="009C4CDA">
            <w:pPr>
              <w:spacing w:line="259" w:lineRule="auto"/>
              <w:jc w:val="left"/>
              <w:rPr>
                <w:noProof/>
              </w:rPr>
            </w:pPr>
            <w:r w:rsidRPr="000D0D06">
              <w:rPr>
                <w:noProof/>
              </w:rPr>
              <w:t>Autoridade competente</w:t>
            </w:r>
          </w:p>
        </w:tc>
        <w:tc>
          <w:tcPr>
            <w:tcW w:w="2143" w:type="dxa"/>
          </w:tcPr>
          <w:p w14:paraId="0088235C" w14:textId="77777777" w:rsidR="009C4CDA" w:rsidRPr="000D0D06" w:rsidRDefault="009C4CDA" w:rsidP="009C4CDA">
            <w:pPr>
              <w:spacing w:line="259" w:lineRule="auto"/>
              <w:jc w:val="left"/>
              <w:rPr>
                <w:noProof/>
              </w:rPr>
            </w:pPr>
            <w:r w:rsidRPr="000D0D06">
              <w:rPr>
                <w:noProof/>
              </w:rPr>
              <w:t>Comissão Europeia</w:t>
            </w:r>
          </w:p>
        </w:tc>
        <w:tc>
          <w:tcPr>
            <w:tcW w:w="2483" w:type="dxa"/>
          </w:tcPr>
          <w:p w14:paraId="01C12404" w14:textId="77777777" w:rsidR="009C4CDA" w:rsidRPr="000D0D06" w:rsidRDefault="009C4CDA" w:rsidP="009C4CDA">
            <w:pPr>
              <w:jc w:val="left"/>
              <w:rPr>
                <w:noProof/>
              </w:rPr>
            </w:pPr>
            <w:r w:rsidRPr="000D0D06">
              <w:rPr>
                <w:noProof/>
              </w:rPr>
              <w:t>Pedido aprovado</w:t>
            </w:r>
          </w:p>
        </w:tc>
        <w:tc>
          <w:tcPr>
            <w:tcW w:w="2070" w:type="dxa"/>
          </w:tcPr>
          <w:p w14:paraId="698F6BA4" w14:textId="77777777" w:rsidR="009C4CDA" w:rsidRPr="000D0D06" w:rsidRDefault="009C4CDA" w:rsidP="009C4CDA">
            <w:pPr>
              <w:jc w:val="left"/>
              <w:rPr>
                <w:noProof/>
              </w:rPr>
            </w:pPr>
            <w:r w:rsidRPr="000D0D06">
              <w:rPr>
                <w:i/>
                <w:noProof/>
              </w:rPr>
              <w:t>Ad hoc</w:t>
            </w:r>
            <w:r w:rsidRPr="000D0D06">
              <w:rPr>
                <w:noProof/>
              </w:rPr>
              <w:t xml:space="preserve"> (no prazo de 12 semanas a contar da data de receção do pedido, desde que a decisão seja positiva)</w:t>
            </w:r>
          </w:p>
        </w:tc>
      </w:tr>
      <w:tr w:rsidR="009C4CDA" w:rsidRPr="000D0D06" w14:paraId="6B84A845" w14:textId="77777777">
        <w:trPr>
          <w:trHeight w:val="300"/>
        </w:trPr>
        <w:tc>
          <w:tcPr>
            <w:tcW w:w="3448" w:type="dxa"/>
          </w:tcPr>
          <w:p w14:paraId="2497A94A" w14:textId="27A8EC86" w:rsidR="009C4CDA" w:rsidRPr="000D0D06" w:rsidRDefault="009C4CDA" w:rsidP="009C4CDA">
            <w:pPr>
              <w:jc w:val="left"/>
              <w:rPr>
                <w:noProof/>
              </w:rPr>
            </w:pPr>
            <w:r w:rsidRPr="000D0D06">
              <w:rPr>
                <w:noProof/>
              </w:rPr>
              <w:t>Notificação de alterações subsequentes das informações fornecidas durante o processo de pedido (título europeu para os serviços de intermediação de dados e organizações de altruísmo de dados)</w:t>
            </w:r>
          </w:p>
        </w:tc>
        <w:tc>
          <w:tcPr>
            <w:tcW w:w="2419" w:type="dxa"/>
          </w:tcPr>
          <w:p w14:paraId="69465319" w14:textId="03A6ED25" w:rsidR="009C4CDA" w:rsidRPr="000D0D06" w:rsidRDefault="009C4CDA" w:rsidP="009C4CDA">
            <w:pPr>
              <w:jc w:val="left"/>
              <w:rPr>
                <w:noProof/>
              </w:rPr>
            </w:pPr>
            <w:r w:rsidRPr="000D0D06">
              <w:rPr>
                <w:noProof/>
              </w:rPr>
              <w:t>Artigo 1.º</w:t>
            </w:r>
          </w:p>
          <w:p w14:paraId="49EED068" w14:textId="77777777" w:rsidR="009C4CDA" w:rsidRPr="000D0D06" w:rsidRDefault="009C4CDA" w:rsidP="009C4CDA">
            <w:pPr>
              <w:jc w:val="left"/>
              <w:rPr>
                <w:i/>
                <w:iCs/>
                <w:noProof/>
              </w:rPr>
            </w:pPr>
            <w:r w:rsidRPr="000D0D06">
              <w:rPr>
                <w:i/>
                <w:noProof/>
              </w:rPr>
              <w:t>Aditamento do artigo 32.º-E ao Regulamento dos Dados</w:t>
            </w:r>
          </w:p>
          <w:p w14:paraId="69BDF5F4" w14:textId="77777777" w:rsidR="009C4CDA" w:rsidRPr="000D0D06" w:rsidRDefault="009C4CDA" w:rsidP="009C4CDA">
            <w:pPr>
              <w:jc w:val="left"/>
              <w:rPr>
                <w:noProof/>
              </w:rPr>
            </w:pPr>
          </w:p>
        </w:tc>
        <w:tc>
          <w:tcPr>
            <w:tcW w:w="2029" w:type="dxa"/>
          </w:tcPr>
          <w:p w14:paraId="3791791E" w14:textId="77777777" w:rsidR="009C4CDA" w:rsidRPr="000D0D06" w:rsidRDefault="009C4CDA" w:rsidP="009C4CDA">
            <w:pPr>
              <w:spacing w:line="259" w:lineRule="auto"/>
              <w:jc w:val="left"/>
              <w:rPr>
                <w:noProof/>
              </w:rPr>
            </w:pPr>
            <w:r w:rsidRPr="000D0D06">
              <w:rPr>
                <w:noProof/>
              </w:rPr>
              <w:t>Entidades registadas</w:t>
            </w:r>
          </w:p>
        </w:tc>
        <w:tc>
          <w:tcPr>
            <w:tcW w:w="2143" w:type="dxa"/>
          </w:tcPr>
          <w:p w14:paraId="62E047D1" w14:textId="77777777" w:rsidR="009C4CDA" w:rsidRPr="000D0D06" w:rsidRDefault="009C4CDA" w:rsidP="009C4CDA">
            <w:pPr>
              <w:spacing w:line="259" w:lineRule="auto"/>
              <w:jc w:val="left"/>
              <w:rPr>
                <w:noProof/>
              </w:rPr>
            </w:pPr>
            <w:r w:rsidRPr="000D0D06">
              <w:rPr>
                <w:noProof/>
              </w:rPr>
              <w:t>Autoridade competente</w:t>
            </w:r>
          </w:p>
        </w:tc>
        <w:tc>
          <w:tcPr>
            <w:tcW w:w="2483" w:type="dxa"/>
          </w:tcPr>
          <w:p w14:paraId="5130078C" w14:textId="77777777" w:rsidR="009C4CDA" w:rsidRPr="000D0D06" w:rsidRDefault="009C4CDA" w:rsidP="009C4CDA">
            <w:pPr>
              <w:jc w:val="left"/>
              <w:rPr>
                <w:noProof/>
              </w:rPr>
            </w:pPr>
            <w:r w:rsidRPr="000D0D06">
              <w:rPr>
                <w:noProof/>
              </w:rPr>
              <w:t>Alterações das informações fornecidas ou caso as entidades cessem as suas atividades na União</w:t>
            </w:r>
          </w:p>
        </w:tc>
        <w:tc>
          <w:tcPr>
            <w:tcW w:w="2070" w:type="dxa"/>
          </w:tcPr>
          <w:p w14:paraId="3A9E71E8" w14:textId="77777777" w:rsidR="009C4CDA" w:rsidRPr="000D0D06" w:rsidRDefault="009C4CDA" w:rsidP="009C4CDA">
            <w:pPr>
              <w:jc w:val="left"/>
              <w:rPr>
                <w:noProof/>
              </w:rPr>
            </w:pPr>
            <w:r w:rsidRPr="000D0D06">
              <w:rPr>
                <w:i/>
                <w:iCs/>
                <w:noProof/>
              </w:rPr>
              <w:t>Ad hoc</w:t>
            </w:r>
          </w:p>
        </w:tc>
      </w:tr>
      <w:tr w:rsidR="009C4CDA" w:rsidRPr="000D0D06" w14:paraId="3974F0D3" w14:textId="77777777">
        <w:trPr>
          <w:trHeight w:val="300"/>
        </w:trPr>
        <w:tc>
          <w:tcPr>
            <w:tcW w:w="3448" w:type="dxa"/>
          </w:tcPr>
          <w:p w14:paraId="5B385AD9" w14:textId="1686A068" w:rsidR="009C4CDA" w:rsidRPr="000D0D06" w:rsidRDefault="009C4CDA" w:rsidP="009C4CDA">
            <w:pPr>
              <w:jc w:val="left"/>
              <w:rPr>
                <w:noProof/>
              </w:rPr>
            </w:pPr>
            <w:r w:rsidRPr="000D0D06">
              <w:rPr>
                <w:noProof/>
              </w:rPr>
              <w:t>Receção da notificação de alterações subsequentes (título europeu para os serviços de intermediação de dados e organizações de altruísmo de dados)</w:t>
            </w:r>
          </w:p>
        </w:tc>
        <w:tc>
          <w:tcPr>
            <w:tcW w:w="2419" w:type="dxa"/>
          </w:tcPr>
          <w:p w14:paraId="1C02135F" w14:textId="118F80C2" w:rsidR="009C4CDA" w:rsidRPr="000D0D06" w:rsidRDefault="009C4CDA" w:rsidP="009C4CDA">
            <w:pPr>
              <w:jc w:val="left"/>
              <w:rPr>
                <w:noProof/>
              </w:rPr>
            </w:pPr>
            <w:r w:rsidRPr="000D0D06">
              <w:rPr>
                <w:noProof/>
              </w:rPr>
              <w:t>Artigo 1.º</w:t>
            </w:r>
          </w:p>
          <w:p w14:paraId="16ADE381" w14:textId="77777777" w:rsidR="009C4CDA" w:rsidRPr="000D0D06" w:rsidRDefault="009C4CDA" w:rsidP="009C4CDA">
            <w:pPr>
              <w:jc w:val="left"/>
              <w:rPr>
                <w:i/>
                <w:iCs/>
                <w:noProof/>
              </w:rPr>
            </w:pPr>
            <w:r w:rsidRPr="000D0D06">
              <w:rPr>
                <w:i/>
                <w:noProof/>
              </w:rPr>
              <w:t>Aditamento do artigo 32.º-E ao Regulamento dos Dados</w:t>
            </w:r>
          </w:p>
          <w:p w14:paraId="27FD83FD" w14:textId="77777777" w:rsidR="009C4CDA" w:rsidRPr="000D0D06" w:rsidRDefault="009C4CDA" w:rsidP="009C4CDA">
            <w:pPr>
              <w:jc w:val="left"/>
              <w:rPr>
                <w:noProof/>
              </w:rPr>
            </w:pPr>
          </w:p>
        </w:tc>
        <w:tc>
          <w:tcPr>
            <w:tcW w:w="2029" w:type="dxa"/>
          </w:tcPr>
          <w:p w14:paraId="43BD3642" w14:textId="77777777" w:rsidR="009C4CDA" w:rsidRPr="000D0D06" w:rsidRDefault="009C4CDA" w:rsidP="009C4CDA">
            <w:pPr>
              <w:spacing w:line="259" w:lineRule="auto"/>
              <w:jc w:val="left"/>
              <w:rPr>
                <w:noProof/>
              </w:rPr>
            </w:pPr>
            <w:r w:rsidRPr="000D0D06">
              <w:rPr>
                <w:noProof/>
              </w:rPr>
              <w:t>Autoridade competente</w:t>
            </w:r>
          </w:p>
        </w:tc>
        <w:tc>
          <w:tcPr>
            <w:tcW w:w="2143" w:type="dxa"/>
          </w:tcPr>
          <w:p w14:paraId="4CD76867" w14:textId="77777777" w:rsidR="009C4CDA" w:rsidRPr="000D0D06" w:rsidRDefault="009C4CDA" w:rsidP="009C4CDA">
            <w:pPr>
              <w:spacing w:line="259" w:lineRule="auto"/>
              <w:jc w:val="left"/>
              <w:rPr>
                <w:noProof/>
              </w:rPr>
            </w:pPr>
            <w:r w:rsidRPr="000D0D06">
              <w:rPr>
                <w:noProof/>
              </w:rPr>
              <w:t>Comissão Europeia</w:t>
            </w:r>
          </w:p>
        </w:tc>
        <w:tc>
          <w:tcPr>
            <w:tcW w:w="2483" w:type="dxa"/>
          </w:tcPr>
          <w:p w14:paraId="7ECD1CDE" w14:textId="77777777" w:rsidR="009C4CDA" w:rsidRPr="000D0D06" w:rsidRDefault="009C4CDA" w:rsidP="009C4CDA">
            <w:pPr>
              <w:jc w:val="left"/>
              <w:rPr>
                <w:noProof/>
              </w:rPr>
            </w:pPr>
            <w:r w:rsidRPr="000D0D06">
              <w:rPr>
                <w:noProof/>
              </w:rPr>
              <w:t xml:space="preserve">As entidades registadas notificam as alterações (ver entrada </w:t>
            </w:r>
            <w:r w:rsidRPr="000D0D06">
              <w:rPr>
                <w:i/>
                <w:noProof/>
              </w:rPr>
              <w:t>supra</w:t>
            </w:r>
            <w:r w:rsidRPr="000D0D06">
              <w:rPr>
                <w:noProof/>
              </w:rPr>
              <w:t>)</w:t>
            </w:r>
          </w:p>
        </w:tc>
        <w:tc>
          <w:tcPr>
            <w:tcW w:w="2070" w:type="dxa"/>
          </w:tcPr>
          <w:p w14:paraId="1DD96E9B" w14:textId="77777777" w:rsidR="009C4CDA" w:rsidRPr="000D0D06" w:rsidRDefault="009C4CDA" w:rsidP="009C4CDA">
            <w:pPr>
              <w:jc w:val="left"/>
              <w:rPr>
                <w:noProof/>
              </w:rPr>
            </w:pPr>
            <w:r w:rsidRPr="000D0D06">
              <w:rPr>
                <w:i/>
                <w:noProof/>
              </w:rPr>
              <w:t>Ad hoc</w:t>
            </w:r>
            <w:r w:rsidRPr="000D0D06">
              <w:rPr>
                <w:noProof/>
              </w:rPr>
              <w:t>, sem demora</w:t>
            </w:r>
          </w:p>
        </w:tc>
      </w:tr>
      <w:tr w:rsidR="009C4CDA" w:rsidRPr="000D0D06" w14:paraId="52822A4D" w14:textId="77777777">
        <w:trPr>
          <w:trHeight w:val="300"/>
        </w:trPr>
        <w:tc>
          <w:tcPr>
            <w:tcW w:w="3448" w:type="dxa"/>
          </w:tcPr>
          <w:p w14:paraId="56479130" w14:textId="45C47372" w:rsidR="009C4CDA" w:rsidRPr="000D0D06" w:rsidRDefault="009C4CDA" w:rsidP="009C4CDA">
            <w:pPr>
              <w:jc w:val="left"/>
              <w:rPr>
                <w:noProof/>
              </w:rPr>
            </w:pPr>
            <w:r w:rsidRPr="000D0D06">
              <w:rPr>
                <w:noProof/>
              </w:rPr>
              <w:t>Informações fornecidas aos titulares/detentores dos dados antes do tratamento (título europeu para os serviços de intermediação de dados e organizações de altruísmo de dados)</w:t>
            </w:r>
          </w:p>
        </w:tc>
        <w:tc>
          <w:tcPr>
            <w:tcW w:w="2419" w:type="dxa"/>
          </w:tcPr>
          <w:p w14:paraId="1299C3AB" w14:textId="494B3FA8" w:rsidR="009C4CDA" w:rsidRPr="000D0D06" w:rsidRDefault="009C4CDA" w:rsidP="009C4CDA">
            <w:pPr>
              <w:jc w:val="left"/>
              <w:rPr>
                <w:noProof/>
              </w:rPr>
            </w:pPr>
            <w:r w:rsidRPr="000D0D06">
              <w:rPr>
                <w:noProof/>
              </w:rPr>
              <w:t>Artigo 1.º</w:t>
            </w:r>
          </w:p>
          <w:p w14:paraId="2FF439CF" w14:textId="77777777" w:rsidR="009C4CDA" w:rsidRPr="000D0D06" w:rsidRDefault="009C4CDA" w:rsidP="009C4CDA">
            <w:pPr>
              <w:jc w:val="left"/>
              <w:rPr>
                <w:i/>
                <w:iCs/>
                <w:noProof/>
              </w:rPr>
            </w:pPr>
            <w:r w:rsidRPr="000D0D06">
              <w:rPr>
                <w:i/>
                <w:noProof/>
              </w:rPr>
              <w:t>Aditamento do artigo 32.º-F ao Regulamento dos Dados</w:t>
            </w:r>
          </w:p>
        </w:tc>
        <w:tc>
          <w:tcPr>
            <w:tcW w:w="2029" w:type="dxa"/>
          </w:tcPr>
          <w:p w14:paraId="475A8700" w14:textId="77777777" w:rsidR="009C4CDA" w:rsidRPr="000D0D06" w:rsidRDefault="009C4CDA" w:rsidP="009C4CDA">
            <w:pPr>
              <w:spacing w:line="259" w:lineRule="auto"/>
              <w:jc w:val="left"/>
              <w:rPr>
                <w:noProof/>
              </w:rPr>
            </w:pPr>
            <w:r w:rsidRPr="000D0D06">
              <w:rPr>
                <w:noProof/>
              </w:rPr>
              <w:t>Organização de altruísmo de dados reconhecida</w:t>
            </w:r>
          </w:p>
        </w:tc>
        <w:tc>
          <w:tcPr>
            <w:tcW w:w="2143" w:type="dxa"/>
          </w:tcPr>
          <w:p w14:paraId="76F9EBCE" w14:textId="77777777" w:rsidR="009C4CDA" w:rsidRPr="000D0D06" w:rsidRDefault="009C4CDA" w:rsidP="009C4CDA">
            <w:pPr>
              <w:spacing w:line="259" w:lineRule="auto"/>
              <w:jc w:val="left"/>
              <w:rPr>
                <w:noProof/>
              </w:rPr>
            </w:pPr>
            <w:r w:rsidRPr="000D0D06">
              <w:rPr>
                <w:noProof/>
              </w:rPr>
              <w:t>Titulares dos dados</w:t>
            </w:r>
          </w:p>
          <w:p w14:paraId="6CD831BF" w14:textId="77777777" w:rsidR="009C4CDA" w:rsidRPr="000D0D06" w:rsidRDefault="009C4CDA" w:rsidP="009C4CDA">
            <w:pPr>
              <w:spacing w:line="259" w:lineRule="auto"/>
              <w:jc w:val="left"/>
              <w:rPr>
                <w:noProof/>
              </w:rPr>
            </w:pPr>
            <w:r w:rsidRPr="000D0D06">
              <w:rPr>
                <w:noProof/>
              </w:rPr>
              <w:t>Detentores dos dados</w:t>
            </w:r>
          </w:p>
        </w:tc>
        <w:tc>
          <w:tcPr>
            <w:tcW w:w="2483" w:type="dxa"/>
          </w:tcPr>
          <w:p w14:paraId="3CF96C97" w14:textId="77777777" w:rsidR="009C4CDA" w:rsidRPr="000D0D06" w:rsidRDefault="009C4CDA" w:rsidP="009C4CDA">
            <w:pPr>
              <w:spacing w:line="259" w:lineRule="auto"/>
              <w:jc w:val="left"/>
              <w:rPr>
                <w:noProof/>
              </w:rPr>
            </w:pPr>
            <w:r w:rsidRPr="000D0D06">
              <w:rPr>
                <w:noProof/>
              </w:rPr>
              <w:t>Antes de qualquer tratamento dos seus dados</w:t>
            </w:r>
          </w:p>
        </w:tc>
        <w:tc>
          <w:tcPr>
            <w:tcW w:w="2070" w:type="dxa"/>
          </w:tcPr>
          <w:p w14:paraId="47C7AE9A" w14:textId="77777777" w:rsidR="009C4CDA" w:rsidRPr="000D0D06" w:rsidRDefault="009C4CDA" w:rsidP="009C4CDA">
            <w:pPr>
              <w:spacing w:line="259" w:lineRule="auto"/>
              <w:jc w:val="left"/>
              <w:rPr>
                <w:noProof/>
              </w:rPr>
            </w:pPr>
            <w:r w:rsidRPr="000D0D06">
              <w:rPr>
                <w:noProof/>
              </w:rPr>
              <w:t>Antes de cada atividade de tratamento (deve ser clara e facilmente compreensível)</w:t>
            </w:r>
          </w:p>
        </w:tc>
      </w:tr>
      <w:tr w:rsidR="009C4CDA" w:rsidRPr="000D0D06" w14:paraId="0DFEA32F" w14:textId="77777777">
        <w:trPr>
          <w:trHeight w:val="300"/>
        </w:trPr>
        <w:tc>
          <w:tcPr>
            <w:tcW w:w="3448" w:type="dxa"/>
          </w:tcPr>
          <w:p w14:paraId="669DBC70" w14:textId="1C8DC910" w:rsidR="009C4CDA" w:rsidRPr="000D0D06" w:rsidRDefault="009C4CDA" w:rsidP="009C4CDA">
            <w:pPr>
              <w:jc w:val="left"/>
              <w:rPr>
                <w:noProof/>
              </w:rPr>
            </w:pPr>
            <w:r w:rsidRPr="000D0D06">
              <w:rPr>
                <w:noProof/>
              </w:rPr>
              <w:t>Consentimento (ou retirada do consentimento) para o tratamento de dados por uma organização de altruísmo de dados reconhecida (título europeu para os serviços de intermediação de dados e organizações de altruísmo de dados)</w:t>
            </w:r>
          </w:p>
        </w:tc>
        <w:tc>
          <w:tcPr>
            <w:tcW w:w="2419" w:type="dxa"/>
          </w:tcPr>
          <w:p w14:paraId="4C53072D" w14:textId="3A84DEA3" w:rsidR="009C4CDA" w:rsidRPr="000D0D06" w:rsidRDefault="009C4CDA" w:rsidP="009C4CDA">
            <w:pPr>
              <w:jc w:val="left"/>
              <w:rPr>
                <w:noProof/>
              </w:rPr>
            </w:pPr>
            <w:r w:rsidRPr="000D0D06">
              <w:rPr>
                <w:noProof/>
              </w:rPr>
              <w:t>Artigo 1.º</w:t>
            </w:r>
          </w:p>
          <w:p w14:paraId="2847382B" w14:textId="77777777" w:rsidR="009C4CDA" w:rsidRPr="000D0D06" w:rsidRDefault="009C4CDA" w:rsidP="009C4CDA">
            <w:pPr>
              <w:jc w:val="left"/>
              <w:rPr>
                <w:i/>
                <w:iCs/>
                <w:noProof/>
              </w:rPr>
            </w:pPr>
            <w:r w:rsidRPr="000D0D06">
              <w:rPr>
                <w:i/>
                <w:noProof/>
              </w:rPr>
              <w:t>Aditamento do artigo 32.º-F ao Regulamento dos Dados</w:t>
            </w:r>
          </w:p>
        </w:tc>
        <w:tc>
          <w:tcPr>
            <w:tcW w:w="2029" w:type="dxa"/>
          </w:tcPr>
          <w:p w14:paraId="4F4295E6" w14:textId="77777777" w:rsidR="009C4CDA" w:rsidRPr="000D0D06" w:rsidRDefault="009C4CDA" w:rsidP="009C4CDA">
            <w:pPr>
              <w:jc w:val="left"/>
              <w:rPr>
                <w:rFonts w:eastAsia="Calibri"/>
                <w:noProof/>
              </w:rPr>
            </w:pPr>
            <w:r w:rsidRPr="000D0D06">
              <w:rPr>
                <w:noProof/>
              </w:rPr>
              <w:t>Titulares dos dados</w:t>
            </w:r>
          </w:p>
          <w:p w14:paraId="487D6EF2" w14:textId="77777777" w:rsidR="009C4CDA" w:rsidRPr="000D0D06" w:rsidRDefault="009C4CDA" w:rsidP="009C4CDA">
            <w:pPr>
              <w:jc w:val="left"/>
              <w:rPr>
                <w:rFonts w:eastAsia="Calibri"/>
                <w:noProof/>
              </w:rPr>
            </w:pPr>
            <w:r w:rsidRPr="000D0D06">
              <w:rPr>
                <w:noProof/>
              </w:rPr>
              <w:t>Detentores dos dados (se se tratar de dados não pessoais)</w:t>
            </w:r>
          </w:p>
        </w:tc>
        <w:tc>
          <w:tcPr>
            <w:tcW w:w="2143" w:type="dxa"/>
          </w:tcPr>
          <w:p w14:paraId="0F162451" w14:textId="77777777" w:rsidR="009C4CDA" w:rsidRPr="000D0D06" w:rsidRDefault="009C4CDA" w:rsidP="009C4CDA">
            <w:pPr>
              <w:jc w:val="left"/>
              <w:rPr>
                <w:rFonts w:eastAsia="Calibri"/>
                <w:noProof/>
              </w:rPr>
            </w:pPr>
            <w:r w:rsidRPr="000D0D06">
              <w:rPr>
                <w:noProof/>
              </w:rPr>
              <w:t>Organização de altruísmo de dados</w:t>
            </w:r>
          </w:p>
        </w:tc>
        <w:tc>
          <w:tcPr>
            <w:tcW w:w="2483" w:type="dxa"/>
          </w:tcPr>
          <w:p w14:paraId="5F7BE834" w14:textId="77777777" w:rsidR="009C4CDA" w:rsidRPr="000D0D06" w:rsidRDefault="009C4CDA" w:rsidP="009C4CDA">
            <w:pPr>
              <w:jc w:val="left"/>
              <w:rPr>
                <w:rFonts w:eastAsia="Calibri"/>
                <w:noProof/>
              </w:rPr>
            </w:pPr>
            <w:r w:rsidRPr="000D0D06">
              <w:rPr>
                <w:noProof/>
              </w:rPr>
              <w:t>Consentimento do titular dos dados/autorização do detentor dos dados necessária para as atividades de tratamento</w:t>
            </w:r>
          </w:p>
        </w:tc>
        <w:tc>
          <w:tcPr>
            <w:tcW w:w="2070" w:type="dxa"/>
          </w:tcPr>
          <w:p w14:paraId="2F87F63F" w14:textId="77777777" w:rsidR="009C4CDA" w:rsidRPr="000D0D06" w:rsidRDefault="009C4CDA" w:rsidP="009C4CDA">
            <w:pPr>
              <w:jc w:val="left"/>
              <w:rPr>
                <w:rFonts w:eastAsia="Calibri"/>
                <w:noProof/>
              </w:rPr>
            </w:pPr>
            <w:r w:rsidRPr="000D0D06">
              <w:rPr>
                <w:noProof/>
              </w:rPr>
              <w:t>De acordo com o consentimento/autorização concedida, com possibilidade de retirada em qualquer momento</w:t>
            </w:r>
          </w:p>
        </w:tc>
      </w:tr>
      <w:tr w:rsidR="009C4CDA" w:rsidRPr="000D0D06" w14:paraId="68F3526B" w14:textId="77777777">
        <w:trPr>
          <w:trHeight w:val="300"/>
        </w:trPr>
        <w:tc>
          <w:tcPr>
            <w:tcW w:w="3448" w:type="dxa"/>
          </w:tcPr>
          <w:p w14:paraId="7CC702CF" w14:textId="77777777" w:rsidR="009C4CDA" w:rsidRPr="000D0D06" w:rsidRDefault="009C4CDA" w:rsidP="009C4CDA">
            <w:pPr>
              <w:jc w:val="left"/>
              <w:rPr>
                <w:noProof/>
              </w:rPr>
            </w:pPr>
            <w:r w:rsidRPr="000D0D06">
              <w:rPr>
                <w:noProof/>
              </w:rPr>
              <w:t>Informações sobre a jurisdição do país terceiro em que a utilização dos dados se destina a ser efetuada</w:t>
            </w:r>
          </w:p>
        </w:tc>
        <w:tc>
          <w:tcPr>
            <w:tcW w:w="2419" w:type="dxa"/>
          </w:tcPr>
          <w:p w14:paraId="79C3BD00" w14:textId="2BA6EBE8" w:rsidR="009C4CDA" w:rsidRPr="000D0D06" w:rsidRDefault="009C4CDA" w:rsidP="009C4CDA">
            <w:pPr>
              <w:jc w:val="left"/>
              <w:rPr>
                <w:noProof/>
              </w:rPr>
            </w:pPr>
            <w:r w:rsidRPr="000D0D06">
              <w:rPr>
                <w:noProof/>
              </w:rPr>
              <w:t>Artigo 1.º</w:t>
            </w:r>
          </w:p>
          <w:p w14:paraId="6536A84D" w14:textId="77777777" w:rsidR="009C4CDA" w:rsidRPr="000D0D06" w:rsidRDefault="009C4CDA" w:rsidP="009C4CDA">
            <w:pPr>
              <w:jc w:val="left"/>
              <w:rPr>
                <w:i/>
                <w:iCs/>
                <w:noProof/>
              </w:rPr>
            </w:pPr>
            <w:r w:rsidRPr="000D0D06">
              <w:rPr>
                <w:i/>
                <w:noProof/>
              </w:rPr>
              <w:t>Aditamento do artigo 32.º-F ao Regulamento dos Dados</w:t>
            </w:r>
          </w:p>
        </w:tc>
        <w:tc>
          <w:tcPr>
            <w:tcW w:w="2029" w:type="dxa"/>
          </w:tcPr>
          <w:p w14:paraId="7CE38330" w14:textId="77777777" w:rsidR="009C4CDA" w:rsidRPr="000D0D06" w:rsidRDefault="009C4CDA" w:rsidP="009C4CDA">
            <w:pPr>
              <w:jc w:val="left"/>
              <w:rPr>
                <w:rFonts w:eastAsia="Calibri"/>
                <w:noProof/>
              </w:rPr>
            </w:pPr>
            <w:r w:rsidRPr="000D0D06">
              <w:rPr>
                <w:noProof/>
              </w:rPr>
              <w:t>Organização de altruísmo de dados</w:t>
            </w:r>
          </w:p>
        </w:tc>
        <w:tc>
          <w:tcPr>
            <w:tcW w:w="2143" w:type="dxa"/>
          </w:tcPr>
          <w:p w14:paraId="3F2CB3E3" w14:textId="77777777" w:rsidR="009C4CDA" w:rsidRPr="000D0D06" w:rsidRDefault="009C4CDA" w:rsidP="009C4CDA">
            <w:pPr>
              <w:jc w:val="left"/>
              <w:rPr>
                <w:rFonts w:eastAsia="Calibri"/>
                <w:noProof/>
              </w:rPr>
            </w:pPr>
            <w:r w:rsidRPr="000D0D06">
              <w:rPr>
                <w:noProof/>
              </w:rPr>
              <w:t>Detentores dos dados</w:t>
            </w:r>
          </w:p>
        </w:tc>
        <w:tc>
          <w:tcPr>
            <w:tcW w:w="2483" w:type="dxa"/>
          </w:tcPr>
          <w:p w14:paraId="30FDD139" w14:textId="77777777" w:rsidR="009C4CDA" w:rsidRPr="000D0D06" w:rsidRDefault="009C4CDA" w:rsidP="009C4CDA">
            <w:pPr>
              <w:jc w:val="left"/>
              <w:rPr>
                <w:rFonts w:eastAsia="Calibri"/>
                <w:noProof/>
              </w:rPr>
            </w:pPr>
            <w:r w:rsidRPr="000D0D06">
              <w:rPr>
                <w:noProof/>
              </w:rPr>
              <w:t>Sempre que a organização de altruísmo de dados facilite o tratamento de dados por terceiros</w:t>
            </w:r>
          </w:p>
        </w:tc>
        <w:tc>
          <w:tcPr>
            <w:tcW w:w="2070" w:type="dxa"/>
          </w:tcPr>
          <w:p w14:paraId="145055AC" w14:textId="77777777" w:rsidR="009C4CDA" w:rsidRPr="000D0D06" w:rsidRDefault="009C4CDA" w:rsidP="009C4CDA">
            <w:pPr>
              <w:jc w:val="left"/>
              <w:rPr>
                <w:rFonts w:eastAsia="Calibri"/>
                <w:noProof/>
              </w:rPr>
            </w:pPr>
            <w:r w:rsidRPr="000D0D06">
              <w:rPr>
                <w:i/>
                <w:iCs/>
                <w:noProof/>
              </w:rPr>
              <w:t>Ad hoc</w:t>
            </w:r>
          </w:p>
        </w:tc>
      </w:tr>
      <w:tr w:rsidR="009C4CDA" w:rsidRPr="000D0D06" w14:paraId="6AF14668" w14:textId="77777777">
        <w:trPr>
          <w:trHeight w:val="300"/>
        </w:trPr>
        <w:tc>
          <w:tcPr>
            <w:tcW w:w="3448" w:type="dxa"/>
          </w:tcPr>
          <w:p w14:paraId="59ADAFC8" w14:textId="06672CD4" w:rsidR="009C4CDA" w:rsidRPr="000D0D06" w:rsidRDefault="009C4CDA" w:rsidP="009C4CDA">
            <w:pPr>
              <w:jc w:val="left"/>
              <w:rPr>
                <w:noProof/>
              </w:rPr>
            </w:pPr>
            <w:r w:rsidRPr="000D0D06">
              <w:rPr>
                <w:noProof/>
              </w:rPr>
              <w:t>Notificação de transferências, acesso ou utilização não autorizados de dados não pessoais (título europeu para os serviços de intermediação de dados e organizações de altruísmo de dados)</w:t>
            </w:r>
          </w:p>
        </w:tc>
        <w:tc>
          <w:tcPr>
            <w:tcW w:w="2419" w:type="dxa"/>
          </w:tcPr>
          <w:p w14:paraId="773D6E7C" w14:textId="77777777" w:rsidR="009C4CDA" w:rsidRPr="000D0D06" w:rsidRDefault="009C4CDA" w:rsidP="009C4CDA">
            <w:pPr>
              <w:jc w:val="left"/>
              <w:rPr>
                <w:noProof/>
              </w:rPr>
            </w:pPr>
            <w:r w:rsidRPr="000D0D06">
              <w:rPr>
                <w:noProof/>
              </w:rPr>
              <w:t xml:space="preserve">Artigo 1.º </w:t>
            </w:r>
          </w:p>
          <w:p w14:paraId="0AC47B4B" w14:textId="77777777" w:rsidR="009C4CDA" w:rsidRPr="000D0D06" w:rsidRDefault="009C4CDA" w:rsidP="009C4CDA">
            <w:pPr>
              <w:jc w:val="left"/>
              <w:rPr>
                <w:i/>
                <w:iCs/>
                <w:noProof/>
              </w:rPr>
            </w:pPr>
            <w:r w:rsidRPr="000D0D06">
              <w:rPr>
                <w:i/>
                <w:noProof/>
              </w:rPr>
              <w:t>Aditamento do artigo 32.º-F ao Regulamento dos Dados</w:t>
            </w:r>
          </w:p>
          <w:p w14:paraId="2EBAA39F" w14:textId="77777777" w:rsidR="009C4CDA" w:rsidRPr="000D0D06" w:rsidRDefault="009C4CDA" w:rsidP="009C4CDA">
            <w:pPr>
              <w:jc w:val="left"/>
              <w:rPr>
                <w:noProof/>
              </w:rPr>
            </w:pPr>
          </w:p>
        </w:tc>
        <w:tc>
          <w:tcPr>
            <w:tcW w:w="2029" w:type="dxa"/>
          </w:tcPr>
          <w:p w14:paraId="4923C727" w14:textId="77777777" w:rsidR="009C4CDA" w:rsidRPr="000D0D06" w:rsidRDefault="009C4CDA" w:rsidP="009C4CDA">
            <w:pPr>
              <w:jc w:val="left"/>
              <w:rPr>
                <w:rFonts w:eastAsia="Calibri"/>
                <w:noProof/>
              </w:rPr>
            </w:pPr>
            <w:r w:rsidRPr="000D0D06">
              <w:rPr>
                <w:noProof/>
              </w:rPr>
              <w:t>Organização de altruísmo de dados</w:t>
            </w:r>
          </w:p>
        </w:tc>
        <w:tc>
          <w:tcPr>
            <w:tcW w:w="2143" w:type="dxa"/>
          </w:tcPr>
          <w:p w14:paraId="7C9C0C70" w14:textId="77777777" w:rsidR="009C4CDA" w:rsidRPr="000D0D06" w:rsidRDefault="009C4CDA" w:rsidP="009C4CDA">
            <w:pPr>
              <w:jc w:val="left"/>
              <w:rPr>
                <w:rFonts w:eastAsia="Calibri"/>
                <w:noProof/>
              </w:rPr>
            </w:pPr>
            <w:r w:rsidRPr="000D0D06">
              <w:rPr>
                <w:noProof/>
              </w:rPr>
              <w:t>Detentores dos dados</w:t>
            </w:r>
          </w:p>
        </w:tc>
        <w:tc>
          <w:tcPr>
            <w:tcW w:w="2483" w:type="dxa"/>
          </w:tcPr>
          <w:p w14:paraId="09962CC3" w14:textId="77777777" w:rsidR="009C4CDA" w:rsidRPr="000D0D06" w:rsidRDefault="009C4CDA" w:rsidP="009C4CDA">
            <w:pPr>
              <w:jc w:val="left"/>
              <w:rPr>
                <w:rFonts w:eastAsia="Calibri"/>
                <w:noProof/>
              </w:rPr>
            </w:pPr>
            <w:r w:rsidRPr="000D0D06">
              <w:rPr>
                <w:noProof/>
              </w:rPr>
              <w:t>Ação não autorizada</w:t>
            </w:r>
          </w:p>
        </w:tc>
        <w:tc>
          <w:tcPr>
            <w:tcW w:w="2070" w:type="dxa"/>
          </w:tcPr>
          <w:p w14:paraId="613FE2EB" w14:textId="77777777" w:rsidR="009C4CDA" w:rsidRPr="000D0D06" w:rsidRDefault="009C4CDA" w:rsidP="009C4CDA">
            <w:pPr>
              <w:jc w:val="left"/>
              <w:rPr>
                <w:rFonts w:eastAsia="Calibri"/>
                <w:noProof/>
              </w:rPr>
            </w:pPr>
            <w:r w:rsidRPr="000D0D06">
              <w:rPr>
                <w:i/>
                <w:noProof/>
              </w:rPr>
              <w:t>Ad hoc</w:t>
            </w:r>
            <w:r w:rsidRPr="000D0D06">
              <w:rPr>
                <w:noProof/>
              </w:rPr>
              <w:t>, sem demora</w:t>
            </w:r>
          </w:p>
        </w:tc>
      </w:tr>
      <w:tr w:rsidR="009C4CDA" w:rsidRPr="000D0D06" w14:paraId="487B781E" w14:textId="77777777">
        <w:trPr>
          <w:trHeight w:val="300"/>
        </w:trPr>
        <w:tc>
          <w:tcPr>
            <w:tcW w:w="3448" w:type="dxa"/>
          </w:tcPr>
          <w:p w14:paraId="4526F958" w14:textId="3F2F7577" w:rsidR="009C4CDA" w:rsidRPr="000D0D06" w:rsidRDefault="009C4CDA" w:rsidP="009C4CDA">
            <w:pPr>
              <w:jc w:val="left"/>
              <w:rPr>
                <w:noProof/>
              </w:rPr>
            </w:pPr>
            <w:r w:rsidRPr="000D0D06">
              <w:rPr>
                <w:noProof/>
              </w:rPr>
              <w:t>Informações para o controlo do cumprimento (título europeu para os serviços de intermediação de dados e organizações de altruísmo de dados)</w:t>
            </w:r>
          </w:p>
          <w:p w14:paraId="03387EA9" w14:textId="77777777" w:rsidR="009C4CDA" w:rsidRPr="000D0D06" w:rsidRDefault="009C4CDA" w:rsidP="009C4CDA">
            <w:pPr>
              <w:jc w:val="left"/>
              <w:rPr>
                <w:noProof/>
              </w:rPr>
            </w:pPr>
          </w:p>
        </w:tc>
        <w:tc>
          <w:tcPr>
            <w:tcW w:w="2419" w:type="dxa"/>
          </w:tcPr>
          <w:p w14:paraId="295FDD22" w14:textId="3DB4F3C1" w:rsidR="009C4CDA" w:rsidRPr="000D0D06" w:rsidRDefault="009C4CDA" w:rsidP="009C4CDA">
            <w:pPr>
              <w:jc w:val="left"/>
              <w:rPr>
                <w:noProof/>
              </w:rPr>
            </w:pPr>
            <w:r w:rsidRPr="000D0D06">
              <w:rPr>
                <w:noProof/>
              </w:rPr>
              <w:t>Artigo 1.º</w:t>
            </w:r>
          </w:p>
          <w:p w14:paraId="5DB31C9F" w14:textId="77777777" w:rsidR="009C4CDA" w:rsidRPr="000D0D06" w:rsidRDefault="009C4CDA" w:rsidP="009C4CDA">
            <w:pPr>
              <w:jc w:val="left"/>
              <w:rPr>
                <w:i/>
                <w:iCs/>
                <w:noProof/>
              </w:rPr>
            </w:pPr>
            <w:r w:rsidRPr="000D0D06">
              <w:rPr>
                <w:i/>
                <w:noProof/>
              </w:rPr>
              <w:t>Aditamento do artigo 32.º-G ao Regulamento dos Dados</w:t>
            </w:r>
          </w:p>
        </w:tc>
        <w:tc>
          <w:tcPr>
            <w:tcW w:w="2029" w:type="dxa"/>
          </w:tcPr>
          <w:p w14:paraId="3B5DE43E" w14:textId="77777777" w:rsidR="009C4CDA" w:rsidRPr="000D0D06" w:rsidRDefault="009C4CDA" w:rsidP="009C4CDA">
            <w:pPr>
              <w:jc w:val="left"/>
              <w:rPr>
                <w:noProof/>
              </w:rPr>
            </w:pPr>
            <w:r w:rsidRPr="000D0D06">
              <w:rPr>
                <w:noProof/>
              </w:rPr>
              <w:t>Prestadores de serviços de intermediação de dados</w:t>
            </w:r>
          </w:p>
          <w:p w14:paraId="1C09E841" w14:textId="77777777" w:rsidR="009C4CDA" w:rsidRPr="000D0D06" w:rsidRDefault="009C4CDA" w:rsidP="009C4CDA">
            <w:pPr>
              <w:jc w:val="left"/>
              <w:rPr>
                <w:rFonts w:eastAsia="Calibri"/>
                <w:noProof/>
              </w:rPr>
            </w:pPr>
            <w:r w:rsidRPr="000D0D06">
              <w:rPr>
                <w:noProof/>
              </w:rPr>
              <w:t>Organizações de altruísmo de dados</w:t>
            </w:r>
          </w:p>
        </w:tc>
        <w:tc>
          <w:tcPr>
            <w:tcW w:w="2143" w:type="dxa"/>
          </w:tcPr>
          <w:p w14:paraId="431FD543" w14:textId="77777777" w:rsidR="009C4CDA" w:rsidRPr="000D0D06" w:rsidRDefault="009C4CDA" w:rsidP="009C4CDA">
            <w:pPr>
              <w:jc w:val="left"/>
              <w:rPr>
                <w:rFonts w:eastAsia="Calibri"/>
                <w:strike/>
                <w:noProof/>
              </w:rPr>
            </w:pPr>
            <w:r w:rsidRPr="000D0D06">
              <w:rPr>
                <w:noProof/>
              </w:rPr>
              <w:t>Autoridades competentes</w:t>
            </w:r>
          </w:p>
        </w:tc>
        <w:tc>
          <w:tcPr>
            <w:tcW w:w="2483" w:type="dxa"/>
          </w:tcPr>
          <w:p w14:paraId="37454867" w14:textId="77777777" w:rsidR="009C4CDA" w:rsidRPr="000D0D06" w:rsidRDefault="009C4CDA" w:rsidP="009C4CDA">
            <w:pPr>
              <w:jc w:val="left"/>
              <w:rPr>
                <w:noProof/>
              </w:rPr>
            </w:pPr>
            <w:r w:rsidRPr="000D0D06">
              <w:rPr>
                <w:noProof/>
              </w:rPr>
              <w:t>Pedido da autoridade competente</w:t>
            </w:r>
          </w:p>
          <w:p w14:paraId="77F761D2" w14:textId="77777777" w:rsidR="009C4CDA" w:rsidRPr="000D0D06" w:rsidRDefault="009C4CDA" w:rsidP="009C4CDA">
            <w:pPr>
              <w:jc w:val="left"/>
              <w:rPr>
                <w:rFonts w:eastAsia="Calibri"/>
                <w:strike/>
                <w:noProof/>
              </w:rPr>
            </w:pPr>
            <w:r w:rsidRPr="000D0D06">
              <w:rPr>
                <w:noProof/>
              </w:rPr>
              <w:t>Pedido de uma pessoa singular ou coletiva</w:t>
            </w:r>
          </w:p>
        </w:tc>
        <w:tc>
          <w:tcPr>
            <w:tcW w:w="2070" w:type="dxa"/>
          </w:tcPr>
          <w:p w14:paraId="68709D4A" w14:textId="77777777" w:rsidR="009C4CDA" w:rsidRPr="000D0D06" w:rsidRDefault="009C4CDA" w:rsidP="009C4CDA">
            <w:pPr>
              <w:jc w:val="left"/>
              <w:rPr>
                <w:noProof/>
              </w:rPr>
            </w:pPr>
            <w:r w:rsidRPr="000D0D06">
              <w:rPr>
                <w:i/>
                <w:noProof/>
              </w:rPr>
              <w:t>Ad hoc</w:t>
            </w:r>
            <w:r w:rsidRPr="000D0D06">
              <w:rPr>
                <w:noProof/>
              </w:rPr>
              <w:t xml:space="preserve"> (mediante pedido, que deve ser proporcionado e fundamentado)</w:t>
            </w:r>
          </w:p>
          <w:p w14:paraId="434EFE38" w14:textId="77777777" w:rsidR="009C4CDA" w:rsidRPr="000D0D06" w:rsidRDefault="009C4CDA" w:rsidP="009C4CDA">
            <w:pPr>
              <w:jc w:val="left"/>
              <w:rPr>
                <w:noProof/>
              </w:rPr>
            </w:pPr>
          </w:p>
        </w:tc>
      </w:tr>
      <w:tr w:rsidR="009C4CDA" w:rsidRPr="000D0D06" w14:paraId="0E2B0889" w14:textId="77777777">
        <w:trPr>
          <w:trHeight w:val="300"/>
        </w:trPr>
        <w:tc>
          <w:tcPr>
            <w:tcW w:w="3448" w:type="dxa"/>
          </w:tcPr>
          <w:p w14:paraId="43BC0591" w14:textId="1ABA35C4" w:rsidR="009C4CDA" w:rsidRPr="000D0D06" w:rsidRDefault="009C4CDA" w:rsidP="009C4CDA">
            <w:pPr>
              <w:jc w:val="left"/>
              <w:rPr>
                <w:noProof/>
              </w:rPr>
            </w:pPr>
            <w:r w:rsidRPr="000D0D06">
              <w:rPr>
                <w:noProof/>
              </w:rPr>
              <w:t>Notificação de incumprimento (título europeu para os serviços de intermediação de dados e organizações de altruísmo de dados)</w:t>
            </w:r>
          </w:p>
        </w:tc>
        <w:tc>
          <w:tcPr>
            <w:tcW w:w="2419" w:type="dxa"/>
          </w:tcPr>
          <w:p w14:paraId="1F2E7062" w14:textId="048E78E2" w:rsidR="009C4CDA" w:rsidRPr="000D0D06" w:rsidRDefault="009C4CDA" w:rsidP="009C4CDA">
            <w:pPr>
              <w:jc w:val="left"/>
              <w:rPr>
                <w:noProof/>
              </w:rPr>
            </w:pPr>
            <w:r w:rsidRPr="000D0D06">
              <w:rPr>
                <w:noProof/>
              </w:rPr>
              <w:t>Artigo 1.º</w:t>
            </w:r>
          </w:p>
          <w:p w14:paraId="539A17DF" w14:textId="77777777" w:rsidR="009C4CDA" w:rsidRPr="000D0D06" w:rsidRDefault="009C4CDA" w:rsidP="009C4CDA">
            <w:pPr>
              <w:jc w:val="left"/>
              <w:rPr>
                <w:i/>
                <w:iCs/>
                <w:noProof/>
              </w:rPr>
            </w:pPr>
            <w:r w:rsidRPr="000D0D06">
              <w:rPr>
                <w:i/>
                <w:noProof/>
              </w:rPr>
              <w:t>Aditamento do artigo 32.º-G ao Regulamento dos Dados</w:t>
            </w:r>
          </w:p>
        </w:tc>
        <w:tc>
          <w:tcPr>
            <w:tcW w:w="2029" w:type="dxa"/>
          </w:tcPr>
          <w:p w14:paraId="5992AFA9" w14:textId="77777777" w:rsidR="009C4CDA" w:rsidRPr="000D0D06" w:rsidRDefault="009C4CDA" w:rsidP="009C4CDA">
            <w:pPr>
              <w:jc w:val="left"/>
              <w:rPr>
                <w:rFonts w:eastAsia="Calibri"/>
                <w:noProof/>
              </w:rPr>
            </w:pPr>
            <w:r w:rsidRPr="000D0D06">
              <w:rPr>
                <w:noProof/>
              </w:rPr>
              <w:t>Autoridade competente</w:t>
            </w:r>
          </w:p>
        </w:tc>
        <w:tc>
          <w:tcPr>
            <w:tcW w:w="2143" w:type="dxa"/>
          </w:tcPr>
          <w:p w14:paraId="6B69C494" w14:textId="77777777" w:rsidR="009C4CDA" w:rsidRPr="000D0D06" w:rsidRDefault="009C4CDA" w:rsidP="009C4CDA">
            <w:pPr>
              <w:spacing w:line="259" w:lineRule="auto"/>
              <w:jc w:val="left"/>
              <w:rPr>
                <w:noProof/>
              </w:rPr>
            </w:pPr>
            <w:r w:rsidRPr="000D0D06">
              <w:rPr>
                <w:noProof/>
              </w:rPr>
              <w:t>Entidade considerada em incumprimento</w:t>
            </w:r>
          </w:p>
        </w:tc>
        <w:tc>
          <w:tcPr>
            <w:tcW w:w="2483" w:type="dxa"/>
          </w:tcPr>
          <w:p w14:paraId="53A747F8" w14:textId="77777777" w:rsidR="009C4CDA" w:rsidRPr="000D0D06" w:rsidRDefault="009C4CDA" w:rsidP="009C4CDA">
            <w:pPr>
              <w:spacing w:line="259" w:lineRule="auto"/>
              <w:jc w:val="left"/>
              <w:rPr>
                <w:noProof/>
              </w:rPr>
            </w:pPr>
            <w:r w:rsidRPr="000D0D06">
              <w:rPr>
                <w:noProof/>
              </w:rPr>
              <w:t>A autoridade competente considera que um prestador de serviços de intermediação de dados reconhecido ou uma organização de altruísmo de dados reconhecida está em incumprimento</w:t>
            </w:r>
          </w:p>
        </w:tc>
        <w:tc>
          <w:tcPr>
            <w:tcW w:w="2070" w:type="dxa"/>
          </w:tcPr>
          <w:p w14:paraId="5380C5A4" w14:textId="77777777" w:rsidR="009C4CDA" w:rsidRPr="000D0D06" w:rsidRDefault="009C4CDA" w:rsidP="009C4CDA">
            <w:pPr>
              <w:jc w:val="left"/>
              <w:rPr>
                <w:noProof/>
              </w:rPr>
            </w:pPr>
            <w:r w:rsidRPr="000D0D06">
              <w:rPr>
                <w:i/>
                <w:noProof/>
              </w:rPr>
              <w:t>Ad hoc</w:t>
            </w:r>
            <w:r w:rsidRPr="000D0D06">
              <w:rPr>
                <w:noProof/>
              </w:rPr>
              <w:t xml:space="preserve"> (seguido da oportunidade de a entidade apresentar os seus pontos de vista no prazo de 30 dias)</w:t>
            </w:r>
          </w:p>
        </w:tc>
      </w:tr>
      <w:tr w:rsidR="009C4CDA" w:rsidRPr="000D0D06" w14:paraId="1AEDEB1B" w14:textId="77777777">
        <w:trPr>
          <w:trHeight w:val="300"/>
        </w:trPr>
        <w:tc>
          <w:tcPr>
            <w:tcW w:w="3448" w:type="dxa"/>
          </w:tcPr>
          <w:p w14:paraId="23F32F16" w14:textId="3BD704B3" w:rsidR="009C4CDA" w:rsidRPr="000D0D06" w:rsidRDefault="009C4CDA" w:rsidP="009C4CDA">
            <w:pPr>
              <w:jc w:val="left"/>
              <w:rPr>
                <w:noProof/>
              </w:rPr>
            </w:pPr>
            <w:r w:rsidRPr="000D0D06">
              <w:rPr>
                <w:noProof/>
              </w:rPr>
              <w:t>Decisão de revogar o direito de utilização do título (título europeu para os serviços de intermediação de dados e organizações de altruísmo de dados)</w:t>
            </w:r>
          </w:p>
        </w:tc>
        <w:tc>
          <w:tcPr>
            <w:tcW w:w="2419" w:type="dxa"/>
          </w:tcPr>
          <w:p w14:paraId="43622520" w14:textId="31C544E2" w:rsidR="009C4CDA" w:rsidRPr="000D0D06" w:rsidRDefault="009C4CDA" w:rsidP="009C4CDA">
            <w:pPr>
              <w:jc w:val="left"/>
              <w:rPr>
                <w:noProof/>
              </w:rPr>
            </w:pPr>
            <w:r w:rsidRPr="000D0D06">
              <w:rPr>
                <w:noProof/>
              </w:rPr>
              <w:t>Artigo 1.º</w:t>
            </w:r>
          </w:p>
          <w:p w14:paraId="27371711" w14:textId="77777777" w:rsidR="009C4CDA" w:rsidRPr="000D0D06" w:rsidRDefault="009C4CDA" w:rsidP="009C4CDA">
            <w:pPr>
              <w:jc w:val="left"/>
              <w:rPr>
                <w:noProof/>
              </w:rPr>
            </w:pPr>
          </w:p>
          <w:p w14:paraId="077CA3DF" w14:textId="77777777" w:rsidR="009C4CDA" w:rsidRPr="000D0D06" w:rsidRDefault="009C4CDA" w:rsidP="009C4CDA">
            <w:pPr>
              <w:jc w:val="left"/>
              <w:rPr>
                <w:i/>
                <w:iCs/>
                <w:noProof/>
              </w:rPr>
            </w:pPr>
            <w:r w:rsidRPr="000D0D06">
              <w:rPr>
                <w:i/>
                <w:noProof/>
              </w:rPr>
              <w:t>Aditamento do artigo 32.º-G ao Regulamento dos Dados</w:t>
            </w:r>
          </w:p>
        </w:tc>
        <w:tc>
          <w:tcPr>
            <w:tcW w:w="2029" w:type="dxa"/>
          </w:tcPr>
          <w:p w14:paraId="53A75A6F" w14:textId="77777777" w:rsidR="009C4CDA" w:rsidRPr="000D0D06" w:rsidRDefault="009C4CDA" w:rsidP="009C4CDA">
            <w:pPr>
              <w:jc w:val="left"/>
              <w:rPr>
                <w:rFonts w:eastAsia="Calibri"/>
                <w:noProof/>
              </w:rPr>
            </w:pPr>
            <w:r w:rsidRPr="000D0D06">
              <w:rPr>
                <w:noProof/>
              </w:rPr>
              <w:t>Autoridade competente</w:t>
            </w:r>
          </w:p>
        </w:tc>
        <w:tc>
          <w:tcPr>
            <w:tcW w:w="2143" w:type="dxa"/>
          </w:tcPr>
          <w:p w14:paraId="5645258C" w14:textId="77777777" w:rsidR="009C4CDA" w:rsidRPr="000D0D06" w:rsidRDefault="009C4CDA" w:rsidP="009C4CDA">
            <w:pPr>
              <w:spacing w:line="259" w:lineRule="auto"/>
              <w:jc w:val="left"/>
              <w:rPr>
                <w:noProof/>
              </w:rPr>
            </w:pPr>
            <w:r w:rsidRPr="000D0D06">
              <w:rPr>
                <w:noProof/>
              </w:rPr>
              <w:t>Público</w:t>
            </w:r>
          </w:p>
        </w:tc>
        <w:tc>
          <w:tcPr>
            <w:tcW w:w="2483" w:type="dxa"/>
          </w:tcPr>
          <w:p w14:paraId="35BE41CE" w14:textId="42DC0B70" w:rsidR="009C4CDA" w:rsidRPr="000D0D06" w:rsidRDefault="009C4CDA" w:rsidP="009C4CDA">
            <w:pPr>
              <w:spacing w:line="259" w:lineRule="auto"/>
              <w:jc w:val="left"/>
              <w:rPr>
                <w:noProof/>
              </w:rPr>
            </w:pPr>
            <w:r w:rsidRPr="000D0D06">
              <w:rPr>
                <w:noProof/>
              </w:rPr>
              <w:t>Na sequência da decisão de revogação do título</w:t>
            </w:r>
          </w:p>
        </w:tc>
        <w:tc>
          <w:tcPr>
            <w:tcW w:w="2070" w:type="dxa"/>
          </w:tcPr>
          <w:p w14:paraId="5EEF3C6C" w14:textId="77777777" w:rsidR="009C4CDA" w:rsidRPr="000D0D06" w:rsidRDefault="009C4CDA" w:rsidP="009C4CDA">
            <w:pPr>
              <w:jc w:val="left"/>
              <w:rPr>
                <w:noProof/>
              </w:rPr>
            </w:pPr>
            <w:r w:rsidRPr="000D0D06">
              <w:rPr>
                <w:i/>
                <w:iCs/>
                <w:noProof/>
              </w:rPr>
              <w:t>Ad hoc</w:t>
            </w:r>
          </w:p>
        </w:tc>
      </w:tr>
      <w:tr w:rsidR="009C4CDA" w:rsidRPr="000D0D06" w14:paraId="2AFA8640" w14:textId="77777777">
        <w:trPr>
          <w:trHeight w:val="300"/>
        </w:trPr>
        <w:tc>
          <w:tcPr>
            <w:tcW w:w="3448" w:type="dxa"/>
          </w:tcPr>
          <w:p w14:paraId="3461258E" w14:textId="47D41328" w:rsidR="009C4CDA" w:rsidRPr="000D0D06" w:rsidRDefault="009C4CDA" w:rsidP="009C4CDA">
            <w:pPr>
              <w:jc w:val="left"/>
              <w:rPr>
                <w:noProof/>
              </w:rPr>
            </w:pPr>
            <w:r w:rsidRPr="000D0D06">
              <w:rPr>
                <w:noProof/>
              </w:rPr>
              <w:t>Projetos de atos relativos aos requisitos de localização de dados</w:t>
            </w:r>
          </w:p>
        </w:tc>
        <w:tc>
          <w:tcPr>
            <w:tcW w:w="2419" w:type="dxa"/>
          </w:tcPr>
          <w:p w14:paraId="0DEA7BA6" w14:textId="77777777" w:rsidR="009C4CDA" w:rsidRPr="000D0D06" w:rsidRDefault="009C4CDA" w:rsidP="009C4CDA">
            <w:pPr>
              <w:jc w:val="left"/>
              <w:rPr>
                <w:noProof/>
              </w:rPr>
            </w:pPr>
            <w:r w:rsidRPr="000D0D06">
              <w:rPr>
                <w:noProof/>
              </w:rPr>
              <w:t>Artigo 1.º</w:t>
            </w:r>
          </w:p>
        </w:tc>
        <w:tc>
          <w:tcPr>
            <w:tcW w:w="2029" w:type="dxa"/>
          </w:tcPr>
          <w:p w14:paraId="77965895" w14:textId="77777777" w:rsidR="009C4CDA" w:rsidRPr="000D0D06" w:rsidRDefault="009C4CDA" w:rsidP="009C4CDA">
            <w:pPr>
              <w:spacing w:line="259" w:lineRule="auto"/>
              <w:jc w:val="left"/>
              <w:rPr>
                <w:noProof/>
              </w:rPr>
            </w:pPr>
            <w:r w:rsidRPr="000D0D06">
              <w:rPr>
                <w:noProof/>
              </w:rPr>
              <w:t>Estados-Membros</w:t>
            </w:r>
          </w:p>
        </w:tc>
        <w:tc>
          <w:tcPr>
            <w:tcW w:w="2143" w:type="dxa"/>
          </w:tcPr>
          <w:p w14:paraId="5DD13EB1" w14:textId="77777777" w:rsidR="009C4CDA" w:rsidRPr="000D0D06" w:rsidRDefault="009C4CDA" w:rsidP="009C4CDA">
            <w:pPr>
              <w:spacing w:line="259" w:lineRule="auto"/>
              <w:jc w:val="left"/>
              <w:rPr>
                <w:noProof/>
              </w:rPr>
            </w:pPr>
            <w:r w:rsidRPr="000D0D06">
              <w:rPr>
                <w:noProof/>
              </w:rPr>
              <w:t>Comissão Europeia</w:t>
            </w:r>
          </w:p>
        </w:tc>
        <w:tc>
          <w:tcPr>
            <w:tcW w:w="2483" w:type="dxa"/>
          </w:tcPr>
          <w:p w14:paraId="3F5F022A" w14:textId="77777777" w:rsidR="009C4CDA" w:rsidRPr="000D0D06" w:rsidRDefault="009C4CDA" w:rsidP="009C4CDA">
            <w:pPr>
              <w:spacing w:line="259" w:lineRule="auto"/>
              <w:jc w:val="left"/>
              <w:rPr>
                <w:noProof/>
              </w:rPr>
            </w:pPr>
            <w:r w:rsidRPr="000D0D06">
              <w:rPr>
                <w:noProof/>
              </w:rPr>
              <w:t>Criação de um projeto de ato que introduza um novo requisito de localização de dados ou que altere um requisito de localização de dados em vigor</w:t>
            </w:r>
          </w:p>
        </w:tc>
        <w:tc>
          <w:tcPr>
            <w:tcW w:w="2070" w:type="dxa"/>
          </w:tcPr>
          <w:p w14:paraId="3AE2D462" w14:textId="77777777" w:rsidR="009C4CDA" w:rsidRPr="000D0D06" w:rsidRDefault="009C4CDA" w:rsidP="009C4CDA">
            <w:pPr>
              <w:spacing w:line="259" w:lineRule="auto"/>
              <w:jc w:val="left"/>
              <w:rPr>
                <w:noProof/>
              </w:rPr>
            </w:pPr>
            <w:r w:rsidRPr="000D0D06">
              <w:rPr>
                <w:i/>
                <w:noProof/>
              </w:rPr>
              <w:t>Ad hoc</w:t>
            </w:r>
            <w:r w:rsidRPr="000D0D06">
              <w:rPr>
                <w:noProof/>
              </w:rPr>
              <w:t>, imediatamente</w:t>
            </w:r>
          </w:p>
        </w:tc>
      </w:tr>
      <w:tr w:rsidR="009C4CDA" w:rsidRPr="000D0D06" w14:paraId="5DC2CE0E" w14:textId="77777777">
        <w:trPr>
          <w:trHeight w:val="300"/>
        </w:trPr>
        <w:tc>
          <w:tcPr>
            <w:tcW w:w="3448" w:type="dxa"/>
          </w:tcPr>
          <w:p w14:paraId="67FD0623" w14:textId="77777777" w:rsidR="009C4CDA" w:rsidRPr="000D0D06" w:rsidRDefault="009C4CDA" w:rsidP="009C4CDA">
            <w:pPr>
              <w:jc w:val="left"/>
              <w:rPr>
                <w:noProof/>
              </w:rPr>
            </w:pPr>
            <w:r w:rsidRPr="000D0D06">
              <w:rPr>
                <w:noProof/>
              </w:rPr>
              <w:t>Condições finais dos acordos de exclusividade</w:t>
            </w:r>
          </w:p>
        </w:tc>
        <w:tc>
          <w:tcPr>
            <w:tcW w:w="2419" w:type="dxa"/>
          </w:tcPr>
          <w:p w14:paraId="70E15217" w14:textId="77777777" w:rsidR="009C4CDA" w:rsidRPr="000D0D06" w:rsidRDefault="009C4CDA" w:rsidP="009C4CDA">
            <w:pPr>
              <w:jc w:val="left"/>
              <w:rPr>
                <w:noProof/>
              </w:rPr>
            </w:pPr>
            <w:r w:rsidRPr="000D0D06">
              <w:rPr>
                <w:noProof/>
              </w:rPr>
              <w:t>Artigo 1.º</w:t>
            </w:r>
          </w:p>
        </w:tc>
        <w:tc>
          <w:tcPr>
            <w:tcW w:w="2029" w:type="dxa"/>
          </w:tcPr>
          <w:p w14:paraId="0F173358" w14:textId="5F658A03" w:rsidR="009C4CDA" w:rsidRPr="000D0D06" w:rsidRDefault="009C4CDA" w:rsidP="009C4CDA">
            <w:pPr>
              <w:spacing w:line="259" w:lineRule="auto"/>
              <w:jc w:val="left"/>
              <w:rPr>
                <w:noProof/>
              </w:rPr>
            </w:pPr>
            <w:r w:rsidRPr="000D0D06">
              <w:rPr>
                <w:noProof/>
              </w:rPr>
              <w:t>Partes no acordo</w:t>
            </w:r>
          </w:p>
        </w:tc>
        <w:tc>
          <w:tcPr>
            <w:tcW w:w="2143" w:type="dxa"/>
          </w:tcPr>
          <w:p w14:paraId="08197B88" w14:textId="77777777" w:rsidR="009C4CDA" w:rsidRPr="000D0D06" w:rsidRDefault="009C4CDA" w:rsidP="009C4CDA">
            <w:pPr>
              <w:spacing w:line="259" w:lineRule="auto"/>
              <w:jc w:val="left"/>
              <w:rPr>
                <w:noProof/>
              </w:rPr>
            </w:pPr>
            <w:r w:rsidRPr="000D0D06">
              <w:rPr>
                <w:noProof/>
              </w:rPr>
              <w:t>Público</w:t>
            </w:r>
          </w:p>
        </w:tc>
        <w:tc>
          <w:tcPr>
            <w:tcW w:w="2483" w:type="dxa"/>
          </w:tcPr>
          <w:p w14:paraId="54A4CB99" w14:textId="77777777" w:rsidR="009C4CDA" w:rsidRPr="000D0D06" w:rsidRDefault="009C4CDA" w:rsidP="009C4CDA">
            <w:pPr>
              <w:spacing w:line="259" w:lineRule="auto"/>
              <w:jc w:val="left"/>
              <w:rPr>
                <w:noProof/>
              </w:rPr>
            </w:pPr>
            <w:r w:rsidRPr="000D0D06">
              <w:rPr>
                <w:noProof/>
              </w:rPr>
              <w:t>Acordos de exclusividade celebrados em 16 de julho de 2019 ou após essa data</w:t>
            </w:r>
          </w:p>
        </w:tc>
        <w:tc>
          <w:tcPr>
            <w:tcW w:w="2070" w:type="dxa"/>
          </w:tcPr>
          <w:p w14:paraId="51239974" w14:textId="77777777" w:rsidR="009C4CDA" w:rsidRPr="000D0D06" w:rsidRDefault="009C4CDA" w:rsidP="009C4CDA">
            <w:pPr>
              <w:spacing w:line="259" w:lineRule="auto"/>
              <w:jc w:val="left"/>
              <w:rPr>
                <w:noProof/>
              </w:rPr>
            </w:pPr>
            <w:r w:rsidRPr="000D0D06">
              <w:rPr>
                <w:i/>
                <w:noProof/>
              </w:rPr>
              <w:t>Ad hoc</w:t>
            </w:r>
            <w:r w:rsidRPr="000D0D06">
              <w:rPr>
                <w:noProof/>
              </w:rPr>
              <w:t>, pelo menos dois meses antes da entrada em vigor de um acordo</w:t>
            </w:r>
          </w:p>
        </w:tc>
      </w:tr>
      <w:tr w:rsidR="009C4CDA" w:rsidRPr="000D0D06" w14:paraId="1C05B7FC" w14:textId="77777777">
        <w:trPr>
          <w:trHeight w:val="300"/>
        </w:trPr>
        <w:tc>
          <w:tcPr>
            <w:tcW w:w="3448" w:type="dxa"/>
          </w:tcPr>
          <w:p w14:paraId="1567E3E7" w14:textId="77777777" w:rsidR="009C4CDA" w:rsidRPr="000D0D06" w:rsidRDefault="009C4CDA" w:rsidP="009C4CDA">
            <w:pPr>
              <w:jc w:val="left"/>
              <w:rPr>
                <w:noProof/>
              </w:rPr>
            </w:pPr>
            <w:r w:rsidRPr="000D0D06">
              <w:rPr>
                <w:noProof/>
              </w:rPr>
              <w:t xml:space="preserve">Dados (e/ou notificações) relativos a um pedido de reutilização </w:t>
            </w:r>
          </w:p>
        </w:tc>
        <w:tc>
          <w:tcPr>
            <w:tcW w:w="2419" w:type="dxa"/>
          </w:tcPr>
          <w:p w14:paraId="4D9ECF36" w14:textId="77777777" w:rsidR="009C4CDA" w:rsidRPr="000D0D06" w:rsidRDefault="009C4CDA" w:rsidP="009C4CDA">
            <w:pPr>
              <w:jc w:val="left"/>
              <w:rPr>
                <w:noProof/>
              </w:rPr>
            </w:pPr>
            <w:r w:rsidRPr="000D0D06">
              <w:rPr>
                <w:noProof/>
              </w:rPr>
              <w:t>Artigo 1.º</w:t>
            </w:r>
          </w:p>
          <w:p w14:paraId="60803098" w14:textId="77777777" w:rsidR="009C4CDA" w:rsidRPr="000D0D06" w:rsidRDefault="009C4CDA" w:rsidP="009C4CDA">
            <w:pPr>
              <w:jc w:val="left"/>
              <w:rPr>
                <w:i/>
                <w:iCs/>
                <w:noProof/>
              </w:rPr>
            </w:pPr>
            <w:r w:rsidRPr="000D0D06">
              <w:rPr>
                <w:i/>
                <w:noProof/>
              </w:rPr>
              <w:t>Aditamento do artigo 32.º-P ao Regulamento dos Dados</w:t>
            </w:r>
          </w:p>
        </w:tc>
        <w:tc>
          <w:tcPr>
            <w:tcW w:w="2029" w:type="dxa"/>
          </w:tcPr>
          <w:p w14:paraId="30D5193A" w14:textId="77777777" w:rsidR="009C4CDA" w:rsidRPr="000D0D06" w:rsidRDefault="009C4CDA" w:rsidP="009C4CDA">
            <w:pPr>
              <w:spacing w:line="259" w:lineRule="auto"/>
              <w:jc w:val="left"/>
              <w:rPr>
                <w:noProof/>
              </w:rPr>
            </w:pPr>
            <w:r w:rsidRPr="000D0D06">
              <w:rPr>
                <w:noProof/>
              </w:rPr>
              <w:t>Entidades do setor público</w:t>
            </w:r>
          </w:p>
        </w:tc>
        <w:tc>
          <w:tcPr>
            <w:tcW w:w="2143" w:type="dxa"/>
          </w:tcPr>
          <w:p w14:paraId="7A359005" w14:textId="77777777" w:rsidR="009C4CDA" w:rsidRPr="000D0D06" w:rsidRDefault="009C4CDA" w:rsidP="009C4CDA">
            <w:pPr>
              <w:spacing w:line="259" w:lineRule="auto"/>
              <w:jc w:val="left"/>
              <w:rPr>
                <w:noProof/>
              </w:rPr>
            </w:pPr>
            <w:r w:rsidRPr="000D0D06">
              <w:rPr>
                <w:noProof/>
              </w:rPr>
              <w:t>Originadores dos pedidos de reutilização de dados</w:t>
            </w:r>
          </w:p>
        </w:tc>
        <w:tc>
          <w:tcPr>
            <w:tcW w:w="2483" w:type="dxa"/>
          </w:tcPr>
          <w:p w14:paraId="73E31ABB" w14:textId="0EAF9B50" w:rsidR="009C4CDA" w:rsidRPr="000D0D06" w:rsidRDefault="009C4CDA" w:rsidP="009C4CDA">
            <w:pPr>
              <w:spacing w:line="259" w:lineRule="auto"/>
              <w:jc w:val="left"/>
              <w:rPr>
                <w:noProof/>
              </w:rPr>
            </w:pPr>
            <w:r w:rsidRPr="000D0D06">
              <w:rPr>
                <w:noProof/>
              </w:rPr>
              <w:t>Se for necessário apresentar qualquer dos seguintes documentos: dados/documentos solicitados; oferta de licença; notificações de atrasos; notificação de indeferimento.</w:t>
            </w:r>
          </w:p>
        </w:tc>
        <w:tc>
          <w:tcPr>
            <w:tcW w:w="2070" w:type="dxa"/>
          </w:tcPr>
          <w:p w14:paraId="6A856F24" w14:textId="77777777" w:rsidR="009C4CDA" w:rsidRPr="000D0D06" w:rsidRDefault="009C4CDA" w:rsidP="009C4CDA">
            <w:pPr>
              <w:spacing w:line="259" w:lineRule="auto"/>
              <w:jc w:val="left"/>
              <w:rPr>
                <w:noProof/>
              </w:rPr>
            </w:pPr>
            <w:r w:rsidRPr="000D0D06">
              <w:rPr>
                <w:i/>
                <w:iCs/>
                <w:noProof/>
              </w:rPr>
              <w:t>Ad hoc</w:t>
            </w:r>
          </w:p>
        </w:tc>
      </w:tr>
      <w:tr w:rsidR="009C4CDA" w:rsidRPr="000D0D06" w14:paraId="5BFCDDEE" w14:textId="77777777">
        <w:trPr>
          <w:trHeight w:val="300"/>
        </w:trPr>
        <w:tc>
          <w:tcPr>
            <w:tcW w:w="3448" w:type="dxa"/>
          </w:tcPr>
          <w:p w14:paraId="226FF459" w14:textId="77777777" w:rsidR="009C4CDA" w:rsidRPr="000D0D06" w:rsidRDefault="009C4CDA" w:rsidP="009C4CDA">
            <w:pPr>
              <w:jc w:val="left"/>
              <w:rPr>
                <w:noProof/>
              </w:rPr>
            </w:pPr>
            <w:r w:rsidRPr="000D0D06">
              <w:rPr>
                <w:noProof/>
              </w:rPr>
              <w:t>Condições finais dos acordos de exclusividade</w:t>
            </w:r>
          </w:p>
        </w:tc>
        <w:tc>
          <w:tcPr>
            <w:tcW w:w="2419" w:type="dxa"/>
          </w:tcPr>
          <w:p w14:paraId="3BFDBDD8" w14:textId="77777777" w:rsidR="009C4CDA" w:rsidRPr="000D0D06" w:rsidRDefault="009C4CDA" w:rsidP="009C4CDA">
            <w:pPr>
              <w:jc w:val="left"/>
              <w:rPr>
                <w:noProof/>
              </w:rPr>
            </w:pPr>
            <w:r w:rsidRPr="000D0D06">
              <w:rPr>
                <w:noProof/>
              </w:rPr>
              <w:t>Artigo 1.º</w:t>
            </w:r>
          </w:p>
          <w:p w14:paraId="1068D433" w14:textId="77777777" w:rsidR="009C4CDA" w:rsidRPr="000D0D06" w:rsidRDefault="009C4CDA" w:rsidP="009C4CDA">
            <w:pPr>
              <w:jc w:val="left"/>
              <w:rPr>
                <w:i/>
                <w:iCs/>
                <w:noProof/>
              </w:rPr>
            </w:pPr>
            <w:r w:rsidRPr="000D0D06">
              <w:rPr>
                <w:i/>
                <w:noProof/>
              </w:rPr>
              <w:t>Aditamento do artigo 32.º-K ao Regulamento dos Dados</w:t>
            </w:r>
          </w:p>
        </w:tc>
        <w:tc>
          <w:tcPr>
            <w:tcW w:w="2029" w:type="dxa"/>
          </w:tcPr>
          <w:p w14:paraId="20A15C01" w14:textId="77777777" w:rsidR="009C4CDA" w:rsidRPr="000D0D06" w:rsidRDefault="009C4CDA" w:rsidP="009C4CDA">
            <w:pPr>
              <w:spacing w:line="259" w:lineRule="auto"/>
              <w:jc w:val="left"/>
              <w:rPr>
                <w:noProof/>
              </w:rPr>
            </w:pPr>
            <w:r w:rsidRPr="000D0D06">
              <w:rPr>
                <w:noProof/>
              </w:rPr>
              <w:t>Partes num acordo de exclusividade</w:t>
            </w:r>
          </w:p>
        </w:tc>
        <w:tc>
          <w:tcPr>
            <w:tcW w:w="2143" w:type="dxa"/>
          </w:tcPr>
          <w:p w14:paraId="69536408" w14:textId="77777777" w:rsidR="009C4CDA" w:rsidRPr="000D0D06" w:rsidRDefault="009C4CDA" w:rsidP="009C4CDA">
            <w:pPr>
              <w:spacing w:line="259" w:lineRule="auto"/>
              <w:jc w:val="left"/>
              <w:rPr>
                <w:noProof/>
              </w:rPr>
            </w:pPr>
            <w:r w:rsidRPr="000D0D06">
              <w:rPr>
                <w:noProof/>
              </w:rPr>
              <w:t>Público em geral</w:t>
            </w:r>
          </w:p>
        </w:tc>
        <w:tc>
          <w:tcPr>
            <w:tcW w:w="2483" w:type="dxa"/>
          </w:tcPr>
          <w:p w14:paraId="3F3186A9" w14:textId="77777777" w:rsidR="009C4CDA" w:rsidRPr="000D0D06" w:rsidRDefault="009C4CDA" w:rsidP="009C4CDA">
            <w:pPr>
              <w:spacing w:line="259" w:lineRule="auto"/>
              <w:jc w:val="left"/>
              <w:rPr>
                <w:noProof/>
              </w:rPr>
            </w:pPr>
            <w:r w:rsidRPr="000D0D06">
              <w:rPr>
                <w:noProof/>
              </w:rPr>
              <w:t>Condições finais aplicáveis à celebração de um acordo de exclusividade</w:t>
            </w:r>
          </w:p>
        </w:tc>
        <w:tc>
          <w:tcPr>
            <w:tcW w:w="2070" w:type="dxa"/>
          </w:tcPr>
          <w:p w14:paraId="6A07CF9E" w14:textId="77777777" w:rsidR="009C4CDA" w:rsidRPr="000D0D06" w:rsidRDefault="009C4CDA" w:rsidP="009C4CDA">
            <w:pPr>
              <w:spacing w:line="259" w:lineRule="auto"/>
              <w:jc w:val="left"/>
              <w:rPr>
                <w:noProof/>
              </w:rPr>
            </w:pPr>
            <w:r w:rsidRPr="000D0D06">
              <w:rPr>
                <w:i/>
                <w:iCs/>
                <w:noProof/>
              </w:rPr>
              <w:t>Ad hoc</w:t>
            </w:r>
          </w:p>
          <w:p w14:paraId="48B4D284" w14:textId="77777777" w:rsidR="009C4CDA" w:rsidRPr="000D0D06" w:rsidRDefault="009C4CDA" w:rsidP="009C4CDA">
            <w:pPr>
              <w:spacing w:line="259" w:lineRule="auto"/>
              <w:jc w:val="left"/>
              <w:rPr>
                <w:noProof/>
              </w:rPr>
            </w:pPr>
          </w:p>
        </w:tc>
      </w:tr>
      <w:tr w:rsidR="009C4CDA" w:rsidRPr="000D0D06" w14:paraId="50267DC0" w14:textId="77777777">
        <w:trPr>
          <w:trHeight w:val="300"/>
        </w:trPr>
        <w:tc>
          <w:tcPr>
            <w:tcW w:w="3448" w:type="dxa"/>
          </w:tcPr>
          <w:p w14:paraId="0EDAD459" w14:textId="01E5F474" w:rsidR="009C4CDA" w:rsidRPr="000D0D06" w:rsidRDefault="009C4CDA" w:rsidP="009C4CDA">
            <w:pPr>
              <w:jc w:val="left"/>
              <w:rPr>
                <w:noProof/>
              </w:rPr>
            </w:pPr>
            <w:r w:rsidRPr="000D0D06">
              <w:rPr>
                <w:noProof/>
              </w:rPr>
              <w:t xml:space="preserve">Condições em que é permitida a reutilização de dados ou documentos a que se refere o artigo 2.º, ponto 54 </w:t>
            </w:r>
          </w:p>
        </w:tc>
        <w:tc>
          <w:tcPr>
            <w:tcW w:w="2419" w:type="dxa"/>
          </w:tcPr>
          <w:p w14:paraId="7C11087C" w14:textId="77777777" w:rsidR="009C4CDA" w:rsidRPr="000D0D06" w:rsidRDefault="009C4CDA" w:rsidP="009C4CDA">
            <w:pPr>
              <w:jc w:val="left"/>
              <w:rPr>
                <w:noProof/>
              </w:rPr>
            </w:pPr>
            <w:r w:rsidRPr="000D0D06">
              <w:rPr>
                <w:noProof/>
              </w:rPr>
              <w:t>Artigo 1.º</w:t>
            </w:r>
          </w:p>
          <w:p w14:paraId="347F790E" w14:textId="77777777" w:rsidR="009C4CDA" w:rsidRPr="000D0D06" w:rsidRDefault="009C4CDA" w:rsidP="009C4CDA">
            <w:pPr>
              <w:jc w:val="left"/>
              <w:rPr>
                <w:noProof/>
              </w:rPr>
            </w:pPr>
            <w:r w:rsidRPr="000D0D06">
              <w:rPr>
                <w:i/>
                <w:noProof/>
              </w:rPr>
              <w:t>Aditamento do artigo 32.º-Z ao Regulamento dos Dados</w:t>
            </w:r>
            <w:r w:rsidRPr="000D0D06">
              <w:rPr>
                <w:noProof/>
              </w:rPr>
              <w:t xml:space="preserve"> </w:t>
            </w:r>
          </w:p>
        </w:tc>
        <w:tc>
          <w:tcPr>
            <w:tcW w:w="2029" w:type="dxa"/>
          </w:tcPr>
          <w:p w14:paraId="1953D93E" w14:textId="77777777" w:rsidR="009C4CDA" w:rsidRPr="000D0D06" w:rsidRDefault="009C4CDA" w:rsidP="009C4CDA">
            <w:pPr>
              <w:spacing w:line="259" w:lineRule="auto"/>
              <w:jc w:val="left"/>
              <w:rPr>
                <w:noProof/>
              </w:rPr>
            </w:pPr>
            <w:r w:rsidRPr="000D0D06">
              <w:rPr>
                <w:noProof/>
              </w:rPr>
              <w:t>Organismos do setor público (competentes para deferir ou indeferir pedidos de acesso)</w:t>
            </w:r>
          </w:p>
        </w:tc>
        <w:tc>
          <w:tcPr>
            <w:tcW w:w="2143" w:type="dxa"/>
          </w:tcPr>
          <w:p w14:paraId="40C1DA1E" w14:textId="77777777" w:rsidR="009C4CDA" w:rsidRPr="000D0D06" w:rsidRDefault="009C4CDA" w:rsidP="009C4CDA">
            <w:pPr>
              <w:spacing w:line="259" w:lineRule="auto"/>
              <w:jc w:val="left"/>
              <w:rPr>
                <w:noProof/>
              </w:rPr>
            </w:pPr>
            <w:r w:rsidRPr="000D0D06">
              <w:rPr>
                <w:noProof/>
              </w:rPr>
              <w:t>Público em geral</w:t>
            </w:r>
          </w:p>
        </w:tc>
        <w:tc>
          <w:tcPr>
            <w:tcW w:w="2483" w:type="dxa"/>
          </w:tcPr>
          <w:p w14:paraId="67D98C62" w14:textId="77777777" w:rsidR="009C4CDA" w:rsidRPr="000D0D06" w:rsidRDefault="009C4CDA" w:rsidP="009C4CDA">
            <w:pPr>
              <w:spacing w:line="259" w:lineRule="auto"/>
              <w:jc w:val="left"/>
              <w:rPr>
                <w:noProof/>
              </w:rPr>
            </w:pPr>
            <w:r w:rsidRPr="000D0D06">
              <w:rPr>
                <w:noProof/>
              </w:rPr>
              <w:t>Quando deferem a reutilização de dados ou documentos</w:t>
            </w:r>
          </w:p>
        </w:tc>
        <w:tc>
          <w:tcPr>
            <w:tcW w:w="2070" w:type="dxa"/>
          </w:tcPr>
          <w:p w14:paraId="1FEB837D" w14:textId="77777777" w:rsidR="009C4CDA" w:rsidRPr="000D0D06" w:rsidRDefault="009C4CDA" w:rsidP="009C4CDA">
            <w:pPr>
              <w:spacing w:line="259" w:lineRule="auto"/>
              <w:jc w:val="left"/>
              <w:rPr>
                <w:noProof/>
              </w:rPr>
            </w:pPr>
            <w:r w:rsidRPr="000D0D06">
              <w:rPr>
                <w:i/>
                <w:iCs/>
                <w:noProof/>
              </w:rPr>
              <w:t>Ad hoc</w:t>
            </w:r>
          </w:p>
          <w:p w14:paraId="29201DDD" w14:textId="77777777" w:rsidR="009C4CDA" w:rsidRPr="000D0D06" w:rsidRDefault="009C4CDA" w:rsidP="009C4CDA">
            <w:pPr>
              <w:spacing w:line="259" w:lineRule="auto"/>
              <w:jc w:val="left"/>
              <w:rPr>
                <w:noProof/>
              </w:rPr>
            </w:pPr>
          </w:p>
        </w:tc>
      </w:tr>
      <w:tr w:rsidR="009C4CDA" w:rsidRPr="000D0D06" w14:paraId="660B3C1E" w14:textId="77777777">
        <w:trPr>
          <w:trHeight w:val="300"/>
        </w:trPr>
        <w:tc>
          <w:tcPr>
            <w:tcW w:w="3448" w:type="dxa"/>
          </w:tcPr>
          <w:p w14:paraId="6FB3201D" w14:textId="77777777" w:rsidR="009C4CDA" w:rsidRPr="000D0D06" w:rsidRDefault="009C4CDA" w:rsidP="009C4CDA">
            <w:pPr>
              <w:jc w:val="left"/>
              <w:rPr>
                <w:noProof/>
              </w:rPr>
            </w:pPr>
            <w:r w:rsidRPr="000D0D06">
              <w:rPr>
                <w:noProof/>
              </w:rPr>
              <w:t>Notificação da reutilização não autorizada de dados não pessoais</w:t>
            </w:r>
          </w:p>
        </w:tc>
        <w:tc>
          <w:tcPr>
            <w:tcW w:w="2419" w:type="dxa"/>
          </w:tcPr>
          <w:p w14:paraId="45E3F1EB" w14:textId="77777777" w:rsidR="009C4CDA" w:rsidRPr="000D0D06" w:rsidRDefault="009C4CDA" w:rsidP="009C4CDA">
            <w:pPr>
              <w:jc w:val="left"/>
              <w:rPr>
                <w:noProof/>
              </w:rPr>
            </w:pPr>
            <w:r w:rsidRPr="000D0D06">
              <w:rPr>
                <w:noProof/>
              </w:rPr>
              <w:t>Artigo 1.º</w:t>
            </w:r>
          </w:p>
          <w:p w14:paraId="54C4A81A" w14:textId="77777777" w:rsidR="009C4CDA" w:rsidRPr="000D0D06" w:rsidRDefault="009C4CDA" w:rsidP="009C4CDA">
            <w:pPr>
              <w:jc w:val="left"/>
              <w:rPr>
                <w:i/>
                <w:iCs/>
                <w:noProof/>
              </w:rPr>
            </w:pPr>
            <w:r w:rsidRPr="000D0D06">
              <w:rPr>
                <w:i/>
                <w:noProof/>
              </w:rPr>
              <w:t>Aditamento do artigo 32.º-Z ao Regulamento dos Dados</w:t>
            </w:r>
          </w:p>
        </w:tc>
        <w:tc>
          <w:tcPr>
            <w:tcW w:w="2029" w:type="dxa"/>
          </w:tcPr>
          <w:p w14:paraId="1771BE39" w14:textId="77777777" w:rsidR="009C4CDA" w:rsidRPr="000D0D06" w:rsidRDefault="009C4CDA" w:rsidP="009C4CDA">
            <w:pPr>
              <w:spacing w:line="259" w:lineRule="auto"/>
              <w:jc w:val="left"/>
              <w:rPr>
                <w:noProof/>
              </w:rPr>
            </w:pPr>
            <w:r w:rsidRPr="000D0D06">
              <w:rPr>
                <w:noProof/>
              </w:rPr>
              <w:t>Reutilizador (eventualmente com a assistência do organismo do setor público)</w:t>
            </w:r>
          </w:p>
        </w:tc>
        <w:tc>
          <w:tcPr>
            <w:tcW w:w="2143" w:type="dxa"/>
          </w:tcPr>
          <w:p w14:paraId="019B3CD8" w14:textId="77777777" w:rsidR="009C4CDA" w:rsidRPr="000D0D06" w:rsidRDefault="009C4CDA" w:rsidP="009C4CDA">
            <w:pPr>
              <w:spacing w:line="259" w:lineRule="auto"/>
              <w:jc w:val="left"/>
              <w:rPr>
                <w:noProof/>
              </w:rPr>
            </w:pPr>
            <w:r w:rsidRPr="000D0D06">
              <w:rPr>
                <w:noProof/>
              </w:rPr>
              <w:t>Pessoas singulares ou coletivas cujos direitos e interesses possam ser afetados</w:t>
            </w:r>
          </w:p>
        </w:tc>
        <w:tc>
          <w:tcPr>
            <w:tcW w:w="2483" w:type="dxa"/>
          </w:tcPr>
          <w:p w14:paraId="3B79DD6C" w14:textId="77777777" w:rsidR="009C4CDA" w:rsidRPr="000D0D06" w:rsidRDefault="009C4CDA" w:rsidP="009C4CDA">
            <w:pPr>
              <w:spacing w:line="259" w:lineRule="auto"/>
              <w:jc w:val="left"/>
              <w:rPr>
                <w:noProof/>
              </w:rPr>
            </w:pPr>
            <w:r w:rsidRPr="000D0D06">
              <w:rPr>
                <w:noProof/>
              </w:rPr>
              <w:t>Reutilização não autorizada efetuada</w:t>
            </w:r>
          </w:p>
        </w:tc>
        <w:tc>
          <w:tcPr>
            <w:tcW w:w="2070" w:type="dxa"/>
          </w:tcPr>
          <w:p w14:paraId="4D303F7E" w14:textId="77777777" w:rsidR="009C4CDA" w:rsidRPr="000D0D06" w:rsidRDefault="009C4CDA" w:rsidP="009C4CDA">
            <w:pPr>
              <w:spacing w:line="259" w:lineRule="auto"/>
              <w:jc w:val="left"/>
              <w:rPr>
                <w:noProof/>
              </w:rPr>
            </w:pPr>
            <w:r w:rsidRPr="000D0D06">
              <w:rPr>
                <w:i/>
                <w:iCs/>
                <w:noProof/>
              </w:rPr>
              <w:t>Ad hoc</w:t>
            </w:r>
          </w:p>
          <w:p w14:paraId="4F00A01C" w14:textId="77777777" w:rsidR="009C4CDA" w:rsidRPr="000D0D06" w:rsidRDefault="009C4CDA" w:rsidP="009C4CDA">
            <w:pPr>
              <w:spacing w:line="259" w:lineRule="auto"/>
              <w:jc w:val="left"/>
              <w:rPr>
                <w:noProof/>
              </w:rPr>
            </w:pPr>
          </w:p>
        </w:tc>
      </w:tr>
      <w:tr w:rsidR="009C4CDA" w:rsidRPr="000D0D06" w14:paraId="52AE545A" w14:textId="77777777">
        <w:trPr>
          <w:trHeight w:val="300"/>
        </w:trPr>
        <w:tc>
          <w:tcPr>
            <w:tcW w:w="3448" w:type="dxa"/>
          </w:tcPr>
          <w:p w14:paraId="580E44F5" w14:textId="77777777" w:rsidR="009C4CDA" w:rsidRPr="000D0D06" w:rsidRDefault="009C4CDA" w:rsidP="009C4CDA">
            <w:pPr>
              <w:jc w:val="left"/>
              <w:rPr>
                <w:noProof/>
              </w:rPr>
            </w:pPr>
            <w:r w:rsidRPr="000D0D06">
              <w:rPr>
                <w:noProof/>
              </w:rPr>
              <w:t xml:space="preserve">Notificação da intenção de transferir dados não pessoais para um país terceiro e da finalidade dessa transferência (no caso do organismo do setor público) </w:t>
            </w:r>
          </w:p>
        </w:tc>
        <w:tc>
          <w:tcPr>
            <w:tcW w:w="2419" w:type="dxa"/>
          </w:tcPr>
          <w:p w14:paraId="367840B9" w14:textId="77F06365" w:rsidR="009C4CDA" w:rsidRPr="000D0D06" w:rsidRDefault="009C4CDA" w:rsidP="009C4CDA">
            <w:pPr>
              <w:jc w:val="left"/>
              <w:rPr>
                <w:noProof/>
              </w:rPr>
            </w:pPr>
            <w:r w:rsidRPr="000D0D06">
              <w:rPr>
                <w:noProof/>
              </w:rPr>
              <w:t>Artigo 1.º</w:t>
            </w:r>
          </w:p>
          <w:p w14:paraId="3E57CB41" w14:textId="77777777" w:rsidR="009C4CDA" w:rsidRPr="000D0D06" w:rsidRDefault="009C4CDA" w:rsidP="009C4CDA">
            <w:pPr>
              <w:jc w:val="left"/>
              <w:rPr>
                <w:i/>
                <w:iCs/>
                <w:noProof/>
              </w:rPr>
            </w:pPr>
            <w:r w:rsidRPr="000D0D06">
              <w:rPr>
                <w:i/>
                <w:noProof/>
              </w:rPr>
              <w:t>Aditamento do artigo 32.º-AA ao Regulamento dos Dados</w:t>
            </w:r>
          </w:p>
        </w:tc>
        <w:tc>
          <w:tcPr>
            <w:tcW w:w="2029" w:type="dxa"/>
          </w:tcPr>
          <w:p w14:paraId="491D527B" w14:textId="77777777" w:rsidR="009C4CDA" w:rsidRPr="000D0D06" w:rsidRDefault="009C4CDA" w:rsidP="009C4CDA">
            <w:pPr>
              <w:spacing w:line="259" w:lineRule="auto"/>
              <w:jc w:val="left"/>
              <w:rPr>
                <w:noProof/>
              </w:rPr>
            </w:pPr>
            <w:r w:rsidRPr="000D0D06">
              <w:rPr>
                <w:noProof/>
              </w:rPr>
              <w:t>Reutilizador</w:t>
            </w:r>
          </w:p>
        </w:tc>
        <w:tc>
          <w:tcPr>
            <w:tcW w:w="2143" w:type="dxa"/>
          </w:tcPr>
          <w:p w14:paraId="04F218AC" w14:textId="77777777" w:rsidR="009C4CDA" w:rsidRPr="000D0D06" w:rsidRDefault="009C4CDA" w:rsidP="009C4CDA">
            <w:pPr>
              <w:spacing w:line="259" w:lineRule="auto"/>
              <w:jc w:val="left"/>
              <w:rPr>
                <w:noProof/>
              </w:rPr>
            </w:pPr>
            <w:r w:rsidRPr="000D0D06">
              <w:rPr>
                <w:noProof/>
              </w:rPr>
              <w:t>Entidade do setor público</w:t>
            </w:r>
          </w:p>
        </w:tc>
        <w:tc>
          <w:tcPr>
            <w:tcW w:w="2483" w:type="dxa"/>
          </w:tcPr>
          <w:p w14:paraId="56A925BF" w14:textId="77777777" w:rsidR="009C4CDA" w:rsidRPr="000D0D06" w:rsidRDefault="009C4CDA" w:rsidP="009C4CDA">
            <w:pPr>
              <w:spacing w:line="259" w:lineRule="auto"/>
              <w:jc w:val="left"/>
              <w:rPr>
                <w:noProof/>
              </w:rPr>
            </w:pPr>
            <w:r w:rsidRPr="000D0D06">
              <w:rPr>
                <w:noProof/>
              </w:rPr>
              <w:t>Intenção de transferir dados para um país terceiro</w:t>
            </w:r>
          </w:p>
        </w:tc>
        <w:tc>
          <w:tcPr>
            <w:tcW w:w="2070" w:type="dxa"/>
          </w:tcPr>
          <w:p w14:paraId="3219F11F" w14:textId="77777777" w:rsidR="009C4CDA" w:rsidRPr="000D0D06" w:rsidRDefault="009C4CDA" w:rsidP="009C4CDA">
            <w:pPr>
              <w:spacing w:line="259" w:lineRule="auto"/>
              <w:jc w:val="left"/>
              <w:rPr>
                <w:noProof/>
              </w:rPr>
            </w:pPr>
            <w:r w:rsidRPr="000D0D06">
              <w:rPr>
                <w:i/>
                <w:iCs/>
                <w:noProof/>
              </w:rPr>
              <w:t>Ad hoc</w:t>
            </w:r>
          </w:p>
          <w:p w14:paraId="2843F8D9" w14:textId="77777777" w:rsidR="009C4CDA" w:rsidRPr="000D0D06" w:rsidRDefault="009C4CDA" w:rsidP="009C4CDA">
            <w:pPr>
              <w:spacing w:line="259" w:lineRule="auto"/>
              <w:jc w:val="left"/>
              <w:rPr>
                <w:noProof/>
              </w:rPr>
            </w:pPr>
          </w:p>
        </w:tc>
      </w:tr>
      <w:tr w:rsidR="009C4CDA" w:rsidRPr="000D0D06" w14:paraId="62EC94EC" w14:textId="77777777">
        <w:trPr>
          <w:trHeight w:val="300"/>
        </w:trPr>
        <w:tc>
          <w:tcPr>
            <w:tcW w:w="3448" w:type="dxa"/>
          </w:tcPr>
          <w:p w14:paraId="04E6F164" w14:textId="6DDFB5F1" w:rsidR="009C4CDA" w:rsidRPr="000D0D06" w:rsidRDefault="009C4CDA" w:rsidP="009C4CDA">
            <w:pPr>
              <w:jc w:val="left"/>
              <w:rPr>
                <w:noProof/>
              </w:rPr>
            </w:pPr>
            <w:r w:rsidRPr="000D0D06">
              <w:rPr>
                <w:noProof/>
              </w:rPr>
              <w:t xml:space="preserve">Notificação da intenção de transferir dados não pessoais para um país terceiro, da finalidade dessa transferência e das garantias adequadas (no caso da pessoa singular ou coletiva cujos direitos e interesses possam ser afetados) </w:t>
            </w:r>
          </w:p>
        </w:tc>
        <w:tc>
          <w:tcPr>
            <w:tcW w:w="2419" w:type="dxa"/>
          </w:tcPr>
          <w:p w14:paraId="2AC74400" w14:textId="5C221CF7" w:rsidR="009C4CDA" w:rsidRPr="000D0D06" w:rsidRDefault="009C4CDA" w:rsidP="009C4CDA">
            <w:pPr>
              <w:jc w:val="left"/>
              <w:rPr>
                <w:noProof/>
              </w:rPr>
            </w:pPr>
            <w:r w:rsidRPr="000D0D06">
              <w:rPr>
                <w:noProof/>
              </w:rPr>
              <w:t>Artigo 1.º</w:t>
            </w:r>
          </w:p>
          <w:p w14:paraId="39887018" w14:textId="77777777" w:rsidR="009C4CDA" w:rsidRPr="000D0D06" w:rsidRDefault="009C4CDA" w:rsidP="009C4CDA">
            <w:pPr>
              <w:jc w:val="left"/>
              <w:rPr>
                <w:i/>
                <w:iCs/>
                <w:noProof/>
              </w:rPr>
            </w:pPr>
            <w:r w:rsidRPr="000D0D06">
              <w:rPr>
                <w:i/>
                <w:noProof/>
              </w:rPr>
              <w:t>Aditamento do artigo 32.º-AA ao Regulamento dos Dados</w:t>
            </w:r>
          </w:p>
        </w:tc>
        <w:tc>
          <w:tcPr>
            <w:tcW w:w="2029" w:type="dxa"/>
          </w:tcPr>
          <w:p w14:paraId="4241161F" w14:textId="77777777" w:rsidR="009C4CDA" w:rsidRPr="000D0D06" w:rsidRDefault="009C4CDA" w:rsidP="009C4CDA">
            <w:pPr>
              <w:spacing w:line="259" w:lineRule="auto"/>
              <w:jc w:val="left"/>
              <w:rPr>
                <w:noProof/>
              </w:rPr>
            </w:pPr>
            <w:r w:rsidRPr="000D0D06">
              <w:rPr>
                <w:noProof/>
              </w:rPr>
              <w:t>Reutilizador (eventualmente com a assistência do organismo do setor público)</w:t>
            </w:r>
          </w:p>
        </w:tc>
        <w:tc>
          <w:tcPr>
            <w:tcW w:w="2143" w:type="dxa"/>
          </w:tcPr>
          <w:p w14:paraId="55FA6F17" w14:textId="77777777" w:rsidR="009C4CDA" w:rsidRPr="000D0D06" w:rsidRDefault="009C4CDA" w:rsidP="009C4CDA">
            <w:pPr>
              <w:spacing w:line="259" w:lineRule="auto"/>
              <w:jc w:val="left"/>
              <w:rPr>
                <w:noProof/>
              </w:rPr>
            </w:pPr>
            <w:r w:rsidRPr="000D0D06">
              <w:rPr>
                <w:noProof/>
              </w:rPr>
              <w:t>Pessoa singular ou coletiva cujos direitos e interesses possam ser afetados</w:t>
            </w:r>
          </w:p>
        </w:tc>
        <w:tc>
          <w:tcPr>
            <w:tcW w:w="2483" w:type="dxa"/>
          </w:tcPr>
          <w:p w14:paraId="0384984E" w14:textId="77777777" w:rsidR="009C4CDA" w:rsidRPr="000D0D06" w:rsidRDefault="009C4CDA" w:rsidP="009C4CDA">
            <w:pPr>
              <w:spacing w:line="259" w:lineRule="auto"/>
              <w:jc w:val="left"/>
              <w:rPr>
                <w:noProof/>
              </w:rPr>
            </w:pPr>
            <w:r w:rsidRPr="000D0D06">
              <w:rPr>
                <w:noProof/>
              </w:rPr>
              <w:t>Intenção de transferir dados para um país terceiro</w:t>
            </w:r>
          </w:p>
        </w:tc>
        <w:tc>
          <w:tcPr>
            <w:tcW w:w="2070" w:type="dxa"/>
          </w:tcPr>
          <w:p w14:paraId="10D39EBD" w14:textId="77777777" w:rsidR="009C4CDA" w:rsidRPr="000D0D06" w:rsidRDefault="009C4CDA" w:rsidP="009C4CDA">
            <w:pPr>
              <w:spacing w:line="259" w:lineRule="auto"/>
              <w:jc w:val="left"/>
              <w:rPr>
                <w:noProof/>
              </w:rPr>
            </w:pPr>
            <w:r w:rsidRPr="000D0D06">
              <w:rPr>
                <w:i/>
                <w:iCs/>
                <w:noProof/>
              </w:rPr>
              <w:t>Ad hoc</w:t>
            </w:r>
          </w:p>
          <w:p w14:paraId="217D6731" w14:textId="77777777" w:rsidR="009C4CDA" w:rsidRPr="000D0D06" w:rsidRDefault="009C4CDA" w:rsidP="009C4CDA">
            <w:pPr>
              <w:spacing w:line="259" w:lineRule="auto"/>
              <w:jc w:val="left"/>
              <w:rPr>
                <w:noProof/>
              </w:rPr>
            </w:pPr>
          </w:p>
        </w:tc>
      </w:tr>
      <w:tr w:rsidR="009C4CDA" w:rsidRPr="000D0D06" w14:paraId="4544EBC9" w14:textId="77777777">
        <w:trPr>
          <w:trHeight w:val="300"/>
        </w:trPr>
        <w:tc>
          <w:tcPr>
            <w:tcW w:w="3448" w:type="dxa"/>
          </w:tcPr>
          <w:p w14:paraId="2919FE92" w14:textId="77777777" w:rsidR="009C4CDA" w:rsidRPr="000D0D06" w:rsidRDefault="009C4CDA" w:rsidP="009C4CDA">
            <w:pPr>
              <w:jc w:val="left"/>
              <w:rPr>
                <w:noProof/>
              </w:rPr>
            </w:pPr>
            <w:r w:rsidRPr="000D0D06">
              <w:rPr>
                <w:noProof/>
              </w:rPr>
              <w:t>Todas as informações pertinentes relativas à aplicação dos artigos 32.º-Z [condições de reutilização], 32.º-AA [países terceiros] e 32.º-AB [taxas] do Regulamento dos Dados.</w:t>
            </w:r>
          </w:p>
        </w:tc>
        <w:tc>
          <w:tcPr>
            <w:tcW w:w="2419" w:type="dxa"/>
          </w:tcPr>
          <w:p w14:paraId="654802E6" w14:textId="77777777" w:rsidR="009C4CDA" w:rsidRPr="000D0D06" w:rsidRDefault="009C4CDA" w:rsidP="009C4CDA">
            <w:pPr>
              <w:jc w:val="left"/>
              <w:rPr>
                <w:noProof/>
              </w:rPr>
            </w:pPr>
            <w:r w:rsidRPr="000D0D06">
              <w:rPr>
                <w:noProof/>
              </w:rPr>
              <w:t>Artigo 1.º</w:t>
            </w:r>
          </w:p>
          <w:p w14:paraId="16A425EC" w14:textId="77777777" w:rsidR="009C4CDA" w:rsidRPr="000D0D06" w:rsidRDefault="009C4CDA" w:rsidP="009C4CDA">
            <w:pPr>
              <w:jc w:val="left"/>
              <w:rPr>
                <w:i/>
                <w:iCs/>
                <w:noProof/>
              </w:rPr>
            </w:pPr>
            <w:r w:rsidRPr="000D0D06">
              <w:rPr>
                <w:i/>
                <w:noProof/>
              </w:rPr>
              <w:t>Aditamento do artigo 32.º-AD ao Regulamento dos Dados</w:t>
            </w:r>
          </w:p>
        </w:tc>
        <w:tc>
          <w:tcPr>
            <w:tcW w:w="2029" w:type="dxa"/>
          </w:tcPr>
          <w:p w14:paraId="324F8595" w14:textId="77777777" w:rsidR="009C4CDA" w:rsidRPr="000D0D06" w:rsidRDefault="009C4CDA" w:rsidP="009C4CDA">
            <w:pPr>
              <w:spacing w:line="259" w:lineRule="auto"/>
              <w:jc w:val="left"/>
              <w:rPr>
                <w:noProof/>
              </w:rPr>
            </w:pPr>
            <w:r w:rsidRPr="000D0D06">
              <w:rPr>
                <w:noProof/>
              </w:rPr>
              <w:t>Estados-Membros</w:t>
            </w:r>
          </w:p>
        </w:tc>
        <w:tc>
          <w:tcPr>
            <w:tcW w:w="2143" w:type="dxa"/>
          </w:tcPr>
          <w:p w14:paraId="2FC47D78" w14:textId="77777777" w:rsidR="009C4CDA" w:rsidRPr="000D0D06" w:rsidRDefault="009C4CDA" w:rsidP="009C4CDA">
            <w:pPr>
              <w:spacing w:line="259" w:lineRule="auto"/>
              <w:jc w:val="left"/>
              <w:rPr>
                <w:noProof/>
              </w:rPr>
            </w:pPr>
            <w:r w:rsidRPr="000D0D06">
              <w:rPr>
                <w:noProof/>
              </w:rPr>
              <w:t>Disponíveis para os utilizadores do ponto de informação único</w:t>
            </w:r>
          </w:p>
        </w:tc>
        <w:tc>
          <w:tcPr>
            <w:tcW w:w="2483" w:type="dxa"/>
          </w:tcPr>
          <w:p w14:paraId="200E445B" w14:textId="77777777" w:rsidR="009C4CDA" w:rsidRPr="000D0D06" w:rsidRDefault="009C4CDA" w:rsidP="009C4CDA">
            <w:pPr>
              <w:spacing w:line="259" w:lineRule="auto"/>
              <w:jc w:val="left"/>
              <w:rPr>
                <w:noProof/>
              </w:rPr>
            </w:pPr>
            <w:r w:rsidRPr="000D0D06">
              <w:rPr>
                <w:noProof/>
              </w:rPr>
              <w:t>É necessário fornecer informações pertinentes</w:t>
            </w:r>
          </w:p>
        </w:tc>
        <w:tc>
          <w:tcPr>
            <w:tcW w:w="2070" w:type="dxa"/>
          </w:tcPr>
          <w:p w14:paraId="5E610FC7" w14:textId="77777777" w:rsidR="009C4CDA" w:rsidRPr="000D0D06" w:rsidRDefault="009C4CDA" w:rsidP="009C4CDA">
            <w:pPr>
              <w:spacing w:line="259" w:lineRule="auto"/>
              <w:jc w:val="left"/>
              <w:rPr>
                <w:noProof/>
              </w:rPr>
            </w:pPr>
            <w:r w:rsidRPr="000D0D06">
              <w:rPr>
                <w:i/>
                <w:iCs/>
                <w:noProof/>
              </w:rPr>
              <w:t>Ad hoc</w:t>
            </w:r>
          </w:p>
          <w:p w14:paraId="4CA73263" w14:textId="77777777" w:rsidR="009C4CDA" w:rsidRPr="000D0D06" w:rsidRDefault="009C4CDA" w:rsidP="009C4CDA">
            <w:pPr>
              <w:spacing w:line="259" w:lineRule="auto"/>
              <w:jc w:val="left"/>
              <w:rPr>
                <w:noProof/>
              </w:rPr>
            </w:pPr>
          </w:p>
        </w:tc>
      </w:tr>
      <w:tr w:rsidR="009C4CDA" w:rsidRPr="000D0D06" w14:paraId="1DF8C726" w14:textId="77777777">
        <w:trPr>
          <w:trHeight w:val="300"/>
        </w:trPr>
        <w:tc>
          <w:tcPr>
            <w:tcW w:w="3448" w:type="dxa"/>
          </w:tcPr>
          <w:p w14:paraId="00166679" w14:textId="77777777" w:rsidR="009C4CDA" w:rsidRPr="000D0D06" w:rsidRDefault="009C4CDA" w:rsidP="009C4CDA">
            <w:pPr>
              <w:jc w:val="left"/>
              <w:rPr>
                <w:noProof/>
              </w:rPr>
            </w:pPr>
            <w:r w:rsidRPr="000D0D06">
              <w:rPr>
                <w:noProof/>
              </w:rPr>
              <w:t xml:space="preserve">Reclamação apresentada por pessoas singulares/coletivas em caso de violação dos seus direitos ao abrigo do Regulamento dos Dados ou no que diz respeito a outras questões pertinentes </w:t>
            </w:r>
          </w:p>
        </w:tc>
        <w:tc>
          <w:tcPr>
            <w:tcW w:w="2419" w:type="dxa"/>
          </w:tcPr>
          <w:p w14:paraId="7665EB5F" w14:textId="23BE1290" w:rsidR="009C4CDA" w:rsidRPr="000D0D06" w:rsidRDefault="009C4CDA" w:rsidP="009C4CDA">
            <w:pPr>
              <w:jc w:val="left"/>
              <w:rPr>
                <w:noProof/>
              </w:rPr>
            </w:pPr>
            <w:r w:rsidRPr="000D0D06">
              <w:rPr>
                <w:noProof/>
              </w:rPr>
              <w:t>Artigo 1.º</w:t>
            </w:r>
          </w:p>
          <w:p w14:paraId="3F039D4A" w14:textId="77777777" w:rsidR="009C4CDA" w:rsidRPr="000D0D06" w:rsidRDefault="009C4CDA" w:rsidP="009C4CDA">
            <w:pPr>
              <w:jc w:val="left"/>
              <w:rPr>
                <w:i/>
                <w:iCs/>
                <w:noProof/>
              </w:rPr>
            </w:pPr>
            <w:r w:rsidRPr="000D0D06">
              <w:rPr>
                <w:i/>
                <w:noProof/>
              </w:rPr>
              <w:t>Alteração do artigo 38.º, n.</w:t>
            </w:r>
            <w:r w:rsidRPr="000D0D06">
              <w:rPr>
                <w:i/>
                <w:noProof/>
                <w:vertAlign w:val="superscript"/>
              </w:rPr>
              <w:t>os</w:t>
            </w:r>
            <w:r w:rsidRPr="000D0D06">
              <w:rPr>
                <w:i/>
                <w:noProof/>
              </w:rPr>
              <w:t> 1 a 2, do Regulamento dos Dados</w:t>
            </w:r>
          </w:p>
        </w:tc>
        <w:tc>
          <w:tcPr>
            <w:tcW w:w="2029" w:type="dxa"/>
          </w:tcPr>
          <w:p w14:paraId="08B5F83A" w14:textId="77777777" w:rsidR="009C4CDA" w:rsidRPr="000D0D06" w:rsidRDefault="009C4CDA" w:rsidP="009C4CDA">
            <w:pPr>
              <w:spacing w:line="259" w:lineRule="auto"/>
              <w:jc w:val="left"/>
              <w:rPr>
                <w:noProof/>
              </w:rPr>
            </w:pPr>
            <w:r w:rsidRPr="000D0D06">
              <w:rPr>
                <w:noProof/>
              </w:rPr>
              <w:t>Pessoas singulares ou coletivas</w:t>
            </w:r>
          </w:p>
        </w:tc>
        <w:tc>
          <w:tcPr>
            <w:tcW w:w="2143" w:type="dxa"/>
          </w:tcPr>
          <w:p w14:paraId="48008277" w14:textId="77777777" w:rsidR="009C4CDA" w:rsidRPr="000D0D06" w:rsidRDefault="009C4CDA" w:rsidP="009C4CDA">
            <w:pPr>
              <w:spacing w:line="259" w:lineRule="auto"/>
              <w:jc w:val="left"/>
              <w:rPr>
                <w:noProof/>
              </w:rPr>
            </w:pPr>
            <w:r w:rsidRPr="000D0D06">
              <w:rPr>
                <w:noProof/>
              </w:rPr>
              <w:t>Autoridade competente pertinente no Estado-Membro em causa</w:t>
            </w:r>
          </w:p>
        </w:tc>
        <w:tc>
          <w:tcPr>
            <w:tcW w:w="2483" w:type="dxa"/>
          </w:tcPr>
          <w:p w14:paraId="5699EE50" w14:textId="77777777" w:rsidR="009C4CDA" w:rsidRPr="000D0D06" w:rsidRDefault="009C4CDA" w:rsidP="009C4CDA">
            <w:pPr>
              <w:spacing w:line="259" w:lineRule="auto"/>
              <w:jc w:val="left"/>
              <w:rPr>
                <w:noProof/>
              </w:rPr>
            </w:pPr>
            <w:r w:rsidRPr="000D0D06">
              <w:rPr>
                <w:noProof/>
              </w:rPr>
              <w:t>Reclamação a apresentar</w:t>
            </w:r>
          </w:p>
        </w:tc>
        <w:tc>
          <w:tcPr>
            <w:tcW w:w="2070" w:type="dxa"/>
          </w:tcPr>
          <w:p w14:paraId="6A586028" w14:textId="77777777" w:rsidR="009C4CDA" w:rsidRPr="000D0D06" w:rsidRDefault="009C4CDA" w:rsidP="009C4CDA">
            <w:pPr>
              <w:spacing w:line="259" w:lineRule="auto"/>
              <w:jc w:val="left"/>
              <w:rPr>
                <w:noProof/>
              </w:rPr>
            </w:pPr>
            <w:r w:rsidRPr="000D0D06">
              <w:rPr>
                <w:i/>
                <w:iCs/>
                <w:noProof/>
              </w:rPr>
              <w:t>Ad hoc</w:t>
            </w:r>
          </w:p>
          <w:p w14:paraId="5B6DCA5A" w14:textId="77777777" w:rsidR="009C4CDA" w:rsidRPr="000D0D06" w:rsidRDefault="009C4CDA" w:rsidP="009C4CDA">
            <w:pPr>
              <w:spacing w:line="259" w:lineRule="auto"/>
              <w:jc w:val="left"/>
              <w:rPr>
                <w:noProof/>
              </w:rPr>
            </w:pPr>
          </w:p>
        </w:tc>
      </w:tr>
      <w:tr w:rsidR="009C4CDA" w:rsidRPr="000D0D06" w14:paraId="24346839" w14:textId="77777777">
        <w:trPr>
          <w:trHeight w:val="300"/>
        </w:trPr>
        <w:tc>
          <w:tcPr>
            <w:tcW w:w="3448" w:type="dxa"/>
          </w:tcPr>
          <w:p w14:paraId="6BFCB838" w14:textId="77777777" w:rsidR="009C4CDA" w:rsidRPr="000D0D06" w:rsidRDefault="009C4CDA" w:rsidP="009C4CDA">
            <w:pPr>
              <w:jc w:val="left"/>
              <w:rPr>
                <w:noProof/>
              </w:rPr>
            </w:pPr>
            <w:r w:rsidRPr="000D0D06">
              <w:rPr>
                <w:noProof/>
              </w:rPr>
              <w:t xml:space="preserve">Informações sobre o andamento dos processos/recursos judiciais relacionados com uma reclamação apresentada ao abrigo do Regulamento dos Dados </w:t>
            </w:r>
          </w:p>
        </w:tc>
        <w:tc>
          <w:tcPr>
            <w:tcW w:w="2419" w:type="dxa"/>
          </w:tcPr>
          <w:p w14:paraId="59343E1E" w14:textId="4DDAE831" w:rsidR="009C4CDA" w:rsidRPr="000D0D06" w:rsidRDefault="009C4CDA" w:rsidP="009C4CDA">
            <w:pPr>
              <w:jc w:val="left"/>
              <w:rPr>
                <w:noProof/>
              </w:rPr>
            </w:pPr>
            <w:r w:rsidRPr="000D0D06">
              <w:rPr>
                <w:noProof/>
              </w:rPr>
              <w:t>Artigo 1.º</w:t>
            </w:r>
          </w:p>
          <w:p w14:paraId="443FF5D1" w14:textId="77777777" w:rsidR="009C4CDA" w:rsidRPr="000D0D06" w:rsidRDefault="009C4CDA" w:rsidP="009C4CDA">
            <w:pPr>
              <w:jc w:val="left"/>
              <w:rPr>
                <w:i/>
                <w:iCs/>
                <w:noProof/>
              </w:rPr>
            </w:pPr>
            <w:r w:rsidRPr="000D0D06">
              <w:rPr>
                <w:i/>
                <w:noProof/>
              </w:rPr>
              <w:t>Alteração do artigo 38.º, n.</w:t>
            </w:r>
            <w:r w:rsidRPr="000D0D06">
              <w:rPr>
                <w:i/>
                <w:noProof/>
                <w:vertAlign w:val="superscript"/>
              </w:rPr>
              <w:t>os</w:t>
            </w:r>
            <w:r w:rsidRPr="000D0D06">
              <w:rPr>
                <w:i/>
                <w:noProof/>
              </w:rPr>
              <w:t> 1 a 2, do Regulamento dos Dados</w:t>
            </w:r>
          </w:p>
        </w:tc>
        <w:tc>
          <w:tcPr>
            <w:tcW w:w="2029" w:type="dxa"/>
          </w:tcPr>
          <w:p w14:paraId="64C6227F" w14:textId="77777777" w:rsidR="009C4CDA" w:rsidRPr="000D0D06" w:rsidRDefault="009C4CDA" w:rsidP="009C4CDA">
            <w:pPr>
              <w:spacing w:line="259" w:lineRule="auto"/>
              <w:jc w:val="left"/>
              <w:rPr>
                <w:noProof/>
              </w:rPr>
            </w:pPr>
            <w:r w:rsidRPr="000D0D06">
              <w:rPr>
                <w:noProof/>
              </w:rPr>
              <w:t xml:space="preserve">Autoridade competente pertinente </w:t>
            </w:r>
          </w:p>
        </w:tc>
        <w:tc>
          <w:tcPr>
            <w:tcW w:w="2143" w:type="dxa"/>
          </w:tcPr>
          <w:p w14:paraId="20265E98" w14:textId="77777777" w:rsidR="009C4CDA" w:rsidRPr="000D0D06" w:rsidRDefault="009C4CDA" w:rsidP="009C4CDA">
            <w:pPr>
              <w:spacing w:line="259" w:lineRule="auto"/>
              <w:jc w:val="left"/>
              <w:rPr>
                <w:noProof/>
              </w:rPr>
            </w:pPr>
            <w:r w:rsidRPr="000D0D06">
              <w:rPr>
                <w:noProof/>
              </w:rPr>
              <w:t>Pessoas singulares ou coletivas que apresentaram a reclamação</w:t>
            </w:r>
          </w:p>
        </w:tc>
        <w:tc>
          <w:tcPr>
            <w:tcW w:w="2483" w:type="dxa"/>
          </w:tcPr>
          <w:p w14:paraId="7B07BBBE" w14:textId="77777777" w:rsidR="009C4CDA" w:rsidRPr="000D0D06" w:rsidRDefault="009C4CDA" w:rsidP="009C4CDA">
            <w:pPr>
              <w:spacing w:line="259" w:lineRule="auto"/>
              <w:jc w:val="left"/>
              <w:rPr>
                <w:noProof/>
              </w:rPr>
            </w:pPr>
            <w:r w:rsidRPr="000D0D06">
              <w:rPr>
                <w:noProof/>
              </w:rPr>
              <w:t>Reclamação apresentada</w:t>
            </w:r>
          </w:p>
        </w:tc>
        <w:tc>
          <w:tcPr>
            <w:tcW w:w="2070" w:type="dxa"/>
          </w:tcPr>
          <w:p w14:paraId="72BA4FA6" w14:textId="77777777" w:rsidR="009C4CDA" w:rsidRPr="000D0D06" w:rsidRDefault="009C4CDA" w:rsidP="009C4CDA">
            <w:pPr>
              <w:spacing w:line="259" w:lineRule="auto"/>
              <w:jc w:val="left"/>
              <w:rPr>
                <w:noProof/>
              </w:rPr>
            </w:pPr>
            <w:r w:rsidRPr="000D0D06">
              <w:rPr>
                <w:i/>
                <w:iCs/>
                <w:noProof/>
              </w:rPr>
              <w:t>Ad hoc</w:t>
            </w:r>
          </w:p>
          <w:p w14:paraId="708E753C" w14:textId="77777777" w:rsidR="009C4CDA" w:rsidRPr="000D0D06" w:rsidRDefault="009C4CDA" w:rsidP="009C4CDA">
            <w:pPr>
              <w:spacing w:line="259" w:lineRule="auto"/>
              <w:jc w:val="left"/>
              <w:rPr>
                <w:noProof/>
              </w:rPr>
            </w:pPr>
          </w:p>
        </w:tc>
      </w:tr>
      <w:tr w:rsidR="009C4CDA" w:rsidRPr="000D0D06" w14:paraId="3F854CD2" w14:textId="77777777">
        <w:trPr>
          <w:trHeight w:val="300"/>
        </w:trPr>
        <w:tc>
          <w:tcPr>
            <w:tcW w:w="3448" w:type="dxa"/>
          </w:tcPr>
          <w:p w14:paraId="098F1C11" w14:textId="77777777" w:rsidR="009C4CDA" w:rsidRPr="000D0D06" w:rsidRDefault="009C4CDA" w:rsidP="009C4CDA">
            <w:pPr>
              <w:jc w:val="left"/>
              <w:rPr>
                <w:noProof/>
              </w:rPr>
            </w:pPr>
            <w:r w:rsidRPr="000D0D06">
              <w:rPr>
                <w:noProof/>
              </w:rPr>
              <w:t xml:space="preserve">Dados relativos à experiência e às boas práticas (Comité Europeu da Inovação de Dados) </w:t>
            </w:r>
          </w:p>
        </w:tc>
        <w:tc>
          <w:tcPr>
            <w:tcW w:w="2419" w:type="dxa"/>
          </w:tcPr>
          <w:p w14:paraId="523464FB" w14:textId="620A7D62" w:rsidR="009C4CDA" w:rsidRPr="000D0D06" w:rsidRDefault="009C4CDA" w:rsidP="009C4CDA">
            <w:pPr>
              <w:jc w:val="left"/>
              <w:rPr>
                <w:noProof/>
              </w:rPr>
            </w:pPr>
            <w:r w:rsidRPr="000D0D06">
              <w:rPr>
                <w:noProof/>
              </w:rPr>
              <w:t>Artigo 1.º</w:t>
            </w:r>
          </w:p>
          <w:p w14:paraId="3F12E2DA" w14:textId="77777777" w:rsidR="009C4CDA" w:rsidRPr="000D0D06" w:rsidRDefault="009C4CDA" w:rsidP="009C4CDA">
            <w:pPr>
              <w:jc w:val="left"/>
              <w:rPr>
                <w:i/>
                <w:iCs/>
                <w:noProof/>
              </w:rPr>
            </w:pPr>
            <w:r w:rsidRPr="000D0D06">
              <w:rPr>
                <w:i/>
                <w:noProof/>
              </w:rPr>
              <w:t>Aditamento do capítulo IX-A ao Regulamento dos Dados</w:t>
            </w:r>
          </w:p>
        </w:tc>
        <w:tc>
          <w:tcPr>
            <w:tcW w:w="2029" w:type="dxa"/>
          </w:tcPr>
          <w:p w14:paraId="52958DBA" w14:textId="77777777" w:rsidR="009C4CDA" w:rsidRPr="000D0D06" w:rsidRDefault="009C4CDA" w:rsidP="009C4CDA">
            <w:pPr>
              <w:spacing w:line="259" w:lineRule="auto"/>
              <w:jc w:val="left"/>
              <w:rPr>
                <w:noProof/>
              </w:rPr>
            </w:pPr>
            <w:r w:rsidRPr="000D0D06">
              <w:rPr>
                <w:noProof/>
              </w:rPr>
              <w:t>Comité Europeu da Inovação de Dados</w:t>
            </w:r>
          </w:p>
        </w:tc>
        <w:tc>
          <w:tcPr>
            <w:tcW w:w="2143" w:type="dxa"/>
          </w:tcPr>
          <w:p w14:paraId="4E6AEBD1" w14:textId="77777777" w:rsidR="009C4CDA" w:rsidRPr="000D0D06" w:rsidRDefault="009C4CDA" w:rsidP="009C4CDA">
            <w:pPr>
              <w:spacing w:line="259" w:lineRule="auto"/>
              <w:jc w:val="left"/>
              <w:rPr>
                <w:noProof/>
              </w:rPr>
            </w:pPr>
            <w:r w:rsidRPr="000D0D06">
              <w:rPr>
                <w:noProof/>
              </w:rPr>
              <w:t>Comissão; autoridades competentes</w:t>
            </w:r>
          </w:p>
        </w:tc>
        <w:tc>
          <w:tcPr>
            <w:tcW w:w="2483" w:type="dxa"/>
          </w:tcPr>
          <w:p w14:paraId="76E58332" w14:textId="77777777" w:rsidR="009C4CDA" w:rsidRPr="000D0D06" w:rsidRDefault="009C4CDA" w:rsidP="009C4CDA">
            <w:pPr>
              <w:spacing w:line="259" w:lineRule="auto"/>
              <w:jc w:val="left"/>
              <w:rPr>
                <w:noProof/>
              </w:rPr>
            </w:pPr>
            <w:r w:rsidRPr="000D0D06">
              <w:rPr>
                <w:noProof/>
              </w:rPr>
              <w:t>Dados a fornecer</w:t>
            </w:r>
          </w:p>
        </w:tc>
        <w:tc>
          <w:tcPr>
            <w:tcW w:w="2070" w:type="dxa"/>
          </w:tcPr>
          <w:p w14:paraId="5DE6FFEF" w14:textId="77777777" w:rsidR="009C4CDA" w:rsidRPr="000D0D06" w:rsidRDefault="009C4CDA" w:rsidP="009C4CDA">
            <w:pPr>
              <w:spacing w:line="259" w:lineRule="auto"/>
              <w:jc w:val="left"/>
              <w:rPr>
                <w:noProof/>
              </w:rPr>
            </w:pPr>
            <w:r w:rsidRPr="000D0D06">
              <w:rPr>
                <w:i/>
                <w:iCs/>
                <w:noProof/>
              </w:rPr>
              <w:t>Ad hoc</w:t>
            </w:r>
          </w:p>
          <w:p w14:paraId="01F56DE3" w14:textId="77777777" w:rsidR="009C4CDA" w:rsidRPr="000D0D06" w:rsidRDefault="009C4CDA" w:rsidP="009C4CDA">
            <w:pPr>
              <w:spacing w:line="259" w:lineRule="auto"/>
              <w:jc w:val="left"/>
              <w:rPr>
                <w:noProof/>
              </w:rPr>
            </w:pPr>
          </w:p>
        </w:tc>
      </w:tr>
      <w:tr w:rsidR="009C4CDA" w:rsidRPr="000D0D06" w14:paraId="1B2BE13B" w14:textId="77777777">
        <w:trPr>
          <w:trHeight w:val="300"/>
        </w:trPr>
        <w:tc>
          <w:tcPr>
            <w:tcW w:w="3448" w:type="dxa"/>
          </w:tcPr>
          <w:p w14:paraId="77E0E656" w14:textId="77777777" w:rsidR="009C4CDA" w:rsidRPr="000D0D06" w:rsidRDefault="009C4CDA" w:rsidP="009C4CDA">
            <w:pPr>
              <w:jc w:val="left"/>
              <w:rPr>
                <w:noProof/>
              </w:rPr>
            </w:pPr>
            <w:r w:rsidRPr="000D0D06">
              <w:rPr>
                <w:noProof/>
              </w:rPr>
              <w:t xml:space="preserve">Avaliação dos capítulos II, III, IV, V, VI, VII e VIII do Regulamento dos Dados </w:t>
            </w:r>
          </w:p>
          <w:p w14:paraId="09F15E1E" w14:textId="77777777" w:rsidR="009C4CDA" w:rsidRPr="000D0D06" w:rsidRDefault="009C4CDA" w:rsidP="009C4CDA">
            <w:pPr>
              <w:jc w:val="left"/>
              <w:rPr>
                <w:noProof/>
              </w:rPr>
            </w:pPr>
            <w:r w:rsidRPr="000D0D06">
              <w:rPr>
                <w:noProof/>
              </w:rPr>
              <w:t>Avaliação dos capítulos VII-A, VII-B e VII-C do Regulamento dos Dados</w:t>
            </w:r>
          </w:p>
        </w:tc>
        <w:tc>
          <w:tcPr>
            <w:tcW w:w="2419" w:type="dxa"/>
          </w:tcPr>
          <w:p w14:paraId="0BB45588" w14:textId="77777777" w:rsidR="009C4CDA" w:rsidRPr="000D0D06" w:rsidRDefault="009C4CDA" w:rsidP="009C4CDA">
            <w:pPr>
              <w:jc w:val="left"/>
              <w:rPr>
                <w:noProof/>
              </w:rPr>
            </w:pPr>
            <w:r w:rsidRPr="000D0D06">
              <w:rPr>
                <w:noProof/>
              </w:rPr>
              <w:t>Artigo 1.º</w:t>
            </w:r>
          </w:p>
          <w:p w14:paraId="2041F177" w14:textId="77777777" w:rsidR="009C4CDA" w:rsidRPr="000D0D06" w:rsidRDefault="009C4CDA" w:rsidP="009C4CDA">
            <w:pPr>
              <w:jc w:val="left"/>
              <w:rPr>
                <w:i/>
                <w:iCs/>
                <w:noProof/>
              </w:rPr>
            </w:pPr>
            <w:r w:rsidRPr="000D0D06">
              <w:rPr>
                <w:i/>
                <w:noProof/>
              </w:rPr>
              <w:t>Alteração do artigo 49.º, n.º 1, do Regulamento dos Dados</w:t>
            </w:r>
          </w:p>
          <w:p w14:paraId="1CD91868" w14:textId="77777777" w:rsidR="009C4CDA" w:rsidRPr="000D0D06" w:rsidRDefault="009C4CDA" w:rsidP="009C4CDA">
            <w:pPr>
              <w:jc w:val="left"/>
              <w:rPr>
                <w:noProof/>
              </w:rPr>
            </w:pPr>
            <w:r w:rsidRPr="000D0D06">
              <w:rPr>
                <w:noProof/>
              </w:rPr>
              <w:t>Artigo 1.º</w:t>
            </w:r>
          </w:p>
          <w:p w14:paraId="4F8A0DC5" w14:textId="77777777" w:rsidR="009C4CDA" w:rsidRPr="000D0D06" w:rsidRDefault="009C4CDA" w:rsidP="009C4CDA">
            <w:pPr>
              <w:jc w:val="left"/>
              <w:rPr>
                <w:i/>
                <w:iCs/>
                <w:noProof/>
              </w:rPr>
            </w:pPr>
            <w:r w:rsidRPr="000D0D06">
              <w:rPr>
                <w:i/>
                <w:noProof/>
              </w:rPr>
              <w:t>Alteração do artigo 49.º, n.º 2, do Regulamento dos Dados</w:t>
            </w:r>
          </w:p>
        </w:tc>
        <w:tc>
          <w:tcPr>
            <w:tcW w:w="2029" w:type="dxa"/>
          </w:tcPr>
          <w:p w14:paraId="7E3F1D0C" w14:textId="77777777" w:rsidR="009C4CDA" w:rsidRPr="000D0D06" w:rsidRDefault="009C4CDA" w:rsidP="009C4CDA">
            <w:pPr>
              <w:spacing w:line="259" w:lineRule="auto"/>
              <w:jc w:val="left"/>
              <w:rPr>
                <w:noProof/>
              </w:rPr>
            </w:pPr>
            <w:r w:rsidRPr="000D0D06">
              <w:rPr>
                <w:noProof/>
              </w:rPr>
              <w:t>Comissão Europeia</w:t>
            </w:r>
          </w:p>
        </w:tc>
        <w:tc>
          <w:tcPr>
            <w:tcW w:w="2143" w:type="dxa"/>
          </w:tcPr>
          <w:p w14:paraId="564A576F" w14:textId="77777777" w:rsidR="009C4CDA" w:rsidRPr="000D0D06" w:rsidRDefault="009C4CDA" w:rsidP="009C4CDA">
            <w:pPr>
              <w:spacing w:line="259" w:lineRule="auto"/>
              <w:jc w:val="left"/>
              <w:rPr>
                <w:noProof/>
              </w:rPr>
            </w:pPr>
            <w:r w:rsidRPr="000D0D06">
              <w:rPr>
                <w:noProof/>
              </w:rPr>
              <w:t>Parlamento Europeu; Conselho; Comité Económico e Social Europeu</w:t>
            </w:r>
          </w:p>
        </w:tc>
        <w:tc>
          <w:tcPr>
            <w:tcW w:w="2483" w:type="dxa"/>
          </w:tcPr>
          <w:p w14:paraId="7D0923BF" w14:textId="77777777" w:rsidR="009C4CDA" w:rsidRPr="000D0D06" w:rsidRDefault="009C4CDA" w:rsidP="009C4CDA">
            <w:pPr>
              <w:spacing w:line="259" w:lineRule="auto"/>
              <w:jc w:val="left"/>
              <w:rPr>
                <w:noProof/>
              </w:rPr>
            </w:pPr>
            <w:r w:rsidRPr="000D0D06">
              <w:rPr>
                <w:noProof/>
              </w:rPr>
              <w:t>Avaliação do Regulamento dos Dados efetuada</w:t>
            </w:r>
          </w:p>
        </w:tc>
        <w:tc>
          <w:tcPr>
            <w:tcW w:w="2070" w:type="dxa"/>
          </w:tcPr>
          <w:p w14:paraId="62AD6233" w14:textId="77777777" w:rsidR="009C4CDA" w:rsidRPr="000D0D06" w:rsidRDefault="009C4CDA" w:rsidP="009C4CDA">
            <w:pPr>
              <w:spacing w:line="259" w:lineRule="auto"/>
              <w:jc w:val="left"/>
              <w:rPr>
                <w:noProof/>
              </w:rPr>
            </w:pPr>
            <w:r w:rsidRPr="000D0D06">
              <w:rPr>
                <w:noProof/>
              </w:rPr>
              <w:t>Até 12 de setembro de 2028</w:t>
            </w:r>
          </w:p>
          <w:p w14:paraId="309D3CA2" w14:textId="3A53DA69" w:rsidR="009C4CDA" w:rsidRPr="000D0D06" w:rsidRDefault="009C4CDA" w:rsidP="009C4CDA">
            <w:pPr>
              <w:spacing w:line="259" w:lineRule="auto"/>
              <w:jc w:val="left"/>
              <w:rPr>
                <w:noProof/>
              </w:rPr>
            </w:pPr>
            <w:r w:rsidRPr="000D0D06">
              <w:rPr>
                <w:noProof/>
              </w:rPr>
              <w:t>Até [data de entrada em vigor mais cinco anos]</w:t>
            </w:r>
          </w:p>
        </w:tc>
      </w:tr>
      <w:tr w:rsidR="009C4CDA" w:rsidRPr="000D0D06" w14:paraId="321AAA50" w14:textId="77777777">
        <w:trPr>
          <w:trHeight w:val="300"/>
        </w:trPr>
        <w:tc>
          <w:tcPr>
            <w:tcW w:w="3448" w:type="dxa"/>
          </w:tcPr>
          <w:p w14:paraId="7D6C47C2" w14:textId="77777777" w:rsidR="009C4CDA" w:rsidRPr="000D0D06" w:rsidRDefault="009C4CDA" w:rsidP="009C4CDA">
            <w:pPr>
              <w:jc w:val="left"/>
              <w:rPr>
                <w:noProof/>
              </w:rPr>
            </w:pPr>
            <w:r w:rsidRPr="000D0D06">
              <w:rPr>
                <w:noProof/>
              </w:rPr>
              <w:t xml:space="preserve">Notificações de violações de dados pessoais </w:t>
            </w:r>
          </w:p>
        </w:tc>
        <w:tc>
          <w:tcPr>
            <w:tcW w:w="2419" w:type="dxa"/>
          </w:tcPr>
          <w:p w14:paraId="3E09C793" w14:textId="77777777" w:rsidR="009C4CDA" w:rsidRPr="000D0D06" w:rsidRDefault="009C4CDA" w:rsidP="009C4CDA">
            <w:pPr>
              <w:jc w:val="left"/>
              <w:rPr>
                <w:noProof/>
              </w:rPr>
            </w:pPr>
            <w:r w:rsidRPr="000D0D06">
              <w:rPr>
                <w:noProof/>
              </w:rPr>
              <w:t>Artigo 3.º</w:t>
            </w:r>
          </w:p>
          <w:p w14:paraId="183A3409" w14:textId="77777777" w:rsidR="009C4CDA" w:rsidRPr="000D0D06" w:rsidRDefault="009C4CDA" w:rsidP="009C4CDA">
            <w:pPr>
              <w:jc w:val="left"/>
              <w:rPr>
                <w:noProof/>
              </w:rPr>
            </w:pPr>
            <w:r w:rsidRPr="000D0D06">
              <w:rPr>
                <w:i/>
                <w:noProof/>
              </w:rPr>
              <w:t>Alteração do artigo 33.º, n.º 1, do RGPD</w:t>
            </w:r>
            <w:r w:rsidRPr="000D0D06">
              <w:rPr>
                <w:noProof/>
              </w:rPr>
              <w:t xml:space="preserve"> </w:t>
            </w:r>
          </w:p>
        </w:tc>
        <w:tc>
          <w:tcPr>
            <w:tcW w:w="2029" w:type="dxa"/>
          </w:tcPr>
          <w:p w14:paraId="0BEB0AC0" w14:textId="77777777" w:rsidR="009C4CDA" w:rsidRPr="000D0D06" w:rsidRDefault="009C4CDA" w:rsidP="009C4CDA">
            <w:pPr>
              <w:spacing w:line="259" w:lineRule="auto"/>
              <w:jc w:val="left"/>
              <w:rPr>
                <w:noProof/>
              </w:rPr>
            </w:pPr>
            <w:r w:rsidRPr="000D0D06">
              <w:rPr>
                <w:noProof/>
              </w:rPr>
              <w:t>Responsável pelo tratamento</w:t>
            </w:r>
          </w:p>
        </w:tc>
        <w:tc>
          <w:tcPr>
            <w:tcW w:w="2143" w:type="dxa"/>
          </w:tcPr>
          <w:p w14:paraId="5308142F" w14:textId="77777777" w:rsidR="009C4CDA" w:rsidRPr="000D0D06" w:rsidRDefault="009C4CDA" w:rsidP="009C4CDA">
            <w:pPr>
              <w:spacing w:line="259" w:lineRule="auto"/>
              <w:jc w:val="left"/>
              <w:rPr>
                <w:noProof/>
              </w:rPr>
            </w:pPr>
            <w:r w:rsidRPr="000D0D06">
              <w:rPr>
                <w:noProof/>
              </w:rPr>
              <w:t>Autoridade de controlo</w:t>
            </w:r>
          </w:p>
        </w:tc>
        <w:tc>
          <w:tcPr>
            <w:tcW w:w="2483" w:type="dxa"/>
          </w:tcPr>
          <w:p w14:paraId="77FB1DE5" w14:textId="77777777" w:rsidR="009C4CDA" w:rsidRPr="000D0D06" w:rsidRDefault="009C4CDA" w:rsidP="009C4CDA">
            <w:pPr>
              <w:spacing w:line="259" w:lineRule="auto"/>
              <w:jc w:val="left"/>
              <w:rPr>
                <w:noProof/>
              </w:rPr>
            </w:pPr>
            <w:r w:rsidRPr="000D0D06">
              <w:rPr>
                <w:noProof/>
              </w:rPr>
              <w:t>Ocorrência de violação de dados</w:t>
            </w:r>
          </w:p>
        </w:tc>
        <w:tc>
          <w:tcPr>
            <w:tcW w:w="2070" w:type="dxa"/>
          </w:tcPr>
          <w:p w14:paraId="77B6DDB0" w14:textId="77777777" w:rsidR="009C4CDA" w:rsidRPr="000D0D06" w:rsidRDefault="009C4CDA" w:rsidP="009C4CDA">
            <w:pPr>
              <w:spacing w:line="259" w:lineRule="auto"/>
              <w:jc w:val="left"/>
              <w:rPr>
                <w:noProof/>
              </w:rPr>
            </w:pPr>
            <w:r w:rsidRPr="000D0D06">
              <w:rPr>
                <w:i/>
                <w:iCs/>
                <w:noProof/>
              </w:rPr>
              <w:t>Ad hoc</w:t>
            </w:r>
          </w:p>
          <w:p w14:paraId="3D63A0C0" w14:textId="77777777" w:rsidR="009C4CDA" w:rsidRPr="000D0D06" w:rsidRDefault="009C4CDA" w:rsidP="009C4CDA">
            <w:pPr>
              <w:spacing w:line="259" w:lineRule="auto"/>
              <w:jc w:val="left"/>
              <w:rPr>
                <w:noProof/>
              </w:rPr>
            </w:pPr>
          </w:p>
        </w:tc>
      </w:tr>
      <w:tr w:rsidR="009C4CDA" w:rsidRPr="000D0D06" w14:paraId="032C56E7" w14:textId="77777777">
        <w:trPr>
          <w:trHeight w:val="300"/>
        </w:trPr>
        <w:tc>
          <w:tcPr>
            <w:tcW w:w="3448" w:type="dxa"/>
          </w:tcPr>
          <w:p w14:paraId="44047A42" w14:textId="77777777" w:rsidR="009C4CDA" w:rsidRPr="000D0D06" w:rsidRDefault="009C4CDA" w:rsidP="009C4CDA">
            <w:pPr>
              <w:jc w:val="left"/>
              <w:rPr>
                <w:noProof/>
              </w:rPr>
            </w:pPr>
            <w:r w:rsidRPr="000D0D06">
              <w:rPr>
                <w:noProof/>
              </w:rPr>
              <w:t xml:space="preserve">Proposta do CEPD relativa a um modelo comum de notificação de violações de dados </w:t>
            </w:r>
          </w:p>
        </w:tc>
        <w:tc>
          <w:tcPr>
            <w:tcW w:w="2419" w:type="dxa"/>
          </w:tcPr>
          <w:p w14:paraId="7AD2FC7B" w14:textId="477913C9" w:rsidR="009C4CDA" w:rsidRPr="000D0D06" w:rsidRDefault="009C4CDA" w:rsidP="009C4CDA">
            <w:pPr>
              <w:jc w:val="left"/>
              <w:rPr>
                <w:noProof/>
              </w:rPr>
            </w:pPr>
            <w:r w:rsidRPr="000D0D06">
              <w:rPr>
                <w:noProof/>
              </w:rPr>
              <w:t>Artigo 3.º</w:t>
            </w:r>
          </w:p>
          <w:p w14:paraId="0B2CF7F8" w14:textId="77777777" w:rsidR="009C4CDA" w:rsidRPr="000D0D06" w:rsidRDefault="009C4CDA" w:rsidP="009C4CDA">
            <w:pPr>
              <w:jc w:val="left"/>
              <w:rPr>
                <w:noProof/>
              </w:rPr>
            </w:pPr>
            <w:r w:rsidRPr="000D0D06">
              <w:rPr>
                <w:i/>
                <w:noProof/>
              </w:rPr>
              <w:t>Alteração do artigo 33.º, n.º 1, do RGPD</w:t>
            </w:r>
          </w:p>
        </w:tc>
        <w:tc>
          <w:tcPr>
            <w:tcW w:w="2029" w:type="dxa"/>
          </w:tcPr>
          <w:p w14:paraId="57318D2E" w14:textId="77777777" w:rsidR="009C4CDA" w:rsidRPr="000D0D06" w:rsidRDefault="009C4CDA" w:rsidP="009C4CDA">
            <w:pPr>
              <w:spacing w:line="259" w:lineRule="auto"/>
              <w:jc w:val="left"/>
              <w:rPr>
                <w:noProof/>
              </w:rPr>
            </w:pPr>
            <w:r w:rsidRPr="000D0D06">
              <w:rPr>
                <w:noProof/>
              </w:rPr>
              <w:t>Comité Europeu para a Proteção de Dados</w:t>
            </w:r>
          </w:p>
          <w:p w14:paraId="2301FE5F" w14:textId="77777777" w:rsidR="009C4CDA" w:rsidRPr="000D0D06" w:rsidRDefault="009C4CDA" w:rsidP="009C4CDA">
            <w:pPr>
              <w:spacing w:line="259" w:lineRule="auto"/>
              <w:jc w:val="left"/>
              <w:rPr>
                <w:noProof/>
              </w:rPr>
            </w:pPr>
          </w:p>
        </w:tc>
        <w:tc>
          <w:tcPr>
            <w:tcW w:w="2143" w:type="dxa"/>
          </w:tcPr>
          <w:p w14:paraId="1E884221" w14:textId="77777777" w:rsidR="009C4CDA" w:rsidRPr="000D0D06" w:rsidRDefault="009C4CDA" w:rsidP="009C4CDA">
            <w:pPr>
              <w:spacing w:line="259" w:lineRule="auto"/>
              <w:jc w:val="left"/>
              <w:rPr>
                <w:noProof/>
              </w:rPr>
            </w:pPr>
            <w:r w:rsidRPr="000D0D06">
              <w:rPr>
                <w:noProof/>
              </w:rPr>
              <w:t>Comissão</w:t>
            </w:r>
          </w:p>
        </w:tc>
        <w:tc>
          <w:tcPr>
            <w:tcW w:w="2483" w:type="dxa"/>
          </w:tcPr>
          <w:p w14:paraId="6C5DA7A1" w14:textId="77777777" w:rsidR="009C4CDA" w:rsidRPr="000D0D06" w:rsidRDefault="009C4CDA" w:rsidP="009C4CDA">
            <w:pPr>
              <w:spacing w:line="259" w:lineRule="auto"/>
              <w:jc w:val="left"/>
              <w:rPr>
                <w:noProof/>
              </w:rPr>
            </w:pPr>
            <w:r w:rsidRPr="000D0D06">
              <w:rPr>
                <w:noProof/>
              </w:rPr>
              <w:t>Proposta a apresentar</w:t>
            </w:r>
          </w:p>
        </w:tc>
        <w:tc>
          <w:tcPr>
            <w:tcW w:w="2070" w:type="dxa"/>
          </w:tcPr>
          <w:p w14:paraId="5FF4BBCE" w14:textId="77777777" w:rsidR="009C4CDA" w:rsidRPr="000D0D06" w:rsidRDefault="009C4CDA" w:rsidP="009C4CDA">
            <w:pPr>
              <w:spacing w:line="259" w:lineRule="auto"/>
              <w:jc w:val="left"/>
              <w:rPr>
                <w:noProof/>
              </w:rPr>
            </w:pPr>
            <w:r w:rsidRPr="000D0D06">
              <w:rPr>
                <w:noProof/>
              </w:rPr>
              <w:t>No prazo de [meses] após a entrada em aplicação do presente regulamento</w:t>
            </w:r>
          </w:p>
          <w:p w14:paraId="4AD5B277" w14:textId="77777777" w:rsidR="009C4CDA" w:rsidRPr="000D0D06" w:rsidRDefault="009C4CDA" w:rsidP="009C4CDA">
            <w:pPr>
              <w:spacing w:line="259" w:lineRule="auto"/>
              <w:jc w:val="left"/>
              <w:rPr>
                <w:noProof/>
              </w:rPr>
            </w:pPr>
            <w:r w:rsidRPr="000D0D06">
              <w:rPr>
                <w:noProof/>
              </w:rPr>
              <w:t xml:space="preserve">A cada três anos </w:t>
            </w:r>
          </w:p>
        </w:tc>
      </w:tr>
      <w:tr w:rsidR="009C4CDA" w:rsidRPr="000D0D06" w14:paraId="5E717657" w14:textId="77777777">
        <w:trPr>
          <w:trHeight w:val="300"/>
        </w:trPr>
        <w:tc>
          <w:tcPr>
            <w:tcW w:w="3448" w:type="dxa"/>
          </w:tcPr>
          <w:p w14:paraId="570E7CF6" w14:textId="77777777" w:rsidR="009C4CDA" w:rsidRPr="000D0D06" w:rsidRDefault="009C4CDA" w:rsidP="009C4CDA">
            <w:pPr>
              <w:jc w:val="left"/>
              <w:rPr>
                <w:noProof/>
              </w:rPr>
            </w:pPr>
            <w:r w:rsidRPr="000D0D06">
              <w:rPr>
                <w:noProof/>
              </w:rPr>
              <w:t xml:space="preserve">Propostas do CEPD relativas à avaliação de impacto sobre a proteção de dados </w:t>
            </w:r>
          </w:p>
        </w:tc>
        <w:tc>
          <w:tcPr>
            <w:tcW w:w="2419" w:type="dxa"/>
          </w:tcPr>
          <w:p w14:paraId="61DCC72E" w14:textId="77777777" w:rsidR="009C4CDA" w:rsidRPr="000D0D06" w:rsidRDefault="009C4CDA" w:rsidP="009C4CDA">
            <w:pPr>
              <w:jc w:val="left"/>
              <w:rPr>
                <w:noProof/>
              </w:rPr>
            </w:pPr>
            <w:r w:rsidRPr="000D0D06">
              <w:rPr>
                <w:noProof/>
              </w:rPr>
              <w:t>Artigo 3.º</w:t>
            </w:r>
          </w:p>
          <w:p w14:paraId="6DD20A12" w14:textId="77777777" w:rsidR="009C4CDA" w:rsidRPr="000D0D06" w:rsidRDefault="009C4CDA" w:rsidP="009C4CDA">
            <w:pPr>
              <w:jc w:val="left"/>
              <w:rPr>
                <w:i/>
                <w:iCs/>
                <w:noProof/>
              </w:rPr>
            </w:pPr>
            <w:r w:rsidRPr="000D0D06">
              <w:rPr>
                <w:i/>
                <w:noProof/>
              </w:rPr>
              <w:t>Alteração do artigo 70.º, n.º 1, do RGPD</w:t>
            </w:r>
          </w:p>
        </w:tc>
        <w:tc>
          <w:tcPr>
            <w:tcW w:w="2029" w:type="dxa"/>
          </w:tcPr>
          <w:p w14:paraId="2DD956FE" w14:textId="77777777" w:rsidR="009C4CDA" w:rsidRPr="000D0D06" w:rsidRDefault="009C4CDA" w:rsidP="009C4CDA">
            <w:pPr>
              <w:spacing w:line="259" w:lineRule="auto"/>
              <w:jc w:val="left"/>
              <w:rPr>
                <w:noProof/>
              </w:rPr>
            </w:pPr>
            <w:r w:rsidRPr="000D0D06">
              <w:rPr>
                <w:noProof/>
              </w:rPr>
              <w:t>Comité Europeu para a Proteção de Dados</w:t>
            </w:r>
          </w:p>
          <w:p w14:paraId="05EB0AE5" w14:textId="77777777" w:rsidR="009C4CDA" w:rsidRPr="000D0D06" w:rsidRDefault="009C4CDA" w:rsidP="009C4CDA">
            <w:pPr>
              <w:spacing w:line="259" w:lineRule="auto"/>
              <w:jc w:val="left"/>
              <w:rPr>
                <w:noProof/>
              </w:rPr>
            </w:pPr>
          </w:p>
        </w:tc>
        <w:tc>
          <w:tcPr>
            <w:tcW w:w="2143" w:type="dxa"/>
          </w:tcPr>
          <w:p w14:paraId="250DA4A5" w14:textId="77777777" w:rsidR="009C4CDA" w:rsidRPr="000D0D06" w:rsidRDefault="009C4CDA" w:rsidP="009C4CDA">
            <w:pPr>
              <w:spacing w:line="259" w:lineRule="auto"/>
              <w:jc w:val="left"/>
              <w:rPr>
                <w:noProof/>
              </w:rPr>
            </w:pPr>
            <w:r w:rsidRPr="000D0D06">
              <w:rPr>
                <w:noProof/>
              </w:rPr>
              <w:t>Comissão</w:t>
            </w:r>
          </w:p>
        </w:tc>
        <w:tc>
          <w:tcPr>
            <w:tcW w:w="2483" w:type="dxa"/>
          </w:tcPr>
          <w:p w14:paraId="1772234A" w14:textId="77777777" w:rsidR="009C4CDA" w:rsidRPr="000D0D06" w:rsidRDefault="009C4CDA" w:rsidP="009C4CDA">
            <w:pPr>
              <w:spacing w:line="259" w:lineRule="auto"/>
              <w:jc w:val="left"/>
              <w:rPr>
                <w:noProof/>
              </w:rPr>
            </w:pPr>
            <w:r w:rsidRPr="000D0D06">
              <w:rPr>
                <w:noProof/>
              </w:rPr>
              <w:t>Proposta a apresentar</w:t>
            </w:r>
          </w:p>
        </w:tc>
        <w:tc>
          <w:tcPr>
            <w:tcW w:w="2070" w:type="dxa"/>
          </w:tcPr>
          <w:p w14:paraId="10C07D17" w14:textId="77777777" w:rsidR="009C4CDA" w:rsidRPr="000D0D06" w:rsidRDefault="009C4CDA" w:rsidP="009C4CDA">
            <w:pPr>
              <w:spacing w:line="259" w:lineRule="auto"/>
              <w:jc w:val="left"/>
              <w:rPr>
                <w:noProof/>
              </w:rPr>
            </w:pPr>
            <w:r w:rsidRPr="000D0D06">
              <w:rPr>
                <w:i/>
                <w:iCs/>
                <w:noProof/>
              </w:rPr>
              <w:t>Ad hoc</w:t>
            </w:r>
          </w:p>
          <w:p w14:paraId="438B9F77" w14:textId="77777777" w:rsidR="009C4CDA" w:rsidRPr="000D0D06" w:rsidRDefault="009C4CDA" w:rsidP="009C4CDA">
            <w:pPr>
              <w:spacing w:line="259" w:lineRule="auto"/>
              <w:jc w:val="left"/>
              <w:rPr>
                <w:noProof/>
              </w:rPr>
            </w:pPr>
          </w:p>
        </w:tc>
      </w:tr>
      <w:tr w:rsidR="009C4CDA" w:rsidRPr="000D0D06" w14:paraId="19743E91" w14:textId="77777777">
        <w:trPr>
          <w:trHeight w:val="300"/>
        </w:trPr>
        <w:tc>
          <w:tcPr>
            <w:tcW w:w="3448" w:type="dxa"/>
          </w:tcPr>
          <w:p w14:paraId="41D5C6D7" w14:textId="77777777" w:rsidR="009C4CDA" w:rsidRPr="000D0D06" w:rsidRDefault="009C4CDA" w:rsidP="009C4CDA">
            <w:pPr>
              <w:jc w:val="left"/>
              <w:rPr>
                <w:noProof/>
              </w:rPr>
            </w:pPr>
            <w:r w:rsidRPr="000D0D06">
              <w:rPr>
                <w:noProof/>
              </w:rPr>
              <w:t xml:space="preserve">Relatórios sobre incidentes significativos nos termos da Diretiva SRI 2 </w:t>
            </w:r>
          </w:p>
        </w:tc>
        <w:tc>
          <w:tcPr>
            <w:tcW w:w="2419" w:type="dxa"/>
          </w:tcPr>
          <w:p w14:paraId="4139FAC6" w14:textId="77777777" w:rsidR="009C4CDA" w:rsidRPr="000D0D06" w:rsidRDefault="009C4CDA" w:rsidP="009C4CDA">
            <w:pPr>
              <w:jc w:val="left"/>
              <w:rPr>
                <w:noProof/>
              </w:rPr>
            </w:pPr>
            <w:r w:rsidRPr="000D0D06">
              <w:rPr>
                <w:noProof/>
              </w:rPr>
              <w:t>Artigo 6.º</w:t>
            </w:r>
          </w:p>
          <w:p w14:paraId="68566182" w14:textId="77777777" w:rsidR="009C4CDA" w:rsidRPr="000D0D06" w:rsidRDefault="009C4CDA" w:rsidP="009C4CDA">
            <w:pPr>
              <w:jc w:val="left"/>
              <w:rPr>
                <w:noProof/>
              </w:rPr>
            </w:pPr>
            <w:r w:rsidRPr="000D0D06">
              <w:rPr>
                <w:i/>
                <w:noProof/>
              </w:rPr>
              <w:t>Aditamento dos artigos 23.º-A e 23.º-B, alteração do artigo 23.º e do artigo 30.º, n.º 1, da Diretiva SRI 2</w:t>
            </w:r>
            <w:r w:rsidRPr="000D0D06">
              <w:rPr>
                <w:noProof/>
              </w:rPr>
              <w:t xml:space="preserve"> </w:t>
            </w:r>
          </w:p>
        </w:tc>
        <w:tc>
          <w:tcPr>
            <w:tcW w:w="2029" w:type="dxa"/>
          </w:tcPr>
          <w:p w14:paraId="54E7A16D" w14:textId="77777777" w:rsidR="009C4CDA" w:rsidRPr="000D0D06" w:rsidRDefault="009C4CDA" w:rsidP="009C4CDA">
            <w:pPr>
              <w:spacing w:line="259" w:lineRule="auto"/>
              <w:jc w:val="left"/>
              <w:rPr>
                <w:noProof/>
              </w:rPr>
            </w:pPr>
            <w:r w:rsidRPr="000D0D06">
              <w:rPr>
                <w:noProof/>
              </w:rPr>
              <w:t xml:space="preserve">Entidades essenciais e importantes </w:t>
            </w:r>
          </w:p>
        </w:tc>
        <w:tc>
          <w:tcPr>
            <w:tcW w:w="2143" w:type="dxa"/>
          </w:tcPr>
          <w:p w14:paraId="5528AD56" w14:textId="77777777" w:rsidR="009C4CDA" w:rsidRPr="000D0D06" w:rsidRDefault="009C4CDA" w:rsidP="009C4CDA">
            <w:pPr>
              <w:spacing w:line="259" w:lineRule="auto"/>
              <w:jc w:val="left"/>
              <w:rPr>
                <w:noProof/>
              </w:rPr>
            </w:pPr>
            <w:r w:rsidRPr="000D0D06">
              <w:rPr>
                <w:noProof/>
              </w:rPr>
              <w:t xml:space="preserve">CSIRT/autoridades competentes (consoante o caso) </w:t>
            </w:r>
          </w:p>
        </w:tc>
        <w:tc>
          <w:tcPr>
            <w:tcW w:w="2483" w:type="dxa"/>
          </w:tcPr>
          <w:p w14:paraId="148E94CF" w14:textId="77777777" w:rsidR="009C4CDA" w:rsidRPr="000D0D06" w:rsidRDefault="009C4CDA" w:rsidP="009C4CDA">
            <w:pPr>
              <w:spacing w:line="259" w:lineRule="auto"/>
              <w:jc w:val="left"/>
              <w:rPr>
                <w:noProof/>
              </w:rPr>
            </w:pPr>
            <w:r w:rsidRPr="000D0D06">
              <w:rPr>
                <w:noProof/>
              </w:rPr>
              <w:t xml:space="preserve">Circunstâncias previstas no artigo 23.º, n.º 3, da Diretiva SRI 2 </w:t>
            </w:r>
          </w:p>
        </w:tc>
        <w:tc>
          <w:tcPr>
            <w:tcW w:w="2070" w:type="dxa"/>
          </w:tcPr>
          <w:p w14:paraId="3CEF9780" w14:textId="77777777" w:rsidR="009C4CDA" w:rsidRPr="000D0D06" w:rsidRDefault="009C4CDA" w:rsidP="009C4CDA">
            <w:pPr>
              <w:spacing w:line="259" w:lineRule="auto"/>
              <w:jc w:val="left"/>
              <w:rPr>
                <w:noProof/>
              </w:rPr>
            </w:pPr>
            <w:r w:rsidRPr="000D0D06">
              <w:rPr>
                <w:i/>
                <w:iCs/>
                <w:noProof/>
              </w:rPr>
              <w:t>Ad hoc</w:t>
            </w:r>
          </w:p>
          <w:p w14:paraId="4E93DC38" w14:textId="77777777" w:rsidR="009C4CDA" w:rsidRPr="000D0D06" w:rsidRDefault="009C4CDA" w:rsidP="009C4CDA">
            <w:pPr>
              <w:spacing w:line="259" w:lineRule="auto"/>
              <w:jc w:val="left"/>
              <w:rPr>
                <w:noProof/>
              </w:rPr>
            </w:pPr>
          </w:p>
        </w:tc>
      </w:tr>
      <w:tr w:rsidR="009C4CDA" w:rsidRPr="000D0D06" w14:paraId="6A0B7585" w14:textId="77777777">
        <w:trPr>
          <w:trHeight w:val="300"/>
        </w:trPr>
        <w:tc>
          <w:tcPr>
            <w:tcW w:w="3448" w:type="dxa"/>
          </w:tcPr>
          <w:p w14:paraId="1B90FB92" w14:textId="77777777" w:rsidR="009C4CDA" w:rsidRPr="000D0D06" w:rsidRDefault="009C4CDA" w:rsidP="009C4CDA">
            <w:pPr>
              <w:jc w:val="left"/>
              <w:rPr>
                <w:noProof/>
              </w:rPr>
            </w:pPr>
            <w:r w:rsidRPr="000D0D06">
              <w:rPr>
                <w:noProof/>
              </w:rPr>
              <w:t xml:space="preserve">Notificações de violações de dados pessoais </w:t>
            </w:r>
          </w:p>
        </w:tc>
        <w:tc>
          <w:tcPr>
            <w:tcW w:w="2419" w:type="dxa"/>
          </w:tcPr>
          <w:p w14:paraId="240FE10A" w14:textId="77777777" w:rsidR="009C4CDA" w:rsidRPr="000D0D06" w:rsidRDefault="009C4CDA" w:rsidP="009C4CDA">
            <w:pPr>
              <w:jc w:val="left"/>
              <w:rPr>
                <w:noProof/>
              </w:rPr>
            </w:pPr>
            <w:r w:rsidRPr="000D0D06">
              <w:rPr>
                <w:noProof/>
              </w:rPr>
              <w:t xml:space="preserve">Artigo 3.º </w:t>
            </w:r>
          </w:p>
          <w:p w14:paraId="1038FDAC" w14:textId="77777777" w:rsidR="009C4CDA" w:rsidRPr="000D0D06" w:rsidRDefault="009C4CDA" w:rsidP="009C4CDA">
            <w:pPr>
              <w:jc w:val="left"/>
              <w:rPr>
                <w:noProof/>
              </w:rPr>
            </w:pPr>
            <w:r w:rsidRPr="000D0D06">
              <w:rPr>
                <w:i/>
                <w:noProof/>
              </w:rPr>
              <w:t>Alteração do artigo 33.º do RGPD</w:t>
            </w:r>
          </w:p>
        </w:tc>
        <w:tc>
          <w:tcPr>
            <w:tcW w:w="2029" w:type="dxa"/>
          </w:tcPr>
          <w:p w14:paraId="75687C6F" w14:textId="77777777" w:rsidR="009C4CDA" w:rsidRPr="000D0D06" w:rsidRDefault="009C4CDA" w:rsidP="009C4CDA">
            <w:pPr>
              <w:jc w:val="left"/>
              <w:rPr>
                <w:noProof/>
              </w:rPr>
            </w:pPr>
            <w:r w:rsidRPr="000D0D06">
              <w:rPr>
                <w:noProof/>
              </w:rPr>
              <w:t>Responsáveis pelo tratamento</w:t>
            </w:r>
          </w:p>
          <w:p w14:paraId="447A9D11" w14:textId="77777777" w:rsidR="009C4CDA" w:rsidRPr="000D0D06" w:rsidRDefault="009C4CDA" w:rsidP="009C4CDA">
            <w:pPr>
              <w:jc w:val="left"/>
              <w:rPr>
                <w:noProof/>
              </w:rPr>
            </w:pPr>
          </w:p>
        </w:tc>
        <w:tc>
          <w:tcPr>
            <w:tcW w:w="2143" w:type="dxa"/>
          </w:tcPr>
          <w:p w14:paraId="2EE88100" w14:textId="77777777" w:rsidR="009C4CDA" w:rsidRPr="000D0D06" w:rsidRDefault="009C4CDA" w:rsidP="009C4CDA">
            <w:pPr>
              <w:jc w:val="left"/>
              <w:rPr>
                <w:noProof/>
              </w:rPr>
            </w:pPr>
            <w:r w:rsidRPr="000D0D06">
              <w:rPr>
                <w:noProof/>
              </w:rPr>
              <w:t xml:space="preserve">Autoridade de controlo </w:t>
            </w:r>
          </w:p>
        </w:tc>
        <w:tc>
          <w:tcPr>
            <w:tcW w:w="2483" w:type="dxa"/>
          </w:tcPr>
          <w:p w14:paraId="28A99F17" w14:textId="77777777" w:rsidR="009C4CDA" w:rsidRPr="000D0D06" w:rsidRDefault="009C4CDA" w:rsidP="009C4CDA">
            <w:pPr>
              <w:jc w:val="left"/>
              <w:rPr>
                <w:noProof/>
              </w:rPr>
            </w:pPr>
            <w:r w:rsidRPr="000D0D06">
              <w:rPr>
                <w:noProof/>
              </w:rPr>
              <w:t>Violação de dados pessoais</w:t>
            </w:r>
          </w:p>
        </w:tc>
        <w:tc>
          <w:tcPr>
            <w:tcW w:w="2070" w:type="dxa"/>
          </w:tcPr>
          <w:p w14:paraId="0E48F0C7" w14:textId="77777777" w:rsidR="009C4CDA" w:rsidRPr="000D0D06" w:rsidRDefault="009C4CDA" w:rsidP="009C4CDA">
            <w:pPr>
              <w:spacing w:line="259" w:lineRule="auto"/>
              <w:jc w:val="left"/>
              <w:rPr>
                <w:noProof/>
              </w:rPr>
            </w:pPr>
            <w:r w:rsidRPr="000D0D06">
              <w:rPr>
                <w:i/>
                <w:iCs/>
                <w:noProof/>
              </w:rPr>
              <w:t>Ad hoc</w:t>
            </w:r>
          </w:p>
          <w:p w14:paraId="1F49B758" w14:textId="77777777" w:rsidR="009C4CDA" w:rsidRPr="000D0D06" w:rsidRDefault="009C4CDA" w:rsidP="009C4CDA">
            <w:pPr>
              <w:jc w:val="left"/>
              <w:rPr>
                <w:noProof/>
              </w:rPr>
            </w:pPr>
          </w:p>
        </w:tc>
      </w:tr>
      <w:tr w:rsidR="009C4CDA" w:rsidRPr="000D0D06" w14:paraId="2A844C57" w14:textId="77777777">
        <w:trPr>
          <w:trHeight w:val="300"/>
        </w:trPr>
        <w:tc>
          <w:tcPr>
            <w:tcW w:w="3448" w:type="dxa"/>
          </w:tcPr>
          <w:p w14:paraId="54A86541" w14:textId="3DEEC24A" w:rsidR="009C4CDA" w:rsidRPr="000D0D06" w:rsidRDefault="009C4CDA" w:rsidP="009C4CDA">
            <w:pPr>
              <w:jc w:val="left"/>
              <w:rPr>
                <w:noProof/>
              </w:rPr>
            </w:pPr>
            <w:r w:rsidRPr="000D0D06">
              <w:rPr>
                <w:noProof/>
              </w:rPr>
              <w:t>Notificações de incidentes de caráter severo relacionados com as TIC nos termos do Regulamento DORA; notificações voluntárias de ciberameaças significativas nos termos do Regulamento DORA</w:t>
            </w:r>
          </w:p>
        </w:tc>
        <w:tc>
          <w:tcPr>
            <w:tcW w:w="2419" w:type="dxa"/>
          </w:tcPr>
          <w:p w14:paraId="5B4144B4" w14:textId="0AF8D12D" w:rsidR="009C4CDA" w:rsidRPr="000D0D06" w:rsidRDefault="009C4CDA" w:rsidP="009C4CDA">
            <w:pPr>
              <w:jc w:val="left"/>
              <w:rPr>
                <w:noProof/>
              </w:rPr>
            </w:pPr>
            <w:r w:rsidRPr="000D0D06">
              <w:rPr>
                <w:noProof/>
              </w:rPr>
              <w:t>Artigo 8.º</w:t>
            </w:r>
          </w:p>
          <w:p w14:paraId="71F5A247" w14:textId="77777777" w:rsidR="009C4CDA" w:rsidRPr="000D0D06" w:rsidRDefault="009C4CDA" w:rsidP="009C4CDA">
            <w:pPr>
              <w:jc w:val="left"/>
              <w:rPr>
                <w:noProof/>
              </w:rPr>
            </w:pPr>
            <w:r w:rsidRPr="000D0D06">
              <w:rPr>
                <w:i/>
                <w:noProof/>
              </w:rPr>
              <w:t>Alteração do artigo 19.º do Regulamento DORA</w:t>
            </w:r>
          </w:p>
        </w:tc>
        <w:tc>
          <w:tcPr>
            <w:tcW w:w="2029" w:type="dxa"/>
          </w:tcPr>
          <w:p w14:paraId="775F656A" w14:textId="77777777" w:rsidR="009C4CDA" w:rsidRPr="000D0D06" w:rsidRDefault="009C4CDA" w:rsidP="009C4CDA">
            <w:pPr>
              <w:jc w:val="left"/>
              <w:rPr>
                <w:noProof/>
              </w:rPr>
            </w:pPr>
            <w:r w:rsidRPr="000D0D06">
              <w:rPr>
                <w:noProof/>
              </w:rPr>
              <w:t>Entidades financeiras</w:t>
            </w:r>
          </w:p>
        </w:tc>
        <w:tc>
          <w:tcPr>
            <w:tcW w:w="2143" w:type="dxa"/>
          </w:tcPr>
          <w:p w14:paraId="21C29BCE" w14:textId="77777777" w:rsidR="009C4CDA" w:rsidRPr="000D0D06" w:rsidRDefault="009C4CDA" w:rsidP="009C4CDA">
            <w:pPr>
              <w:jc w:val="left"/>
              <w:rPr>
                <w:noProof/>
              </w:rPr>
            </w:pPr>
            <w:r w:rsidRPr="000D0D06">
              <w:rPr>
                <w:noProof/>
              </w:rPr>
              <w:t>Autoridade competente pertinente</w:t>
            </w:r>
          </w:p>
        </w:tc>
        <w:tc>
          <w:tcPr>
            <w:tcW w:w="2483" w:type="dxa"/>
          </w:tcPr>
          <w:p w14:paraId="41DFF0E6" w14:textId="77777777" w:rsidR="009C4CDA" w:rsidRPr="000D0D06" w:rsidRDefault="009C4CDA" w:rsidP="009C4CDA">
            <w:pPr>
              <w:jc w:val="left"/>
              <w:rPr>
                <w:noProof/>
              </w:rPr>
            </w:pPr>
            <w:r w:rsidRPr="000D0D06">
              <w:rPr>
                <w:noProof/>
              </w:rPr>
              <w:t>Incidentes de caráter severo relacionados com as TIC; ciberameaças significativas</w:t>
            </w:r>
          </w:p>
        </w:tc>
        <w:tc>
          <w:tcPr>
            <w:tcW w:w="2070" w:type="dxa"/>
          </w:tcPr>
          <w:p w14:paraId="472970D6" w14:textId="77777777" w:rsidR="009C4CDA" w:rsidRPr="000D0D06" w:rsidRDefault="009C4CDA" w:rsidP="009C4CDA">
            <w:pPr>
              <w:spacing w:line="259" w:lineRule="auto"/>
              <w:jc w:val="left"/>
              <w:rPr>
                <w:noProof/>
              </w:rPr>
            </w:pPr>
            <w:r w:rsidRPr="000D0D06">
              <w:rPr>
                <w:i/>
                <w:iCs/>
                <w:noProof/>
              </w:rPr>
              <w:t>Ad hoc</w:t>
            </w:r>
          </w:p>
          <w:p w14:paraId="1BDA8DF2" w14:textId="77777777" w:rsidR="009C4CDA" w:rsidRPr="000D0D06" w:rsidRDefault="009C4CDA" w:rsidP="009C4CDA">
            <w:pPr>
              <w:jc w:val="left"/>
              <w:rPr>
                <w:i/>
                <w:iCs/>
                <w:noProof/>
              </w:rPr>
            </w:pPr>
          </w:p>
        </w:tc>
      </w:tr>
      <w:tr w:rsidR="009C4CDA" w:rsidRPr="000D0D06" w14:paraId="4FF242D5" w14:textId="77777777">
        <w:trPr>
          <w:trHeight w:val="300"/>
        </w:trPr>
        <w:tc>
          <w:tcPr>
            <w:tcW w:w="3448" w:type="dxa"/>
          </w:tcPr>
          <w:p w14:paraId="30716DC3" w14:textId="77777777" w:rsidR="009C4CDA" w:rsidRPr="000D0D06" w:rsidRDefault="009C4CDA" w:rsidP="009C4CDA">
            <w:pPr>
              <w:jc w:val="left"/>
              <w:rPr>
                <w:noProof/>
              </w:rPr>
            </w:pPr>
            <w:r w:rsidRPr="000D0D06">
              <w:rPr>
                <w:noProof/>
              </w:rPr>
              <w:t>Notificações de incidentes que perturbem significativamente, ou sejam suscetíveis de perturbar significativamente, a prestação de serviços essenciais nos termos da Diretiva REC</w:t>
            </w:r>
          </w:p>
        </w:tc>
        <w:tc>
          <w:tcPr>
            <w:tcW w:w="2419" w:type="dxa"/>
          </w:tcPr>
          <w:p w14:paraId="0A8CA89C" w14:textId="067D65F2" w:rsidR="009C4CDA" w:rsidRPr="000D0D06" w:rsidRDefault="009C4CDA" w:rsidP="009C4CDA">
            <w:pPr>
              <w:jc w:val="left"/>
              <w:rPr>
                <w:noProof/>
              </w:rPr>
            </w:pPr>
            <w:r w:rsidRPr="000D0D06">
              <w:rPr>
                <w:noProof/>
              </w:rPr>
              <w:t>Artigo 9.º</w:t>
            </w:r>
          </w:p>
          <w:p w14:paraId="512D292F" w14:textId="77777777" w:rsidR="009C4CDA" w:rsidRPr="000D0D06" w:rsidRDefault="009C4CDA" w:rsidP="009C4CDA">
            <w:pPr>
              <w:jc w:val="left"/>
              <w:rPr>
                <w:noProof/>
              </w:rPr>
            </w:pPr>
            <w:r w:rsidRPr="000D0D06">
              <w:rPr>
                <w:i/>
                <w:noProof/>
              </w:rPr>
              <w:t>Alteração do artigo 15.º da Diretiva REC</w:t>
            </w:r>
          </w:p>
        </w:tc>
        <w:tc>
          <w:tcPr>
            <w:tcW w:w="2029" w:type="dxa"/>
          </w:tcPr>
          <w:p w14:paraId="4C91D8F9" w14:textId="77777777" w:rsidR="009C4CDA" w:rsidRPr="000D0D06" w:rsidRDefault="009C4CDA" w:rsidP="009C4CDA">
            <w:pPr>
              <w:jc w:val="left"/>
              <w:rPr>
                <w:noProof/>
              </w:rPr>
            </w:pPr>
            <w:r w:rsidRPr="000D0D06">
              <w:rPr>
                <w:noProof/>
              </w:rPr>
              <w:t>Entidades críticas</w:t>
            </w:r>
          </w:p>
        </w:tc>
        <w:tc>
          <w:tcPr>
            <w:tcW w:w="2143" w:type="dxa"/>
          </w:tcPr>
          <w:p w14:paraId="123DADB0" w14:textId="77777777" w:rsidR="009C4CDA" w:rsidRPr="000D0D06" w:rsidRDefault="009C4CDA" w:rsidP="009C4CDA">
            <w:pPr>
              <w:jc w:val="left"/>
              <w:rPr>
                <w:noProof/>
              </w:rPr>
            </w:pPr>
            <w:r w:rsidRPr="000D0D06">
              <w:rPr>
                <w:noProof/>
              </w:rPr>
              <w:t>Autoridade competente</w:t>
            </w:r>
          </w:p>
        </w:tc>
        <w:tc>
          <w:tcPr>
            <w:tcW w:w="2483" w:type="dxa"/>
          </w:tcPr>
          <w:p w14:paraId="633CFB9F" w14:textId="77777777" w:rsidR="009C4CDA" w:rsidRPr="000D0D06" w:rsidRDefault="009C4CDA" w:rsidP="009C4CDA">
            <w:pPr>
              <w:jc w:val="left"/>
              <w:rPr>
                <w:noProof/>
              </w:rPr>
            </w:pPr>
            <w:r w:rsidRPr="000D0D06">
              <w:rPr>
                <w:noProof/>
              </w:rPr>
              <w:t xml:space="preserve">Incidentes que perturbem significativamente, ou sejam suscetíveis de perturbar significativamente, a prestação de serviços essenciais </w:t>
            </w:r>
          </w:p>
        </w:tc>
        <w:tc>
          <w:tcPr>
            <w:tcW w:w="2070" w:type="dxa"/>
          </w:tcPr>
          <w:p w14:paraId="358DF5ED" w14:textId="77777777" w:rsidR="009C4CDA" w:rsidRPr="000D0D06" w:rsidRDefault="009C4CDA" w:rsidP="009C4CDA">
            <w:pPr>
              <w:spacing w:line="259" w:lineRule="auto"/>
              <w:jc w:val="left"/>
              <w:rPr>
                <w:noProof/>
              </w:rPr>
            </w:pPr>
            <w:r w:rsidRPr="000D0D06">
              <w:rPr>
                <w:i/>
                <w:iCs/>
                <w:noProof/>
              </w:rPr>
              <w:t>Ad hoc</w:t>
            </w:r>
          </w:p>
          <w:p w14:paraId="222065E8" w14:textId="77777777" w:rsidR="009C4CDA" w:rsidRPr="000D0D06" w:rsidRDefault="009C4CDA" w:rsidP="009C4CDA">
            <w:pPr>
              <w:jc w:val="left"/>
              <w:rPr>
                <w:i/>
                <w:iCs/>
                <w:noProof/>
              </w:rPr>
            </w:pPr>
          </w:p>
        </w:tc>
      </w:tr>
    </w:tbl>
    <w:p w14:paraId="1BFABF25" w14:textId="77777777" w:rsidR="00C85654" w:rsidRPr="000D0D06" w:rsidRDefault="00C85654" w:rsidP="00C85654">
      <w:pPr>
        <w:rPr>
          <w:b/>
          <w:bCs/>
          <w:noProof/>
        </w:rPr>
      </w:pPr>
    </w:p>
    <w:p w14:paraId="7D83B924" w14:textId="77777777" w:rsidR="00C85654" w:rsidRPr="000D0D06" w:rsidRDefault="00C85654" w:rsidP="00C85654">
      <w:pPr>
        <w:rPr>
          <w:noProof/>
        </w:rPr>
      </w:pPr>
      <w:r w:rsidRPr="000D0D06">
        <w:rPr>
          <w:noProof/>
        </w:rPr>
        <w:br w:type="page"/>
      </w:r>
    </w:p>
    <w:p w14:paraId="41629DF4" w14:textId="77777777" w:rsidR="00C85654" w:rsidRPr="000D0D06" w:rsidRDefault="00C85654" w:rsidP="00C85654">
      <w:pPr>
        <w:rPr>
          <w:noProof/>
        </w:rPr>
      </w:pPr>
      <w:r w:rsidRPr="000D0D06">
        <w:rPr>
          <w:b/>
          <w:noProof/>
        </w:rPr>
        <w:t>4.3. Soluções digitais</w:t>
      </w:r>
    </w:p>
    <w:p w14:paraId="7F52677D" w14:textId="77777777" w:rsidR="00C85654" w:rsidRPr="000D0D06" w:rsidRDefault="00C85654" w:rsidP="00C85654">
      <w:pPr>
        <w:rPr>
          <w:i/>
          <w:iCs/>
          <w:noProof/>
        </w:rPr>
      </w:pPr>
      <w:r w:rsidRPr="000D0D06">
        <w:rPr>
          <w:i/>
          <w:noProof/>
        </w:rPr>
        <w:t>Descrição de âmbito geral das soluções digitais</w:t>
      </w:r>
    </w:p>
    <w:p w14:paraId="17591C0D" w14:textId="77777777" w:rsidR="00C85654" w:rsidRPr="000D0D06" w:rsidRDefault="00C85654" w:rsidP="00C85654">
      <w:pPr>
        <w:tabs>
          <w:tab w:val="left" w:pos="5370"/>
        </w:tabs>
        <w:rPr>
          <w:b/>
          <w:bCs/>
          <w:i/>
          <w:iCs/>
          <w:noProof/>
          <w:u w:val="single"/>
        </w:rPr>
      </w:pPr>
      <w:r w:rsidRPr="000D0D06">
        <w:rPr>
          <w:i/>
          <w:noProof/>
          <w:u w:val="single"/>
        </w:rPr>
        <w:t>N. B.: todas as soluções digitais a seguir especificadas são soluções preexistentes cuja base jurídica está a ser transferida de um regulamento para outro. Em especial, as disposições do Regulamento Governação de Dados são transferidas para o Regulamento dos Dados.</w:t>
      </w:r>
    </w:p>
    <w:tbl>
      <w:tblPr>
        <w:tblStyle w:val="TableGridLight"/>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846"/>
        <w:gridCol w:w="2233"/>
        <w:gridCol w:w="2236"/>
        <w:gridCol w:w="1976"/>
        <w:gridCol w:w="1898"/>
        <w:gridCol w:w="1792"/>
      </w:tblGrid>
      <w:tr w:rsidR="00C85654" w:rsidRPr="000D0D06" w14:paraId="703A4D83" w14:textId="77777777" w:rsidTr="009C4CDA">
        <w:trPr>
          <w:trHeight w:val="300"/>
        </w:trPr>
        <w:tc>
          <w:tcPr>
            <w:tcW w:w="2060" w:type="dxa"/>
            <w:vAlign w:val="center"/>
          </w:tcPr>
          <w:p w14:paraId="5095D917" w14:textId="77777777" w:rsidR="00C85654" w:rsidRPr="000D0D06" w:rsidRDefault="00C85654">
            <w:pPr>
              <w:spacing w:before="0" w:after="0"/>
              <w:jc w:val="center"/>
              <w:rPr>
                <w:b/>
                <w:bCs/>
                <w:noProof/>
              </w:rPr>
            </w:pPr>
            <w:r w:rsidRPr="000D0D06">
              <w:rPr>
                <w:b/>
                <w:noProof/>
              </w:rPr>
              <w:t>Solução digital</w:t>
            </w:r>
          </w:p>
        </w:tc>
        <w:tc>
          <w:tcPr>
            <w:tcW w:w="1872" w:type="dxa"/>
            <w:vAlign w:val="center"/>
          </w:tcPr>
          <w:p w14:paraId="1FB6344E" w14:textId="77777777" w:rsidR="00C85654" w:rsidRPr="000D0D06" w:rsidRDefault="00C85654">
            <w:pPr>
              <w:jc w:val="center"/>
              <w:rPr>
                <w:b/>
                <w:bCs/>
                <w:noProof/>
              </w:rPr>
            </w:pPr>
            <w:r w:rsidRPr="000D0D06">
              <w:rPr>
                <w:b/>
                <w:noProof/>
              </w:rPr>
              <w:t>Referências aos requisitos</w:t>
            </w:r>
          </w:p>
        </w:tc>
        <w:tc>
          <w:tcPr>
            <w:tcW w:w="2262" w:type="dxa"/>
            <w:vAlign w:val="center"/>
          </w:tcPr>
          <w:p w14:paraId="2C014BDC" w14:textId="77777777" w:rsidR="00C85654" w:rsidRPr="000D0D06" w:rsidRDefault="00C85654">
            <w:pPr>
              <w:spacing w:before="0" w:after="0"/>
              <w:jc w:val="center"/>
              <w:rPr>
                <w:b/>
                <w:bCs/>
                <w:noProof/>
              </w:rPr>
            </w:pPr>
            <w:r w:rsidRPr="000D0D06">
              <w:rPr>
                <w:b/>
                <w:noProof/>
              </w:rPr>
              <w:t>Principais funcionalidades obrigatórias</w:t>
            </w:r>
          </w:p>
        </w:tc>
        <w:tc>
          <w:tcPr>
            <w:tcW w:w="2325" w:type="dxa"/>
            <w:vAlign w:val="center"/>
          </w:tcPr>
          <w:p w14:paraId="48C80140" w14:textId="77777777" w:rsidR="00C85654" w:rsidRPr="000D0D06" w:rsidRDefault="00C85654">
            <w:pPr>
              <w:jc w:val="center"/>
              <w:rPr>
                <w:b/>
                <w:bCs/>
                <w:noProof/>
              </w:rPr>
            </w:pPr>
            <w:r w:rsidRPr="000D0D06">
              <w:rPr>
                <w:b/>
                <w:noProof/>
              </w:rPr>
              <w:t>Organismo responsável</w:t>
            </w:r>
          </w:p>
        </w:tc>
        <w:tc>
          <w:tcPr>
            <w:tcW w:w="1709" w:type="dxa"/>
            <w:vAlign w:val="center"/>
          </w:tcPr>
          <w:p w14:paraId="3BE4D548" w14:textId="77777777" w:rsidR="00C85654" w:rsidRPr="000D0D06" w:rsidRDefault="00C85654">
            <w:pPr>
              <w:spacing w:before="0" w:after="0"/>
              <w:jc w:val="center"/>
              <w:rPr>
                <w:b/>
                <w:bCs/>
                <w:noProof/>
              </w:rPr>
            </w:pPr>
            <w:r w:rsidRPr="000D0D06">
              <w:rPr>
                <w:b/>
                <w:noProof/>
              </w:rPr>
              <w:t>Como é tida em conta a acessibilidade?</w:t>
            </w:r>
          </w:p>
        </w:tc>
        <w:tc>
          <w:tcPr>
            <w:tcW w:w="1925" w:type="dxa"/>
            <w:vAlign w:val="center"/>
          </w:tcPr>
          <w:p w14:paraId="54D70D9C" w14:textId="77777777" w:rsidR="00C85654" w:rsidRPr="000D0D06" w:rsidRDefault="00C85654">
            <w:pPr>
              <w:spacing w:before="0" w:after="0"/>
              <w:jc w:val="center"/>
              <w:rPr>
                <w:b/>
                <w:bCs/>
                <w:noProof/>
              </w:rPr>
            </w:pPr>
            <w:r w:rsidRPr="000D0D06">
              <w:rPr>
                <w:b/>
                <w:noProof/>
              </w:rPr>
              <w:t>Como é tida em conta a possibilidade de reutilização?</w:t>
            </w:r>
          </w:p>
        </w:tc>
        <w:tc>
          <w:tcPr>
            <w:tcW w:w="1840" w:type="dxa"/>
            <w:vAlign w:val="center"/>
          </w:tcPr>
          <w:p w14:paraId="59320D6F" w14:textId="77777777" w:rsidR="00C85654" w:rsidRPr="000D0D06" w:rsidRDefault="00C85654">
            <w:pPr>
              <w:spacing w:before="0" w:after="0"/>
              <w:jc w:val="center"/>
              <w:rPr>
                <w:b/>
                <w:bCs/>
                <w:noProof/>
              </w:rPr>
            </w:pPr>
            <w:r w:rsidRPr="000D0D06">
              <w:rPr>
                <w:b/>
                <w:noProof/>
              </w:rPr>
              <w:t>Utilização de tecnologias de IA (se aplicável)</w:t>
            </w:r>
          </w:p>
        </w:tc>
      </w:tr>
      <w:tr w:rsidR="009C4CDA" w:rsidRPr="000D0D06" w14:paraId="1D6C707E" w14:textId="77777777" w:rsidTr="009C4CDA">
        <w:trPr>
          <w:trHeight w:val="300"/>
        </w:trPr>
        <w:tc>
          <w:tcPr>
            <w:tcW w:w="2060" w:type="dxa"/>
          </w:tcPr>
          <w:p w14:paraId="07BC93E7" w14:textId="77777777" w:rsidR="009C4CDA" w:rsidRPr="000D0D06" w:rsidRDefault="009C4CDA" w:rsidP="009C4CDA">
            <w:pPr>
              <w:jc w:val="left"/>
              <w:rPr>
                <w:noProof/>
              </w:rPr>
            </w:pPr>
            <w:r w:rsidRPr="000D0D06">
              <w:rPr>
                <w:noProof/>
              </w:rPr>
              <w:t>Registo público da União de serviços de intermediação de dados e de organizações de altruísmo de dados</w:t>
            </w:r>
          </w:p>
        </w:tc>
        <w:tc>
          <w:tcPr>
            <w:tcW w:w="1872" w:type="dxa"/>
          </w:tcPr>
          <w:p w14:paraId="6882BB64" w14:textId="77777777" w:rsidR="009C4CDA" w:rsidRPr="000D0D06" w:rsidRDefault="009C4CDA" w:rsidP="009C4CDA">
            <w:pPr>
              <w:jc w:val="left"/>
              <w:rPr>
                <w:i/>
                <w:iCs/>
                <w:noProof/>
              </w:rPr>
            </w:pPr>
            <w:r w:rsidRPr="000D0D06">
              <w:rPr>
                <w:i/>
                <w:noProof/>
              </w:rPr>
              <w:t>Aditamento do artigo 32.º-A ao Regulamento dos Dados</w:t>
            </w:r>
          </w:p>
        </w:tc>
        <w:tc>
          <w:tcPr>
            <w:tcW w:w="2262" w:type="dxa"/>
          </w:tcPr>
          <w:p w14:paraId="7A5BC730" w14:textId="77777777" w:rsidR="009C4CDA" w:rsidRPr="000D0D06" w:rsidRDefault="009C4CDA" w:rsidP="009C4CDA">
            <w:pPr>
              <w:spacing w:line="259" w:lineRule="auto"/>
              <w:jc w:val="left"/>
              <w:rPr>
                <w:noProof/>
              </w:rPr>
            </w:pPr>
            <w:r w:rsidRPr="000D0D06">
              <w:rPr>
                <w:noProof/>
              </w:rPr>
              <w:t>Armazenamento e publicação das informações obrigatórias</w:t>
            </w:r>
          </w:p>
        </w:tc>
        <w:tc>
          <w:tcPr>
            <w:tcW w:w="2325" w:type="dxa"/>
          </w:tcPr>
          <w:p w14:paraId="2DF570CD" w14:textId="77777777" w:rsidR="009C4CDA" w:rsidRPr="000D0D06" w:rsidRDefault="009C4CDA" w:rsidP="009C4CDA">
            <w:pPr>
              <w:spacing w:line="259" w:lineRule="auto"/>
              <w:jc w:val="left"/>
              <w:rPr>
                <w:noProof/>
              </w:rPr>
            </w:pPr>
            <w:r w:rsidRPr="000D0D06">
              <w:rPr>
                <w:noProof/>
              </w:rPr>
              <w:t>Comissão Europeia</w:t>
            </w:r>
          </w:p>
        </w:tc>
        <w:tc>
          <w:tcPr>
            <w:tcW w:w="1709" w:type="dxa"/>
          </w:tcPr>
          <w:p w14:paraId="3BF545C2" w14:textId="77777777" w:rsidR="009C4CDA" w:rsidRPr="000D0D06" w:rsidRDefault="009C4CDA" w:rsidP="009C4CDA">
            <w:pPr>
              <w:spacing w:line="259" w:lineRule="auto"/>
              <w:jc w:val="left"/>
              <w:rPr>
                <w:noProof/>
              </w:rPr>
            </w:pPr>
            <w:r w:rsidRPr="000D0D06">
              <w:rPr>
                <w:noProof/>
              </w:rPr>
              <w:t>//</w:t>
            </w:r>
          </w:p>
        </w:tc>
        <w:tc>
          <w:tcPr>
            <w:tcW w:w="1925" w:type="dxa"/>
          </w:tcPr>
          <w:p w14:paraId="4B8202C9" w14:textId="77777777" w:rsidR="009C4CDA" w:rsidRPr="000D0D06" w:rsidRDefault="009C4CDA" w:rsidP="009C4CDA">
            <w:pPr>
              <w:spacing w:line="259" w:lineRule="auto"/>
              <w:jc w:val="left"/>
              <w:rPr>
                <w:noProof/>
              </w:rPr>
            </w:pPr>
            <w:r w:rsidRPr="000D0D06">
              <w:rPr>
                <w:noProof/>
              </w:rPr>
              <w:t>//</w:t>
            </w:r>
          </w:p>
        </w:tc>
        <w:tc>
          <w:tcPr>
            <w:tcW w:w="1840" w:type="dxa"/>
          </w:tcPr>
          <w:p w14:paraId="55B1B4A8" w14:textId="77777777" w:rsidR="009C4CDA" w:rsidRPr="000D0D06" w:rsidRDefault="009C4CDA" w:rsidP="009C4CDA">
            <w:pPr>
              <w:spacing w:line="259" w:lineRule="auto"/>
              <w:jc w:val="left"/>
              <w:rPr>
                <w:noProof/>
              </w:rPr>
            </w:pPr>
            <w:r w:rsidRPr="000D0D06">
              <w:rPr>
                <w:noProof/>
              </w:rPr>
              <w:t>n.a.</w:t>
            </w:r>
          </w:p>
        </w:tc>
      </w:tr>
      <w:tr w:rsidR="009C4CDA" w:rsidRPr="000D0D06" w14:paraId="406AA199" w14:textId="77777777" w:rsidTr="009C4CDA">
        <w:trPr>
          <w:trHeight w:val="300"/>
        </w:trPr>
        <w:tc>
          <w:tcPr>
            <w:tcW w:w="2060" w:type="dxa"/>
          </w:tcPr>
          <w:p w14:paraId="642454FB" w14:textId="77777777" w:rsidR="009C4CDA" w:rsidRPr="000D0D06" w:rsidRDefault="009C4CDA" w:rsidP="009C4CDA">
            <w:pPr>
              <w:jc w:val="left"/>
              <w:rPr>
                <w:noProof/>
              </w:rPr>
            </w:pPr>
            <w:r w:rsidRPr="000D0D06">
              <w:rPr>
                <w:noProof/>
              </w:rPr>
              <w:t>Ponto de informação único (ao abrigo do Regulamento dos Dados)</w:t>
            </w:r>
          </w:p>
        </w:tc>
        <w:tc>
          <w:tcPr>
            <w:tcW w:w="1872" w:type="dxa"/>
          </w:tcPr>
          <w:p w14:paraId="60DD1EC3" w14:textId="77777777" w:rsidR="009C4CDA" w:rsidRPr="000D0D06" w:rsidRDefault="009C4CDA" w:rsidP="009C4CDA">
            <w:pPr>
              <w:jc w:val="left"/>
              <w:rPr>
                <w:noProof/>
              </w:rPr>
            </w:pPr>
            <w:r w:rsidRPr="000D0D06">
              <w:rPr>
                <w:noProof/>
              </w:rPr>
              <w:t>Artigo 1.º</w:t>
            </w:r>
          </w:p>
          <w:p w14:paraId="1DF2092A" w14:textId="77777777" w:rsidR="009C4CDA" w:rsidRPr="000D0D06" w:rsidRDefault="009C4CDA" w:rsidP="009C4CDA">
            <w:pPr>
              <w:jc w:val="left"/>
              <w:rPr>
                <w:i/>
                <w:iCs/>
                <w:noProof/>
              </w:rPr>
            </w:pPr>
            <w:r w:rsidRPr="000D0D06">
              <w:rPr>
                <w:i/>
                <w:noProof/>
              </w:rPr>
              <w:t>Aditamento do artigo 32.º-AD ao Regulamento dos Dados</w:t>
            </w:r>
          </w:p>
        </w:tc>
        <w:tc>
          <w:tcPr>
            <w:tcW w:w="2262" w:type="dxa"/>
          </w:tcPr>
          <w:p w14:paraId="6956606E" w14:textId="77777777" w:rsidR="009C4CDA" w:rsidRPr="000D0D06" w:rsidRDefault="009C4CDA" w:rsidP="009C4CDA">
            <w:pPr>
              <w:spacing w:line="259" w:lineRule="auto"/>
              <w:jc w:val="left"/>
              <w:rPr>
                <w:noProof/>
              </w:rPr>
            </w:pPr>
            <w:r w:rsidRPr="000D0D06">
              <w:rPr>
                <w:noProof/>
              </w:rPr>
              <w:t>Informações a disponibilizar e tornar acessíveis</w:t>
            </w:r>
          </w:p>
          <w:p w14:paraId="31BE4370" w14:textId="77777777" w:rsidR="009C4CDA" w:rsidRPr="000D0D06" w:rsidRDefault="009C4CDA" w:rsidP="009C4CDA">
            <w:pPr>
              <w:spacing w:line="259" w:lineRule="auto"/>
              <w:jc w:val="left"/>
              <w:rPr>
                <w:noProof/>
              </w:rPr>
            </w:pPr>
            <w:r w:rsidRPr="000D0D06">
              <w:rPr>
                <w:noProof/>
              </w:rPr>
              <w:t>Competência para receber pedidos de informação ou pedidos de reutilização das categorias de dados protegidos</w:t>
            </w:r>
          </w:p>
          <w:p w14:paraId="6B2DF39B" w14:textId="77777777" w:rsidR="009C4CDA" w:rsidRPr="000D0D06" w:rsidRDefault="009C4CDA" w:rsidP="009C4CDA">
            <w:pPr>
              <w:spacing w:line="259" w:lineRule="auto"/>
              <w:jc w:val="left"/>
              <w:rPr>
                <w:noProof/>
              </w:rPr>
            </w:pPr>
            <w:r w:rsidRPr="000D0D06">
              <w:rPr>
                <w:noProof/>
              </w:rPr>
              <w:t>Transmitir os pedidos, sempre que possível e adequado, por meios automatizados, aos organismos do setor público competentes</w:t>
            </w:r>
          </w:p>
          <w:p w14:paraId="5CE76BEE" w14:textId="77777777" w:rsidR="009C4CDA" w:rsidRPr="000D0D06" w:rsidRDefault="009C4CDA" w:rsidP="009C4CDA">
            <w:pPr>
              <w:spacing w:line="259" w:lineRule="auto"/>
              <w:jc w:val="left"/>
              <w:rPr>
                <w:noProof/>
              </w:rPr>
            </w:pPr>
            <w:r w:rsidRPr="000D0D06">
              <w:rPr>
                <w:noProof/>
              </w:rPr>
              <w:t>Disponibilizar, por via eletrónica, uma lista pesquisável de recursos que ofereça uma panorâmica de todos os recursos documentais disponíveis</w:t>
            </w:r>
          </w:p>
        </w:tc>
        <w:tc>
          <w:tcPr>
            <w:tcW w:w="2325" w:type="dxa"/>
          </w:tcPr>
          <w:p w14:paraId="35247595" w14:textId="77777777" w:rsidR="009C4CDA" w:rsidRPr="000D0D06" w:rsidRDefault="009C4CDA" w:rsidP="009C4CDA">
            <w:pPr>
              <w:spacing w:line="259" w:lineRule="auto"/>
              <w:jc w:val="left"/>
              <w:rPr>
                <w:noProof/>
              </w:rPr>
            </w:pPr>
            <w:r w:rsidRPr="000D0D06">
              <w:rPr>
                <w:noProof/>
              </w:rPr>
              <w:t>Comissão Europeia</w:t>
            </w:r>
          </w:p>
        </w:tc>
        <w:tc>
          <w:tcPr>
            <w:tcW w:w="1709" w:type="dxa"/>
          </w:tcPr>
          <w:p w14:paraId="52BFB317" w14:textId="77777777" w:rsidR="009C4CDA" w:rsidRPr="000D0D06" w:rsidRDefault="009C4CDA" w:rsidP="009C4CDA">
            <w:pPr>
              <w:spacing w:line="259" w:lineRule="auto"/>
              <w:jc w:val="left"/>
              <w:rPr>
                <w:noProof/>
              </w:rPr>
            </w:pPr>
            <w:r w:rsidRPr="000D0D06">
              <w:rPr>
                <w:noProof/>
              </w:rPr>
              <w:t>Um ponto de acesso único europeu que disponibilize um registo eletrónico pesquisável dos dados disponíveis nos pontos de informação únicos nacionais e outras informações sobre a forma de solicitar dados através desses pontos de informação únicos nacionais</w:t>
            </w:r>
          </w:p>
        </w:tc>
        <w:tc>
          <w:tcPr>
            <w:tcW w:w="1925" w:type="dxa"/>
          </w:tcPr>
          <w:p w14:paraId="1F464AA8" w14:textId="77777777" w:rsidR="009C4CDA" w:rsidRPr="000D0D06" w:rsidRDefault="009C4CDA" w:rsidP="009C4CDA">
            <w:pPr>
              <w:spacing w:line="259" w:lineRule="auto"/>
              <w:jc w:val="left"/>
              <w:rPr>
                <w:noProof/>
              </w:rPr>
            </w:pPr>
            <w:r w:rsidRPr="000D0D06">
              <w:rPr>
                <w:noProof/>
              </w:rPr>
              <w:t xml:space="preserve">Disponibilizar, «por via eletrónica, uma lista pesquisável de recursos que ofereça uma panorâmica de todos os recursos de dados disponíveis […] e as condições da sua reutilização». </w:t>
            </w:r>
          </w:p>
        </w:tc>
        <w:tc>
          <w:tcPr>
            <w:tcW w:w="1840" w:type="dxa"/>
          </w:tcPr>
          <w:p w14:paraId="66AAC594" w14:textId="77777777" w:rsidR="009C4CDA" w:rsidRPr="000D0D06" w:rsidRDefault="009C4CDA" w:rsidP="009C4CDA">
            <w:pPr>
              <w:spacing w:line="259" w:lineRule="auto"/>
              <w:jc w:val="left"/>
              <w:rPr>
                <w:noProof/>
              </w:rPr>
            </w:pPr>
            <w:r w:rsidRPr="000D0D06">
              <w:rPr>
                <w:noProof/>
              </w:rPr>
              <w:t>n.a.</w:t>
            </w:r>
          </w:p>
        </w:tc>
      </w:tr>
      <w:tr w:rsidR="009C4CDA" w:rsidRPr="000D0D06" w14:paraId="5F60F02C" w14:textId="77777777" w:rsidTr="009C4CDA">
        <w:trPr>
          <w:trHeight w:val="300"/>
        </w:trPr>
        <w:tc>
          <w:tcPr>
            <w:tcW w:w="2060" w:type="dxa"/>
          </w:tcPr>
          <w:p w14:paraId="55C63476" w14:textId="77777777" w:rsidR="009C4CDA" w:rsidRPr="000D0D06" w:rsidRDefault="009C4CDA" w:rsidP="009C4CDA">
            <w:pPr>
              <w:jc w:val="left"/>
              <w:rPr>
                <w:noProof/>
              </w:rPr>
            </w:pPr>
            <w:r w:rsidRPr="000D0D06">
              <w:rPr>
                <w:noProof/>
              </w:rPr>
              <w:t>Ponto de entrada único para notificações de incidentes</w:t>
            </w:r>
          </w:p>
          <w:p w14:paraId="2FD77074" w14:textId="77777777" w:rsidR="009C4CDA" w:rsidRPr="000D0D06" w:rsidRDefault="009C4CDA" w:rsidP="009C4CDA">
            <w:pPr>
              <w:jc w:val="left"/>
              <w:rPr>
                <w:noProof/>
              </w:rPr>
            </w:pPr>
          </w:p>
        </w:tc>
        <w:tc>
          <w:tcPr>
            <w:tcW w:w="1872" w:type="dxa"/>
          </w:tcPr>
          <w:p w14:paraId="7701E6F5" w14:textId="77777777" w:rsidR="009C4CDA" w:rsidRPr="000D0D06" w:rsidRDefault="009C4CDA" w:rsidP="009C4CDA">
            <w:pPr>
              <w:jc w:val="left"/>
              <w:rPr>
                <w:noProof/>
              </w:rPr>
            </w:pPr>
            <w:r w:rsidRPr="000D0D06">
              <w:rPr>
                <w:noProof/>
              </w:rPr>
              <w:t>Artigo 6.º</w:t>
            </w:r>
          </w:p>
          <w:p w14:paraId="1F063686" w14:textId="77777777" w:rsidR="009C4CDA" w:rsidRPr="000D0D06" w:rsidRDefault="009C4CDA" w:rsidP="009C4CDA">
            <w:pPr>
              <w:jc w:val="left"/>
              <w:rPr>
                <w:i/>
                <w:iCs/>
                <w:noProof/>
              </w:rPr>
            </w:pPr>
            <w:r w:rsidRPr="000D0D06">
              <w:rPr>
                <w:i/>
                <w:noProof/>
              </w:rPr>
              <w:t>Aditamento do artigo 23.º-A à Diretiva SRI 2</w:t>
            </w:r>
          </w:p>
          <w:p w14:paraId="4C666D59" w14:textId="77777777" w:rsidR="009C4CDA" w:rsidRPr="000D0D06" w:rsidRDefault="009C4CDA" w:rsidP="009C4CDA">
            <w:pPr>
              <w:jc w:val="left"/>
              <w:rPr>
                <w:i/>
                <w:iCs/>
                <w:noProof/>
              </w:rPr>
            </w:pPr>
          </w:p>
        </w:tc>
        <w:tc>
          <w:tcPr>
            <w:tcW w:w="2262" w:type="dxa"/>
          </w:tcPr>
          <w:p w14:paraId="107DD1CB" w14:textId="77777777" w:rsidR="009C4CDA" w:rsidRPr="000D0D06" w:rsidRDefault="009C4CDA" w:rsidP="009C4CDA">
            <w:pPr>
              <w:spacing w:line="259" w:lineRule="auto"/>
              <w:jc w:val="left"/>
              <w:rPr>
                <w:noProof/>
              </w:rPr>
            </w:pPr>
            <w:r w:rsidRPr="000D0D06">
              <w:rPr>
                <w:noProof/>
              </w:rPr>
              <w:t>Permitir a comunicação de incidentes nos termos dos atos aplicáveis a nível da União</w:t>
            </w:r>
          </w:p>
          <w:p w14:paraId="45E5FFC9" w14:textId="77777777" w:rsidR="009C4CDA" w:rsidRPr="000D0D06" w:rsidRDefault="009C4CDA" w:rsidP="009C4CDA">
            <w:pPr>
              <w:spacing w:line="259" w:lineRule="auto"/>
              <w:jc w:val="left"/>
              <w:rPr>
                <w:noProof/>
              </w:rPr>
            </w:pPr>
            <w:r w:rsidRPr="000D0D06">
              <w:rPr>
                <w:noProof/>
              </w:rPr>
              <w:t>Assegurar a interoperabilidade e a compatibilidade com as carteiras empresariais europeias</w:t>
            </w:r>
          </w:p>
        </w:tc>
        <w:tc>
          <w:tcPr>
            <w:tcW w:w="2325" w:type="dxa"/>
          </w:tcPr>
          <w:p w14:paraId="23928DD9" w14:textId="77777777" w:rsidR="009C4CDA" w:rsidRPr="000D0D06" w:rsidRDefault="009C4CDA" w:rsidP="009C4CDA">
            <w:pPr>
              <w:spacing w:line="259" w:lineRule="auto"/>
              <w:jc w:val="left"/>
              <w:rPr>
                <w:noProof/>
              </w:rPr>
            </w:pPr>
            <w:r w:rsidRPr="000D0D06">
              <w:rPr>
                <w:noProof/>
              </w:rPr>
              <w:t>Comissão Europeia; ENISA</w:t>
            </w:r>
          </w:p>
          <w:p w14:paraId="485890C7" w14:textId="77777777" w:rsidR="009C4CDA" w:rsidRPr="000D0D06" w:rsidRDefault="009C4CDA" w:rsidP="009C4CDA">
            <w:pPr>
              <w:spacing w:line="259" w:lineRule="auto"/>
              <w:jc w:val="left"/>
              <w:rPr>
                <w:noProof/>
              </w:rPr>
            </w:pPr>
          </w:p>
        </w:tc>
        <w:tc>
          <w:tcPr>
            <w:tcW w:w="1709" w:type="dxa"/>
          </w:tcPr>
          <w:p w14:paraId="08B6FF0F" w14:textId="77777777" w:rsidR="009C4CDA" w:rsidRPr="000D0D06" w:rsidRDefault="009C4CDA" w:rsidP="009C4CDA">
            <w:pPr>
              <w:spacing w:line="259" w:lineRule="auto"/>
              <w:jc w:val="left"/>
              <w:rPr>
                <w:noProof/>
              </w:rPr>
            </w:pPr>
            <w:r w:rsidRPr="000D0D06">
              <w:rPr>
                <w:noProof/>
              </w:rPr>
              <w:t>Interoperabilidade e compatibilidade com as carteiras empresariais europeias e os seus próprios meios de acessibilidade</w:t>
            </w:r>
          </w:p>
        </w:tc>
        <w:tc>
          <w:tcPr>
            <w:tcW w:w="1925" w:type="dxa"/>
          </w:tcPr>
          <w:p w14:paraId="6F6390FA" w14:textId="77777777" w:rsidR="009C4CDA" w:rsidRPr="000D0D06" w:rsidRDefault="009C4CDA" w:rsidP="009C4CDA">
            <w:pPr>
              <w:spacing w:line="259" w:lineRule="auto"/>
              <w:jc w:val="left"/>
              <w:rPr>
                <w:noProof/>
              </w:rPr>
            </w:pPr>
            <w:r w:rsidRPr="000D0D06">
              <w:rPr>
                <w:noProof/>
              </w:rPr>
              <w:t>Possibilidade de dar resposta à comunicação de incidentes ao abrigo de diferentes atos jurídicos; possibilidade de integrar outras bases jurídicas na solução de ponto de entrada único no futuro</w:t>
            </w:r>
          </w:p>
        </w:tc>
        <w:tc>
          <w:tcPr>
            <w:tcW w:w="1840" w:type="dxa"/>
          </w:tcPr>
          <w:p w14:paraId="59BDBF4E" w14:textId="77777777" w:rsidR="009C4CDA" w:rsidRPr="000D0D06" w:rsidRDefault="009C4CDA" w:rsidP="009C4CDA">
            <w:pPr>
              <w:spacing w:line="259" w:lineRule="auto"/>
              <w:jc w:val="left"/>
              <w:rPr>
                <w:noProof/>
              </w:rPr>
            </w:pPr>
            <w:r w:rsidRPr="000D0D06">
              <w:rPr>
                <w:noProof/>
              </w:rPr>
              <w:t>n.a.</w:t>
            </w:r>
          </w:p>
        </w:tc>
      </w:tr>
    </w:tbl>
    <w:p w14:paraId="24EAA3D9" w14:textId="77777777" w:rsidR="00C85654" w:rsidRPr="000D0D06" w:rsidRDefault="00C85654" w:rsidP="00C85654">
      <w:pPr>
        <w:rPr>
          <w:i/>
          <w:iCs/>
          <w:noProof/>
        </w:rPr>
      </w:pPr>
      <w:r w:rsidRPr="000D0D06">
        <w:rPr>
          <w:i/>
          <w:noProof/>
        </w:rPr>
        <w:t>Demonstração da forma como cada solução digital cumpre as políticas digitais e os atos legislativos aplicáveis</w:t>
      </w:r>
    </w:p>
    <w:p w14:paraId="589C89D5" w14:textId="77777777" w:rsidR="00C85654" w:rsidRPr="000D0D06" w:rsidRDefault="00C85654" w:rsidP="00C85654">
      <w:pPr>
        <w:rPr>
          <w:i/>
          <w:iCs/>
          <w:noProof/>
        </w:rPr>
      </w:pPr>
    </w:p>
    <w:p w14:paraId="08608D98" w14:textId="77777777" w:rsidR="00C85654" w:rsidRPr="000D0D06" w:rsidRDefault="00C85654" w:rsidP="00C85654">
      <w:pPr>
        <w:jc w:val="left"/>
        <w:rPr>
          <w:b/>
          <w:bCs/>
          <w:noProof/>
          <w:u w:val="single"/>
        </w:rPr>
      </w:pPr>
      <w:r w:rsidRPr="000D0D06">
        <w:rPr>
          <w:b/>
          <w:noProof/>
          <w:u w:val="single"/>
        </w:rPr>
        <w:t>Registo público da União de serviços de intermediação de dados e de organizações de altruísmo de dados</w:t>
      </w:r>
    </w:p>
    <w:tbl>
      <w:tblPr>
        <w:tblStyle w:val="TableGridLight"/>
        <w:tblW w:w="1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9971"/>
      </w:tblGrid>
      <w:tr w:rsidR="00C85654" w:rsidRPr="000D0D06" w14:paraId="0C9DC7F9" w14:textId="77777777">
        <w:tc>
          <w:tcPr>
            <w:tcW w:w="4106" w:type="dxa"/>
          </w:tcPr>
          <w:p w14:paraId="7B24B231" w14:textId="77777777" w:rsidR="00C85654" w:rsidRPr="000D0D06" w:rsidRDefault="00C85654">
            <w:pPr>
              <w:jc w:val="left"/>
              <w:rPr>
                <w:b/>
                <w:bCs/>
                <w:noProof/>
              </w:rPr>
            </w:pPr>
            <w:r w:rsidRPr="000D0D06">
              <w:rPr>
                <w:b/>
                <w:noProof/>
              </w:rPr>
              <w:t>Política digital e/ou setorial (quando aplicáveis)</w:t>
            </w:r>
          </w:p>
        </w:tc>
        <w:tc>
          <w:tcPr>
            <w:tcW w:w="9971" w:type="dxa"/>
          </w:tcPr>
          <w:p w14:paraId="49D507EC" w14:textId="77777777" w:rsidR="00C85654" w:rsidRPr="000D0D06" w:rsidRDefault="00C85654">
            <w:pPr>
              <w:jc w:val="left"/>
              <w:rPr>
                <w:b/>
                <w:bCs/>
                <w:noProof/>
              </w:rPr>
            </w:pPr>
            <w:r w:rsidRPr="000D0D06">
              <w:rPr>
                <w:b/>
                <w:noProof/>
              </w:rPr>
              <w:t>Explicação sobre o seu alinhamento</w:t>
            </w:r>
          </w:p>
        </w:tc>
      </w:tr>
      <w:tr w:rsidR="00C85654" w:rsidRPr="000D0D06" w14:paraId="05E46F13" w14:textId="77777777">
        <w:tc>
          <w:tcPr>
            <w:tcW w:w="4106" w:type="dxa"/>
          </w:tcPr>
          <w:p w14:paraId="1C0D49C4" w14:textId="77777777" w:rsidR="00C85654" w:rsidRPr="000D0D06" w:rsidRDefault="00C85654">
            <w:pPr>
              <w:jc w:val="left"/>
              <w:rPr>
                <w:noProof/>
              </w:rPr>
            </w:pPr>
            <w:r w:rsidRPr="000D0D06">
              <w:rPr>
                <w:b/>
                <w:i/>
                <w:noProof/>
              </w:rPr>
              <w:t>Regulamento IA</w:t>
            </w:r>
          </w:p>
        </w:tc>
        <w:tc>
          <w:tcPr>
            <w:tcW w:w="9971" w:type="dxa"/>
          </w:tcPr>
          <w:p w14:paraId="44D3A16B" w14:textId="77777777" w:rsidR="00C85654" w:rsidRPr="000D0D06" w:rsidRDefault="00C85654">
            <w:pPr>
              <w:jc w:val="left"/>
              <w:rPr>
                <w:noProof/>
              </w:rPr>
            </w:pPr>
            <w:r w:rsidRPr="000D0D06">
              <w:rPr>
                <w:noProof/>
              </w:rPr>
              <w:t>n.a.</w:t>
            </w:r>
          </w:p>
        </w:tc>
      </w:tr>
      <w:tr w:rsidR="00C85654" w:rsidRPr="000D0D06" w14:paraId="6D8783B8" w14:textId="77777777">
        <w:tc>
          <w:tcPr>
            <w:tcW w:w="4106" w:type="dxa"/>
          </w:tcPr>
          <w:p w14:paraId="2785E047" w14:textId="77777777" w:rsidR="00C85654" w:rsidRPr="000D0D06" w:rsidRDefault="00C85654">
            <w:pPr>
              <w:jc w:val="left"/>
              <w:rPr>
                <w:noProof/>
              </w:rPr>
            </w:pPr>
            <w:r w:rsidRPr="000D0D06">
              <w:rPr>
                <w:b/>
                <w:i/>
                <w:noProof/>
              </w:rPr>
              <w:t>Quadro de cibersegurança da UE</w:t>
            </w:r>
          </w:p>
        </w:tc>
        <w:tc>
          <w:tcPr>
            <w:tcW w:w="9971" w:type="dxa"/>
          </w:tcPr>
          <w:p w14:paraId="55F9DC5B" w14:textId="77777777" w:rsidR="00C85654" w:rsidRPr="000D0D06" w:rsidRDefault="001C179A">
            <w:pPr>
              <w:jc w:val="left"/>
              <w:rPr>
                <w:noProof/>
              </w:rPr>
            </w:pPr>
            <w:r w:rsidRPr="000D0D06">
              <w:rPr>
                <w:noProof/>
              </w:rPr>
              <w:t>n.a.</w:t>
            </w:r>
          </w:p>
        </w:tc>
      </w:tr>
      <w:tr w:rsidR="00C85654" w:rsidRPr="000D0D06" w14:paraId="1E1020B0" w14:textId="77777777">
        <w:tc>
          <w:tcPr>
            <w:tcW w:w="4106" w:type="dxa"/>
          </w:tcPr>
          <w:p w14:paraId="02D522EF" w14:textId="77777777" w:rsidR="00C85654" w:rsidRPr="000D0D06" w:rsidRDefault="00C85654">
            <w:pPr>
              <w:jc w:val="left"/>
              <w:rPr>
                <w:noProof/>
              </w:rPr>
            </w:pPr>
            <w:r w:rsidRPr="000D0D06">
              <w:rPr>
                <w:b/>
                <w:i/>
                <w:noProof/>
              </w:rPr>
              <w:t>eIDAS</w:t>
            </w:r>
          </w:p>
        </w:tc>
        <w:tc>
          <w:tcPr>
            <w:tcW w:w="9971" w:type="dxa"/>
          </w:tcPr>
          <w:p w14:paraId="45A9CC51" w14:textId="77777777" w:rsidR="00C85654" w:rsidRPr="000D0D06" w:rsidRDefault="00C85654">
            <w:pPr>
              <w:jc w:val="left"/>
              <w:rPr>
                <w:noProof/>
              </w:rPr>
            </w:pPr>
            <w:r w:rsidRPr="000D0D06">
              <w:rPr>
                <w:noProof/>
              </w:rPr>
              <w:t>n.a.</w:t>
            </w:r>
          </w:p>
        </w:tc>
      </w:tr>
      <w:tr w:rsidR="00C85654" w:rsidRPr="000D0D06" w14:paraId="083ADA84" w14:textId="77777777">
        <w:tc>
          <w:tcPr>
            <w:tcW w:w="4106" w:type="dxa"/>
          </w:tcPr>
          <w:p w14:paraId="6BC2C193" w14:textId="77777777" w:rsidR="00C85654" w:rsidRPr="000D0D06" w:rsidRDefault="00C85654">
            <w:pPr>
              <w:jc w:val="left"/>
              <w:rPr>
                <w:noProof/>
              </w:rPr>
            </w:pPr>
            <w:r w:rsidRPr="000D0D06">
              <w:rPr>
                <w:b/>
                <w:i/>
                <w:noProof/>
              </w:rPr>
              <w:t>Plataforma digital única e IMI</w:t>
            </w:r>
          </w:p>
        </w:tc>
        <w:tc>
          <w:tcPr>
            <w:tcW w:w="9971" w:type="dxa"/>
          </w:tcPr>
          <w:p w14:paraId="298902BD" w14:textId="77777777" w:rsidR="00C85654" w:rsidRPr="000D0D06" w:rsidRDefault="00C85654">
            <w:pPr>
              <w:spacing w:before="240" w:after="240"/>
              <w:jc w:val="left"/>
              <w:rPr>
                <w:noProof/>
              </w:rPr>
            </w:pPr>
            <w:r w:rsidRPr="000D0D06">
              <w:rPr>
                <w:noProof/>
              </w:rPr>
              <w:t xml:space="preserve">Alteração do Regulamento (UE) 2018/1724 para aditar ao anexo II os procedimentos «Registo como prestador de serviços de intermediação de dados» e «Registo como organização de altruísmo de dados reconhecida na União». </w:t>
            </w:r>
          </w:p>
        </w:tc>
      </w:tr>
      <w:tr w:rsidR="00C85654" w:rsidRPr="000D0D06" w14:paraId="6F359BA8" w14:textId="77777777">
        <w:tc>
          <w:tcPr>
            <w:tcW w:w="4106" w:type="dxa"/>
          </w:tcPr>
          <w:p w14:paraId="54DDA2DD" w14:textId="77777777" w:rsidR="00C85654" w:rsidRPr="000D0D06" w:rsidRDefault="00C85654">
            <w:pPr>
              <w:jc w:val="left"/>
              <w:rPr>
                <w:noProof/>
              </w:rPr>
            </w:pPr>
            <w:r w:rsidRPr="000D0D06">
              <w:rPr>
                <w:b/>
                <w:i/>
                <w:noProof/>
              </w:rPr>
              <w:t>Outras</w:t>
            </w:r>
          </w:p>
        </w:tc>
        <w:tc>
          <w:tcPr>
            <w:tcW w:w="9971" w:type="dxa"/>
          </w:tcPr>
          <w:p w14:paraId="55BDD8DE" w14:textId="77777777" w:rsidR="00C85654" w:rsidRPr="000D0D06" w:rsidRDefault="00C85654">
            <w:pPr>
              <w:jc w:val="left"/>
              <w:rPr>
                <w:rFonts w:eastAsia="Calibri"/>
                <w:noProof/>
              </w:rPr>
            </w:pPr>
            <w:r w:rsidRPr="000D0D06">
              <w:rPr>
                <w:noProof/>
              </w:rPr>
              <w:t>n.a.</w:t>
            </w:r>
          </w:p>
        </w:tc>
      </w:tr>
    </w:tbl>
    <w:p w14:paraId="76A16228" w14:textId="77777777" w:rsidR="00C85654" w:rsidRPr="000D0D06" w:rsidRDefault="00C85654" w:rsidP="00C85654">
      <w:pPr>
        <w:jc w:val="left"/>
        <w:rPr>
          <w:b/>
          <w:bCs/>
          <w:noProof/>
          <w:u w:val="single"/>
        </w:rPr>
      </w:pPr>
    </w:p>
    <w:p w14:paraId="283F888D" w14:textId="77777777" w:rsidR="00C85654" w:rsidRPr="000D0D06" w:rsidRDefault="00C85654" w:rsidP="00C85654">
      <w:pPr>
        <w:jc w:val="left"/>
        <w:rPr>
          <w:b/>
          <w:bCs/>
          <w:noProof/>
          <w:u w:val="single"/>
        </w:rPr>
      </w:pPr>
      <w:r w:rsidRPr="000D0D06">
        <w:rPr>
          <w:b/>
          <w:noProof/>
          <w:u w:val="single"/>
        </w:rPr>
        <w:t>Ponto de informação único (ao abrigo do Regulamento dos Dados)</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9971"/>
      </w:tblGrid>
      <w:tr w:rsidR="00C85654" w:rsidRPr="000D0D06" w14:paraId="2794D55E" w14:textId="77777777">
        <w:trPr>
          <w:trHeight w:val="300"/>
        </w:trPr>
        <w:tc>
          <w:tcPr>
            <w:tcW w:w="4106" w:type="dxa"/>
          </w:tcPr>
          <w:p w14:paraId="286651FB" w14:textId="77777777" w:rsidR="00C85654" w:rsidRPr="000D0D06" w:rsidRDefault="00C85654">
            <w:pPr>
              <w:jc w:val="left"/>
              <w:rPr>
                <w:b/>
                <w:bCs/>
                <w:noProof/>
              </w:rPr>
            </w:pPr>
            <w:r w:rsidRPr="000D0D06">
              <w:rPr>
                <w:b/>
                <w:noProof/>
              </w:rPr>
              <w:t>Política digital e/ou setorial (quando aplicáveis)</w:t>
            </w:r>
          </w:p>
        </w:tc>
        <w:tc>
          <w:tcPr>
            <w:tcW w:w="9971" w:type="dxa"/>
          </w:tcPr>
          <w:p w14:paraId="7863CBF8" w14:textId="77777777" w:rsidR="00C85654" w:rsidRPr="000D0D06" w:rsidRDefault="00C85654">
            <w:pPr>
              <w:jc w:val="left"/>
              <w:rPr>
                <w:b/>
                <w:bCs/>
                <w:noProof/>
              </w:rPr>
            </w:pPr>
            <w:r w:rsidRPr="000D0D06">
              <w:rPr>
                <w:b/>
                <w:noProof/>
              </w:rPr>
              <w:t>Explicação sobre o seu alinhamento</w:t>
            </w:r>
          </w:p>
        </w:tc>
      </w:tr>
      <w:tr w:rsidR="00C85654" w:rsidRPr="000D0D06" w14:paraId="4CF83E0A" w14:textId="77777777">
        <w:trPr>
          <w:trHeight w:val="300"/>
        </w:trPr>
        <w:tc>
          <w:tcPr>
            <w:tcW w:w="4106" w:type="dxa"/>
          </w:tcPr>
          <w:p w14:paraId="13CA3CC3" w14:textId="77777777" w:rsidR="00C85654" w:rsidRPr="000D0D06" w:rsidRDefault="00C85654">
            <w:pPr>
              <w:jc w:val="left"/>
              <w:rPr>
                <w:b/>
                <w:bCs/>
                <w:i/>
                <w:iCs/>
                <w:noProof/>
              </w:rPr>
            </w:pPr>
            <w:r w:rsidRPr="000D0D06">
              <w:rPr>
                <w:b/>
                <w:i/>
                <w:noProof/>
              </w:rPr>
              <w:t>Regulamento IA</w:t>
            </w:r>
          </w:p>
        </w:tc>
        <w:tc>
          <w:tcPr>
            <w:tcW w:w="9971" w:type="dxa"/>
          </w:tcPr>
          <w:p w14:paraId="5089AE80" w14:textId="77777777" w:rsidR="00C85654" w:rsidRPr="000D0D06" w:rsidRDefault="00C85654">
            <w:pPr>
              <w:jc w:val="left"/>
              <w:rPr>
                <w:noProof/>
              </w:rPr>
            </w:pPr>
            <w:r w:rsidRPr="000D0D06">
              <w:rPr>
                <w:noProof/>
              </w:rPr>
              <w:t>n.a.</w:t>
            </w:r>
          </w:p>
        </w:tc>
      </w:tr>
      <w:tr w:rsidR="00C85654" w:rsidRPr="000D0D06" w14:paraId="303E2A7D" w14:textId="77777777">
        <w:trPr>
          <w:trHeight w:val="300"/>
        </w:trPr>
        <w:tc>
          <w:tcPr>
            <w:tcW w:w="4106" w:type="dxa"/>
          </w:tcPr>
          <w:p w14:paraId="6A70E1CB" w14:textId="77777777" w:rsidR="00C85654" w:rsidRPr="000D0D06" w:rsidRDefault="00C85654">
            <w:pPr>
              <w:jc w:val="left"/>
              <w:rPr>
                <w:noProof/>
              </w:rPr>
            </w:pPr>
            <w:r w:rsidRPr="000D0D06">
              <w:rPr>
                <w:b/>
                <w:i/>
                <w:noProof/>
              </w:rPr>
              <w:t>Quadro de cibersegurança da UE</w:t>
            </w:r>
          </w:p>
        </w:tc>
        <w:tc>
          <w:tcPr>
            <w:tcW w:w="9971" w:type="dxa"/>
          </w:tcPr>
          <w:p w14:paraId="079312A0" w14:textId="77777777" w:rsidR="00C85654" w:rsidRPr="000D0D06" w:rsidRDefault="00C85654">
            <w:pPr>
              <w:jc w:val="left"/>
              <w:rPr>
                <w:noProof/>
              </w:rPr>
            </w:pPr>
            <w:r w:rsidRPr="000D0D06">
              <w:rPr>
                <w:noProof/>
              </w:rPr>
              <w:t xml:space="preserve">Os organismos do setor público podem prever um requisito de acesso e reutilização remotos dos dados ou documentos num ambiente de tratamento seguro disponibilizado ou controlado pelo organismo do setor público. Nesses casos, os organismos do setor público devem impor condições que preservem a integridade do funcionamento dos sistemas técnicos do ambiente de tratamento seguro utilizado. </w:t>
            </w:r>
          </w:p>
        </w:tc>
      </w:tr>
      <w:tr w:rsidR="00C85654" w:rsidRPr="000D0D06" w14:paraId="2D97CE20" w14:textId="77777777">
        <w:trPr>
          <w:trHeight w:val="300"/>
        </w:trPr>
        <w:tc>
          <w:tcPr>
            <w:tcW w:w="4106" w:type="dxa"/>
          </w:tcPr>
          <w:p w14:paraId="5BF0D73F" w14:textId="77777777" w:rsidR="00C85654" w:rsidRPr="000D0D06" w:rsidRDefault="00C85654">
            <w:pPr>
              <w:jc w:val="left"/>
              <w:rPr>
                <w:b/>
                <w:bCs/>
                <w:i/>
                <w:iCs/>
                <w:noProof/>
              </w:rPr>
            </w:pPr>
            <w:r w:rsidRPr="000D0D06">
              <w:rPr>
                <w:b/>
                <w:i/>
                <w:noProof/>
              </w:rPr>
              <w:t>eIDAS</w:t>
            </w:r>
          </w:p>
        </w:tc>
        <w:tc>
          <w:tcPr>
            <w:tcW w:w="9971" w:type="dxa"/>
          </w:tcPr>
          <w:p w14:paraId="417E83EC" w14:textId="77777777" w:rsidR="00C85654" w:rsidRPr="000D0D06" w:rsidRDefault="00C85654">
            <w:pPr>
              <w:jc w:val="left"/>
              <w:rPr>
                <w:noProof/>
              </w:rPr>
            </w:pPr>
            <w:r w:rsidRPr="000D0D06">
              <w:rPr>
                <w:noProof/>
              </w:rPr>
              <w:t>n.a.</w:t>
            </w:r>
          </w:p>
        </w:tc>
      </w:tr>
      <w:tr w:rsidR="00C85654" w:rsidRPr="000D0D06" w14:paraId="66E63B41" w14:textId="77777777">
        <w:trPr>
          <w:trHeight w:val="300"/>
        </w:trPr>
        <w:tc>
          <w:tcPr>
            <w:tcW w:w="4106" w:type="dxa"/>
          </w:tcPr>
          <w:p w14:paraId="33CB6FDA" w14:textId="77777777" w:rsidR="00C85654" w:rsidRPr="000D0D06" w:rsidRDefault="00C85654">
            <w:pPr>
              <w:jc w:val="left"/>
              <w:rPr>
                <w:noProof/>
              </w:rPr>
            </w:pPr>
            <w:r w:rsidRPr="000D0D06">
              <w:rPr>
                <w:b/>
                <w:i/>
                <w:noProof/>
              </w:rPr>
              <w:t>Plataforma digital única e IMI</w:t>
            </w:r>
          </w:p>
        </w:tc>
        <w:tc>
          <w:tcPr>
            <w:tcW w:w="9971" w:type="dxa"/>
          </w:tcPr>
          <w:p w14:paraId="1E8EC9F3" w14:textId="77777777" w:rsidR="00C85654" w:rsidRPr="000D0D06" w:rsidRDefault="00C85654">
            <w:pPr>
              <w:jc w:val="left"/>
              <w:rPr>
                <w:noProof/>
              </w:rPr>
            </w:pPr>
            <w:r w:rsidRPr="000D0D06">
              <w:rPr>
                <w:noProof/>
              </w:rPr>
              <w:t>n.a.</w:t>
            </w:r>
          </w:p>
        </w:tc>
      </w:tr>
      <w:tr w:rsidR="00C85654" w:rsidRPr="000D0D06" w14:paraId="0B6023AE" w14:textId="77777777">
        <w:trPr>
          <w:trHeight w:val="300"/>
        </w:trPr>
        <w:tc>
          <w:tcPr>
            <w:tcW w:w="4106" w:type="dxa"/>
          </w:tcPr>
          <w:p w14:paraId="297C0D7F" w14:textId="77777777" w:rsidR="00C85654" w:rsidRPr="000D0D06" w:rsidRDefault="00C85654">
            <w:pPr>
              <w:jc w:val="left"/>
              <w:rPr>
                <w:b/>
                <w:bCs/>
                <w:i/>
                <w:iCs/>
                <w:noProof/>
              </w:rPr>
            </w:pPr>
            <w:r w:rsidRPr="000D0D06">
              <w:rPr>
                <w:b/>
                <w:i/>
                <w:noProof/>
              </w:rPr>
              <w:t>Outras</w:t>
            </w:r>
          </w:p>
        </w:tc>
        <w:tc>
          <w:tcPr>
            <w:tcW w:w="9971" w:type="dxa"/>
          </w:tcPr>
          <w:p w14:paraId="171E95A9" w14:textId="77777777" w:rsidR="00C85654" w:rsidRPr="000D0D06" w:rsidRDefault="00C85654">
            <w:pPr>
              <w:jc w:val="left"/>
              <w:rPr>
                <w:rFonts w:eastAsia="Calibri"/>
                <w:noProof/>
              </w:rPr>
            </w:pPr>
            <w:r w:rsidRPr="000D0D06">
              <w:rPr>
                <w:noProof/>
              </w:rPr>
              <w:t xml:space="preserve">O ponto de informação único deve estar em conformidade com o Regulamento (UE) 2016/679 (RGPD). Os organismos do setor público só podem estabelecer requisitos para a concessão de acesso para fins de reutilização de dados ou documentos, sempre que estes tenham sido anonimizados e/ou sujeitos a outra forma de preparação adequada. Além disso, em caso de reutilização não autorizada de dados não pessoais, o reutilizador é obrigado a informar as pessoas singulares cujos direitos e interesses possam ser afetados. </w:t>
            </w:r>
          </w:p>
        </w:tc>
      </w:tr>
    </w:tbl>
    <w:p w14:paraId="02456EEE" w14:textId="77777777" w:rsidR="00C85654" w:rsidRPr="000D0D06" w:rsidRDefault="00C85654" w:rsidP="00C85654">
      <w:pPr>
        <w:jc w:val="left"/>
        <w:rPr>
          <w:b/>
          <w:bCs/>
          <w:noProof/>
          <w:u w:val="single"/>
        </w:rPr>
      </w:pPr>
    </w:p>
    <w:p w14:paraId="3CBD5416" w14:textId="77777777" w:rsidR="00C85654" w:rsidRPr="000D0D06" w:rsidRDefault="00C85654" w:rsidP="00C85654">
      <w:pPr>
        <w:jc w:val="left"/>
        <w:rPr>
          <w:b/>
          <w:bCs/>
          <w:noProof/>
          <w:u w:val="single"/>
        </w:rPr>
      </w:pPr>
      <w:r w:rsidRPr="000D0D06">
        <w:rPr>
          <w:b/>
          <w:noProof/>
          <w:u w:val="single"/>
        </w:rPr>
        <w:t>Ponto de entrada único para notificações de incidentes</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9971"/>
      </w:tblGrid>
      <w:tr w:rsidR="00C85654" w:rsidRPr="000D0D06" w14:paraId="684E77FD" w14:textId="77777777">
        <w:trPr>
          <w:trHeight w:val="300"/>
        </w:trPr>
        <w:tc>
          <w:tcPr>
            <w:tcW w:w="4106" w:type="dxa"/>
          </w:tcPr>
          <w:p w14:paraId="464FAF9A" w14:textId="77777777" w:rsidR="00C85654" w:rsidRPr="000D0D06" w:rsidRDefault="00C85654">
            <w:pPr>
              <w:jc w:val="left"/>
              <w:rPr>
                <w:b/>
                <w:bCs/>
                <w:noProof/>
              </w:rPr>
            </w:pPr>
            <w:r w:rsidRPr="000D0D06">
              <w:rPr>
                <w:b/>
                <w:noProof/>
              </w:rPr>
              <w:t>Política digital e/ou setorial (quando aplicáveis)</w:t>
            </w:r>
          </w:p>
        </w:tc>
        <w:tc>
          <w:tcPr>
            <w:tcW w:w="9971" w:type="dxa"/>
          </w:tcPr>
          <w:p w14:paraId="7A108F18" w14:textId="77777777" w:rsidR="00C85654" w:rsidRPr="000D0D06" w:rsidRDefault="00C85654">
            <w:pPr>
              <w:jc w:val="left"/>
              <w:rPr>
                <w:b/>
                <w:bCs/>
                <w:noProof/>
              </w:rPr>
            </w:pPr>
            <w:r w:rsidRPr="000D0D06">
              <w:rPr>
                <w:b/>
                <w:noProof/>
              </w:rPr>
              <w:t>Explicação sobre o seu alinhamento</w:t>
            </w:r>
          </w:p>
        </w:tc>
      </w:tr>
      <w:tr w:rsidR="00C85654" w:rsidRPr="000D0D06" w14:paraId="21856B2B" w14:textId="77777777">
        <w:trPr>
          <w:trHeight w:val="300"/>
        </w:trPr>
        <w:tc>
          <w:tcPr>
            <w:tcW w:w="4106" w:type="dxa"/>
          </w:tcPr>
          <w:p w14:paraId="255E10E2" w14:textId="77777777" w:rsidR="00C85654" w:rsidRPr="000D0D06" w:rsidRDefault="00C85654">
            <w:pPr>
              <w:jc w:val="left"/>
              <w:rPr>
                <w:noProof/>
              </w:rPr>
            </w:pPr>
            <w:r w:rsidRPr="000D0D06">
              <w:rPr>
                <w:b/>
                <w:i/>
                <w:noProof/>
              </w:rPr>
              <w:t>Regulamento IA</w:t>
            </w:r>
          </w:p>
        </w:tc>
        <w:tc>
          <w:tcPr>
            <w:tcW w:w="9971" w:type="dxa"/>
          </w:tcPr>
          <w:p w14:paraId="24BA7E21" w14:textId="77777777" w:rsidR="00C85654" w:rsidRPr="000D0D06" w:rsidRDefault="00C85654">
            <w:pPr>
              <w:jc w:val="left"/>
              <w:rPr>
                <w:noProof/>
              </w:rPr>
            </w:pPr>
            <w:r w:rsidRPr="000D0D06">
              <w:rPr>
                <w:noProof/>
              </w:rPr>
              <w:t>n.a.</w:t>
            </w:r>
          </w:p>
        </w:tc>
      </w:tr>
      <w:tr w:rsidR="00C85654" w:rsidRPr="000D0D06" w14:paraId="53A10C1D" w14:textId="77777777">
        <w:trPr>
          <w:trHeight w:val="300"/>
        </w:trPr>
        <w:tc>
          <w:tcPr>
            <w:tcW w:w="4106" w:type="dxa"/>
          </w:tcPr>
          <w:p w14:paraId="166D066C" w14:textId="77777777" w:rsidR="00C85654" w:rsidRPr="000D0D06" w:rsidRDefault="00C85654">
            <w:pPr>
              <w:jc w:val="left"/>
              <w:rPr>
                <w:noProof/>
              </w:rPr>
            </w:pPr>
            <w:r w:rsidRPr="000D0D06">
              <w:rPr>
                <w:b/>
                <w:i/>
                <w:noProof/>
              </w:rPr>
              <w:t>Quadro de cibersegurança da UE</w:t>
            </w:r>
          </w:p>
        </w:tc>
        <w:tc>
          <w:tcPr>
            <w:tcW w:w="9971" w:type="dxa"/>
          </w:tcPr>
          <w:p w14:paraId="6F9C20BE" w14:textId="77777777" w:rsidR="00C85654" w:rsidRPr="000D0D06" w:rsidRDefault="00C85654">
            <w:pPr>
              <w:jc w:val="left"/>
              <w:rPr>
                <w:noProof/>
              </w:rPr>
            </w:pPr>
            <w:r w:rsidRPr="000D0D06">
              <w:rPr>
                <w:noProof/>
              </w:rPr>
              <w:t xml:space="preserve">Enquanto alteração da Diretiva SRI 2, existe uma ênfase inerente na cibersegurança. De um modo mais geral, o ponto de entrada único visa servir de porta de acesso, canalizando todas as comunicações de incidentes relacionados com a cibersegurança para as respetivas autoridades competentes, ao abrigo de vários atos jurídicos da União. </w:t>
            </w:r>
          </w:p>
        </w:tc>
      </w:tr>
      <w:tr w:rsidR="00C85654" w:rsidRPr="000D0D06" w14:paraId="644D0379" w14:textId="77777777">
        <w:trPr>
          <w:trHeight w:val="300"/>
        </w:trPr>
        <w:tc>
          <w:tcPr>
            <w:tcW w:w="4106" w:type="dxa"/>
          </w:tcPr>
          <w:p w14:paraId="645A8E5F" w14:textId="77777777" w:rsidR="00C85654" w:rsidRPr="000D0D06" w:rsidRDefault="00C85654">
            <w:pPr>
              <w:jc w:val="left"/>
              <w:rPr>
                <w:noProof/>
              </w:rPr>
            </w:pPr>
            <w:r w:rsidRPr="000D0D06">
              <w:rPr>
                <w:b/>
                <w:i/>
                <w:noProof/>
              </w:rPr>
              <w:t>eIDAS</w:t>
            </w:r>
          </w:p>
        </w:tc>
        <w:tc>
          <w:tcPr>
            <w:tcW w:w="9971" w:type="dxa"/>
          </w:tcPr>
          <w:p w14:paraId="0114CA8D" w14:textId="0BA06A0D" w:rsidR="00C85654" w:rsidRPr="000D0D06" w:rsidRDefault="00C85654">
            <w:pPr>
              <w:jc w:val="left"/>
              <w:rPr>
                <w:noProof/>
              </w:rPr>
            </w:pPr>
            <w:r w:rsidRPr="000D0D06">
              <w:rPr>
                <w:noProof/>
              </w:rPr>
              <w:t>O ponto de entrada único também é obrigatório para a notificação de incidentes ao abrigo do Regulamento (UE) n.º 910/2014 (Regulamento eIDAS).</w:t>
            </w:r>
          </w:p>
          <w:p w14:paraId="15AB3640" w14:textId="77777777" w:rsidR="00C85654" w:rsidRPr="000D0D06" w:rsidRDefault="00C85654">
            <w:pPr>
              <w:jc w:val="left"/>
              <w:rPr>
                <w:noProof/>
              </w:rPr>
            </w:pPr>
            <w:r w:rsidRPr="000D0D06">
              <w:rPr>
                <w:noProof/>
              </w:rPr>
              <w:t>A ENISA deve assegurar que o ponto de entrada único seja interoperável e compatível com as carteiras empresariais europeias e que estas possam ser utilizadas, pelo menos, para identificar e autenticar as entidades que utilizam o ponto de entrada único. A iniciativa política relativa às carteiras empresariais europeias basear-se-á no quadro eIDAS.</w:t>
            </w:r>
          </w:p>
        </w:tc>
      </w:tr>
      <w:tr w:rsidR="00C85654" w:rsidRPr="000D0D06" w14:paraId="2372DDED" w14:textId="77777777">
        <w:trPr>
          <w:trHeight w:val="300"/>
        </w:trPr>
        <w:tc>
          <w:tcPr>
            <w:tcW w:w="4106" w:type="dxa"/>
          </w:tcPr>
          <w:p w14:paraId="798B3692" w14:textId="77777777" w:rsidR="00C85654" w:rsidRPr="000D0D06" w:rsidRDefault="00C85654">
            <w:pPr>
              <w:jc w:val="left"/>
              <w:rPr>
                <w:noProof/>
              </w:rPr>
            </w:pPr>
            <w:r w:rsidRPr="000D0D06">
              <w:rPr>
                <w:b/>
                <w:i/>
                <w:noProof/>
              </w:rPr>
              <w:t>Plataforma digital única e IMI</w:t>
            </w:r>
          </w:p>
        </w:tc>
        <w:tc>
          <w:tcPr>
            <w:tcW w:w="9971" w:type="dxa"/>
          </w:tcPr>
          <w:p w14:paraId="6CB98010" w14:textId="77777777" w:rsidR="00C85654" w:rsidRPr="000D0D06" w:rsidRDefault="00C85654">
            <w:pPr>
              <w:jc w:val="left"/>
              <w:rPr>
                <w:noProof/>
              </w:rPr>
            </w:pPr>
            <w:r w:rsidRPr="000D0D06">
              <w:rPr>
                <w:noProof/>
              </w:rPr>
              <w:t>n.a.</w:t>
            </w:r>
          </w:p>
        </w:tc>
      </w:tr>
      <w:tr w:rsidR="00C85654" w:rsidRPr="000D0D06" w14:paraId="1A7F6DAC" w14:textId="77777777">
        <w:trPr>
          <w:trHeight w:val="300"/>
        </w:trPr>
        <w:tc>
          <w:tcPr>
            <w:tcW w:w="4106" w:type="dxa"/>
          </w:tcPr>
          <w:p w14:paraId="08B8872C" w14:textId="77777777" w:rsidR="00C85654" w:rsidRPr="000D0D06" w:rsidRDefault="00C85654">
            <w:pPr>
              <w:jc w:val="left"/>
              <w:rPr>
                <w:noProof/>
              </w:rPr>
            </w:pPr>
            <w:r w:rsidRPr="000D0D06">
              <w:rPr>
                <w:b/>
                <w:i/>
                <w:noProof/>
              </w:rPr>
              <w:t>Outras</w:t>
            </w:r>
          </w:p>
        </w:tc>
        <w:tc>
          <w:tcPr>
            <w:tcW w:w="9971" w:type="dxa"/>
          </w:tcPr>
          <w:p w14:paraId="2A264DB2" w14:textId="77777777" w:rsidR="00C85654" w:rsidRPr="000D0D06" w:rsidRDefault="00C85654">
            <w:pPr>
              <w:jc w:val="left"/>
              <w:rPr>
                <w:rFonts w:eastAsia="Calibri"/>
                <w:noProof/>
              </w:rPr>
            </w:pPr>
            <w:r w:rsidRPr="000D0D06">
              <w:rPr>
                <w:noProof/>
              </w:rPr>
              <w:t xml:space="preserve">A proposta teve em conta todo o acervo digital, incluindo as políticas relativas aos dados, à cibersegurança e às telecomunicações. </w:t>
            </w:r>
          </w:p>
        </w:tc>
      </w:tr>
    </w:tbl>
    <w:p w14:paraId="259F2851" w14:textId="77777777" w:rsidR="00C85654" w:rsidRPr="000D0D06" w:rsidRDefault="00C85654" w:rsidP="00C85654">
      <w:pPr>
        <w:jc w:val="left"/>
        <w:rPr>
          <w:noProof/>
        </w:rPr>
      </w:pPr>
      <w:r w:rsidRPr="000D0D06">
        <w:rPr>
          <w:noProof/>
        </w:rPr>
        <w:br w:type="page"/>
      </w:r>
    </w:p>
    <w:p w14:paraId="65DA742E" w14:textId="77777777" w:rsidR="00C85654" w:rsidRPr="000D0D06" w:rsidRDefault="00C85654" w:rsidP="00C85654">
      <w:pPr>
        <w:rPr>
          <w:b/>
          <w:bCs/>
          <w:noProof/>
        </w:rPr>
      </w:pPr>
      <w:r w:rsidRPr="000D0D06">
        <w:rPr>
          <w:b/>
          <w:noProof/>
        </w:rPr>
        <w:t>4.4. Avaliação da interoperabilidade</w:t>
      </w:r>
    </w:p>
    <w:p w14:paraId="08A7F0DD" w14:textId="77777777" w:rsidR="00C85654" w:rsidRPr="000D0D06" w:rsidRDefault="00C85654" w:rsidP="00C85654">
      <w:pPr>
        <w:rPr>
          <w:i/>
          <w:iCs/>
          <w:noProof/>
        </w:rPr>
      </w:pPr>
      <w:r w:rsidRPr="000D0D06">
        <w:rPr>
          <w:i/>
          <w:noProof/>
        </w:rPr>
        <w:t>Descrição de âmbito geral dos serviços públicos digitais abrangidos pelos requisitos</w:t>
      </w:r>
    </w:p>
    <w:tbl>
      <w:tblPr>
        <w:tblStyle w:val="TableGridLight"/>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2268"/>
        <w:gridCol w:w="2409"/>
        <w:gridCol w:w="3970"/>
      </w:tblGrid>
      <w:tr w:rsidR="00C85654" w:rsidRPr="000D0D06" w14:paraId="1760FE04" w14:textId="77777777">
        <w:trPr>
          <w:trHeight w:val="300"/>
        </w:trPr>
        <w:tc>
          <w:tcPr>
            <w:tcW w:w="2263" w:type="dxa"/>
          </w:tcPr>
          <w:p w14:paraId="2DD01432" w14:textId="77777777" w:rsidR="00C85654" w:rsidRPr="000D0D06" w:rsidRDefault="00C85654">
            <w:pPr>
              <w:spacing w:before="0" w:after="0"/>
              <w:jc w:val="left"/>
              <w:rPr>
                <w:b/>
                <w:bCs/>
                <w:noProof/>
              </w:rPr>
            </w:pPr>
            <w:r w:rsidRPr="000D0D06">
              <w:rPr>
                <w:b/>
                <w:noProof/>
              </w:rPr>
              <w:t>Serviço público digital ou categoria de serviços públicos digitais</w:t>
            </w:r>
          </w:p>
        </w:tc>
        <w:tc>
          <w:tcPr>
            <w:tcW w:w="3544" w:type="dxa"/>
          </w:tcPr>
          <w:p w14:paraId="22A387B3" w14:textId="77777777" w:rsidR="00C85654" w:rsidRPr="000D0D06" w:rsidRDefault="00C85654">
            <w:pPr>
              <w:jc w:val="left"/>
              <w:rPr>
                <w:b/>
                <w:bCs/>
                <w:noProof/>
              </w:rPr>
            </w:pPr>
            <w:r w:rsidRPr="000D0D06">
              <w:rPr>
                <w:b/>
                <w:noProof/>
              </w:rPr>
              <w:t>Descrição</w:t>
            </w:r>
          </w:p>
        </w:tc>
        <w:tc>
          <w:tcPr>
            <w:tcW w:w="2268" w:type="dxa"/>
          </w:tcPr>
          <w:p w14:paraId="7699A714" w14:textId="77777777" w:rsidR="00C85654" w:rsidRPr="000D0D06" w:rsidRDefault="00C85654">
            <w:pPr>
              <w:jc w:val="left"/>
              <w:rPr>
                <w:b/>
                <w:bCs/>
                <w:noProof/>
              </w:rPr>
            </w:pPr>
            <w:r w:rsidRPr="000D0D06">
              <w:rPr>
                <w:b/>
                <w:noProof/>
              </w:rPr>
              <w:t>Referências aos requisitos</w:t>
            </w:r>
          </w:p>
        </w:tc>
        <w:tc>
          <w:tcPr>
            <w:tcW w:w="2409" w:type="dxa"/>
          </w:tcPr>
          <w:p w14:paraId="7FABAE49" w14:textId="77777777" w:rsidR="00C85654" w:rsidRPr="000D0D06" w:rsidRDefault="00C85654">
            <w:pPr>
              <w:jc w:val="left"/>
              <w:rPr>
                <w:b/>
                <w:bCs/>
                <w:noProof/>
              </w:rPr>
            </w:pPr>
            <w:r w:rsidRPr="000D0D06">
              <w:rPr>
                <w:b/>
                <w:noProof/>
              </w:rPr>
              <w:t xml:space="preserve">Soluções Europa Interoperável </w:t>
            </w:r>
          </w:p>
          <w:p w14:paraId="784A28D1" w14:textId="77777777" w:rsidR="00C85654" w:rsidRPr="000D0D06" w:rsidRDefault="00C85654">
            <w:pPr>
              <w:jc w:val="left"/>
              <w:rPr>
                <w:b/>
                <w:bCs/>
                <w:noProof/>
              </w:rPr>
            </w:pPr>
            <w:r w:rsidRPr="000D0D06">
              <w:rPr>
                <w:b/>
                <w:noProof/>
              </w:rPr>
              <w:t>(NÃO APLICÁVEL)</w:t>
            </w:r>
          </w:p>
        </w:tc>
        <w:tc>
          <w:tcPr>
            <w:tcW w:w="3970" w:type="dxa"/>
          </w:tcPr>
          <w:p w14:paraId="500CD555" w14:textId="77777777" w:rsidR="00C85654" w:rsidRPr="000D0D06" w:rsidRDefault="00C85654">
            <w:pPr>
              <w:jc w:val="left"/>
              <w:rPr>
                <w:b/>
                <w:bCs/>
                <w:noProof/>
              </w:rPr>
            </w:pPr>
            <w:r w:rsidRPr="000D0D06">
              <w:rPr>
                <w:b/>
                <w:noProof/>
              </w:rPr>
              <w:t>Outras soluções de interoperabilidade</w:t>
            </w:r>
          </w:p>
        </w:tc>
      </w:tr>
      <w:tr w:rsidR="00C85654" w:rsidRPr="000D0D06" w14:paraId="2D1EBC5B" w14:textId="77777777">
        <w:trPr>
          <w:trHeight w:val="300"/>
        </w:trPr>
        <w:tc>
          <w:tcPr>
            <w:tcW w:w="2263" w:type="dxa"/>
          </w:tcPr>
          <w:p w14:paraId="7EFD94A6" w14:textId="77777777" w:rsidR="00C85654" w:rsidRPr="000D0D06" w:rsidRDefault="00C85654">
            <w:pPr>
              <w:jc w:val="left"/>
              <w:rPr>
                <w:noProof/>
              </w:rPr>
            </w:pPr>
            <w:r w:rsidRPr="000D0D06">
              <w:rPr>
                <w:noProof/>
              </w:rPr>
              <w:t>Infraestrutura europeia de governação e transparência dos dados</w:t>
            </w:r>
          </w:p>
        </w:tc>
        <w:tc>
          <w:tcPr>
            <w:tcW w:w="3544" w:type="dxa"/>
          </w:tcPr>
          <w:p w14:paraId="613CA328" w14:textId="77777777" w:rsidR="00C85654" w:rsidRPr="000D0D06" w:rsidRDefault="00C85654">
            <w:pPr>
              <w:jc w:val="left"/>
              <w:rPr>
                <w:noProof/>
              </w:rPr>
            </w:pPr>
            <w:r w:rsidRPr="000D0D06">
              <w:rPr>
                <w:noProof/>
              </w:rPr>
              <w:t>Serviço público digital que permita infraestruturas de governação e transparência de dados e tire partido, nomeadamente, de um registo público da UE de serviços de intermediação de dados e de organizações de altruísmo de dados, bem como de um ponto de informação único que ajude os reutilizadores a encontrar informações sobre a reutilização de determinadas categorias de dados protegidos.</w:t>
            </w:r>
          </w:p>
          <w:p w14:paraId="6E4C234C" w14:textId="77777777" w:rsidR="00C85654" w:rsidRPr="000D0D06" w:rsidRDefault="00C85654">
            <w:pPr>
              <w:jc w:val="left"/>
              <w:rPr>
                <w:rFonts w:ascii="Arial" w:eastAsia="Arial" w:hAnsi="Arial" w:cs="Arial"/>
                <w:noProof/>
                <w:sz w:val="22"/>
                <w:szCs w:val="22"/>
              </w:rPr>
            </w:pPr>
            <w:r w:rsidRPr="000D0D06">
              <w:rPr>
                <w:noProof/>
              </w:rPr>
              <w:t xml:space="preserve">Categoria de serviços públicos digitais de acordo com a </w:t>
            </w:r>
            <w:hyperlink r:id="rId23">
              <w:r w:rsidRPr="000D0D06">
                <w:rPr>
                  <w:noProof/>
                </w:rPr>
                <w:t>COFOG</w:t>
              </w:r>
            </w:hyperlink>
            <w:r w:rsidRPr="000D0D06">
              <w:rPr>
                <w:noProof/>
              </w:rPr>
              <w:t xml:space="preserve"> 04.9.0 — Assuntos económicos n.e. (SC)</w:t>
            </w:r>
          </w:p>
        </w:tc>
        <w:tc>
          <w:tcPr>
            <w:tcW w:w="2268" w:type="dxa"/>
          </w:tcPr>
          <w:p w14:paraId="79F31EC8" w14:textId="77777777" w:rsidR="00C85654" w:rsidRPr="000D0D06" w:rsidRDefault="000646E0">
            <w:pPr>
              <w:jc w:val="left"/>
              <w:rPr>
                <w:noProof/>
              </w:rPr>
            </w:pPr>
            <w:r w:rsidRPr="000D0D06">
              <w:rPr>
                <w:noProof/>
              </w:rPr>
              <w:t>Artigo 1.º</w:t>
            </w:r>
          </w:p>
        </w:tc>
        <w:tc>
          <w:tcPr>
            <w:tcW w:w="2409" w:type="dxa"/>
          </w:tcPr>
          <w:p w14:paraId="7EF0C860" w14:textId="77777777" w:rsidR="00C85654" w:rsidRPr="000D0D06" w:rsidRDefault="00C85654">
            <w:pPr>
              <w:jc w:val="left"/>
              <w:rPr>
                <w:noProof/>
              </w:rPr>
            </w:pPr>
            <w:r w:rsidRPr="000D0D06">
              <w:rPr>
                <w:noProof/>
              </w:rPr>
              <w:t>//</w:t>
            </w:r>
          </w:p>
        </w:tc>
        <w:tc>
          <w:tcPr>
            <w:tcW w:w="3970" w:type="dxa"/>
          </w:tcPr>
          <w:p w14:paraId="76441677" w14:textId="77777777" w:rsidR="00C85654" w:rsidRPr="000D0D06" w:rsidRDefault="00C85654">
            <w:pPr>
              <w:jc w:val="left"/>
              <w:rPr>
                <w:noProof/>
              </w:rPr>
            </w:pPr>
            <w:r w:rsidRPr="000D0D06">
              <w:rPr>
                <w:noProof/>
              </w:rPr>
              <w:t>//</w:t>
            </w:r>
          </w:p>
        </w:tc>
      </w:tr>
      <w:tr w:rsidR="00C85654" w:rsidRPr="000D0D06" w14:paraId="3B725A39" w14:textId="77777777">
        <w:trPr>
          <w:trHeight w:val="300"/>
        </w:trPr>
        <w:tc>
          <w:tcPr>
            <w:tcW w:w="2263" w:type="dxa"/>
          </w:tcPr>
          <w:p w14:paraId="0F2CC2E8" w14:textId="77777777" w:rsidR="00C85654" w:rsidRPr="000D0D06" w:rsidRDefault="00C85654">
            <w:pPr>
              <w:jc w:val="left"/>
              <w:rPr>
                <w:noProof/>
              </w:rPr>
            </w:pPr>
            <w:r w:rsidRPr="000D0D06">
              <w:rPr>
                <w:noProof/>
              </w:rPr>
              <w:t>Notificação de incidentes</w:t>
            </w:r>
          </w:p>
        </w:tc>
        <w:tc>
          <w:tcPr>
            <w:tcW w:w="3544" w:type="dxa"/>
          </w:tcPr>
          <w:p w14:paraId="433DFB93" w14:textId="24112E0B" w:rsidR="00C85654" w:rsidRPr="000D0D06" w:rsidRDefault="00C85654">
            <w:pPr>
              <w:jc w:val="left"/>
              <w:rPr>
                <w:noProof/>
              </w:rPr>
            </w:pPr>
            <w:r w:rsidRPr="000D0D06">
              <w:rPr>
                <w:noProof/>
              </w:rPr>
              <w:t>Serviço público digital que permita a notificação de incidentes através do ponto de entrada único.</w:t>
            </w:r>
          </w:p>
          <w:p w14:paraId="3BE90035" w14:textId="77777777" w:rsidR="00C85654" w:rsidRPr="000D0D06" w:rsidRDefault="00C85654">
            <w:pPr>
              <w:jc w:val="left"/>
              <w:rPr>
                <w:noProof/>
              </w:rPr>
            </w:pPr>
            <w:r w:rsidRPr="000D0D06">
              <w:rPr>
                <w:noProof/>
              </w:rPr>
              <w:t xml:space="preserve">Categoria de serviços públicos digitais de acordo com a COFOG </w:t>
            </w:r>
            <w:hyperlink r:id="rId24">
              <w:r w:rsidRPr="000D0D06">
                <w:rPr>
                  <w:rStyle w:val="Hyperlink"/>
                  <w:noProof/>
                  <w:color w:val="auto"/>
                </w:rPr>
                <w:t>03.6.0</w:t>
              </w:r>
            </w:hyperlink>
            <w:r w:rsidRPr="000D0D06">
              <w:rPr>
                <w:noProof/>
              </w:rPr>
              <w:t xml:space="preserve"> — Segurança e ordem pública n.e.</w:t>
            </w:r>
          </w:p>
        </w:tc>
        <w:tc>
          <w:tcPr>
            <w:tcW w:w="2268" w:type="dxa"/>
          </w:tcPr>
          <w:p w14:paraId="74B9C7DE" w14:textId="77777777" w:rsidR="00C85654" w:rsidRPr="000D0D06" w:rsidRDefault="00C85654">
            <w:pPr>
              <w:jc w:val="left"/>
              <w:rPr>
                <w:noProof/>
              </w:rPr>
            </w:pPr>
            <w:r w:rsidRPr="000D0D06">
              <w:rPr>
                <w:noProof/>
              </w:rPr>
              <w:t xml:space="preserve">Artigo 6.º </w:t>
            </w:r>
          </w:p>
        </w:tc>
        <w:tc>
          <w:tcPr>
            <w:tcW w:w="2409" w:type="dxa"/>
          </w:tcPr>
          <w:p w14:paraId="16358EF4" w14:textId="77777777" w:rsidR="00C85654" w:rsidRPr="000D0D06" w:rsidRDefault="00C85654">
            <w:pPr>
              <w:jc w:val="left"/>
              <w:rPr>
                <w:noProof/>
              </w:rPr>
            </w:pPr>
            <w:r w:rsidRPr="000D0D06">
              <w:rPr>
                <w:noProof/>
              </w:rPr>
              <w:t>//</w:t>
            </w:r>
          </w:p>
        </w:tc>
        <w:tc>
          <w:tcPr>
            <w:tcW w:w="3970" w:type="dxa"/>
          </w:tcPr>
          <w:p w14:paraId="1FB9F17F" w14:textId="77777777" w:rsidR="00C85654" w:rsidRPr="000D0D06" w:rsidRDefault="00C85654">
            <w:pPr>
              <w:jc w:val="left"/>
              <w:rPr>
                <w:noProof/>
              </w:rPr>
            </w:pPr>
            <w:r w:rsidRPr="000D0D06">
              <w:rPr>
                <w:noProof/>
              </w:rPr>
              <w:t>Carteiras empresariais europeias</w:t>
            </w:r>
          </w:p>
        </w:tc>
      </w:tr>
    </w:tbl>
    <w:p w14:paraId="2CFC0251" w14:textId="77777777" w:rsidR="00C85654" w:rsidRPr="000D0D06" w:rsidRDefault="00C85654" w:rsidP="00C85654">
      <w:pPr>
        <w:rPr>
          <w:noProof/>
        </w:rPr>
      </w:pPr>
    </w:p>
    <w:p w14:paraId="5AF1AD73" w14:textId="77777777" w:rsidR="00C85654" w:rsidRPr="000D0D06" w:rsidRDefault="00C85654" w:rsidP="00C85654">
      <w:pPr>
        <w:rPr>
          <w:b/>
          <w:bCs/>
          <w:noProof/>
          <w:u w:val="single"/>
        </w:rPr>
      </w:pPr>
      <w:r w:rsidRPr="000D0D06">
        <w:rPr>
          <w:i/>
          <w:noProof/>
        </w:rPr>
        <w:t>Impacto dos requisitos por serviço público digital na interoperabilidade transfronteiriça</w:t>
      </w:r>
    </w:p>
    <w:p w14:paraId="0497EE52" w14:textId="77777777" w:rsidR="00C85654" w:rsidRPr="000D0D06" w:rsidRDefault="00C85654" w:rsidP="00C85654">
      <w:pPr>
        <w:rPr>
          <w:b/>
          <w:bCs/>
          <w:i/>
          <w:iCs/>
          <w:noProof/>
        </w:rPr>
      </w:pPr>
      <w:r w:rsidRPr="000D0D06">
        <w:rPr>
          <w:b/>
          <w:i/>
          <w:noProof/>
        </w:rPr>
        <w:t xml:space="preserve">N. B.: Na análise que se segue, os números dos artigos indicados ao longo da secção «Medida(s)» referem-se à(s) lei(s) objeto de alteração. A correspondência com os requisitos da proposta </w:t>
      </w:r>
      <w:r w:rsidRPr="000D0D06">
        <w:rPr>
          <w:b/>
          <w:noProof/>
        </w:rPr>
        <w:t>omnibus</w:t>
      </w:r>
      <w:r w:rsidRPr="000D0D06">
        <w:rPr>
          <w:b/>
          <w:i/>
          <w:noProof/>
        </w:rPr>
        <w:t xml:space="preserve"> é feita uma vez, no topo de cada célula. </w:t>
      </w:r>
    </w:p>
    <w:p w14:paraId="539E7596" w14:textId="77777777" w:rsidR="00C85654" w:rsidRPr="000D0D06" w:rsidRDefault="00C85654" w:rsidP="00C85654">
      <w:pPr>
        <w:rPr>
          <w:b/>
          <w:bCs/>
          <w:noProof/>
          <w:u w:val="single"/>
        </w:rPr>
      </w:pPr>
      <w:r w:rsidRPr="000D0D06">
        <w:rPr>
          <w:b/>
          <w:noProof/>
          <w:u w:val="single"/>
        </w:rPr>
        <w:t>Serviço público digital n.º 1 — Infraestrutura europeia de governação e transparência dos dados</w:t>
      </w:r>
    </w:p>
    <w:tbl>
      <w:tblPr>
        <w:tblStyle w:val="TableGridLight"/>
        <w:tblW w:w="14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8940"/>
        <w:gridCol w:w="2794"/>
      </w:tblGrid>
      <w:tr w:rsidR="00C85654" w:rsidRPr="000D0D06" w14:paraId="5D0AE527" w14:textId="77777777">
        <w:tc>
          <w:tcPr>
            <w:tcW w:w="2745" w:type="dxa"/>
          </w:tcPr>
          <w:p w14:paraId="0111E55F" w14:textId="77777777" w:rsidR="00C85654" w:rsidRPr="000D0D06" w:rsidRDefault="00C85654">
            <w:pPr>
              <w:jc w:val="left"/>
              <w:rPr>
                <w:b/>
                <w:bCs/>
                <w:noProof/>
              </w:rPr>
            </w:pPr>
            <w:r w:rsidRPr="000D0D06">
              <w:rPr>
                <w:b/>
                <w:noProof/>
              </w:rPr>
              <w:t>Avaliação</w:t>
            </w:r>
          </w:p>
        </w:tc>
        <w:tc>
          <w:tcPr>
            <w:tcW w:w="8940" w:type="dxa"/>
          </w:tcPr>
          <w:p w14:paraId="269913E0" w14:textId="77777777" w:rsidR="00C85654" w:rsidRPr="000D0D06" w:rsidRDefault="00C85654">
            <w:pPr>
              <w:jc w:val="left"/>
              <w:rPr>
                <w:b/>
                <w:bCs/>
                <w:noProof/>
              </w:rPr>
            </w:pPr>
            <w:r w:rsidRPr="000D0D06">
              <w:rPr>
                <w:b/>
                <w:noProof/>
              </w:rPr>
              <w:t>Medidas</w:t>
            </w:r>
          </w:p>
        </w:tc>
        <w:tc>
          <w:tcPr>
            <w:tcW w:w="2794" w:type="dxa"/>
          </w:tcPr>
          <w:p w14:paraId="599C5237" w14:textId="77777777" w:rsidR="00C85654" w:rsidRPr="000D0D06" w:rsidRDefault="00C85654">
            <w:pPr>
              <w:jc w:val="left"/>
              <w:rPr>
                <w:b/>
                <w:bCs/>
                <w:noProof/>
              </w:rPr>
            </w:pPr>
            <w:r w:rsidRPr="000D0D06">
              <w:rPr>
                <w:b/>
                <w:noProof/>
              </w:rPr>
              <w:t>Potenciais obstáculos remanescentes (se aplicável)</w:t>
            </w:r>
          </w:p>
        </w:tc>
      </w:tr>
      <w:tr w:rsidR="00C85654" w:rsidRPr="000D0D06" w14:paraId="6C9F5C65" w14:textId="77777777">
        <w:tc>
          <w:tcPr>
            <w:tcW w:w="2745" w:type="dxa"/>
          </w:tcPr>
          <w:p w14:paraId="0605F12C" w14:textId="77777777" w:rsidR="00C85654" w:rsidRPr="000D0D06" w:rsidRDefault="00C85654">
            <w:pPr>
              <w:spacing w:before="0"/>
              <w:jc w:val="left"/>
              <w:rPr>
                <w:rFonts w:eastAsiaTheme="minorEastAsia"/>
                <w:b/>
                <w:bCs/>
                <w:noProof/>
              </w:rPr>
            </w:pPr>
            <w:r w:rsidRPr="000D0D06">
              <w:rPr>
                <w:b/>
                <w:noProof/>
              </w:rPr>
              <w:t xml:space="preserve">Alinhamento com as políticas digitais e setoriais existentes </w:t>
            </w:r>
          </w:p>
          <w:p w14:paraId="2D01DCF5" w14:textId="77777777" w:rsidR="00C85654" w:rsidRPr="000D0D06" w:rsidRDefault="00C85654">
            <w:pPr>
              <w:spacing w:before="0"/>
              <w:jc w:val="left"/>
              <w:rPr>
                <w:b/>
                <w:bCs/>
                <w:noProof/>
              </w:rPr>
            </w:pPr>
            <w:r w:rsidRPr="000D0D06">
              <w:rPr>
                <w:b/>
                <w:noProof/>
              </w:rPr>
              <w:t>Enumerar as políticas digitais e setoriais aplicáveis identificadas</w:t>
            </w:r>
          </w:p>
        </w:tc>
        <w:tc>
          <w:tcPr>
            <w:tcW w:w="8940" w:type="dxa"/>
          </w:tcPr>
          <w:p w14:paraId="3B8670C8" w14:textId="77777777" w:rsidR="00C85654" w:rsidRPr="000D0D06" w:rsidRDefault="000646E0">
            <w:pPr>
              <w:spacing w:before="0"/>
              <w:jc w:val="left"/>
              <w:rPr>
                <w:noProof/>
              </w:rPr>
            </w:pPr>
            <w:r w:rsidRPr="000D0D06">
              <w:rPr>
                <w:noProof/>
              </w:rPr>
              <w:t>Artigo 1.º</w:t>
            </w:r>
          </w:p>
          <w:p w14:paraId="2FA170F7" w14:textId="77777777" w:rsidR="00C85654" w:rsidRPr="000D0D06" w:rsidRDefault="00C85654">
            <w:pPr>
              <w:spacing w:before="0"/>
              <w:jc w:val="left"/>
              <w:rPr>
                <w:noProof/>
              </w:rPr>
            </w:pPr>
            <w:r w:rsidRPr="000D0D06">
              <w:rPr>
                <w:noProof/>
              </w:rPr>
              <w:t xml:space="preserve">O alinhamento com as políticas digitais e setoriais existentes reflete-se nos considerandos do Regulamento Governação de Dados: </w:t>
            </w:r>
          </w:p>
          <w:p w14:paraId="5F777212" w14:textId="77777777" w:rsidR="00C85654" w:rsidRPr="000D0D06" w:rsidRDefault="00C85654">
            <w:pPr>
              <w:spacing w:before="0"/>
              <w:jc w:val="left"/>
              <w:rPr>
                <w:b/>
                <w:bCs/>
                <w:noProof/>
                <w:sz w:val="28"/>
                <w:szCs w:val="28"/>
              </w:rPr>
            </w:pPr>
            <w:r w:rsidRPr="000D0D06">
              <w:rPr>
                <w:noProof/>
              </w:rPr>
              <w:t>Plataforma digital única [Regulamento (UE) 2018/1724] (considerando 56): os procedimentos de notificação para os serviços de intermediação de dados e os procedimentos de registo para as organizações de altruísmo de dados devem ser disponibilizados através da plataforma digital única, assegurando o acesso transfronteiriço em linha.</w:t>
            </w:r>
          </w:p>
          <w:p w14:paraId="045FFB2D" w14:textId="77777777" w:rsidR="00C85654" w:rsidRPr="000D0D06" w:rsidRDefault="00C85654">
            <w:pPr>
              <w:spacing w:before="0"/>
              <w:jc w:val="left"/>
              <w:rPr>
                <w:noProof/>
              </w:rPr>
            </w:pPr>
            <w:r w:rsidRPr="000D0D06">
              <w:rPr>
                <w:noProof/>
              </w:rPr>
              <w:t xml:space="preserve">Quadro Europeu de Interoperabilidade (considerando 54): a infraestrutura digital deve respeitar os princípios do Quadro Europeu de Interoperabilidade, a fim de assegurar a utilização transfronteiriça e intersetorial dos dados. </w:t>
            </w:r>
          </w:p>
          <w:p w14:paraId="7133B0A1" w14:textId="77777777" w:rsidR="00C85654" w:rsidRPr="000D0D06" w:rsidRDefault="00C85654">
            <w:pPr>
              <w:spacing w:before="0"/>
              <w:jc w:val="left"/>
              <w:rPr>
                <w:noProof/>
              </w:rPr>
            </w:pPr>
            <w:r w:rsidRPr="000D0D06">
              <w:rPr>
                <w:noProof/>
              </w:rPr>
              <w:t>Módulos do MIE (infraestruturas de serviços digitais do Mecanismo Interligar a Europa) (considerando 54): referências: «[os] vocabulários de base e [os] módulos do MIE». O serviço digital deve tirar partido dos módulos do MIE (como a entrega eletrónica, a identidade eletrónica e a assinatura eletrónica) para a execução técnica.</w:t>
            </w:r>
          </w:p>
          <w:p w14:paraId="670C1509" w14:textId="77777777" w:rsidR="00C85654" w:rsidRPr="000D0D06" w:rsidRDefault="00C85654">
            <w:pPr>
              <w:spacing w:before="0"/>
              <w:jc w:val="left"/>
              <w:rPr>
                <w:noProof/>
              </w:rPr>
            </w:pPr>
            <w:r w:rsidRPr="000D0D06">
              <w:rPr>
                <w:noProof/>
              </w:rPr>
              <w:t>Requisitos de acessibilidade [Diretivas (UE) 2016/2102 e (UE) 2019/882] (considerando 62). Diretiva (UE) 2016/2102 (Diretiva Acessibilidade da Web): os registos públicos e os serviços digitais devem ser acessíveis às pessoas com deficiência; Diretiva (UE) 2019/882 (Diretiva Acessibilidade): os serviços digitais devem cumprir os requisitos de acessibilidade.</w:t>
            </w:r>
          </w:p>
          <w:p w14:paraId="558FE08C" w14:textId="77777777" w:rsidR="00C85654" w:rsidRPr="000D0D06" w:rsidRDefault="00C85654">
            <w:pPr>
              <w:spacing w:before="0"/>
              <w:jc w:val="left"/>
              <w:rPr>
                <w:noProof/>
              </w:rPr>
            </w:pPr>
            <w:r w:rsidRPr="000D0D06">
              <w:rPr>
                <w:noProof/>
              </w:rPr>
              <w:t>RGPD [Regulamento (UE) 2016/679] (considerandos 4 e 35): todos os serviços digitais que tratem dados pessoais devem cumprir os requisitos do RGPD em matéria de proteção de dados, privacidade e segurança.</w:t>
            </w:r>
          </w:p>
          <w:p w14:paraId="0BA63261" w14:textId="77777777" w:rsidR="00C85654" w:rsidRPr="000D0D06" w:rsidRDefault="00C85654">
            <w:pPr>
              <w:spacing w:before="0"/>
              <w:jc w:val="left"/>
              <w:rPr>
                <w:noProof/>
              </w:rPr>
            </w:pPr>
            <w:r w:rsidRPr="000D0D06">
              <w:rPr>
                <w:noProof/>
              </w:rPr>
              <w:t>Regulamento (UE) 2018/1725 (considerando 4): sempre que as instituições da UE tratem dados através destes registos, devem cumprir o presente regulamento.</w:t>
            </w:r>
          </w:p>
          <w:p w14:paraId="01E76CB6" w14:textId="77777777" w:rsidR="00C85654" w:rsidRPr="000D0D06" w:rsidRDefault="00C85654">
            <w:pPr>
              <w:pStyle w:val="Heading3"/>
              <w:numPr>
                <w:ilvl w:val="2"/>
                <w:numId w:val="0"/>
              </w:numPr>
              <w:spacing w:before="281" w:after="281"/>
              <w:outlineLvl w:val="2"/>
              <w:rPr>
                <w:i w:val="0"/>
                <w:iCs/>
                <w:noProof/>
              </w:rPr>
            </w:pPr>
            <w:r w:rsidRPr="000D0D06">
              <w:rPr>
                <w:i w:val="0"/>
                <w:noProof/>
              </w:rPr>
              <w:t>Diretiva Dados Abertos [Diretiva (UE) 2019/1024] (considerandos 6 e 10): «[a] Diretiva (UE) 2019/1024 e o direito setorial da União garantem que os organismos do setor público tornem um maior número dos dados que produzem facilmente disponível para utilização e reutilização»: o serviço digital complementa a Diretiva Dados Abertos, abordando as categorias de dados protegidos que não são abrangidas pelo seu âmbito de aplicação, assegurando simultaneamente que os organismos do setor público respeitam os princípios «abertos desde a conceção e por defeito», se for caso disso.</w:t>
            </w:r>
          </w:p>
          <w:p w14:paraId="264241CF" w14:textId="77777777" w:rsidR="00C85654" w:rsidRPr="000D0D06" w:rsidRDefault="00C85654">
            <w:pPr>
              <w:pStyle w:val="Text1"/>
              <w:ind w:left="0"/>
              <w:rPr>
                <w:noProof/>
              </w:rPr>
            </w:pPr>
            <w:r w:rsidRPr="000D0D06">
              <w:rPr>
                <w:noProof/>
              </w:rPr>
              <w:t>Políticas setoriais relativas aos espaços europeus de dados e aos dados setoriais, incluindo o Espaço Europeu de Dados de Saúde, o espaço europeu de dados sobre a mobilidade, os dados do Pacto Ecológico Europeu/os dados relativos ao clima e à energia, os dados industriais e de fabrico, os dados dos serviços financeiros, os dados agrícolas, o espaço de dados para a administração pública e o espaço de dados sobre competências.</w:t>
            </w:r>
          </w:p>
        </w:tc>
        <w:tc>
          <w:tcPr>
            <w:tcW w:w="2794" w:type="dxa"/>
          </w:tcPr>
          <w:p w14:paraId="56E364D0" w14:textId="77777777" w:rsidR="00C85654" w:rsidRPr="000D0D06" w:rsidRDefault="00C85654">
            <w:pPr>
              <w:tabs>
                <w:tab w:val="left" w:pos="5678"/>
              </w:tabs>
              <w:spacing w:before="0"/>
              <w:jc w:val="left"/>
              <w:rPr>
                <w:noProof/>
              </w:rPr>
            </w:pPr>
          </w:p>
        </w:tc>
      </w:tr>
      <w:tr w:rsidR="00C85654" w:rsidRPr="000D0D06" w14:paraId="71B5AB21" w14:textId="77777777">
        <w:trPr>
          <w:trHeight w:val="5088"/>
        </w:trPr>
        <w:tc>
          <w:tcPr>
            <w:tcW w:w="2745" w:type="dxa"/>
          </w:tcPr>
          <w:p w14:paraId="38A890EB" w14:textId="77777777" w:rsidR="00C85654" w:rsidRPr="000D0D06" w:rsidRDefault="00C85654">
            <w:pPr>
              <w:jc w:val="left"/>
              <w:rPr>
                <w:rFonts w:eastAsiaTheme="minorEastAsia"/>
                <w:b/>
                <w:noProof/>
                <w:color w:val="000000" w:themeColor="text1"/>
              </w:rPr>
            </w:pPr>
            <w:r w:rsidRPr="000D0D06">
              <w:rPr>
                <w:b/>
                <w:noProof/>
                <w:color w:val="000000" w:themeColor="text1"/>
              </w:rPr>
              <w:t>Medidas organizativas para uma boa prestação de serviços públicos digitais transfronteiras</w:t>
            </w:r>
          </w:p>
          <w:p w14:paraId="35CC5586" w14:textId="77777777" w:rsidR="00C85654" w:rsidRPr="000D0D06" w:rsidRDefault="00C85654">
            <w:pPr>
              <w:jc w:val="left"/>
              <w:rPr>
                <w:b/>
                <w:noProof/>
                <w:color w:val="000000" w:themeColor="text1"/>
              </w:rPr>
            </w:pPr>
            <w:r w:rsidRPr="000D0D06">
              <w:rPr>
                <w:b/>
                <w:noProof/>
                <w:color w:val="000000" w:themeColor="text1"/>
              </w:rPr>
              <w:t>Enumerar as medidas de governação previstas</w:t>
            </w:r>
          </w:p>
        </w:tc>
        <w:tc>
          <w:tcPr>
            <w:tcW w:w="8940" w:type="dxa"/>
          </w:tcPr>
          <w:p w14:paraId="7AF9BA76" w14:textId="77777777" w:rsidR="00C85654" w:rsidRPr="000D0D06" w:rsidRDefault="00C85654">
            <w:pPr>
              <w:jc w:val="left"/>
              <w:rPr>
                <w:noProof/>
                <w:color w:val="000000" w:themeColor="text1"/>
              </w:rPr>
            </w:pPr>
            <w:r w:rsidRPr="000D0D06">
              <w:rPr>
                <w:noProof/>
                <w:color w:val="000000" w:themeColor="text1"/>
              </w:rPr>
              <w:t>Artigo 1.º</w:t>
            </w:r>
          </w:p>
          <w:p w14:paraId="59733754" w14:textId="77777777" w:rsidR="00C85654" w:rsidRPr="000D0D06" w:rsidRDefault="00C85654">
            <w:pPr>
              <w:spacing w:before="240" w:after="240"/>
              <w:jc w:val="left"/>
              <w:rPr>
                <w:b/>
                <w:noProof/>
                <w:color w:val="000000" w:themeColor="text1"/>
              </w:rPr>
            </w:pPr>
            <w:r w:rsidRPr="000D0D06">
              <w:rPr>
                <w:b/>
                <w:noProof/>
                <w:color w:val="000000" w:themeColor="text1"/>
              </w:rPr>
              <w:t>Designação e coordenação das autoridades competentes</w:t>
            </w:r>
          </w:p>
          <w:p w14:paraId="341E7219" w14:textId="77777777" w:rsidR="00C85654" w:rsidRPr="000D0D06" w:rsidRDefault="00C85654" w:rsidP="0014764C">
            <w:pPr>
              <w:pStyle w:val="ListParagraph"/>
              <w:numPr>
                <w:ilvl w:val="0"/>
                <w:numId w:val="37"/>
              </w:numPr>
              <w:spacing w:before="240" w:after="240"/>
              <w:jc w:val="left"/>
              <w:rPr>
                <w:noProof/>
                <w:color w:val="000000" w:themeColor="text1"/>
              </w:rPr>
            </w:pPr>
            <w:r w:rsidRPr="000D0D06">
              <w:rPr>
                <w:noProof/>
                <w:color w:val="000000" w:themeColor="text1"/>
              </w:rPr>
              <w:t>Artigo 32.º-B: cada Estado-Membro designa uma ou mais autoridades competentes responsáveis pelo registo dos prestadores de serviços de intermediação de dados e das organizações de altruísmo de dados. Essas autoridades competentes devem manter a sua independência em relação a qualquer prestador de serviços de intermediação de dados reconhecido ou organização de altruísmo de dados reconhecida.</w:t>
            </w:r>
          </w:p>
          <w:p w14:paraId="0F0C0818" w14:textId="77777777" w:rsidR="000646E0" w:rsidRPr="000D0D06" w:rsidRDefault="00C85654">
            <w:pPr>
              <w:jc w:val="left"/>
              <w:rPr>
                <w:noProof/>
                <w:color w:val="000000" w:themeColor="text1"/>
              </w:rPr>
            </w:pPr>
            <w:r w:rsidRPr="000D0D06">
              <w:rPr>
                <w:noProof/>
                <w:color w:val="000000" w:themeColor="text1"/>
              </w:rPr>
              <w:t>Artigo 32.º-AC: cada Estado-Membro designa um ou mais organismos competentes para apoiar os organismos do setor público que concedam ou recusem o acesso para fins de reutilização de categorias de dados protegidos.</w:t>
            </w:r>
          </w:p>
          <w:p w14:paraId="5B9F407B" w14:textId="4220341D" w:rsidR="000646E0" w:rsidRPr="000D0D06" w:rsidRDefault="00C85654">
            <w:pPr>
              <w:jc w:val="left"/>
              <w:rPr>
                <w:noProof/>
                <w:color w:val="000000" w:themeColor="text1"/>
              </w:rPr>
            </w:pPr>
            <w:r w:rsidRPr="000D0D06">
              <w:rPr>
                <w:noProof/>
                <w:color w:val="000000" w:themeColor="text1"/>
              </w:rPr>
              <w:t xml:space="preserve">Artigo 32.º-G: as autoridades competentes devem controlar e supervisionar o cumprimento das disposições por parte dos prestadores de serviços de intermediação de dados reconhecidos e das organizações de altruísmo de dados reconhecidas. </w:t>
            </w:r>
          </w:p>
          <w:p w14:paraId="07799EA1" w14:textId="77777777" w:rsidR="000646E0" w:rsidRPr="000D0D06" w:rsidRDefault="00C85654">
            <w:pPr>
              <w:jc w:val="left"/>
              <w:rPr>
                <w:noProof/>
              </w:rPr>
            </w:pPr>
            <w:r w:rsidRPr="000D0D06">
              <w:rPr>
                <w:b/>
                <w:noProof/>
                <w:color w:val="000000" w:themeColor="text1"/>
              </w:rPr>
              <w:t>Mecanismo de jurisdição transfronteiriça</w:t>
            </w:r>
          </w:p>
          <w:p w14:paraId="5FC74833" w14:textId="77777777" w:rsidR="000646E0" w:rsidRPr="000D0D06" w:rsidRDefault="00C85654">
            <w:pPr>
              <w:jc w:val="left"/>
              <w:rPr>
                <w:noProof/>
                <w:color w:val="000000" w:themeColor="text1"/>
              </w:rPr>
            </w:pPr>
            <w:r w:rsidRPr="000D0D06">
              <w:rPr>
                <w:noProof/>
                <w:color w:val="000000" w:themeColor="text1"/>
              </w:rPr>
              <w:t xml:space="preserve">Artigo 32.º-E: os serviços de intermediação de dados são da competência da autoridade competente do Estado-Membro em que esta tem o seu estabelecimento principal. O mesmo princípio é aplicável às organizações de altruísmo de dados. </w:t>
            </w:r>
          </w:p>
          <w:p w14:paraId="7B29B1D4" w14:textId="77777777" w:rsidR="000646E0" w:rsidRPr="000D0D06" w:rsidRDefault="00C85654">
            <w:pPr>
              <w:jc w:val="left"/>
              <w:rPr>
                <w:b/>
                <w:noProof/>
                <w:color w:val="000000" w:themeColor="text1"/>
              </w:rPr>
            </w:pPr>
            <w:r w:rsidRPr="000D0D06">
              <w:rPr>
                <w:b/>
                <w:noProof/>
                <w:color w:val="000000" w:themeColor="text1"/>
              </w:rPr>
              <w:t>Reconhecimento mútuo e registo único</w:t>
            </w:r>
          </w:p>
          <w:p w14:paraId="09980209" w14:textId="77777777" w:rsidR="000646E0" w:rsidRPr="000D0D06" w:rsidRDefault="00C85654">
            <w:pPr>
              <w:jc w:val="left"/>
              <w:rPr>
                <w:noProof/>
                <w:color w:val="000000" w:themeColor="text1"/>
              </w:rPr>
            </w:pPr>
            <w:r w:rsidRPr="000D0D06">
              <w:rPr>
                <w:noProof/>
                <w:color w:val="000000" w:themeColor="text1"/>
              </w:rPr>
              <w:t>Artigo 32.º-E: o registo como serviço de intermediação de dados/organização de altruísmo de dados é válido em todos os Estados-Membros.</w:t>
            </w:r>
          </w:p>
          <w:p w14:paraId="2792DC07" w14:textId="77777777" w:rsidR="000646E0" w:rsidRPr="000D0D06" w:rsidRDefault="00C85654">
            <w:pPr>
              <w:jc w:val="left"/>
              <w:rPr>
                <w:noProof/>
                <w:color w:val="000000" w:themeColor="text1"/>
              </w:rPr>
            </w:pPr>
            <w:r w:rsidRPr="000D0D06">
              <w:rPr>
                <w:noProof/>
                <w:color w:val="000000" w:themeColor="text1"/>
              </w:rPr>
              <w:t>Artigo 32.º-A: utilização de uma conceção de logótipo comum.</w:t>
            </w:r>
          </w:p>
          <w:p w14:paraId="480FBA54" w14:textId="77777777" w:rsidR="000646E0" w:rsidRPr="000D0D06" w:rsidRDefault="00C85654">
            <w:pPr>
              <w:jc w:val="left"/>
              <w:rPr>
                <w:b/>
                <w:noProof/>
                <w:color w:val="000000" w:themeColor="text1"/>
              </w:rPr>
            </w:pPr>
            <w:r w:rsidRPr="000D0D06">
              <w:rPr>
                <w:b/>
                <w:noProof/>
                <w:color w:val="000000" w:themeColor="text1"/>
              </w:rPr>
              <w:t>Registos centralizados a nível da UE para a recolha de dados e a transparência</w:t>
            </w:r>
          </w:p>
          <w:p w14:paraId="1E6C14CA" w14:textId="77777777" w:rsidR="000646E0" w:rsidRPr="000D0D06" w:rsidRDefault="00C85654">
            <w:pPr>
              <w:jc w:val="left"/>
              <w:rPr>
                <w:noProof/>
                <w:color w:val="000000" w:themeColor="text1"/>
              </w:rPr>
            </w:pPr>
            <w:r w:rsidRPr="000D0D06">
              <w:rPr>
                <w:noProof/>
                <w:color w:val="000000" w:themeColor="text1"/>
              </w:rPr>
              <w:t>Artigo 32.º, alínea a): registos públicos da União de todos os prestadores de serviços de intermediação de dados reconhecidos e organizações de altruísmo de dados reconhecidas.</w:t>
            </w:r>
          </w:p>
          <w:p w14:paraId="33664EEB" w14:textId="77777777" w:rsidR="000646E0" w:rsidRPr="000D0D06" w:rsidRDefault="00C85654">
            <w:pPr>
              <w:jc w:val="left"/>
              <w:rPr>
                <w:noProof/>
                <w:color w:val="000000" w:themeColor="text1"/>
              </w:rPr>
            </w:pPr>
            <w:r w:rsidRPr="000D0D06">
              <w:rPr>
                <w:noProof/>
                <w:color w:val="000000" w:themeColor="text1"/>
              </w:rPr>
              <w:t>Artigo 32.º, alínea e): as autoridades competentes notificam a Comissão por via eletrónica, sem demora, de novos registos, alterações e supressões e a Comissão atualiza os registos da UE, em conformidade.</w:t>
            </w:r>
          </w:p>
          <w:p w14:paraId="76EE566C" w14:textId="687C0763" w:rsidR="000646E0" w:rsidRPr="000D0D06" w:rsidRDefault="00C85654">
            <w:pPr>
              <w:jc w:val="left"/>
              <w:rPr>
                <w:b/>
                <w:noProof/>
                <w:color w:val="000000" w:themeColor="text1"/>
              </w:rPr>
            </w:pPr>
            <w:r w:rsidRPr="000D0D06">
              <w:rPr>
                <w:b/>
                <w:noProof/>
                <w:color w:val="000000" w:themeColor="text1"/>
              </w:rPr>
              <w:t>Controlo e coordenação da aplicação</w:t>
            </w:r>
          </w:p>
          <w:p w14:paraId="30767142" w14:textId="77777777" w:rsidR="009C4CDA" w:rsidRPr="000D0D06" w:rsidRDefault="00C85654">
            <w:pPr>
              <w:jc w:val="left"/>
              <w:rPr>
                <w:noProof/>
                <w:color w:val="000000" w:themeColor="text1"/>
              </w:rPr>
            </w:pPr>
            <w:r w:rsidRPr="000D0D06">
              <w:rPr>
                <w:noProof/>
                <w:color w:val="000000" w:themeColor="text1"/>
              </w:rPr>
              <w:t>Autoridades nacionais competentes</w:t>
            </w:r>
          </w:p>
          <w:p w14:paraId="4AE3CCEA" w14:textId="77777777" w:rsidR="000646E0" w:rsidRPr="000D0D06" w:rsidRDefault="00C85654">
            <w:pPr>
              <w:jc w:val="left"/>
              <w:rPr>
                <w:noProof/>
                <w:color w:val="000000" w:themeColor="text1"/>
              </w:rPr>
            </w:pPr>
            <w:r w:rsidRPr="000D0D06">
              <w:rPr>
                <w:noProof/>
                <w:color w:val="000000" w:themeColor="text1"/>
              </w:rPr>
              <w:t>Comité Europeu da Inovação de Dados</w:t>
            </w:r>
          </w:p>
          <w:p w14:paraId="203901FB" w14:textId="77777777" w:rsidR="000646E0" w:rsidRPr="000D0D06" w:rsidRDefault="00C85654">
            <w:pPr>
              <w:jc w:val="left"/>
              <w:rPr>
                <w:b/>
                <w:noProof/>
                <w:color w:val="000000" w:themeColor="text1"/>
              </w:rPr>
            </w:pPr>
            <w:r w:rsidRPr="000D0D06">
              <w:rPr>
                <w:b/>
                <w:noProof/>
                <w:color w:val="000000" w:themeColor="text1"/>
              </w:rPr>
              <w:t>Governação da transferência de dados para países terceiros</w:t>
            </w:r>
          </w:p>
          <w:p w14:paraId="460DACE9" w14:textId="77777777" w:rsidR="000646E0" w:rsidRPr="000D0D06" w:rsidRDefault="00C85654">
            <w:pPr>
              <w:jc w:val="left"/>
              <w:rPr>
                <w:noProof/>
                <w:color w:val="000000" w:themeColor="text1"/>
              </w:rPr>
            </w:pPr>
            <w:r w:rsidRPr="000D0D06">
              <w:rPr>
                <w:noProof/>
                <w:color w:val="000000" w:themeColor="text1"/>
              </w:rPr>
              <w:t>Artigo 32.º-AA: requisitos aplicáveis às transferências de dados não pessoais para países terceiros por reutilizadores.</w:t>
            </w:r>
          </w:p>
          <w:p w14:paraId="15AF3F5D" w14:textId="77777777" w:rsidR="000646E0" w:rsidRPr="000D0D06" w:rsidRDefault="00C85654">
            <w:pPr>
              <w:jc w:val="left"/>
              <w:rPr>
                <w:b/>
                <w:noProof/>
                <w:color w:val="000000" w:themeColor="text1"/>
              </w:rPr>
            </w:pPr>
            <w:r w:rsidRPr="000D0D06">
              <w:rPr>
                <w:b/>
                <w:noProof/>
                <w:color w:val="000000" w:themeColor="text1"/>
              </w:rPr>
              <w:t>Acordos de exclusividade</w:t>
            </w:r>
          </w:p>
          <w:p w14:paraId="7F1E88A8" w14:textId="77777777" w:rsidR="00C85654" w:rsidRPr="000D0D06" w:rsidRDefault="00C85654">
            <w:pPr>
              <w:jc w:val="left"/>
              <w:rPr>
                <w:noProof/>
                <w:color w:val="000000" w:themeColor="text1"/>
              </w:rPr>
            </w:pPr>
            <w:r w:rsidRPr="000D0D06">
              <w:rPr>
                <w:noProof/>
                <w:color w:val="000000" w:themeColor="text1"/>
              </w:rPr>
              <w:t>Artigo 32.º-K: define a admissibilidade de acordos de exclusividade relativos à reutilização de dados ou documentos na posse de organismos do setor público. Exige transparência das condições finais.</w:t>
            </w:r>
          </w:p>
        </w:tc>
        <w:tc>
          <w:tcPr>
            <w:tcW w:w="2794" w:type="dxa"/>
          </w:tcPr>
          <w:p w14:paraId="516D85DF" w14:textId="77777777" w:rsidR="00C85654" w:rsidRPr="000D0D06" w:rsidRDefault="00C85654">
            <w:pPr>
              <w:tabs>
                <w:tab w:val="left" w:pos="5678"/>
              </w:tabs>
              <w:spacing w:before="0"/>
              <w:jc w:val="left"/>
              <w:rPr>
                <w:noProof/>
              </w:rPr>
            </w:pPr>
          </w:p>
        </w:tc>
      </w:tr>
      <w:tr w:rsidR="00C85654" w:rsidRPr="000D0D06" w14:paraId="704BCA15" w14:textId="77777777">
        <w:tc>
          <w:tcPr>
            <w:tcW w:w="2745" w:type="dxa"/>
          </w:tcPr>
          <w:p w14:paraId="6172F923" w14:textId="77777777" w:rsidR="00C85654" w:rsidRPr="000D0D06" w:rsidRDefault="00C85654">
            <w:pPr>
              <w:jc w:val="left"/>
              <w:rPr>
                <w:rFonts w:eastAsiaTheme="minorEastAsia"/>
                <w:b/>
                <w:noProof/>
                <w:color w:val="000000" w:themeColor="text1"/>
              </w:rPr>
            </w:pPr>
            <w:r w:rsidRPr="000D0D06">
              <w:rPr>
                <w:b/>
                <w:noProof/>
                <w:color w:val="000000" w:themeColor="text1"/>
              </w:rPr>
              <w:t>Medidas tomadas para assegurar um entendimento comum dos dados</w:t>
            </w:r>
          </w:p>
          <w:p w14:paraId="12CCA024" w14:textId="77777777" w:rsidR="00C85654" w:rsidRPr="000D0D06" w:rsidRDefault="00C85654">
            <w:pPr>
              <w:jc w:val="left"/>
              <w:rPr>
                <w:b/>
                <w:noProof/>
                <w:color w:val="000000" w:themeColor="text1"/>
              </w:rPr>
            </w:pPr>
            <w:r w:rsidRPr="000D0D06">
              <w:rPr>
                <w:b/>
                <w:noProof/>
                <w:color w:val="000000" w:themeColor="text1"/>
              </w:rPr>
              <w:t>Enumerar essas medidas</w:t>
            </w:r>
          </w:p>
        </w:tc>
        <w:tc>
          <w:tcPr>
            <w:tcW w:w="8940" w:type="dxa"/>
          </w:tcPr>
          <w:p w14:paraId="4F28322F" w14:textId="77777777" w:rsidR="00C85654" w:rsidRPr="000D0D06" w:rsidRDefault="00C85654">
            <w:pPr>
              <w:jc w:val="left"/>
              <w:rPr>
                <w:noProof/>
                <w:color w:val="000000" w:themeColor="text1"/>
              </w:rPr>
            </w:pPr>
            <w:r w:rsidRPr="000D0D06">
              <w:rPr>
                <w:noProof/>
                <w:color w:val="000000" w:themeColor="text1"/>
              </w:rPr>
              <w:t>Artigo 1.º</w:t>
            </w:r>
          </w:p>
          <w:p w14:paraId="541A1C40" w14:textId="77777777" w:rsidR="00C85654" w:rsidRPr="000D0D06" w:rsidRDefault="00C85654">
            <w:pPr>
              <w:spacing w:before="240" w:after="240" w:line="259" w:lineRule="auto"/>
              <w:jc w:val="left"/>
              <w:rPr>
                <w:noProof/>
                <w:color w:val="000000" w:themeColor="text1"/>
              </w:rPr>
            </w:pPr>
            <w:r w:rsidRPr="000D0D06">
              <w:rPr>
                <w:b/>
                <w:noProof/>
                <w:color w:val="000000" w:themeColor="text1"/>
              </w:rPr>
              <w:t>Normas comuns e quadros interoperáveis</w:t>
            </w:r>
          </w:p>
          <w:p w14:paraId="08BAA1AA" w14:textId="77777777" w:rsidR="00C85654" w:rsidRPr="000D0D06" w:rsidRDefault="00C85654" w:rsidP="0014764C">
            <w:pPr>
              <w:pStyle w:val="ListParagraph"/>
              <w:numPr>
                <w:ilvl w:val="0"/>
                <w:numId w:val="36"/>
              </w:numPr>
              <w:spacing w:before="0" w:after="0"/>
              <w:jc w:val="left"/>
              <w:rPr>
                <w:noProof/>
                <w:color w:val="000000" w:themeColor="text1"/>
              </w:rPr>
            </w:pPr>
            <w:r w:rsidRPr="000D0D06">
              <w:rPr>
                <w:noProof/>
                <w:color w:val="000000" w:themeColor="text1"/>
              </w:rPr>
              <w:t>O Comité Europeu da Inovação de Dados aconselha a Comissão Europeia sobre as atividades de normalização a realizar em relação aos aspetos intersetoriais da partilha de dados, nomeadamente no que diz respeito à emergência de espaços comuns de dados europeus, tendo em conta as atividades de normalização específicas do setor.</w:t>
            </w:r>
          </w:p>
          <w:p w14:paraId="7AD8A523" w14:textId="77777777" w:rsidR="00C85654" w:rsidRPr="000D0D06" w:rsidRDefault="00C85654" w:rsidP="0014764C">
            <w:pPr>
              <w:pStyle w:val="ListParagraph"/>
              <w:numPr>
                <w:ilvl w:val="1"/>
                <w:numId w:val="36"/>
              </w:numPr>
              <w:spacing w:before="0" w:after="0"/>
              <w:jc w:val="left"/>
              <w:rPr>
                <w:noProof/>
                <w:color w:val="000000" w:themeColor="text1"/>
              </w:rPr>
            </w:pPr>
            <w:r w:rsidRPr="000D0D06">
              <w:rPr>
                <w:noProof/>
                <w:color w:val="000000" w:themeColor="text1"/>
              </w:rPr>
              <w:t>Artigo 42.º: o Comité Europeu da Inovação de Dados ajuda na adoção de «orientações que estabeleçam […] quadros interoperáveis […] e práticas comuns para o funcionamento dos espaços comuns europeus de dados»;</w:t>
            </w:r>
          </w:p>
          <w:p w14:paraId="64441A43" w14:textId="77777777" w:rsidR="00C85654" w:rsidRPr="000D0D06" w:rsidRDefault="00C85654" w:rsidP="0014764C">
            <w:pPr>
              <w:pStyle w:val="ListParagraph"/>
              <w:numPr>
                <w:ilvl w:val="0"/>
                <w:numId w:val="36"/>
              </w:numPr>
              <w:spacing w:before="0" w:after="0"/>
              <w:jc w:val="left"/>
              <w:rPr>
                <w:noProof/>
                <w:color w:val="000000" w:themeColor="text1"/>
              </w:rPr>
            </w:pPr>
            <w:r w:rsidRPr="000D0D06">
              <w:rPr>
                <w:noProof/>
                <w:color w:val="000000" w:themeColor="text1"/>
              </w:rPr>
              <w:t>Logótipo comum para a identificação dos serviços de intermediação de dados e das organizações de altruísmo de dados.</w:t>
            </w:r>
          </w:p>
          <w:p w14:paraId="23B06192" w14:textId="77777777" w:rsidR="00C85654" w:rsidRPr="000D0D06" w:rsidRDefault="00C85654" w:rsidP="0014764C">
            <w:pPr>
              <w:pStyle w:val="ListParagraph"/>
              <w:numPr>
                <w:ilvl w:val="0"/>
                <w:numId w:val="36"/>
              </w:numPr>
              <w:spacing w:before="0" w:after="0"/>
              <w:jc w:val="left"/>
              <w:rPr>
                <w:noProof/>
                <w:color w:val="000000" w:themeColor="text1"/>
              </w:rPr>
            </w:pPr>
            <w:r w:rsidRPr="000D0D06">
              <w:rPr>
                <w:noProof/>
                <w:color w:val="000000" w:themeColor="text1"/>
              </w:rPr>
              <w:t>Artigo 32.º-Q: Os organismos do setor público e as empresas públicas disponibilizam os seus dados ou documentos, se possível e adequado, através de meios eletrónicos, em formatos que sejam abertos, legíveis por máquina, acessíveis e localizáveis e reutilizáveis, juntamente com os respetivos metadados. Tanto o formato como os metadados devem, se possível, respeitar normas formais abertas.</w:t>
            </w:r>
          </w:p>
          <w:p w14:paraId="409BE0BA" w14:textId="77777777" w:rsidR="00C85654" w:rsidRPr="000D0D06" w:rsidRDefault="00C85654">
            <w:pPr>
              <w:spacing w:before="240" w:after="240" w:line="259" w:lineRule="auto"/>
              <w:jc w:val="left"/>
              <w:rPr>
                <w:b/>
                <w:noProof/>
                <w:color w:val="000000" w:themeColor="text1"/>
              </w:rPr>
            </w:pPr>
            <w:r w:rsidRPr="000D0D06">
              <w:rPr>
                <w:b/>
                <w:noProof/>
                <w:color w:val="000000" w:themeColor="text1"/>
              </w:rPr>
              <w:t>Outras medidas pertinentes:</w:t>
            </w:r>
          </w:p>
          <w:p w14:paraId="37090C5F" w14:textId="77777777" w:rsidR="00C85654" w:rsidRPr="000D0D06" w:rsidRDefault="00C85654" w:rsidP="0014764C">
            <w:pPr>
              <w:pStyle w:val="ListParagraph"/>
              <w:numPr>
                <w:ilvl w:val="0"/>
                <w:numId w:val="36"/>
              </w:numPr>
              <w:spacing w:before="0" w:after="0"/>
              <w:jc w:val="left"/>
              <w:rPr>
                <w:noProof/>
                <w:color w:val="000000" w:themeColor="text1"/>
              </w:rPr>
            </w:pPr>
            <w:r w:rsidRPr="000D0D06">
              <w:rPr>
                <w:noProof/>
                <w:color w:val="000000" w:themeColor="text1"/>
              </w:rPr>
              <w:t>Artigo 32.º-T: os Estados-Membros devem, em cooperação com a Comissão, prosseguir os esforços no sentido de simplificar o acesso aos conjuntos de dados, disponibilizando conjuntos de dados adequados, através de meios eletrónicos, em formatos acessíveis, facilmente localizáveis e reutilizáveis.</w:t>
            </w:r>
          </w:p>
          <w:p w14:paraId="712C7951" w14:textId="77777777" w:rsidR="00C85654" w:rsidRPr="000D0D06" w:rsidRDefault="00C85654" w:rsidP="0014764C">
            <w:pPr>
              <w:pStyle w:val="ListParagraph"/>
              <w:numPr>
                <w:ilvl w:val="0"/>
                <w:numId w:val="36"/>
              </w:numPr>
              <w:spacing w:before="0" w:after="0"/>
              <w:jc w:val="left"/>
              <w:rPr>
                <w:noProof/>
                <w:color w:val="000000" w:themeColor="text1"/>
              </w:rPr>
            </w:pPr>
            <w:r w:rsidRPr="000D0D06">
              <w:rPr>
                <w:noProof/>
                <w:color w:val="000000" w:themeColor="text1"/>
              </w:rPr>
              <w:t>Artigo 32.º-U: os Estados-Membros devem apoiar a disponibilidade de dados de investigação em conformidade com os princípios FAIR.</w:t>
            </w:r>
          </w:p>
          <w:p w14:paraId="52370C57" w14:textId="77777777" w:rsidR="00C85654" w:rsidRPr="000D0D06" w:rsidRDefault="00C85654">
            <w:pPr>
              <w:pStyle w:val="ListParagraph"/>
              <w:spacing w:before="0" w:after="0"/>
              <w:jc w:val="left"/>
              <w:rPr>
                <w:noProof/>
                <w:color w:val="000000" w:themeColor="text1"/>
              </w:rPr>
            </w:pPr>
          </w:p>
        </w:tc>
        <w:tc>
          <w:tcPr>
            <w:tcW w:w="2794" w:type="dxa"/>
          </w:tcPr>
          <w:p w14:paraId="24E13F72" w14:textId="77777777" w:rsidR="00C85654" w:rsidRPr="000D0D06" w:rsidRDefault="00C85654">
            <w:pPr>
              <w:spacing w:before="240" w:after="240"/>
              <w:jc w:val="left"/>
              <w:rPr>
                <w:noProof/>
              </w:rPr>
            </w:pPr>
          </w:p>
        </w:tc>
      </w:tr>
      <w:tr w:rsidR="00C85654" w:rsidRPr="000D0D06" w14:paraId="6D267B48" w14:textId="77777777">
        <w:tc>
          <w:tcPr>
            <w:tcW w:w="2745" w:type="dxa"/>
          </w:tcPr>
          <w:p w14:paraId="26948762" w14:textId="77777777" w:rsidR="00C85654" w:rsidRPr="000D0D06" w:rsidRDefault="00C85654">
            <w:pPr>
              <w:jc w:val="left"/>
              <w:rPr>
                <w:rFonts w:eastAsiaTheme="minorEastAsia"/>
                <w:b/>
                <w:bCs/>
                <w:noProof/>
              </w:rPr>
            </w:pPr>
            <w:r w:rsidRPr="000D0D06">
              <w:rPr>
                <w:b/>
                <w:noProof/>
              </w:rPr>
              <w:t>Utilização de especificações e normas técnicas abertas acordadas em comum</w:t>
            </w:r>
          </w:p>
          <w:p w14:paraId="2B1A88E7" w14:textId="77777777" w:rsidR="00C85654" w:rsidRPr="000D0D06" w:rsidRDefault="00C85654">
            <w:pPr>
              <w:jc w:val="left"/>
              <w:rPr>
                <w:b/>
                <w:bCs/>
                <w:noProof/>
              </w:rPr>
            </w:pPr>
            <w:r w:rsidRPr="000D0D06">
              <w:rPr>
                <w:b/>
                <w:noProof/>
              </w:rPr>
              <w:t>Enumerar essas medidas</w:t>
            </w:r>
          </w:p>
        </w:tc>
        <w:tc>
          <w:tcPr>
            <w:tcW w:w="8940" w:type="dxa"/>
          </w:tcPr>
          <w:p w14:paraId="3402D8A4" w14:textId="77777777" w:rsidR="00C85654" w:rsidRPr="000D0D06" w:rsidRDefault="00C85654">
            <w:pPr>
              <w:jc w:val="left"/>
              <w:rPr>
                <w:noProof/>
              </w:rPr>
            </w:pPr>
            <w:r w:rsidRPr="000D0D06">
              <w:rPr>
                <w:noProof/>
              </w:rPr>
              <w:t>Artigo 1.º</w:t>
            </w:r>
          </w:p>
          <w:p w14:paraId="6C3DD36F" w14:textId="77777777" w:rsidR="00C85654" w:rsidRPr="000D0D06" w:rsidRDefault="00C85654">
            <w:pPr>
              <w:pStyle w:val="Heading3"/>
              <w:numPr>
                <w:ilvl w:val="2"/>
                <w:numId w:val="0"/>
              </w:numPr>
              <w:spacing w:before="281" w:after="281"/>
              <w:jc w:val="left"/>
              <w:outlineLvl w:val="2"/>
              <w:rPr>
                <w:b/>
                <w:bCs w:val="0"/>
                <w:i w:val="0"/>
                <w:iCs/>
                <w:noProof/>
              </w:rPr>
            </w:pPr>
            <w:r w:rsidRPr="000D0D06">
              <w:rPr>
                <w:b/>
                <w:i w:val="0"/>
                <w:noProof/>
              </w:rPr>
              <w:t>Medidas em matéria de dados legíveis por máquina:</w:t>
            </w:r>
          </w:p>
          <w:p w14:paraId="1AE52A95" w14:textId="77777777" w:rsidR="00C85654" w:rsidRPr="000D0D06" w:rsidRDefault="00C85654" w:rsidP="0014764C">
            <w:pPr>
              <w:numPr>
                <w:ilvl w:val="0"/>
                <w:numId w:val="36"/>
              </w:numPr>
              <w:rPr>
                <w:noProof/>
              </w:rPr>
            </w:pPr>
            <w:r w:rsidRPr="000D0D06">
              <w:rPr>
                <w:noProof/>
              </w:rPr>
              <w:t>Artigo 32.º-A: Registo da União Europeia legível por máquina dos prestadores de serviços de intermediação de dados.</w:t>
            </w:r>
          </w:p>
          <w:p w14:paraId="649F6746" w14:textId="77777777" w:rsidR="00C85654" w:rsidRPr="000D0D06" w:rsidRDefault="00C85654" w:rsidP="0014764C">
            <w:pPr>
              <w:pStyle w:val="ListParagraph"/>
              <w:numPr>
                <w:ilvl w:val="0"/>
                <w:numId w:val="36"/>
              </w:numPr>
              <w:rPr>
                <w:noProof/>
              </w:rPr>
            </w:pPr>
            <w:r w:rsidRPr="000D0D06">
              <w:rPr>
                <w:noProof/>
              </w:rPr>
              <w:t>Artigo 32.º-A: Registo da União Europeia legível por máquina das organizações de altruísmo de dados.</w:t>
            </w:r>
          </w:p>
          <w:p w14:paraId="5249DDC4" w14:textId="77777777" w:rsidR="00C85654" w:rsidRPr="000D0D06" w:rsidRDefault="00C85654" w:rsidP="0014764C">
            <w:pPr>
              <w:pStyle w:val="ListParagraph"/>
              <w:numPr>
                <w:ilvl w:val="0"/>
                <w:numId w:val="36"/>
              </w:numPr>
              <w:rPr>
                <w:noProof/>
              </w:rPr>
            </w:pPr>
            <w:r w:rsidRPr="000D0D06">
              <w:rPr>
                <w:noProof/>
              </w:rPr>
              <w:t>Artigo 32.º-Q: Os organismos do setor público disponibilizarão os seus dados/documentos, sempre que possível, em formatos que sejam abertos, legíveis por máquina, acessíveis, localizáveis e reutilizáveis, juntamente com os seus metadados. Tanto o formato como os metadados devem, se possível, respeitar normas formais abertas.</w:t>
            </w:r>
          </w:p>
          <w:p w14:paraId="76CD9346" w14:textId="77777777" w:rsidR="00C85654" w:rsidRPr="000D0D06" w:rsidRDefault="00C85654" w:rsidP="0014764C">
            <w:pPr>
              <w:pStyle w:val="ListParagraph"/>
              <w:numPr>
                <w:ilvl w:val="0"/>
                <w:numId w:val="36"/>
              </w:numPr>
              <w:rPr>
                <w:noProof/>
              </w:rPr>
            </w:pPr>
            <w:r w:rsidRPr="000D0D06">
              <w:rPr>
                <w:noProof/>
              </w:rPr>
              <w:t>Artigo 32.º-Q: Os conjuntos de dados de elevado valor são disponibilizados para reutilização em formato legível por máquina, através de IPA adequadas e, se for caso disso, sob a forma de descarregamento em bloco.</w:t>
            </w:r>
          </w:p>
          <w:p w14:paraId="4797D3EC" w14:textId="77777777" w:rsidR="00C85654" w:rsidRPr="000D0D06" w:rsidRDefault="00C85654" w:rsidP="0014764C">
            <w:pPr>
              <w:pStyle w:val="ListParagraph"/>
              <w:numPr>
                <w:ilvl w:val="0"/>
                <w:numId w:val="36"/>
              </w:numPr>
              <w:rPr>
                <w:noProof/>
              </w:rPr>
            </w:pPr>
            <w:r w:rsidRPr="000D0D06">
              <w:rPr>
                <w:noProof/>
              </w:rPr>
              <w:t>Artigo 32.º-T: Os Estados-Membros estabelecem disposições práticas que facilitem a pesquisa de dados ou documentos disponíveis para reutilização, tais como listas de recursos dos dados ou documentos principais juntamente com os metadados conexos, acessíveis, se possível e adequado, em linha e em formato legível por máquina, assim como portais com ligação às listas de recursos. Se possível, os Estados-Membros devem facilitar a pesquisa multilingue de dados ou documentos.</w:t>
            </w:r>
          </w:p>
          <w:p w14:paraId="26A9E95D" w14:textId="77777777" w:rsidR="00C85654" w:rsidRPr="000D0D06" w:rsidRDefault="00C85654" w:rsidP="0014764C">
            <w:pPr>
              <w:pStyle w:val="ListParagraph"/>
              <w:numPr>
                <w:ilvl w:val="0"/>
                <w:numId w:val="36"/>
              </w:numPr>
              <w:rPr>
                <w:noProof/>
              </w:rPr>
            </w:pPr>
            <w:r w:rsidRPr="000D0D06">
              <w:rPr>
                <w:noProof/>
              </w:rPr>
              <w:t>Artigo 32.º-W: Os conjuntos específicos de dados de elevado valor devem ser legíveis por máquina. Os atos de execução podem especificar disposições relativas aos formatos de dados e metadados e disposições técnicas relativas à sua divulgação.</w:t>
            </w:r>
          </w:p>
          <w:p w14:paraId="5F6A6C73" w14:textId="77777777" w:rsidR="00C85654" w:rsidRPr="000D0D06" w:rsidRDefault="00C85654">
            <w:pPr>
              <w:pStyle w:val="Heading3"/>
              <w:numPr>
                <w:ilvl w:val="2"/>
                <w:numId w:val="0"/>
              </w:numPr>
              <w:spacing w:before="281" w:after="281"/>
              <w:jc w:val="left"/>
              <w:outlineLvl w:val="2"/>
              <w:rPr>
                <w:b/>
                <w:bCs w:val="0"/>
                <w:i w:val="0"/>
                <w:iCs/>
                <w:noProof/>
              </w:rPr>
            </w:pPr>
            <w:r w:rsidRPr="000D0D06">
              <w:rPr>
                <w:b/>
                <w:i w:val="0"/>
                <w:noProof/>
              </w:rPr>
              <w:t>Medidas de interação entre máquinas:</w:t>
            </w:r>
          </w:p>
          <w:p w14:paraId="10CF658D" w14:textId="77777777" w:rsidR="00C85654" w:rsidRPr="000D0D06" w:rsidRDefault="00C85654" w:rsidP="0014764C">
            <w:pPr>
              <w:pStyle w:val="ListParagraph"/>
              <w:numPr>
                <w:ilvl w:val="0"/>
                <w:numId w:val="36"/>
              </w:numPr>
              <w:rPr>
                <w:noProof/>
              </w:rPr>
            </w:pPr>
            <w:r w:rsidRPr="000D0D06">
              <w:rPr>
                <w:noProof/>
              </w:rPr>
              <w:t>Artigo 32.º-AD: tornar obrigatória a utilização do ponto de informação único. O ponto de informação único é competente para receber os pedidos de informação ou os pedidos e transmite-os, sempre que possível e adequado por meios automatizados, aos organismos do setor público competentes ou, se for caso disso, aos organismos competentes.</w:t>
            </w:r>
          </w:p>
          <w:p w14:paraId="7F7789AB" w14:textId="77777777" w:rsidR="00C85654" w:rsidRPr="000D0D06" w:rsidRDefault="00C85654">
            <w:pPr>
              <w:pStyle w:val="Heading3"/>
              <w:numPr>
                <w:ilvl w:val="2"/>
                <w:numId w:val="0"/>
              </w:numPr>
              <w:spacing w:before="281" w:after="281"/>
              <w:jc w:val="left"/>
              <w:outlineLvl w:val="2"/>
              <w:rPr>
                <w:b/>
                <w:bCs w:val="0"/>
                <w:i w:val="0"/>
                <w:iCs/>
                <w:noProof/>
              </w:rPr>
            </w:pPr>
            <w:r w:rsidRPr="000D0D06">
              <w:rPr>
                <w:b/>
                <w:i w:val="0"/>
                <w:noProof/>
              </w:rPr>
              <w:t>Outras medidas pertinentes:</w:t>
            </w:r>
          </w:p>
          <w:p w14:paraId="27E94ED9" w14:textId="77777777" w:rsidR="00C85654" w:rsidRPr="000D0D06" w:rsidRDefault="00C85654" w:rsidP="0014764C">
            <w:pPr>
              <w:pStyle w:val="ListParagraph"/>
              <w:numPr>
                <w:ilvl w:val="0"/>
                <w:numId w:val="36"/>
              </w:numPr>
              <w:spacing w:before="0" w:after="0"/>
              <w:jc w:val="left"/>
              <w:rPr>
                <w:noProof/>
              </w:rPr>
            </w:pPr>
            <w:r w:rsidRPr="000D0D06">
              <w:rPr>
                <w:noProof/>
              </w:rPr>
              <w:t xml:space="preserve">Artigo 48.º-A: Alteração do anexo II do Regulamento (UE) 2018/1724 (plataforma digital única). Sinergias exploradas. </w:t>
            </w:r>
          </w:p>
          <w:p w14:paraId="3C8299B3" w14:textId="2F960300" w:rsidR="00C85654" w:rsidRPr="000D0D06" w:rsidRDefault="00C85654" w:rsidP="0014764C">
            <w:pPr>
              <w:pStyle w:val="ListParagraph"/>
              <w:numPr>
                <w:ilvl w:val="0"/>
                <w:numId w:val="36"/>
              </w:numPr>
              <w:spacing w:before="0" w:after="0"/>
              <w:jc w:val="left"/>
              <w:rPr>
                <w:noProof/>
              </w:rPr>
            </w:pPr>
            <w:r w:rsidRPr="000D0D06">
              <w:rPr>
                <w:noProof/>
              </w:rPr>
              <w:t xml:space="preserve">Considerando 52 da proposta </w:t>
            </w:r>
            <w:r w:rsidRPr="000D0D06">
              <w:rPr>
                <w:i/>
                <w:noProof/>
              </w:rPr>
              <w:t>omnibus</w:t>
            </w:r>
            <w:r w:rsidRPr="000D0D06">
              <w:rPr>
                <w:noProof/>
              </w:rPr>
              <w:t xml:space="preserve">: Na medida do possível, a ENISA deve ter em conta as soluções técnicas nacionais existentes que facilitem a notificação de incidentes, como as plataformas nacionais, aquando da elaboração das especificações sobre as medidas técnicas, operacionais e organizativas relativas à criação, manutenção e funcionamento seguro do ponto de entrada único. Além disso, a ENISA deve ponderar protocolos e instrumentos técnicos, como interfaces de programação de aplicações e normas legíveis por máquina, que permitam às entidades facilitar a integração das obrigações de notificação nos processos operacionais e às autoridades ligar o ponto de entrada único aos seus sistemas nacionais de comunicação de informações. </w:t>
            </w:r>
          </w:p>
        </w:tc>
        <w:tc>
          <w:tcPr>
            <w:tcW w:w="2794" w:type="dxa"/>
          </w:tcPr>
          <w:p w14:paraId="794F2AB6" w14:textId="77777777" w:rsidR="00C85654" w:rsidRPr="000D0D06" w:rsidRDefault="00C85654">
            <w:pPr>
              <w:tabs>
                <w:tab w:val="left" w:pos="5678"/>
              </w:tabs>
              <w:spacing w:before="0"/>
              <w:jc w:val="left"/>
              <w:rPr>
                <w:i/>
                <w:iCs/>
                <w:noProof/>
              </w:rPr>
            </w:pPr>
          </w:p>
        </w:tc>
      </w:tr>
    </w:tbl>
    <w:p w14:paraId="78545A09" w14:textId="77777777" w:rsidR="00C85654" w:rsidRPr="000D0D06" w:rsidRDefault="00C85654" w:rsidP="00C85654">
      <w:pPr>
        <w:rPr>
          <w:b/>
          <w:bCs/>
          <w:noProof/>
          <w:u w:val="single"/>
        </w:rPr>
      </w:pPr>
    </w:p>
    <w:p w14:paraId="570F063A" w14:textId="28FDD125" w:rsidR="00C85654" w:rsidRPr="000D0D06" w:rsidRDefault="00C85654" w:rsidP="00C85654">
      <w:pPr>
        <w:rPr>
          <w:b/>
          <w:bCs/>
          <w:noProof/>
          <w:u w:val="single"/>
        </w:rPr>
      </w:pPr>
      <w:r w:rsidRPr="000D0D06">
        <w:rPr>
          <w:b/>
          <w:noProof/>
          <w:u w:val="single"/>
        </w:rPr>
        <w:t>Serviço público digital n.º 2 — Notificação de incidentes</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8940"/>
        <w:gridCol w:w="2794"/>
      </w:tblGrid>
      <w:tr w:rsidR="00C85654" w:rsidRPr="000D0D06" w14:paraId="782BC7DA" w14:textId="77777777">
        <w:trPr>
          <w:trHeight w:val="300"/>
        </w:trPr>
        <w:tc>
          <w:tcPr>
            <w:tcW w:w="2745" w:type="dxa"/>
          </w:tcPr>
          <w:p w14:paraId="766EBBC1" w14:textId="77777777" w:rsidR="00C85654" w:rsidRPr="000D0D06" w:rsidRDefault="00C85654">
            <w:pPr>
              <w:jc w:val="left"/>
              <w:rPr>
                <w:b/>
                <w:bCs/>
                <w:noProof/>
              </w:rPr>
            </w:pPr>
            <w:r w:rsidRPr="000D0D06">
              <w:rPr>
                <w:b/>
                <w:noProof/>
              </w:rPr>
              <w:t>Avaliação</w:t>
            </w:r>
          </w:p>
        </w:tc>
        <w:tc>
          <w:tcPr>
            <w:tcW w:w="8940" w:type="dxa"/>
          </w:tcPr>
          <w:p w14:paraId="1125CF68" w14:textId="77777777" w:rsidR="00C85654" w:rsidRPr="000D0D06" w:rsidRDefault="00C85654">
            <w:pPr>
              <w:jc w:val="left"/>
              <w:rPr>
                <w:b/>
                <w:bCs/>
                <w:noProof/>
              </w:rPr>
            </w:pPr>
            <w:r w:rsidRPr="000D0D06">
              <w:rPr>
                <w:b/>
                <w:noProof/>
              </w:rPr>
              <w:t>Medidas</w:t>
            </w:r>
          </w:p>
        </w:tc>
        <w:tc>
          <w:tcPr>
            <w:tcW w:w="2794" w:type="dxa"/>
          </w:tcPr>
          <w:p w14:paraId="729278A8" w14:textId="77777777" w:rsidR="00C85654" w:rsidRPr="000D0D06" w:rsidRDefault="00C85654">
            <w:pPr>
              <w:jc w:val="left"/>
              <w:rPr>
                <w:b/>
                <w:bCs/>
                <w:noProof/>
              </w:rPr>
            </w:pPr>
            <w:r w:rsidRPr="000D0D06">
              <w:rPr>
                <w:b/>
                <w:noProof/>
              </w:rPr>
              <w:t>Potenciais obstáculos remanescentes (se aplicável)</w:t>
            </w:r>
          </w:p>
        </w:tc>
      </w:tr>
      <w:tr w:rsidR="00C85654" w:rsidRPr="000D0D06" w14:paraId="6E8BAE47" w14:textId="77777777">
        <w:trPr>
          <w:trHeight w:val="300"/>
        </w:trPr>
        <w:tc>
          <w:tcPr>
            <w:tcW w:w="2745" w:type="dxa"/>
          </w:tcPr>
          <w:p w14:paraId="429EFC18" w14:textId="77777777" w:rsidR="00C85654" w:rsidRPr="000D0D06" w:rsidRDefault="00C85654">
            <w:pPr>
              <w:spacing w:before="0"/>
              <w:jc w:val="left"/>
              <w:rPr>
                <w:rFonts w:eastAsiaTheme="minorEastAsia"/>
                <w:b/>
                <w:bCs/>
                <w:noProof/>
              </w:rPr>
            </w:pPr>
            <w:r w:rsidRPr="000D0D06">
              <w:rPr>
                <w:b/>
                <w:noProof/>
              </w:rPr>
              <w:t xml:space="preserve">Alinhamento com as políticas digitais e setoriais existentes </w:t>
            </w:r>
          </w:p>
          <w:p w14:paraId="6839EEF8" w14:textId="77777777" w:rsidR="00C85654" w:rsidRPr="000D0D06" w:rsidRDefault="00C85654">
            <w:pPr>
              <w:spacing w:before="0"/>
              <w:jc w:val="left"/>
              <w:rPr>
                <w:b/>
                <w:bCs/>
                <w:noProof/>
              </w:rPr>
            </w:pPr>
            <w:r w:rsidRPr="000D0D06">
              <w:rPr>
                <w:b/>
                <w:noProof/>
              </w:rPr>
              <w:t>Enumerar as políticas digitais e setoriais aplicáveis identificadas</w:t>
            </w:r>
          </w:p>
        </w:tc>
        <w:tc>
          <w:tcPr>
            <w:tcW w:w="8940" w:type="dxa"/>
          </w:tcPr>
          <w:p w14:paraId="1191A086" w14:textId="77777777" w:rsidR="00C85654" w:rsidRPr="000D0D06" w:rsidRDefault="00C85654">
            <w:pPr>
              <w:pStyle w:val="Text1"/>
              <w:ind w:left="0"/>
              <w:rPr>
                <w:noProof/>
              </w:rPr>
            </w:pPr>
            <w:r w:rsidRPr="000D0D06">
              <w:rPr>
                <w:noProof/>
              </w:rPr>
              <w:t xml:space="preserve">Artigo 6.º </w:t>
            </w:r>
          </w:p>
          <w:p w14:paraId="1AC7F4E5" w14:textId="77777777" w:rsidR="00C85654" w:rsidRPr="000D0D06" w:rsidRDefault="00C85654">
            <w:pPr>
              <w:pStyle w:val="Text1"/>
              <w:ind w:left="0"/>
              <w:rPr>
                <w:noProof/>
              </w:rPr>
            </w:pPr>
            <w:r w:rsidRPr="000D0D06">
              <w:rPr>
                <w:noProof/>
              </w:rPr>
              <w:t xml:space="preserve">O alinhamento geral com as políticas digitais e setoriais existentes é assegurado pela Diretiva (UE) 2022/2555 (Diretiva SRI 2), que, presentemente, o pacote </w:t>
            </w:r>
            <w:r w:rsidRPr="000D0D06">
              <w:rPr>
                <w:i/>
                <w:noProof/>
              </w:rPr>
              <w:t>omnibus</w:t>
            </w:r>
            <w:r w:rsidRPr="000D0D06">
              <w:rPr>
                <w:noProof/>
              </w:rPr>
              <w:t xml:space="preserve"> digital altera. Além disso, a proposta </w:t>
            </w:r>
            <w:r w:rsidRPr="000D0D06">
              <w:rPr>
                <w:i/>
                <w:noProof/>
              </w:rPr>
              <w:t>omnibus</w:t>
            </w:r>
            <w:r w:rsidRPr="000D0D06">
              <w:rPr>
                <w:noProof/>
              </w:rPr>
              <w:t xml:space="preserve"> prevê sinergias com a carteira empresarial europeia e o Regulamento (UE) 2024/2847 (Regulamento de Ciber-Resiliência). Mais concretamente: </w:t>
            </w:r>
          </w:p>
          <w:p w14:paraId="040AC239" w14:textId="77777777" w:rsidR="00C85654" w:rsidRPr="000D0D06" w:rsidRDefault="00C85654" w:rsidP="0014764C">
            <w:pPr>
              <w:pStyle w:val="ListParagraph"/>
              <w:numPr>
                <w:ilvl w:val="0"/>
                <w:numId w:val="29"/>
              </w:numPr>
              <w:spacing w:before="0" w:after="0" w:line="259" w:lineRule="auto"/>
              <w:jc w:val="left"/>
              <w:rPr>
                <w:noProof/>
              </w:rPr>
            </w:pPr>
            <w:r w:rsidRPr="000D0D06">
              <w:rPr>
                <w:noProof/>
              </w:rPr>
              <w:t xml:space="preserve">o artigo 23.º, n.º 4, torna obrigatória a utilização do ponto de entrada único para a notificação nos termos da Diretiva SRI 2, </w:t>
            </w:r>
          </w:p>
          <w:p w14:paraId="2BC9ADB2" w14:textId="2C4D507C" w:rsidR="00C85654" w:rsidRPr="000D0D06" w:rsidRDefault="00C85654" w:rsidP="0014764C">
            <w:pPr>
              <w:pStyle w:val="ListParagraph"/>
              <w:numPr>
                <w:ilvl w:val="0"/>
                <w:numId w:val="29"/>
              </w:numPr>
              <w:spacing w:before="0" w:after="0" w:line="259" w:lineRule="auto"/>
              <w:jc w:val="left"/>
              <w:rPr>
                <w:noProof/>
              </w:rPr>
            </w:pPr>
            <w:r w:rsidRPr="000D0D06">
              <w:rPr>
                <w:noProof/>
              </w:rPr>
              <w:t xml:space="preserve">o artigo 23.º, n.º 1, estabelece que uma notificação de qualquer incidente grave nos termos do artigo 14.º, n.º 3, do Regulamento (UE) 2024/2847 (Regulamento de Ciber-Resiliência) também constitui uma notificação ao abrigo da Diretiva (UE) 2022/2555 (Diretiva SRI 2). Tal está em conformidade com o princípio da declaração única, </w:t>
            </w:r>
          </w:p>
          <w:p w14:paraId="731946D9" w14:textId="77777777" w:rsidR="00C85654" w:rsidRPr="000D0D06" w:rsidRDefault="00C85654" w:rsidP="0014764C">
            <w:pPr>
              <w:pStyle w:val="ListParagraph"/>
              <w:numPr>
                <w:ilvl w:val="0"/>
                <w:numId w:val="29"/>
              </w:numPr>
              <w:spacing w:before="0" w:after="0" w:line="259" w:lineRule="auto"/>
              <w:jc w:val="left"/>
              <w:rPr>
                <w:noProof/>
              </w:rPr>
            </w:pPr>
            <w:r w:rsidRPr="000D0D06">
              <w:rPr>
                <w:noProof/>
              </w:rPr>
              <w:t xml:space="preserve">o artigo 23.º-A, n.º 3, alínea d), prevê a ligação com as carteiras empresariais europeias. </w:t>
            </w:r>
          </w:p>
          <w:p w14:paraId="2BBFF416" w14:textId="77777777" w:rsidR="00C85654" w:rsidRPr="000D0D06" w:rsidRDefault="00C85654">
            <w:pPr>
              <w:pStyle w:val="ListParagraph"/>
              <w:spacing w:before="0" w:after="0" w:line="259" w:lineRule="auto"/>
              <w:jc w:val="left"/>
              <w:rPr>
                <w:noProof/>
              </w:rPr>
            </w:pPr>
          </w:p>
        </w:tc>
        <w:tc>
          <w:tcPr>
            <w:tcW w:w="2794" w:type="dxa"/>
          </w:tcPr>
          <w:p w14:paraId="7E03B034" w14:textId="77777777" w:rsidR="00C85654" w:rsidRPr="000D0D06" w:rsidRDefault="00C85654">
            <w:pPr>
              <w:tabs>
                <w:tab w:val="left" w:pos="5678"/>
              </w:tabs>
              <w:spacing w:before="0"/>
              <w:jc w:val="left"/>
              <w:rPr>
                <w:noProof/>
              </w:rPr>
            </w:pPr>
          </w:p>
        </w:tc>
      </w:tr>
      <w:tr w:rsidR="00C85654" w:rsidRPr="000D0D06" w14:paraId="48EAEE5A" w14:textId="77777777">
        <w:trPr>
          <w:trHeight w:val="300"/>
        </w:trPr>
        <w:tc>
          <w:tcPr>
            <w:tcW w:w="2745" w:type="dxa"/>
          </w:tcPr>
          <w:p w14:paraId="7FA9CF80" w14:textId="77777777" w:rsidR="00C85654" w:rsidRPr="000D0D06" w:rsidRDefault="00C85654">
            <w:pPr>
              <w:jc w:val="left"/>
              <w:rPr>
                <w:rFonts w:eastAsiaTheme="minorEastAsia"/>
                <w:b/>
                <w:bCs/>
                <w:noProof/>
              </w:rPr>
            </w:pPr>
            <w:r w:rsidRPr="000D0D06">
              <w:rPr>
                <w:b/>
                <w:noProof/>
              </w:rPr>
              <w:t>Medidas organizativas para uma boa prestação de serviços públicos digitais transfronteiras</w:t>
            </w:r>
          </w:p>
          <w:p w14:paraId="308A6F7E" w14:textId="77777777" w:rsidR="00C85654" w:rsidRPr="000D0D06" w:rsidRDefault="00C85654">
            <w:pPr>
              <w:jc w:val="left"/>
              <w:rPr>
                <w:b/>
                <w:bCs/>
                <w:noProof/>
              </w:rPr>
            </w:pPr>
            <w:r w:rsidRPr="000D0D06">
              <w:rPr>
                <w:b/>
                <w:noProof/>
              </w:rPr>
              <w:t>Enumerar as medidas de governação previstas</w:t>
            </w:r>
          </w:p>
        </w:tc>
        <w:tc>
          <w:tcPr>
            <w:tcW w:w="8940" w:type="dxa"/>
          </w:tcPr>
          <w:p w14:paraId="49E3F057" w14:textId="77777777" w:rsidR="00C85654" w:rsidRPr="000D0D06" w:rsidRDefault="00C85654">
            <w:pPr>
              <w:pStyle w:val="Text1"/>
              <w:ind w:left="0"/>
              <w:rPr>
                <w:noProof/>
              </w:rPr>
            </w:pPr>
            <w:r w:rsidRPr="000D0D06">
              <w:rPr>
                <w:noProof/>
              </w:rPr>
              <w:t>Artigo 6.º</w:t>
            </w:r>
          </w:p>
          <w:p w14:paraId="488822F4" w14:textId="77777777" w:rsidR="00C85654" w:rsidRPr="000D0D06" w:rsidRDefault="00C85654">
            <w:pPr>
              <w:pStyle w:val="Text1"/>
              <w:ind w:left="0"/>
              <w:rPr>
                <w:noProof/>
              </w:rPr>
            </w:pPr>
            <w:r w:rsidRPr="000D0D06">
              <w:rPr>
                <w:noProof/>
              </w:rPr>
              <w:t>O artigo 23.º-A define as funções e responsabilidades. Em especial, a ENISA deve:</w:t>
            </w:r>
          </w:p>
          <w:p w14:paraId="29B1D351" w14:textId="77777777" w:rsidR="00C85654" w:rsidRPr="000D0D06" w:rsidRDefault="00C85654" w:rsidP="0014764C">
            <w:pPr>
              <w:pStyle w:val="ListParagraph"/>
              <w:numPr>
                <w:ilvl w:val="0"/>
                <w:numId w:val="30"/>
              </w:numPr>
              <w:spacing w:before="0" w:after="0" w:line="259" w:lineRule="auto"/>
              <w:jc w:val="left"/>
              <w:rPr>
                <w:noProof/>
              </w:rPr>
            </w:pPr>
            <w:r w:rsidRPr="000D0D06">
              <w:rPr>
                <w:noProof/>
              </w:rPr>
              <w:t>criar e manter um ponto de entrada único para apoiar a obrigação de comunicação de incidentes e eventos conexos ao abrigo dos atos jurídicos da União,</w:t>
            </w:r>
          </w:p>
          <w:p w14:paraId="26049AC0" w14:textId="2D1568EF" w:rsidR="00C85654" w:rsidRPr="000D0D06" w:rsidRDefault="00C85654" w:rsidP="0014764C">
            <w:pPr>
              <w:pStyle w:val="ListParagraph"/>
              <w:numPr>
                <w:ilvl w:val="0"/>
                <w:numId w:val="30"/>
              </w:numPr>
              <w:spacing w:before="0" w:after="0" w:line="259" w:lineRule="auto"/>
              <w:jc w:val="left"/>
              <w:rPr>
                <w:noProof/>
              </w:rPr>
            </w:pPr>
            <w:r w:rsidRPr="000D0D06">
              <w:rPr>
                <w:noProof/>
              </w:rPr>
              <w:t>adotar medidas técnicas, operacionais e organizativas para gerir os riscos que se coloquem à segurança do ponto de entrada único e das informações apresentadas ou divulgadas. Ao fazê-lo, consulta a Comissão, a rede de CSIRT e as autoridades competentes pertinentes.</w:t>
            </w:r>
          </w:p>
          <w:p w14:paraId="19B186CD" w14:textId="77777777" w:rsidR="00C85654" w:rsidRPr="000D0D06" w:rsidRDefault="00C85654">
            <w:pPr>
              <w:pStyle w:val="ListParagraph"/>
              <w:spacing w:before="0" w:after="0" w:line="259" w:lineRule="auto"/>
              <w:ind w:hanging="360"/>
              <w:jc w:val="left"/>
              <w:rPr>
                <w:noProof/>
              </w:rPr>
            </w:pPr>
          </w:p>
          <w:p w14:paraId="4A8D3226" w14:textId="77777777" w:rsidR="00C85654" w:rsidRPr="000D0D06" w:rsidRDefault="00C85654" w:rsidP="001D6DDE">
            <w:pPr>
              <w:spacing w:before="0" w:after="0" w:line="259" w:lineRule="auto"/>
              <w:jc w:val="left"/>
              <w:rPr>
                <w:noProof/>
              </w:rPr>
            </w:pPr>
          </w:p>
        </w:tc>
        <w:tc>
          <w:tcPr>
            <w:tcW w:w="2794" w:type="dxa"/>
          </w:tcPr>
          <w:p w14:paraId="25C9C72E" w14:textId="77777777" w:rsidR="00C85654" w:rsidRPr="000D0D06" w:rsidRDefault="00C85654">
            <w:pPr>
              <w:jc w:val="left"/>
              <w:rPr>
                <w:noProof/>
              </w:rPr>
            </w:pPr>
          </w:p>
        </w:tc>
      </w:tr>
      <w:tr w:rsidR="00C85654" w:rsidRPr="000D0D06" w14:paraId="56B20BB3" w14:textId="77777777">
        <w:trPr>
          <w:trHeight w:val="300"/>
        </w:trPr>
        <w:tc>
          <w:tcPr>
            <w:tcW w:w="2745" w:type="dxa"/>
          </w:tcPr>
          <w:p w14:paraId="77C6C6D6" w14:textId="77777777" w:rsidR="00C85654" w:rsidRPr="000D0D06" w:rsidRDefault="00C85654">
            <w:pPr>
              <w:jc w:val="left"/>
              <w:rPr>
                <w:rFonts w:eastAsiaTheme="minorEastAsia"/>
                <w:b/>
                <w:bCs/>
                <w:noProof/>
              </w:rPr>
            </w:pPr>
            <w:r w:rsidRPr="000D0D06">
              <w:rPr>
                <w:b/>
                <w:noProof/>
              </w:rPr>
              <w:t>Medidas tomadas para assegurar um entendimento comum dos dados</w:t>
            </w:r>
          </w:p>
          <w:p w14:paraId="1FC6FF46" w14:textId="77777777" w:rsidR="00C85654" w:rsidRPr="000D0D06" w:rsidRDefault="00C85654">
            <w:pPr>
              <w:jc w:val="left"/>
              <w:rPr>
                <w:b/>
                <w:bCs/>
                <w:noProof/>
              </w:rPr>
            </w:pPr>
            <w:r w:rsidRPr="000D0D06">
              <w:rPr>
                <w:b/>
                <w:noProof/>
              </w:rPr>
              <w:t>Enumerar essas medidas</w:t>
            </w:r>
          </w:p>
        </w:tc>
        <w:tc>
          <w:tcPr>
            <w:tcW w:w="8940" w:type="dxa"/>
          </w:tcPr>
          <w:p w14:paraId="303BD9E7" w14:textId="77777777" w:rsidR="00C85654" w:rsidRPr="000D0D06" w:rsidRDefault="00C85654">
            <w:pPr>
              <w:pStyle w:val="Text1"/>
              <w:spacing w:line="259" w:lineRule="auto"/>
              <w:ind w:left="0"/>
              <w:rPr>
                <w:noProof/>
              </w:rPr>
            </w:pPr>
            <w:r w:rsidRPr="000D0D06">
              <w:rPr>
                <w:noProof/>
              </w:rPr>
              <w:t xml:space="preserve">Artigo 6.º </w:t>
            </w:r>
          </w:p>
          <w:p w14:paraId="0323329C" w14:textId="29676208" w:rsidR="00C85654" w:rsidRPr="000D0D06" w:rsidRDefault="00C85654">
            <w:pPr>
              <w:pStyle w:val="Text1"/>
              <w:spacing w:line="259" w:lineRule="auto"/>
              <w:ind w:left="0"/>
              <w:rPr>
                <w:noProof/>
              </w:rPr>
            </w:pPr>
            <w:r w:rsidRPr="000D0D06">
              <w:rPr>
                <w:noProof/>
              </w:rPr>
              <w:t>O artigo 23.º-A encarrega a ENISA de preparar especificações que assegurem a capacidade necessária para a interoperabilidade no que diz respeito a outras obrigações de notificação pertinentes.</w:t>
            </w:r>
          </w:p>
          <w:p w14:paraId="78594D48" w14:textId="757B429F" w:rsidR="00C85654" w:rsidRPr="000D0D06" w:rsidRDefault="00C85654">
            <w:pPr>
              <w:pStyle w:val="Text1"/>
              <w:spacing w:line="259" w:lineRule="auto"/>
              <w:ind w:left="0"/>
              <w:rPr>
                <w:i/>
                <w:iCs/>
                <w:noProof/>
              </w:rPr>
            </w:pPr>
            <w:r w:rsidRPr="000D0D06">
              <w:rPr>
                <w:i/>
                <w:noProof/>
              </w:rPr>
              <w:t xml:space="preserve">N. B.: os requisitos de conteúdo relativos à notificação de incidentes são estabelecidos mais pormenorizadamente nos atos jurídicos pertinentes da União, incluindo na Diretiva (UE) 2022/2555 (Diretiva SRI 2). O artigo 23.º-A, n.º 3, alínea c), da proposta </w:t>
            </w:r>
            <w:r w:rsidRPr="000D0D06">
              <w:rPr>
                <w:noProof/>
              </w:rPr>
              <w:t>omnibus</w:t>
            </w:r>
            <w:r w:rsidRPr="000D0D06">
              <w:rPr>
                <w:i/>
                <w:noProof/>
              </w:rPr>
              <w:t xml:space="preserve"> esclarece que a ENISA deve assegurar que estes sejam devidamente tidos em conta.</w:t>
            </w:r>
          </w:p>
        </w:tc>
        <w:tc>
          <w:tcPr>
            <w:tcW w:w="2794" w:type="dxa"/>
          </w:tcPr>
          <w:p w14:paraId="14F6AF5C" w14:textId="77777777" w:rsidR="00C85654" w:rsidRPr="000D0D06" w:rsidRDefault="00C85654">
            <w:pPr>
              <w:jc w:val="left"/>
              <w:rPr>
                <w:noProof/>
              </w:rPr>
            </w:pPr>
          </w:p>
        </w:tc>
      </w:tr>
      <w:tr w:rsidR="00C85654" w:rsidRPr="000D0D06" w14:paraId="7EDB07D3" w14:textId="77777777">
        <w:trPr>
          <w:trHeight w:val="300"/>
        </w:trPr>
        <w:tc>
          <w:tcPr>
            <w:tcW w:w="2745" w:type="dxa"/>
          </w:tcPr>
          <w:p w14:paraId="0777C379" w14:textId="77777777" w:rsidR="00C85654" w:rsidRPr="000D0D06" w:rsidRDefault="00C85654">
            <w:pPr>
              <w:jc w:val="left"/>
              <w:rPr>
                <w:rFonts w:eastAsiaTheme="minorEastAsia"/>
                <w:b/>
                <w:bCs/>
                <w:noProof/>
              </w:rPr>
            </w:pPr>
            <w:r w:rsidRPr="000D0D06">
              <w:rPr>
                <w:b/>
                <w:noProof/>
              </w:rPr>
              <w:t>Utilização de especificações e normas técnicas abertas acordadas em comum</w:t>
            </w:r>
          </w:p>
          <w:p w14:paraId="1892AC96" w14:textId="77777777" w:rsidR="00C85654" w:rsidRPr="000D0D06" w:rsidRDefault="00C85654">
            <w:pPr>
              <w:jc w:val="left"/>
              <w:rPr>
                <w:b/>
                <w:bCs/>
                <w:noProof/>
              </w:rPr>
            </w:pPr>
            <w:r w:rsidRPr="000D0D06">
              <w:rPr>
                <w:b/>
                <w:noProof/>
              </w:rPr>
              <w:t>Enumerar essas medidas</w:t>
            </w:r>
          </w:p>
        </w:tc>
        <w:tc>
          <w:tcPr>
            <w:tcW w:w="8940" w:type="dxa"/>
          </w:tcPr>
          <w:p w14:paraId="4DF3AFBD" w14:textId="77777777" w:rsidR="00C85654" w:rsidRPr="000D0D06" w:rsidRDefault="00C85654">
            <w:pPr>
              <w:pStyle w:val="Text1"/>
              <w:spacing w:line="259" w:lineRule="auto"/>
              <w:ind w:left="0"/>
              <w:rPr>
                <w:noProof/>
              </w:rPr>
            </w:pPr>
            <w:r w:rsidRPr="000D0D06">
              <w:rPr>
                <w:noProof/>
              </w:rPr>
              <w:t xml:space="preserve">Artigo 6.º </w:t>
            </w:r>
          </w:p>
          <w:p w14:paraId="18A9B6CF" w14:textId="77777777" w:rsidR="00C85654" w:rsidRPr="000D0D06" w:rsidRDefault="00C85654">
            <w:pPr>
              <w:spacing w:before="0" w:after="0" w:line="259" w:lineRule="auto"/>
              <w:jc w:val="left"/>
              <w:rPr>
                <w:noProof/>
              </w:rPr>
            </w:pPr>
            <w:r w:rsidRPr="000D0D06">
              <w:rPr>
                <w:noProof/>
              </w:rPr>
              <w:t xml:space="preserve">O artigo 23.º-A exige a elaboração de especificações: </w:t>
            </w:r>
          </w:p>
          <w:p w14:paraId="41D6F22D" w14:textId="77777777" w:rsidR="00C85654" w:rsidRPr="000D0D06" w:rsidRDefault="00C85654" w:rsidP="0014764C">
            <w:pPr>
              <w:pStyle w:val="ListParagraph"/>
              <w:numPr>
                <w:ilvl w:val="0"/>
                <w:numId w:val="30"/>
              </w:numPr>
              <w:spacing w:before="0" w:after="0" w:line="259" w:lineRule="auto"/>
              <w:jc w:val="left"/>
              <w:rPr>
                <w:noProof/>
              </w:rPr>
            </w:pPr>
            <w:r w:rsidRPr="000D0D06">
              <w:rPr>
                <w:noProof/>
              </w:rPr>
              <w:t>a ENISA deve fornecer e aplicar as especificações sobre as medidas técnicas relativas à criação, manutenção e funcionamento seguro do ponto de entrada único. Estas especificações devem incluir, nomeadamente:</w:t>
            </w:r>
          </w:p>
          <w:p w14:paraId="6E156D0E" w14:textId="77777777" w:rsidR="00C85654" w:rsidRPr="000D0D06" w:rsidRDefault="00C85654" w:rsidP="0014764C">
            <w:pPr>
              <w:pStyle w:val="ListParagraph"/>
              <w:numPr>
                <w:ilvl w:val="1"/>
                <w:numId w:val="30"/>
              </w:numPr>
              <w:spacing w:before="0" w:after="0" w:line="259" w:lineRule="auto"/>
              <w:jc w:val="left"/>
              <w:rPr>
                <w:noProof/>
              </w:rPr>
            </w:pPr>
            <w:r w:rsidRPr="000D0D06">
              <w:rPr>
                <w:noProof/>
              </w:rPr>
              <w:t>A capacidade necessária para a interoperabilidade no que diz respeito a outras obrigações pertinentes de notificação.</w:t>
            </w:r>
          </w:p>
          <w:p w14:paraId="4705A194" w14:textId="77777777" w:rsidR="00C85654" w:rsidRPr="000D0D06" w:rsidRDefault="00C85654" w:rsidP="0014764C">
            <w:pPr>
              <w:pStyle w:val="ListParagraph"/>
              <w:numPr>
                <w:ilvl w:val="1"/>
                <w:numId w:val="30"/>
              </w:numPr>
              <w:spacing w:before="0" w:after="0" w:line="259" w:lineRule="auto"/>
              <w:jc w:val="left"/>
              <w:rPr>
                <w:noProof/>
              </w:rPr>
            </w:pPr>
            <w:r w:rsidRPr="000D0D06">
              <w:rPr>
                <w:noProof/>
              </w:rPr>
              <w:t>disposições técnicas que permitam às entidades e às autoridades competentes aceder, apresentar, extrair, transmitir ou tratar de outro modo informações a partir do ponto de entrada único, bem como protocolos e instrumentos técnicos que permitam às entidades e às autoridades proceder ao tratamento posterior das informações recebidas nos seus sistemas;</w:t>
            </w:r>
          </w:p>
          <w:p w14:paraId="3E148F65" w14:textId="77777777" w:rsidR="00C85654" w:rsidRPr="000D0D06" w:rsidRDefault="00C85654" w:rsidP="0014764C">
            <w:pPr>
              <w:pStyle w:val="ListParagraph"/>
              <w:numPr>
                <w:ilvl w:val="0"/>
                <w:numId w:val="30"/>
              </w:numPr>
              <w:spacing w:before="0" w:after="0" w:line="259" w:lineRule="auto"/>
              <w:jc w:val="left"/>
              <w:rPr>
                <w:noProof/>
              </w:rPr>
            </w:pPr>
            <w:r w:rsidRPr="000D0D06">
              <w:rPr>
                <w:noProof/>
              </w:rPr>
              <w:t>se disponível, o ponto de entrada único deve ser interoperável e compatível com as carteiras empresariais europeias.</w:t>
            </w:r>
          </w:p>
          <w:p w14:paraId="35CDED5C" w14:textId="77777777" w:rsidR="00C85654" w:rsidRPr="000D0D06" w:rsidRDefault="00C85654">
            <w:pPr>
              <w:pStyle w:val="ListParagraph"/>
              <w:spacing w:before="0" w:after="0" w:line="259" w:lineRule="auto"/>
              <w:jc w:val="left"/>
              <w:rPr>
                <w:noProof/>
              </w:rPr>
            </w:pPr>
          </w:p>
        </w:tc>
        <w:tc>
          <w:tcPr>
            <w:tcW w:w="2794" w:type="dxa"/>
          </w:tcPr>
          <w:p w14:paraId="3817A9D4" w14:textId="77777777" w:rsidR="00C85654" w:rsidRPr="000D0D06" w:rsidRDefault="00C85654">
            <w:pPr>
              <w:jc w:val="left"/>
              <w:rPr>
                <w:noProof/>
              </w:rPr>
            </w:pPr>
          </w:p>
        </w:tc>
      </w:tr>
    </w:tbl>
    <w:p w14:paraId="33C81361" w14:textId="77777777" w:rsidR="00C85654" w:rsidRPr="000D0D06" w:rsidRDefault="00C85654" w:rsidP="00C85654">
      <w:pPr>
        <w:rPr>
          <w:noProof/>
        </w:rPr>
      </w:pPr>
    </w:p>
    <w:p w14:paraId="1D9C2F1B" w14:textId="77777777" w:rsidR="00C7334E" w:rsidRPr="000D0D06" w:rsidRDefault="00C7334E" w:rsidP="00C85654">
      <w:pPr>
        <w:rPr>
          <w:noProof/>
        </w:rPr>
      </w:pPr>
    </w:p>
    <w:p w14:paraId="0BC7E180" w14:textId="77777777" w:rsidR="00C85654" w:rsidRPr="000D0D06" w:rsidRDefault="00C85654" w:rsidP="00C85654">
      <w:pPr>
        <w:rPr>
          <w:b/>
          <w:bCs/>
          <w:noProof/>
        </w:rPr>
      </w:pPr>
      <w:r w:rsidRPr="000D0D06">
        <w:rPr>
          <w:b/>
          <w:noProof/>
        </w:rPr>
        <w:t>4.5. Medidas de apoio à execução digital</w:t>
      </w:r>
    </w:p>
    <w:p w14:paraId="0E2291F1" w14:textId="77777777" w:rsidR="00C85654" w:rsidRPr="000D0D06" w:rsidRDefault="00C85654" w:rsidP="00C85654">
      <w:pPr>
        <w:rPr>
          <w:i/>
          <w:iCs/>
          <w:noProof/>
        </w:rPr>
      </w:pPr>
      <w:r w:rsidRPr="000D0D06">
        <w:rPr>
          <w:i/>
          <w:noProof/>
        </w:rPr>
        <w:t>Descrição de âmbito geral das medidas de apoio à execução digital</w:t>
      </w:r>
    </w:p>
    <w:tbl>
      <w:tblPr>
        <w:tblStyle w:val="TableGridLight"/>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3544"/>
        <w:gridCol w:w="2730"/>
        <w:gridCol w:w="1845"/>
        <w:gridCol w:w="1520"/>
      </w:tblGrid>
      <w:tr w:rsidR="00C85654" w:rsidRPr="000D0D06" w14:paraId="7E436A05" w14:textId="77777777">
        <w:trPr>
          <w:trHeight w:val="300"/>
        </w:trPr>
        <w:tc>
          <w:tcPr>
            <w:tcW w:w="4248" w:type="dxa"/>
          </w:tcPr>
          <w:p w14:paraId="5F4584FE" w14:textId="77777777" w:rsidR="00C85654" w:rsidRPr="000D0D06" w:rsidRDefault="00C85654">
            <w:pPr>
              <w:jc w:val="left"/>
              <w:rPr>
                <w:b/>
                <w:bCs/>
                <w:noProof/>
              </w:rPr>
            </w:pPr>
            <w:r w:rsidRPr="000D0D06">
              <w:rPr>
                <w:b/>
                <w:noProof/>
              </w:rPr>
              <w:t>Descrição da medida</w:t>
            </w:r>
          </w:p>
        </w:tc>
        <w:tc>
          <w:tcPr>
            <w:tcW w:w="3544" w:type="dxa"/>
          </w:tcPr>
          <w:p w14:paraId="090BF831" w14:textId="77777777" w:rsidR="00C85654" w:rsidRPr="000D0D06" w:rsidRDefault="00C85654">
            <w:pPr>
              <w:jc w:val="left"/>
              <w:rPr>
                <w:b/>
                <w:bCs/>
                <w:noProof/>
              </w:rPr>
            </w:pPr>
            <w:r w:rsidRPr="000D0D06">
              <w:rPr>
                <w:b/>
                <w:noProof/>
              </w:rPr>
              <w:t xml:space="preserve">Referências aos requisitos </w:t>
            </w:r>
          </w:p>
        </w:tc>
        <w:tc>
          <w:tcPr>
            <w:tcW w:w="2730" w:type="dxa"/>
          </w:tcPr>
          <w:p w14:paraId="2B3D2334" w14:textId="77777777" w:rsidR="00C85654" w:rsidRPr="000D0D06" w:rsidRDefault="00C85654">
            <w:pPr>
              <w:jc w:val="left"/>
              <w:rPr>
                <w:b/>
                <w:bCs/>
                <w:noProof/>
              </w:rPr>
            </w:pPr>
            <w:r w:rsidRPr="000D0D06">
              <w:rPr>
                <w:b/>
                <w:noProof/>
              </w:rPr>
              <w:t xml:space="preserve">Papel da Comissão </w:t>
            </w:r>
          </w:p>
          <w:p w14:paraId="637C4C98" w14:textId="77777777" w:rsidR="00C85654" w:rsidRPr="000D0D06" w:rsidRDefault="00C85654">
            <w:pPr>
              <w:jc w:val="left"/>
              <w:rPr>
                <w:b/>
                <w:bCs/>
                <w:noProof/>
              </w:rPr>
            </w:pPr>
            <w:r w:rsidRPr="000D0D06">
              <w:rPr>
                <w:noProof/>
              </w:rPr>
              <w:t>(se aplicável)</w:t>
            </w:r>
          </w:p>
        </w:tc>
        <w:tc>
          <w:tcPr>
            <w:tcW w:w="1845" w:type="dxa"/>
          </w:tcPr>
          <w:p w14:paraId="329340BB" w14:textId="77777777" w:rsidR="00C85654" w:rsidRPr="000D0D06" w:rsidRDefault="00C85654">
            <w:pPr>
              <w:jc w:val="left"/>
              <w:rPr>
                <w:b/>
                <w:bCs/>
                <w:noProof/>
              </w:rPr>
            </w:pPr>
            <w:r w:rsidRPr="000D0D06">
              <w:rPr>
                <w:b/>
                <w:noProof/>
              </w:rPr>
              <w:t>Intervenientes a envolver</w:t>
            </w:r>
          </w:p>
          <w:p w14:paraId="562713C8" w14:textId="77777777" w:rsidR="00C85654" w:rsidRPr="000D0D06" w:rsidRDefault="00C85654">
            <w:pPr>
              <w:jc w:val="left"/>
              <w:rPr>
                <w:noProof/>
              </w:rPr>
            </w:pPr>
            <w:r w:rsidRPr="000D0D06">
              <w:rPr>
                <w:noProof/>
              </w:rPr>
              <w:t>(se aplicável)</w:t>
            </w:r>
          </w:p>
        </w:tc>
        <w:tc>
          <w:tcPr>
            <w:tcW w:w="1520" w:type="dxa"/>
          </w:tcPr>
          <w:p w14:paraId="342ED54B" w14:textId="77777777" w:rsidR="00C85654" w:rsidRPr="000D0D06" w:rsidRDefault="00C85654">
            <w:pPr>
              <w:jc w:val="left"/>
              <w:rPr>
                <w:b/>
                <w:bCs/>
                <w:noProof/>
              </w:rPr>
            </w:pPr>
            <w:r w:rsidRPr="000D0D06">
              <w:rPr>
                <w:b/>
                <w:noProof/>
              </w:rPr>
              <w:t>Calendário previsto</w:t>
            </w:r>
          </w:p>
          <w:p w14:paraId="03B97ED5" w14:textId="77777777" w:rsidR="00C85654" w:rsidRPr="000D0D06" w:rsidRDefault="00C85654">
            <w:pPr>
              <w:jc w:val="left"/>
              <w:rPr>
                <w:noProof/>
              </w:rPr>
            </w:pPr>
            <w:r w:rsidRPr="000D0D06">
              <w:rPr>
                <w:noProof/>
              </w:rPr>
              <w:t>(se aplicável)</w:t>
            </w:r>
          </w:p>
        </w:tc>
      </w:tr>
      <w:tr w:rsidR="009C4CDA" w:rsidRPr="000D0D06" w14:paraId="0FA40E8C" w14:textId="77777777">
        <w:trPr>
          <w:trHeight w:val="300"/>
        </w:trPr>
        <w:tc>
          <w:tcPr>
            <w:tcW w:w="4248" w:type="dxa"/>
          </w:tcPr>
          <w:p w14:paraId="7B474E4E" w14:textId="77777777" w:rsidR="009C4CDA" w:rsidRPr="000D0D06" w:rsidRDefault="009C4CDA" w:rsidP="009C4CDA">
            <w:pPr>
              <w:spacing w:line="259" w:lineRule="auto"/>
              <w:jc w:val="left"/>
              <w:rPr>
                <w:noProof/>
              </w:rPr>
            </w:pPr>
            <w:r w:rsidRPr="000D0D06">
              <w:rPr>
                <w:noProof/>
              </w:rPr>
              <w:t>Ato de execução: Conceção do logótipo comum para os prestadores de serviços de intermediação de dados</w:t>
            </w:r>
          </w:p>
        </w:tc>
        <w:tc>
          <w:tcPr>
            <w:tcW w:w="3544" w:type="dxa"/>
          </w:tcPr>
          <w:p w14:paraId="7993F65A" w14:textId="77777777" w:rsidR="009C4CDA" w:rsidRPr="000D0D06" w:rsidRDefault="009C4CDA" w:rsidP="009C4CDA">
            <w:pPr>
              <w:jc w:val="left"/>
              <w:rPr>
                <w:noProof/>
              </w:rPr>
            </w:pPr>
            <w:r w:rsidRPr="000D0D06">
              <w:rPr>
                <w:noProof/>
              </w:rPr>
              <w:t>Artigo 1.º</w:t>
            </w:r>
          </w:p>
        </w:tc>
        <w:tc>
          <w:tcPr>
            <w:tcW w:w="2730" w:type="dxa"/>
          </w:tcPr>
          <w:p w14:paraId="3C5EC9D1" w14:textId="77777777" w:rsidR="009C4CDA" w:rsidRPr="000D0D06" w:rsidRDefault="009C4CDA" w:rsidP="009C4CDA">
            <w:pPr>
              <w:jc w:val="left"/>
              <w:rPr>
                <w:noProof/>
              </w:rPr>
            </w:pPr>
            <w:r w:rsidRPr="000D0D06">
              <w:rPr>
                <w:noProof/>
              </w:rPr>
              <w:t>Estabelecer as características do logótipo comum, incluindo a sua conceção e as suas modalidades de utilização.</w:t>
            </w:r>
          </w:p>
        </w:tc>
        <w:tc>
          <w:tcPr>
            <w:tcW w:w="1845" w:type="dxa"/>
          </w:tcPr>
          <w:p w14:paraId="1B7118CA" w14:textId="77777777" w:rsidR="009C4CDA" w:rsidRPr="000D0D06" w:rsidRDefault="009C4CDA" w:rsidP="009C4CDA">
            <w:pPr>
              <w:spacing w:line="259" w:lineRule="auto"/>
              <w:jc w:val="left"/>
              <w:rPr>
                <w:noProof/>
              </w:rPr>
            </w:pPr>
            <w:r w:rsidRPr="000D0D06">
              <w:rPr>
                <w:noProof/>
              </w:rPr>
              <w:t>Comité para o procedimento de exame</w:t>
            </w:r>
          </w:p>
          <w:p w14:paraId="5CD0CA42" w14:textId="77777777" w:rsidR="009C4CDA" w:rsidRPr="000D0D06" w:rsidRDefault="009C4CDA" w:rsidP="009C4CDA">
            <w:pPr>
              <w:jc w:val="left"/>
              <w:rPr>
                <w:noProof/>
              </w:rPr>
            </w:pPr>
          </w:p>
        </w:tc>
        <w:tc>
          <w:tcPr>
            <w:tcW w:w="1520" w:type="dxa"/>
          </w:tcPr>
          <w:p w14:paraId="50EC2DC0" w14:textId="77777777" w:rsidR="009C4CDA" w:rsidRPr="000D0D06" w:rsidRDefault="009C4CDA" w:rsidP="009C4CDA">
            <w:pPr>
              <w:jc w:val="left"/>
              <w:rPr>
                <w:noProof/>
              </w:rPr>
            </w:pPr>
            <w:r w:rsidRPr="000D0D06">
              <w:rPr>
                <w:noProof/>
              </w:rPr>
              <w:t>//</w:t>
            </w:r>
          </w:p>
        </w:tc>
      </w:tr>
      <w:tr w:rsidR="009C4CDA" w:rsidRPr="000D0D06" w14:paraId="2404CFEB" w14:textId="77777777">
        <w:trPr>
          <w:trHeight w:val="300"/>
        </w:trPr>
        <w:tc>
          <w:tcPr>
            <w:tcW w:w="4248" w:type="dxa"/>
          </w:tcPr>
          <w:p w14:paraId="23CEC4A3" w14:textId="77777777" w:rsidR="009C4CDA" w:rsidRPr="000D0D06" w:rsidRDefault="009C4CDA" w:rsidP="009C4CDA">
            <w:pPr>
              <w:spacing w:line="259" w:lineRule="auto"/>
              <w:jc w:val="left"/>
              <w:rPr>
                <w:noProof/>
              </w:rPr>
            </w:pPr>
            <w:r w:rsidRPr="000D0D06">
              <w:rPr>
                <w:noProof/>
              </w:rPr>
              <w:t>Ato de execução: conceção do logótipo comum para as organizações de altruísmo de dados reconhecidas</w:t>
            </w:r>
          </w:p>
        </w:tc>
        <w:tc>
          <w:tcPr>
            <w:tcW w:w="3544" w:type="dxa"/>
          </w:tcPr>
          <w:p w14:paraId="4E5A6865" w14:textId="77777777" w:rsidR="009C4CDA" w:rsidRPr="000D0D06" w:rsidRDefault="009C4CDA" w:rsidP="009C4CDA">
            <w:pPr>
              <w:jc w:val="left"/>
              <w:rPr>
                <w:noProof/>
              </w:rPr>
            </w:pPr>
            <w:r w:rsidRPr="000D0D06">
              <w:rPr>
                <w:noProof/>
              </w:rPr>
              <w:t>Artigo 1.º</w:t>
            </w:r>
          </w:p>
          <w:p w14:paraId="7D63D9F5" w14:textId="77777777" w:rsidR="009C4CDA" w:rsidRPr="000D0D06" w:rsidRDefault="009C4CDA" w:rsidP="009C4CDA">
            <w:pPr>
              <w:jc w:val="left"/>
              <w:rPr>
                <w:noProof/>
              </w:rPr>
            </w:pPr>
          </w:p>
        </w:tc>
        <w:tc>
          <w:tcPr>
            <w:tcW w:w="2730" w:type="dxa"/>
          </w:tcPr>
          <w:p w14:paraId="7AAD8216" w14:textId="77777777" w:rsidR="009C4CDA" w:rsidRPr="000D0D06" w:rsidRDefault="009C4CDA" w:rsidP="009C4CDA">
            <w:pPr>
              <w:jc w:val="left"/>
              <w:rPr>
                <w:noProof/>
              </w:rPr>
            </w:pPr>
            <w:r w:rsidRPr="000D0D06">
              <w:rPr>
                <w:noProof/>
              </w:rPr>
              <w:t>Estabelecer as características do logótipo comum, incluindo a sua conceção e as suas modalidades de utilização.</w:t>
            </w:r>
          </w:p>
        </w:tc>
        <w:tc>
          <w:tcPr>
            <w:tcW w:w="1845" w:type="dxa"/>
          </w:tcPr>
          <w:p w14:paraId="6D649062" w14:textId="77777777" w:rsidR="009C4CDA" w:rsidRPr="000D0D06" w:rsidRDefault="009C4CDA" w:rsidP="009C4CDA">
            <w:pPr>
              <w:spacing w:line="259" w:lineRule="auto"/>
              <w:jc w:val="left"/>
              <w:rPr>
                <w:noProof/>
              </w:rPr>
            </w:pPr>
            <w:r w:rsidRPr="000D0D06">
              <w:rPr>
                <w:noProof/>
              </w:rPr>
              <w:t>Comité para o procedimento de exame</w:t>
            </w:r>
          </w:p>
          <w:p w14:paraId="4603EC53" w14:textId="77777777" w:rsidR="009C4CDA" w:rsidRPr="000D0D06" w:rsidRDefault="009C4CDA" w:rsidP="009C4CDA">
            <w:pPr>
              <w:jc w:val="left"/>
              <w:rPr>
                <w:noProof/>
              </w:rPr>
            </w:pPr>
          </w:p>
        </w:tc>
        <w:tc>
          <w:tcPr>
            <w:tcW w:w="1520" w:type="dxa"/>
          </w:tcPr>
          <w:p w14:paraId="1F8DF536" w14:textId="77777777" w:rsidR="009C4CDA" w:rsidRPr="000D0D06" w:rsidRDefault="009C4CDA" w:rsidP="009C4CDA">
            <w:pPr>
              <w:jc w:val="left"/>
              <w:rPr>
                <w:noProof/>
              </w:rPr>
            </w:pPr>
            <w:r w:rsidRPr="000D0D06">
              <w:rPr>
                <w:noProof/>
              </w:rPr>
              <w:t>//</w:t>
            </w:r>
          </w:p>
        </w:tc>
      </w:tr>
      <w:tr w:rsidR="009C4CDA" w:rsidRPr="000D0D06" w14:paraId="581D2735" w14:textId="77777777">
        <w:trPr>
          <w:trHeight w:val="1935"/>
        </w:trPr>
        <w:tc>
          <w:tcPr>
            <w:tcW w:w="4248" w:type="dxa"/>
          </w:tcPr>
          <w:p w14:paraId="67A91FCB" w14:textId="77777777" w:rsidR="009C4CDA" w:rsidRPr="000D0D06" w:rsidRDefault="009C4CDA" w:rsidP="009C4CDA">
            <w:pPr>
              <w:spacing w:before="0" w:after="0"/>
              <w:jc w:val="left"/>
              <w:rPr>
                <w:noProof/>
              </w:rPr>
            </w:pPr>
            <w:r w:rsidRPr="000D0D06">
              <w:rPr>
                <w:noProof/>
              </w:rPr>
              <w:t>Controlo e conformidade: as autoridades competentes podem controlar o cumprimento quer por iniciativa própria quer com base num pedido de pessoas singulares ou coletivas</w:t>
            </w:r>
          </w:p>
        </w:tc>
        <w:tc>
          <w:tcPr>
            <w:tcW w:w="3544" w:type="dxa"/>
          </w:tcPr>
          <w:p w14:paraId="5E359C24" w14:textId="77777777" w:rsidR="009C4CDA" w:rsidRPr="000D0D06" w:rsidRDefault="009C4CDA" w:rsidP="009C4CDA">
            <w:pPr>
              <w:jc w:val="left"/>
              <w:rPr>
                <w:noProof/>
              </w:rPr>
            </w:pPr>
            <w:r w:rsidRPr="000D0D06">
              <w:rPr>
                <w:noProof/>
              </w:rPr>
              <w:t>Artigo 1.º</w:t>
            </w:r>
          </w:p>
          <w:p w14:paraId="49B3F269" w14:textId="77777777" w:rsidR="009C4CDA" w:rsidRPr="000D0D06" w:rsidRDefault="009C4CDA" w:rsidP="009C4CDA">
            <w:pPr>
              <w:jc w:val="left"/>
              <w:rPr>
                <w:noProof/>
              </w:rPr>
            </w:pPr>
          </w:p>
          <w:p w14:paraId="17677E1D" w14:textId="77777777" w:rsidR="009C4CDA" w:rsidRPr="000D0D06" w:rsidRDefault="009C4CDA" w:rsidP="009C4CDA">
            <w:pPr>
              <w:jc w:val="left"/>
              <w:rPr>
                <w:noProof/>
              </w:rPr>
            </w:pPr>
          </w:p>
        </w:tc>
        <w:tc>
          <w:tcPr>
            <w:tcW w:w="2730" w:type="dxa"/>
          </w:tcPr>
          <w:p w14:paraId="785DDB73" w14:textId="77777777" w:rsidR="009C4CDA" w:rsidRPr="000D0D06" w:rsidRDefault="009C4CDA" w:rsidP="009C4CDA">
            <w:pPr>
              <w:jc w:val="left"/>
              <w:rPr>
                <w:noProof/>
              </w:rPr>
            </w:pPr>
            <w:r w:rsidRPr="000D0D06">
              <w:rPr>
                <w:noProof/>
              </w:rPr>
              <w:t>//</w:t>
            </w:r>
          </w:p>
        </w:tc>
        <w:tc>
          <w:tcPr>
            <w:tcW w:w="1845" w:type="dxa"/>
          </w:tcPr>
          <w:p w14:paraId="43B8BE77" w14:textId="77777777" w:rsidR="009C4CDA" w:rsidRPr="000D0D06" w:rsidRDefault="009C4CDA" w:rsidP="009C4CDA">
            <w:pPr>
              <w:jc w:val="left"/>
              <w:rPr>
                <w:noProof/>
              </w:rPr>
            </w:pPr>
            <w:r w:rsidRPr="000D0D06">
              <w:rPr>
                <w:noProof/>
              </w:rPr>
              <w:t>Autoridades competentes, serviços de intermediação de dados, organizações de altruísmo de dados</w:t>
            </w:r>
          </w:p>
        </w:tc>
        <w:tc>
          <w:tcPr>
            <w:tcW w:w="1520" w:type="dxa"/>
          </w:tcPr>
          <w:p w14:paraId="216FC674" w14:textId="77777777" w:rsidR="009C4CDA" w:rsidRPr="000D0D06" w:rsidRDefault="009C4CDA" w:rsidP="009C4CDA">
            <w:pPr>
              <w:jc w:val="left"/>
              <w:rPr>
                <w:noProof/>
              </w:rPr>
            </w:pPr>
            <w:r w:rsidRPr="000D0D06">
              <w:rPr>
                <w:noProof/>
              </w:rPr>
              <w:t>//</w:t>
            </w:r>
          </w:p>
        </w:tc>
      </w:tr>
      <w:tr w:rsidR="009C4CDA" w:rsidRPr="000D0D06" w14:paraId="022F4C0C" w14:textId="77777777">
        <w:trPr>
          <w:trHeight w:val="300"/>
        </w:trPr>
        <w:tc>
          <w:tcPr>
            <w:tcW w:w="4248" w:type="dxa"/>
          </w:tcPr>
          <w:p w14:paraId="7175F8A3" w14:textId="77777777" w:rsidR="009C4CDA" w:rsidRPr="000D0D06" w:rsidRDefault="009C4CDA" w:rsidP="009C4CDA">
            <w:pPr>
              <w:spacing w:line="259" w:lineRule="auto"/>
              <w:jc w:val="left"/>
              <w:rPr>
                <w:noProof/>
              </w:rPr>
            </w:pPr>
            <w:r w:rsidRPr="000D0D06">
              <w:rPr>
                <w:noProof/>
              </w:rPr>
              <w:t>Ato de execução: conjuntos específicos de dados de elevado valor</w:t>
            </w:r>
          </w:p>
        </w:tc>
        <w:tc>
          <w:tcPr>
            <w:tcW w:w="3544" w:type="dxa"/>
          </w:tcPr>
          <w:p w14:paraId="55D083FE" w14:textId="77777777" w:rsidR="009C4CDA" w:rsidRPr="000D0D06" w:rsidRDefault="009C4CDA" w:rsidP="009C4CDA">
            <w:pPr>
              <w:jc w:val="left"/>
              <w:rPr>
                <w:noProof/>
              </w:rPr>
            </w:pPr>
            <w:r w:rsidRPr="000D0D06">
              <w:rPr>
                <w:noProof/>
              </w:rPr>
              <w:t>Artigo 1.º</w:t>
            </w:r>
          </w:p>
        </w:tc>
        <w:tc>
          <w:tcPr>
            <w:tcW w:w="2730" w:type="dxa"/>
          </w:tcPr>
          <w:p w14:paraId="3B648E00" w14:textId="77777777" w:rsidR="009C4CDA" w:rsidRPr="000D0D06" w:rsidRDefault="009C4CDA" w:rsidP="009C4CDA">
            <w:pPr>
              <w:jc w:val="left"/>
              <w:rPr>
                <w:noProof/>
              </w:rPr>
            </w:pPr>
            <w:r w:rsidRPr="000D0D06">
              <w:rPr>
                <w:noProof/>
              </w:rPr>
              <w:t>Criar uma lista de conjuntos específicos de dados de elevado valor. Podem ser especificadas as disposições relativas à publicação e reutilização dos conjuntos de dados de elevado valor.</w:t>
            </w:r>
          </w:p>
        </w:tc>
        <w:tc>
          <w:tcPr>
            <w:tcW w:w="1845" w:type="dxa"/>
          </w:tcPr>
          <w:p w14:paraId="1BA870F7" w14:textId="77777777" w:rsidR="009C4CDA" w:rsidRPr="000D0D06" w:rsidRDefault="009C4CDA" w:rsidP="009C4CDA">
            <w:pPr>
              <w:jc w:val="left"/>
              <w:rPr>
                <w:noProof/>
              </w:rPr>
            </w:pPr>
            <w:r w:rsidRPr="000D0D06">
              <w:rPr>
                <w:noProof/>
              </w:rPr>
              <w:t xml:space="preserve">Comité para o procedimento de exame </w:t>
            </w:r>
          </w:p>
        </w:tc>
        <w:tc>
          <w:tcPr>
            <w:tcW w:w="1520" w:type="dxa"/>
          </w:tcPr>
          <w:p w14:paraId="28027AD7" w14:textId="77777777" w:rsidR="009C4CDA" w:rsidRPr="000D0D06" w:rsidRDefault="009C4CDA" w:rsidP="009C4CDA">
            <w:pPr>
              <w:jc w:val="left"/>
              <w:rPr>
                <w:noProof/>
              </w:rPr>
            </w:pPr>
            <w:r w:rsidRPr="000D0D06">
              <w:rPr>
                <w:noProof/>
              </w:rPr>
              <w:t>//</w:t>
            </w:r>
          </w:p>
        </w:tc>
      </w:tr>
      <w:tr w:rsidR="009C4CDA" w:rsidRPr="000D0D06" w14:paraId="2B802DC6" w14:textId="77777777">
        <w:trPr>
          <w:trHeight w:val="1965"/>
        </w:trPr>
        <w:tc>
          <w:tcPr>
            <w:tcW w:w="4248" w:type="dxa"/>
          </w:tcPr>
          <w:p w14:paraId="6B8515D7" w14:textId="77777777" w:rsidR="009C4CDA" w:rsidRPr="000D0D06" w:rsidRDefault="009C4CDA" w:rsidP="009C4CDA">
            <w:pPr>
              <w:spacing w:before="0" w:after="0"/>
              <w:jc w:val="left"/>
              <w:rPr>
                <w:noProof/>
              </w:rPr>
            </w:pPr>
            <w:r w:rsidRPr="000D0D06">
              <w:rPr>
                <w:noProof/>
              </w:rPr>
              <w:t>Diretrizes:</w:t>
            </w:r>
          </w:p>
          <w:p w14:paraId="6BA3BCC3" w14:textId="77777777" w:rsidR="009C4CDA" w:rsidRPr="000D0D06" w:rsidRDefault="009C4CDA" w:rsidP="0014764C">
            <w:pPr>
              <w:pStyle w:val="ListParagraph"/>
              <w:numPr>
                <w:ilvl w:val="0"/>
                <w:numId w:val="24"/>
              </w:numPr>
              <w:spacing w:before="0" w:after="0"/>
              <w:rPr>
                <w:noProof/>
              </w:rPr>
            </w:pPr>
            <w:r w:rsidRPr="000D0D06">
              <w:rPr>
                <w:noProof/>
              </w:rPr>
              <w:t>o Comité Europeu da Inovação de Dados presta aconselhamento sobre as orientações para os espaços comuns de dados,</w:t>
            </w:r>
          </w:p>
          <w:p w14:paraId="038D65BA" w14:textId="77777777" w:rsidR="009C4CDA" w:rsidRPr="000D0D06" w:rsidRDefault="009C4CDA" w:rsidP="0014764C">
            <w:pPr>
              <w:pStyle w:val="ListParagraph"/>
              <w:numPr>
                <w:ilvl w:val="0"/>
                <w:numId w:val="24"/>
              </w:numPr>
              <w:spacing w:before="0" w:after="0"/>
              <w:rPr>
                <w:noProof/>
              </w:rPr>
            </w:pPr>
            <w:r w:rsidRPr="000D0D06">
              <w:rPr>
                <w:noProof/>
              </w:rPr>
              <w:t>o Comité Europeu da Inovação de Dados deve adotar orientações sobre quadros interoperáveis.</w:t>
            </w:r>
          </w:p>
        </w:tc>
        <w:tc>
          <w:tcPr>
            <w:tcW w:w="3544" w:type="dxa"/>
          </w:tcPr>
          <w:p w14:paraId="62843ECD" w14:textId="77777777" w:rsidR="009C4CDA" w:rsidRPr="000D0D06" w:rsidRDefault="009C4CDA" w:rsidP="009C4CDA">
            <w:pPr>
              <w:jc w:val="left"/>
              <w:rPr>
                <w:noProof/>
              </w:rPr>
            </w:pPr>
            <w:r w:rsidRPr="000D0D06">
              <w:rPr>
                <w:noProof/>
              </w:rPr>
              <w:t>Artigo 1.º</w:t>
            </w:r>
          </w:p>
          <w:p w14:paraId="066A1B16" w14:textId="77777777" w:rsidR="009C4CDA" w:rsidRPr="000D0D06" w:rsidRDefault="009C4CDA" w:rsidP="009C4CDA">
            <w:pPr>
              <w:jc w:val="left"/>
              <w:rPr>
                <w:noProof/>
              </w:rPr>
            </w:pPr>
          </w:p>
          <w:p w14:paraId="2F9DE1F3" w14:textId="77777777" w:rsidR="009C4CDA" w:rsidRPr="000D0D06" w:rsidRDefault="009C4CDA" w:rsidP="009C4CDA">
            <w:pPr>
              <w:jc w:val="left"/>
              <w:rPr>
                <w:noProof/>
              </w:rPr>
            </w:pPr>
          </w:p>
          <w:p w14:paraId="56F201A4" w14:textId="77777777" w:rsidR="009C4CDA" w:rsidRPr="000D0D06" w:rsidRDefault="009C4CDA" w:rsidP="009C4CDA">
            <w:pPr>
              <w:jc w:val="left"/>
              <w:rPr>
                <w:noProof/>
              </w:rPr>
            </w:pPr>
          </w:p>
        </w:tc>
        <w:tc>
          <w:tcPr>
            <w:tcW w:w="2730" w:type="dxa"/>
          </w:tcPr>
          <w:p w14:paraId="1D35CCAB" w14:textId="77777777" w:rsidR="009C4CDA" w:rsidRPr="000D0D06" w:rsidRDefault="009C4CDA" w:rsidP="009C4CDA">
            <w:pPr>
              <w:jc w:val="left"/>
              <w:rPr>
                <w:noProof/>
              </w:rPr>
            </w:pPr>
            <w:r w:rsidRPr="000D0D06">
              <w:rPr>
                <w:noProof/>
              </w:rPr>
              <w:t>Apoio do Comité Europeu da Inovação de Dados</w:t>
            </w:r>
          </w:p>
        </w:tc>
        <w:tc>
          <w:tcPr>
            <w:tcW w:w="1845" w:type="dxa"/>
          </w:tcPr>
          <w:p w14:paraId="33F978AA" w14:textId="77777777" w:rsidR="009C4CDA" w:rsidRPr="000D0D06" w:rsidRDefault="009C4CDA" w:rsidP="009C4CDA">
            <w:pPr>
              <w:jc w:val="left"/>
              <w:rPr>
                <w:noProof/>
              </w:rPr>
            </w:pPr>
            <w:r w:rsidRPr="000D0D06">
              <w:rPr>
                <w:noProof/>
              </w:rPr>
              <w:t>Comité Europeu da Inovação de Dados</w:t>
            </w:r>
          </w:p>
        </w:tc>
        <w:tc>
          <w:tcPr>
            <w:tcW w:w="1520" w:type="dxa"/>
          </w:tcPr>
          <w:p w14:paraId="0496E29C" w14:textId="77777777" w:rsidR="009C4CDA" w:rsidRPr="000D0D06" w:rsidRDefault="009C4CDA" w:rsidP="009C4CDA">
            <w:pPr>
              <w:jc w:val="left"/>
              <w:rPr>
                <w:noProof/>
              </w:rPr>
            </w:pPr>
            <w:r w:rsidRPr="000D0D06">
              <w:rPr>
                <w:noProof/>
              </w:rPr>
              <w:t>//</w:t>
            </w:r>
          </w:p>
        </w:tc>
      </w:tr>
      <w:tr w:rsidR="009C4CDA" w:rsidRPr="000D0D06" w14:paraId="6B2CA942" w14:textId="77777777">
        <w:trPr>
          <w:trHeight w:val="300"/>
        </w:trPr>
        <w:tc>
          <w:tcPr>
            <w:tcW w:w="4248" w:type="dxa"/>
          </w:tcPr>
          <w:p w14:paraId="6F68DA1F" w14:textId="77777777" w:rsidR="009C4CDA" w:rsidRPr="000D0D06" w:rsidRDefault="009C4CDA" w:rsidP="009C4CDA">
            <w:pPr>
              <w:spacing w:line="259" w:lineRule="auto"/>
              <w:jc w:val="left"/>
              <w:rPr>
                <w:noProof/>
              </w:rPr>
            </w:pPr>
            <w:r w:rsidRPr="000D0D06">
              <w:rPr>
                <w:noProof/>
              </w:rPr>
              <w:t>Ato de execução: modelo comum para a notificação de uma violação de dados pessoais</w:t>
            </w:r>
          </w:p>
        </w:tc>
        <w:tc>
          <w:tcPr>
            <w:tcW w:w="3544" w:type="dxa"/>
          </w:tcPr>
          <w:p w14:paraId="2484C542" w14:textId="77777777" w:rsidR="009C4CDA" w:rsidRPr="000D0D06" w:rsidRDefault="009C4CDA" w:rsidP="009C4CDA">
            <w:pPr>
              <w:jc w:val="left"/>
              <w:rPr>
                <w:noProof/>
              </w:rPr>
            </w:pPr>
            <w:r w:rsidRPr="000D0D06">
              <w:rPr>
                <w:noProof/>
              </w:rPr>
              <w:t>Artigo 3.º</w:t>
            </w:r>
          </w:p>
        </w:tc>
        <w:tc>
          <w:tcPr>
            <w:tcW w:w="2730" w:type="dxa"/>
          </w:tcPr>
          <w:p w14:paraId="14904155" w14:textId="77777777" w:rsidR="009C4CDA" w:rsidRPr="000D0D06" w:rsidRDefault="009C4CDA" w:rsidP="009C4CDA">
            <w:pPr>
              <w:jc w:val="left"/>
              <w:rPr>
                <w:noProof/>
              </w:rPr>
            </w:pPr>
            <w:r w:rsidRPr="000D0D06">
              <w:rPr>
                <w:noProof/>
              </w:rPr>
              <w:t>Adotar um modelo comum com base na proposta do CEPD.</w:t>
            </w:r>
          </w:p>
        </w:tc>
        <w:tc>
          <w:tcPr>
            <w:tcW w:w="1845" w:type="dxa"/>
          </w:tcPr>
          <w:p w14:paraId="7D2710DF" w14:textId="77777777" w:rsidR="009C4CDA" w:rsidRPr="000D0D06" w:rsidRDefault="009C4CDA" w:rsidP="009C4CDA">
            <w:pPr>
              <w:jc w:val="left"/>
              <w:rPr>
                <w:noProof/>
              </w:rPr>
            </w:pPr>
            <w:r w:rsidRPr="000D0D06">
              <w:rPr>
                <w:noProof/>
              </w:rPr>
              <w:t>Comité para o procedimento de exame</w:t>
            </w:r>
          </w:p>
        </w:tc>
        <w:tc>
          <w:tcPr>
            <w:tcW w:w="1520" w:type="dxa"/>
          </w:tcPr>
          <w:p w14:paraId="5EBF47A7" w14:textId="77777777" w:rsidR="009C4CDA" w:rsidRPr="000D0D06" w:rsidRDefault="009C4CDA" w:rsidP="009C4CDA">
            <w:pPr>
              <w:jc w:val="left"/>
              <w:rPr>
                <w:noProof/>
              </w:rPr>
            </w:pPr>
            <w:r w:rsidRPr="000D0D06">
              <w:rPr>
                <w:noProof/>
              </w:rPr>
              <w:t>//</w:t>
            </w:r>
          </w:p>
        </w:tc>
      </w:tr>
      <w:tr w:rsidR="009C4CDA" w:rsidRPr="000D0D06" w14:paraId="34A4E34F" w14:textId="77777777">
        <w:trPr>
          <w:trHeight w:val="300"/>
        </w:trPr>
        <w:tc>
          <w:tcPr>
            <w:tcW w:w="4248" w:type="dxa"/>
          </w:tcPr>
          <w:p w14:paraId="2B662FC8" w14:textId="77777777" w:rsidR="009C4CDA" w:rsidRPr="000D0D06" w:rsidRDefault="009C4CDA" w:rsidP="009C4CDA">
            <w:pPr>
              <w:spacing w:line="259" w:lineRule="auto"/>
              <w:jc w:val="left"/>
              <w:rPr>
                <w:noProof/>
              </w:rPr>
            </w:pPr>
            <w:r w:rsidRPr="000D0D06">
              <w:rPr>
                <w:noProof/>
              </w:rPr>
              <w:t xml:space="preserve">Ato delegado: Indicações automatizadas e legíveis por máquina das escolhas do titular dos dados </w:t>
            </w:r>
          </w:p>
        </w:tc>
        <w:tc>
          <w:tcPr>
            <w:tcW w:w="3544" w:type="dxa"/>
          </w:tcPr>
          <w:p w14:paraId="0A43C73A" w14:textId="77777777" w:rsidR="009C4CDA" w:rsidRPr="000D0D06" w:rsidRDefault="009C4CDA" w:rsidP="009C4CDA">
            <w:pPr>
              <w:jc w:val="left"/>
              <w:rPr>
                <w:noProof/>
              </w:rPr>
            </w:pPr>
            <w:r w:rsidRPr="000D0D06">
              <w:rPr>
                <w:noProof/>
              </w:rPr>
              <w:t>Artigo 3.º</w:t>
            </w:r>
          </w:p>
        </w:tc>
        <w:tc>
          <w:tcPr>
            <w:tcW w:w="2730" w:type="dxa"/>
          </w:tcPr>
          <w:p w14:paraId="653EBF0E" w14:textId="77777777" w:rsidR="009C4CDA" w:rsidRPr="000D0D06" w:rsidRDefault="009C4CDA" w:rsidP="009C4CDA">
            <w:pPr>
              <w:jc w:val="left"/>
              <w:rPr>
                <w:noProof/>
              </w:rPr>
            </w:pPr>
            <w:r w:rsidRPr="000D0D06">
              <w:rPr>
                <w:noProof/>
              </w:rPr>
              <w:t>Estabelecer obrigações aplicáveis aos fornecedores de navegadores Web e aos fornecedores de equipamentos terminais</w:t>
            </w:r>
          </w:p>
        </w:tc>
        <w:tc>
          <w:tcPr>
            <w:tcW w:w="1845" w:type="dxa"/>
          </w:tcPr>
          <w:p w14:paraId="333464C3" w14:textId="77777777" w:rsidR="009C4CDA" w:rsidRPr="000D0D06" w:rsidRDefault="009C4CDA" w:rsidP="009C4CDA">
            <w:pPr>
              <w:jc w:val="left"/>
              <w:rPr>
                <w:noProof/>
              </w:rPr>
            </w:pPr>
            <w:r w:rsidRPr="000D0D06">
              <w:rPr>
                <w:noProof/>
              </w:rPr>
              <w:t>Comité para o procedimento de exame</w:t>
            </w:r>
          </w:p>
        </w:tc>
        <w:tc>
          <w:tcPr>
            <w:tcW w:w="1520" w:type="dxa"/>
          </w:tcPr>
          <w:p w14:paraId="7C0A5D29" w14:textId="77777777" w:rsidR="009C4CDA" w:rsidRPr="000D0D06" w:rsidRDefault="009C4CDA" w:rsidP="009C4CDA">
            <w:pPr>
              <w:jc w:val="left"/>
              <w:rPr>
                <w:noProof/>
              </w:rPr>
            </w:pPr>
            <w:r w:rsidRPr="000D0D06">
              <w:rPr>
                <w:noProof/>
              </w:rPr>
              <w:t>//</w:t>
            </w:r>
          </w:p>
        </w:tc>
      </w:tr>
      <w:tr w:rsidR="009C4CDA" w:rsidRPr="000D0D06" w14:paraId="7D19C559" w14:textId="77777777">
        <w:trPr>
          <w:trHeight w:val="2100"/>
        </w:trPr>
        <w:tc>
          <w:tcPr>
            <w:tcW w:w="4248" w:type="dxa"/>
          </w:tcPr>
          <w:p w14:paraId="34B11974" w14:textId="77777777" w:rsidR="009C4CDA" w:rsidRPr="000D0D06" w:rsidRDefault="009C4CDA" w:rsidP="009C4CDA">
            <w:pPr>
              <w:spacing w:line="259" w:lineRule="auto"/>
              <w:jc w:val="left"/>
              <w:rPr>
                <w:noProof/>
              </w:rPr>
            </w:pPr>
            <w:r w:rsidRPr="000D0D06">
              <w:rPr>
                <w:noProof/>
              </w:rPr>
              <w:t>Ato de execução: notificações de incidentes nos termos da Diretiva REC</w:t>
            </w:r>
          </w:p>
        </w:tc>
        <w:tc>
          <w:tcPr>
            <w:tcW w:w="3544" w:type="dxa"/>
          </w:tcPr>
          <w:p w14:paraId="092A431F" w14:textId="77777777" w:rsidR="009C4CDA" w:rsidRPr="000D0D06" w:rsidRDefault="009C4CDA" w:rsidP="009C4CDA">
            <w:pPr>
              <w:jc w:val="left"/>
              <w:rPr>
                <w:noProof/>
              </w:rPr>
            </w:pPr>
            <w:r w:rsidRPr="000D0D06">
              <w:rPr>
                <w:noProof/>
              </w:rPr>
              <w:t>Artigo 9.º</w:t>
            </w:r>
          </w:p>
        </w:tc>
        <w:tc>
          <w:tcPr>
            <w:tcW w:w="2730" w:type="dxa"/>
          </w:tcPr>
          <w:p w14:paraId="355DB6C8" w14:textId="77777777" w:rsidR="009C4CDA" w:rsidRPr="000D0D06" w:rsidRDefault="009C4CDA" w:rsidP="009C4CDA">
            <w:pPr>
              <w:jc w:val="left"/>
              <w:rPr>
                <w:noProof/>
              </w:rPr>
            </w:pPr>
            <w:r w:rsidRPr="000D0D06">
              <w:rPr>
                <w:noProof/>
              </w:rPr>
              <w:t>Especificar mais pormenorizadamente o tipo e o formato das informações notificadas nos termos do artigo 15.º, n.º 1, da Diretiva (UE) 2022/2557 (Diretiva REC).</w:t>
            </w:r>
          </w:p>
        </w:tc>
        <w:tc>
          <w:tcPr>
            <w:tcW w:w="1845" w:type="dxa"/>
          </w:tcPr>
          <w:p w14:paraId="6739EB2C" w14:textId="77777777" w:rsidR="009C4CDA" w:rsidRPr="000D0D06" w:rsidRDefault="009C4CDA" w:rsidP="009C4CDA">
            <w:pPr>
              <w:jc w:val="left"/>
              <w:rPr>
                <w:noProof/>
              </w:rPr>
            </w:pPr>
            <w:r w:rsidRPr="000D0D06">
              <w:rPr>
                <w:noProof/>
              </w:rPr>
              <w:t>//</w:t>
            </w:r>
          </w:p>
        </w:tc>
        <w:tc>
          <w:tcPr>
            <w:tcW w:w="1520" w:type="dxa"/>
          </w:tcPr>
          <w:p w14:paraId="33FFF2FE" w14:textId="77777777" w:rsidR="009C4CDA" w:rsidRPr="000D0D06" w:rsidRDefault="009C4CDA" w:rsidP="009C4CDA">
            <w:pPr>
              <w:jc w:val="left"/>
              <w:rPr>
                <w:noProof/>
              </w:rPr>
            </w:pPr>
            <w:r w:rsidRPr="000D0D06">
              <w:rPr>
                <w:noProof/>
              </w:rPr>
              <w:t>//</w:t>
            </w:r>
          </w:p>
        </w:tc>
      </w:tr>
    </w:tbl>
    <w:p w14:paraId="60B4E7AF" w14:textId="77777777" w:rsidR="00C85654" w:rsidRPr="000D0D06" w:rsidRDefault="00C85654" w:rsidP="00C85654">
      <w:pPr>
        <w:rPr>
          <w:noProof/>
        </w:rPr>
      </w:pPr>
    </w:p>
    <w:sectPr w:rsidR="00C85654" w:rsidRPr="000D0D06" w:rsidSect="00053915">
      <w:headerReference w:type="default" r:id="rId25"/>
      <w:footerReference w:type="default" r:id="rId26"/>
      <w:pgSz w:w="16840" w:h="11907" w:orient="landscape" w:code="9"/>
      <w:pgMar w:top="1418" w:right="1134" w:bottom="1418" w:left="1134"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ED857" w14:textId="77777777" w:rsidR="00950F00" w:rsidRDefault="00950F00" w:rsidP="00FF2EDA">
      <w:pPr>
        <w:spacing w:before="0" w:after="0"/>
      </w:pPr>
      <w:r>
        <w:separator/>
      </w:r>
    </w:p>
    <w:p w14:paraId="072E4A4A" w14:textId="77777777" w:rsidR="00950F00" w:rsidRDefault="00950F00"/>
  </w:endnote>
  <w:endnote w:type="continuationSeparator" w:id="0">
    <w:p w14:paraId="01CECA6D" w14:textId="77777777" w:rsidR="00950F00" w:rsidRDefault="00950F00" w:rsidP="00FF2EDA">
      <w:pPr>
        <w:spacing w:before="0" w:after="0"/>
      </w:pPr>
      <w:r>
        <w:continuationSeparator/>
      </w:r>
    </w:p>
    <w:p w14:paraId="75385664" w14:textId="77777777" w:rsidR="00950F00" w:rsidRDefault="00950F00"/>
  </w:endnote>
  <w:endnote w:type="continuationNotice" w:id="1">
    <w:p w14:paraId="6470930B" w14:textId="77777777" w:rsidR="00950F00" w:rsidRDefault="00950F00">
      <w:pPr>
        <w:spacing w:before="0" w:after="0"/>
      </w:pPr>
    </w:p>
    <w:p w14:paraId="4DC60B2D" w14:textId="77777777" w:rsidR="00950F00" w:rsidRDefault="00950F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EUAlbertina">
    <w:altName w:val="Calibri"/>
    <w:charset w:val="00"/>
    <w:family w:val="auto"/>
    <w:pitch w:val="variable"/>
    <w:sig w:usb0="800002EF" w:usb1="1000E0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E258B" w14:textId="42C65F12" w:rsidR="00053915" w:rsidRPr="00053915" w:rsidRDefault="00053915" w:rsidP="00053915">
    <w:pPr>
      <w:pStyle w:val="Footer"/>
      <w:rPr>
        <w:rFonts w:ascii="Arial" w:hAnsi="Arial" w:cs="Arial"/>
        <w:b/>
        <w:sz w:val="48"/>
      </w:rPr>
    </w:pPr>
    <w:r w:rsidRPr="00053915">
      <w:rPr>
        <w:rFonts w:ascii="Arial" w:hAnsi="Arial" w:cs="Arial"/>
        <w:b/>
        <w:sz w:val="48"/>
      </w:rPr>
      <w:t>PT</w:t>
    </w:r>
    <w:r w:rsidRPr="00053915">
      <w:rPr>
        <w:rFonts w:ascii="Arial" w:hAnsi="Arial" w:cs="Arial"/>
        <w:b/>
        <w:sz w:val="48"/>
      </w:rPr>
      <w:tab/>
    </w:r>
    <w:r w:rsidRPr="00053915">
      <w:rPr>
        <w:rFonts w:ascii="Arial" w:hAnsi="Arial" w:cs="Arial"/>
        <w:b/>
        <w:sz w:val="48"/>
      </w:rPr>
      <w:tab/>
    </w:r>
    <w:r w:rsidRPr="00053915">
      <w:tab/>
    </w:r>
    <w:r w:rsidRPr="00053915">
      <w:rPr>
        <w:rFonts w:ascii="Arial" w:hAnsi="Arial" w:cs="Arial"/>
        <w:b/>
        <w:sz w:val="48"/>
      </w:rPr>
      <w:t>PT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A4CEC" w14:textId="0AFB44E2" w:rsidR="00053915" w:rsidRPr="00053915" w:rsidRDefault="00053915" w:rsidP="00053915">
    <w:pPr>
      <w:pStyle w:val="Footer"/>
      <w:rPr>
        <w:rFonts w:ascii="Arial" w:hAnsi="Arial" w:cs="Arial"/>
        <w:b/>
        <w:sz w:val="48"/>
      </w:rPr>
    </w:pPr>
    <w:r w:rsidRPr="00053915">
      <w:rPr>
        <w:rFonts w:ascii="Arial" w:hAnsi="Arial" w:cs="Arial"/>
        <w:b/>
        <w:sz w:val="48"/>
      </w:rPr>
      <w:t>PT</w:t>
    </w:r>
    <w:r w:rsidRPr="00053915">
      <w:rPr>
        <w:rFonts w:ascii="Arial" w:hAnsi="Arial" w:cs="Arial"/>
        <w:b/>
        <w:sz w:val="48"/>
      </w:rPr>
      <w:tab/>
    </w:r>
    <w:r w:rsidRPr="00053915">
      <w:rPr>
        <w:rFonts w:ascii="Arial" w:hAnsi="Arial" w:cs="Arial"/>
        <w:b/>
        <w:sz w:val="48"/>
      </w:rPr>
      <w:tab/>
    </w:r>
    <w:r w:rsidRPr="00053915">
      <w:tab/>
    </w:r>
    <w:r w:rsidRPr="00053915">
      <w:rPr>
        <w:rFonts w:ascii="Arial" w:hAnsi="Arial" w:cs="Arial"/>
        <w:b/>
        <w:sz w:val="48"/>
      </w:rPr>
      <w:t>PT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43BB6" w14:textId="77777777" w:rsidR="00053915" w:rsidRDefault="000539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76940" w14:textId="7DAA7B62" w:rsidR="00053915" w:rsidRPr="00053915" w:rsidRDefault="00053915" w:rsidP="00053915">
    <w:pPr>
      <w:pStyle w:val="Footer"/>
      <w:rPr>
        <w:rFonts w:ascii="Arial" w:hAnsi="Arial" w:cs="Arial"/>
        <w:b/>
        <w:sz w:val="48"/>
      </w:rPr>
    </w:pPr>
    <w:r w:rsidRPr="00053915">
      <w:rPr>
        <w:rFonts w:ascii="Arial" w:hAnsi="Arial" w:cs="Arial"/>
        <w:b/>
        <w:sz w:val="48"/>
      </w:rPr>
      <w:t>PT</w:t>
    </w:r>
    <w:r w:rsidRPr="00053915">
      <w:rPr>
        <w:rFonts w:ascii="Arial" w:hAnsi="Arial" w:cs="Arial"/>
        <w:b/>
        <w:sz w:val="48"/>
      </w:rPr>
      <w:tab/>
    </w:r>
    <w:r>
      <w:fldChar w:fldCharType="begin"/>
    </w:r>
    <w:r>
      <w:instrText xml:space="preserve"> PAGE  \* MERGEFORMAT </w:instrText>
    </w:r>
    <w:r>
      <w:fldChar w:fldCharType="separate"/>
    </w:r>
    <w:r w:rsidR="002C639F">
      <w:rPr>
        <w:noProof/>
      </w:rPr>
      <w:t>76</w:t>
    </w:r>
    <w:r>
      <w:fldChar w:fldCharType="end"/>
    </w:r>
    <w:r>
      <w:tab/>
    </w:r>
    <w:r w:rsidRPr="00053915">
      <w:tab/>
    </w:r>
    <w:r w:rsidRPr="00053915">
      <w:rPr>
        <w:rFonts w:ascii="Arial" w:hAnsi="Arial" w:cs="Arial"/>
        <w:b/>
        <w:sz w:val="48"/>
      </w:rPr>
      <w:t>PT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9C5FE" w14:textId="77777777" w:rsidR="00053915" w:rsidRDefault="00053915" w:rsidP="00053915">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45192" w14:textId="571AFC14" w:rsidR="00053915" w:rsidRPr="00053915" w:rsidRDefault="00053915" w:rsidP="00053915">
    <w:pPr>
      <w:pStyle w:val="FooterLandscape"/>
      <w:rPr>
        <w:rFonts w:ascii="Arial" w:hAnsi="Arial" w:cs="Arial"/>
        <w:b/>
        <w:sz w:val="48"/>
      </w:rPr>
    </w:pPr>
    <w:r w:rsidRPr="00053915">
      <w:rPr>
        <w:rFonts w:ascii="Arial" w:hAnsi="Arial" w:cs="Arial"/>
        <w:b/>
        <w:sz w:val="48"/>
      </w:rPr>
      <w:t>PT</w:t>
    </w:r>
    <w:r w:rsidRPr="00053915">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053915">
      <w:tab/>
    </w:r>
    <w:r w:rsidRPr="00053915">
      <w:rPr>
        <w:rFonts w:ascii="Arial" w:hAnsi="Arial" w:cs="Arial"/>
        <w:b/>
        <w:sz w:val="48"/>
      </w:rPr>
      <w:t>PT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8862F" w14:textId="0973AD88" w:rsidR="00053915" w:rsidRPr="00053915" w:rsidRDefault="00053915" w:rsidP="00053915">
    <w:pPr>
      <w:pStyle w:val="Footer"/>
      <w:rPr>
        <w:rFonts w:ascii="Arial" w:hAnsi="Arial" w:cs="Arial"/>
        <w:b/>
        <w:sz w:val="48"/>
      </w:rPr>
    </w:pPr>
    <w:r w:rsidRPr="00053915">
      <w:rPr>
        <w:rFonts w:ascii="Arial" w:hAnsi="Arial" w:cs="Arial"/>
        <w:b/>
        <w:sz w:val="48"/>
      </w:rPr>
      <w:t>PT</w:t>
    </w:r>
    <w:r w:rsidRPr="00053915">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053915">
      <w:tab/>
    </w:r>
    <w:r w:rsidRPr="00053915">
      <w:rPr>
        <w:rFonts w:ascii="Arial" w:hAnsi="Arial" w:cs="Arial"/>
        <w:b/>
        <w:sz w:val="48"/>
      </w:rPr>
      <w:t>PT</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335B4" w14:textId="7734B675" w:rsidR="00053915" w:rsidRPr="00053915" w:rsidRDefault="00053915" w:rsidP="00053915">
    <w:pPr>
      <w:pStyle w:val="FooterLandscape"/>
      <w:rPr>
        <w:rFonts w:ascii="Arial" w:hAnsi="Arial" w:cs="Arial"/>
        <w:b/>
        <w:sz w:val="48"/>
      </w:rPr>
    </w:pPr>
    <w:r w:rsidRPr="00053915">
      <w:rPr>
        <w:rFonts w:ascii="Arial" w:hAnsi="Arial" w:cs="Arial"/>
        <w:b/>
        <w:sz w:val="48"/>
      </w:rPr>
      <w:t>PT</w:t>
    </w:r>
    <w:r w:rsidRPr="00053915">
      <w:rPr>
        <w:rFonts w:ascii="Arial" w:hAnsi="Arial" w:cs="Arial"/>
        <w:b/>
        <w:sz w:val="48"/>
      </w:rPr>
      <w:tab/>
    </w:r>
    <w:r>
      <w:fldChar w:fldCharType="begin"/>
    </w:r>
    <w:r>
      <w:instrText xml:space="preserve"> PAGE  \* MERGEFORMAT </w:instrText>
    </w:r>
    <w:r>
      <w:fldChar w:fldCharType="separate"/>
    </w:r>
    <w:r>
      <w:rPr>
        <w:noProof/>
      </w:rPr>
      <w:t>2</w:t>
    </w:r>
    <w:r>
      <w:fldChar w:fldCharType="end"/>
    </w:r>
    <w:r>
      <w:tab/>
    </w:r>
    <w:r w:rsidRPr="00053915">
      <w:tab/>
    </w:r>
    <w:r w:rsidRPr="00053915">
      <w:rPr>
        <w:rFonts w:ascii="Arial" w:hAnsi="Arial" w:cs="Arial"/>
        <w:b/>
        <w:sz w:val="48"/>
      </w:rPr>
      <w:t>PT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B737C" w14:textId="77777777" w:rsidR="00950F00" w:rsidRDefault="00950F00" w:rsidP="00FF2EDA">
      <w:pPr>
        <w:spacing w:before="0" w:after="0"/>
      </w:pPr>
      <w:r>
        <w:separator/>
      </w:r>
    </w:p>
    <w:p w14:paraId="7E6A4804" w14:textId="77777777" w:rsidR="00950F00" w:rsidRDefault="00950F00"/>
  </w:footnote>
  <w:footnote w:type="continuationSeparator" w:id="0">
    <w:p w14:paraId="62F16C97" w14:textId="77777777" w:rsidR="00950F00" w:rsidRDefault="00950F00" w:rsidP="00FF2EDA">
      <w:pPr>
        <w:spacing w:before="0" w:after="0"/>
      </w:pPr>
      <w:r>
        <w:continuationSeparator/>
      </w:r>
    </w:p>
    <w:p w14:paraId="62DFBBDD" w14:textId="77777777" w:rsidR="00950F00" w:rsidRDefault="00950F00"/>
  </w:footnote>
  <w:footnote w:type="continuationNotice" w:id="1">
    <w:p w14:paraId="2324F317" w14:textId="77777777" w:rsidR="00950F00" w:rsidRDefault="00950F00">
      <w:pPr>
        <w:spacing w:before="0" w:after="0"/>
      </w:pPr>
    </w:p>
    <w:p w14:paraId="5B8E7B11" w14:textId="77777777" w:rsidR="00950F00" w:rsidRDefault="00950F00"/>
  </w:footnote>
  <w:footnote w:id="2">
    <w:p w14:paraId="007EFC6C" w14:textId="77777777" w:rsidR="00C276DE" w:rsidRPr="006652C0" w:rsidRDefault="00C276DE" w:rsidP="00C276DE">
      <w:pPr>
        <w:pStyle w:val="FootnoteText"/>
        <w:ind w:left="284" w:hanging="284"/>
        <w:rPr>
          <w:rStyle w:val="FootnoteReference"/>
        </w:rPr>
      </w:pPr>
      <w:r>
        <w:rPr>
          <w:rStyle w:val="FootnoteReference"/>
        </w:rPr>
        <w:footnoteRef/>
      </w:r>
      <w:r>
        <w:tab/>
        <w:t>Comunicação da Comissão ao Parlamento Europeu, ao Conselho, ao Comité Económico e Social Europeu e ao Comité das Regiões, «Uma Europa mais simples e mais rápida: comunicação sobre simplificação e execução», COM(2025) 47 final, de 11 de fevereiro de 2025.</w:t>
      </w:r>
    </w:p>
  </w:footnote>
  <w:footnote w:id="3">
    <w:p w14:paraId="22A65995" w14:textId="77777777" w:rsidR="00C276DE" w:rsidRPr="006652C0" w:rsidRDefault="00C276DE" w:rsidP="00C276DE">
      <w:pPr>
        <w:pStyle w:val="FootnoteText"/>
        <w:ind w:left="284" w:hanging="284"/>
      </w:pPr>
      <w:r>
        <w:rPr>
          <w:rStyle w:val="FootnoteReference"/>
        </w:rPr>
        <w:footnoteRef/>
      </w:r>
      <w:r>
        <w:tab/>
        <w:t xml:space="preserve">Von der Leyen, U., </w:t>
      </w:r>
      <w:r>
        <w:rPr>
          <w:i/>
        </w:rPr>
        <w:t>As escolhas da Europa — Orientações políticas para a próxima Comissão Europeia 2024-2029</w:t>
      </w:r>
      <w:r>
        <w:t xml:space="preserve">, 2024. Disponível em: </w:t>
      </w:r>
      <w:hyperlink r:id="rId1" w:history="1">
        <w:r>
          <w:rPr>
            <w:rStyle w:val="Hyperlink"/>
            <w:color w:val="auto"/>
            <w:u w:val="none"/>
          </w:rPr>
          <w:t>e6cd4328-673c-4e7a-8683-f63ffb2cf648_pt</w:t>
        </w:r>
      </w:hyperlink>
      <w:r>
        <w:t>.</w:t>
      </w:r>
    </w:p>
  </w:footnote>
  <w:footnote w:id="4">
    <w:p w14:paraId="62C77242" w14:textId="77777777" w:rsidR="00C276DE" w:rsidRPr="006652C0" w:rsidRDefault="00C276DE" w:rsidP="00C276DE">
      <w:pPr>
        <w:pStyle w:val="FootnoteText"/>
        <w:ind w:left="284" w:hanging="284"/>
      </w:pPr>
      <w:r>
        <w:rPr>
          <w:rStyle w:val="FootnoteReference"/>
        </w:rPr>
        <w:footnoteRef/>
      </w:r>
      <w:r>
        <w:tab/>
        <w:t xml:space="preserve">Draghi, M., </w:t>
      </w:r>
      <w:r>
        <w:rPr>
          <w:i/>
        </w:rPr>
        <w:t>The future of European competitiveness</w:t>
      </w:r>
      <w:r>
        <w:t xml:space="preserve">, 2024. Disponível em: </w:t>
      </w:r>
      <w:hyperlink r:id="rId2" w:history="1">
        <w:r>
          <w:rPr>
            <w:rStyle w:val="Hyperlink"/>
            <w:color w:val="auto"/>
            <w:u w:val="none"/>
          </w:rPr>
          <w:t>«The Draghi report on EU competitiveness»</w:t>
        </w:r>
      </w:hyperlink>
      <w:r>
        <w:t>.</w:t>
      </w:r>
    </w:p>
  </w:footnote>
  <w:footnote w:id="5">
    <w:p w14:paraId="18773E1C" w14:textId="77777777" w:rsidR="00C276DE" w:rsidRPr="006652C0" w:rsidRDefault="00C276DE" w:rsidP="00C276DE">
      <w:pPr>
        <w:pStyle w:val="FootnoteText"/>
        <w:ind w:left="284" w:hanging="284"/>
      </w:pPr>
      <w:r>
        <w:rPr>
          <w:rStyle w:val="FootnoteReference"/>
        </w:rPr>
        <w:footnoteRef/>
      </w:r>
      <w:r w:rsidRPr="000D0D06">
        <w:rPr>
          <w:lang w:val="en-IE"/>
        </w:rPr>
        <w:tab/>
        <w:t xml:space="preserve">Letta, E., </w:t>
      </w:r>
      <w:r w:rsidRPr="000D0D06">
        <w:rPr>
          <w:i/>
          <w:lang w:val="en-IE"/>
        </w:rPr>
        <w:t>Much more than a market</w:t>
      </w:r>
      <w:r w:rsidRPr="000D0D06">
        <w:rPr>
          <w:lang w:val="en-IE"/>
        </w:rPr>
        <w:t xml:space="preserve">, 2024. </w:t>
      </w:r>
      <w:r>
        <w:t xml:space="preserve">Disponível em: </w:t>
      </w:r>
      <w:hyperlink r:id="rId3" w:history="1">
        <w:r>
          <w:rPr>
            <w:rStyle w:val="Hyperlink"/>
            <w:color w:val="auto"/>
            <w:u w:val="none"/>
          </w:rPr>
          <w:t>Enrico Letta, «Much more than a market» (abril de 2024)</w:t>
        </w:r>
      </w:hyperlink>
      <w:r>
        <w:t>.</w:t>
      </w:r>
    </w:p>
  </w:footnote>
  <w:footnote w:id="6">
    <w:p w14:paraId="31967829" w14:textId="77777777" w:rsidR="00C276DE" w:rsidRPr="006652C0" w:rsidRDefault="00C276DE" w:rsidP="00C276DE">
      <w:pPr>
        <w:pStyle w:val="FootnoteText"/>
        <w:ind w:left="284" w:hanging="284"/>
      </w:pPr>
      <w:r>
        <w:rPr>
          <w:rStyle w:val="FootnoteReference"/>
        </w:rPr>
        <w:footnoteRef/>
      </w:r>
      <w:r>
        <w:tab/>
        <w:t xml:space="preserve">Conselho Europeu, Conclusões, EUCO 1/25, Bruxelas, 20 de março de 2025, ponto 13 </w:t>
      </w:r>
    </w:p>
  </w:footnote>
  <w:footnote w:id="7">
    <w:p w14:paraId="748C9B60" w14:textId="77777777" w:rsidR="00C276DE" w:rsidRPr="006652C0" w:rsidRDefault="00C276DE" w:rsidP="00C276DE">
      <w:pPr>
        <w:pStyle w:val="FootnoteText"/>
        <w:ind w:left="284" w:hanging="284"/>
      </w:pPr>
      <w:r>
        <w:rPr>
          <w:rStyle w:val="FootnoteReference"/>
        </w:rPr>
        <w:footnoteRef/>
      </w:r>
      <w:r>
        <w:tab/>
        <w:t xml:space="preserve">Conselho Europeu, Conclusões, EUCO 12/25, Bruxelas, 26 de junho de 2025, ponto 30. </w:t>
      </w:r>
    </w:p>
  </w:footnote>
  <w:footnote w:id="8">
    <w:p w14:paraId="5131B3F3" w14:textId="77777777" w:rsidR="00C276DE" w:rsidRPr="006652C0" w:rsidRDefault="00C276DE" w:rsidP="00C276DE">
      <w:pPr>
        <w:pStyle w:val="FootnoteText"/>
        <w:ind w:left="284" w:hanging="284"/>
      </w:pPr>
      <w:r>
        <w:rPr>
          <w:rStyle w:val="FootnoteReference"/>
        </w:rPr>
        <w:footnoteRef/>
      </w:r>
      <w:r>
        <w:tab/>
        <w:t>Conselho Europeu, Conclusões, EUCO 18/25, Bruxelas, 23 de outubro de 2025, pontos 33 e 35.</w:t>
      </w:r>
    </w:p>
  </w:footnote>
  <w:footnote w:id="9">
    <w:p w14:paraId="7AD157B3" w14:textId="77777777" w:rsidR="00C276DE" w:rsidRPr="006652C0" w:rsidRDefault="00C276DE" w:rsidP="00C276DE">
      <w:pPr>
        <w:pStyle w:val="FootnoteText"/>
        <w:ind w:left="284" w:hanging="284"/>
      </w:pPr>
      <w:r>
        <w:rPr>
          <w:rStyle w:val="FootnoteReference"/>
        </w:rPr>
        <w:footnoteRef/>
      </w:r>
      <w:r>
        <w:tab/>
        <w:t xml:space="preserve">Parlamento Europeu, Resolução sobre a aplicação e racionalização das regras do mercado interno da UE para reforçar o mercado único, 11 de setembro de 2025 (2025/2009/INI). </w:t>
      </w:r>
    </w:p>
  </w:footnote>
  <w:footnote w:id="10">
    <w:p w14:paraId="4C1E79D8" w14:textId="77777777" w:rsidR="00C276DE" w:rsidRPr="000D0D06" w:rsidRDefault="00C276DE" w:rsidP="00C276DE">
      <w:pPr>
        <w:pStyle w:val="FootnoteText"/>
        <w:ind w:left="284" w:hanging="284"/>
        <w:rPr>
          <w:lang w:val="en-IE"/>
        </w:rPr>
      </w:pPr>
      <w:r>
        <w:rPr>
          <w:rStyle w:val="FootnoteReference"/>
        </w:rPr>
        <w:footnoteRef/>
      </w:r>
      <w:r w:rsidRPr="000D0D06">
        <w:rPr>
          <w:lang w:val="en-IE"/>
        </w:rPr>
        <w:tab/>
        <w:t xml:space="preserve">Eurostat (2025) </w:t>
      </w:r>
      <w:r w:rsidRPr="000D0D06">
        <w:rPr>
          <w:i/>
          <w:lang w:val="en-IE"/>
        </w:rPr>
        <w:t>Statistics explained: ICT sector – value added, employment and R&amp;D</w:t>
      </w:r>
      <w:r w:rsidRPr="000D0D06">
        <w:rPr>
          <w:lang w:val="en-IE"/>
        </w:rPr>
        <w:t xml:space="preserve"> (não traduzido para português). Disponível em: </w:t>
      </w:r>
      <w:hyperlink r:id="rId4" w:history="1">
        <w:r w:rsidRPr="000D0D06">
          <w:rPr>
            <w:rStyle w:val="Hyperlink"/>
            <w:color w:val="auto"/>
            <w:u w:val="none"/>
            <w:lang w:val="en-IE"/>
          </w:rPr>
          <w:t>ICT sector - value added, employment and R&amp;D - Statistics Explained - Eurostat</w:t>
        </w:r>
      </w:hyperlink>
      <w:r w:rsidRPr="000D0D06">
        <w:rPr>
          <w:lang w:val="en-IE"/>
        </w:rPr>
        <w:t>.</w:t>
      </w:r>
    </w:p>
  </w:footnote>
  <w:footnote w:id="11">
    <w:p w14:paraId="48352B36" w14:textId="77777777" w:rsidR="00C276DE" w:rsidRPr="006652C0" w:rsidRDefault="00C276DE" w:rsidP="00C276DE">
      <w:pPr>
        <w:pStyle w:val="FootnoteText"/>
        <w:ind w:left="284" w:hanging="284"/>
      </w:pPr>
      <w:r>
        <w:rPr>
          <w:rStyle w:val="FootnoteReference"/>
        </w:rPr>
        <w:footnoteRef/>
      </w:r>
      <w:r>
        <w:tab/>
        <w:t>De acordo com a proposta legislativa em separado.</w:t>
      </w:r>
    </w:p>
  </w:footnote>
  <w:footnote w:id="12">
    <w:p w14:paraId="3AC784FE" w14:textId="77777777" w:rsidR="00C276DE" w:rsidRPr="006652C0" w:rsidRDefault="00C276DE" w:rsidP="00C276DE">
      <w:pPr>
        <w:pStyle w:val="FootnoteText"/>
        <w:ind w:left="284" w:hanging="284"/>
      </w:pPr>
      <w:r>
        <w:rPr>
          <w:rStyle w:val="FootnoteReference"/>
        </w:rPr>
        <w:footnoteRef/>
      </w:r>
      <w:r>
        <w:tab/>
        <w:t>De acordo com a proposta em separado.</w:t>
      </w:r>
    </w:p>
  </w:footnote>
  <w:footnote w:id="13">
    <w:p w14:paraId="1345DDF7" w14:textId="77777777" w:rsidR="008E7D3A" w:rsidRPr="006652C0" w:rsidRDefault="008E7D3A" w:rsidP="0055422A">
      <w:pPr>
        <w:pStyle w:val="FootnoteText"/>
        <w:ind w:left="284" w:hanging="284"/>
      </w:pPr>
      <w:r>
        <w:rPr>
          <w:rStyle w:val="FootnoteReference"/>
        </w:rPr>
        <w:footnoteRef/>
      </w:r>
      <w:r>
        <w:tab/>
        <w:t xml:space="preserve">Regulamento de Execução (UE) 2013/138. </w:t>
      </w:r>
    </w:p>
  </w:footnote>
  <w:footnote w:id="14">
    <w:p w14:paraId="7A611076" w14:textId="77777777" w:rsidR="00401F07" w:rsidRPr="006652C0" w:rsidRDefault="00401F07" w:rsidP="0055422A">
      <w:pPr>
        <w:pStyle w:val="FootnoteText"/>
        <w:ind w:left="284" w:hanging="284"/>
      </w:pPr>
      <w:r>
        <w:rPr>
          <w:rStyle w:val="FootnoteReference"/>
        </w:rPr>
        <w:footnoteRef/>
      </w:r>
      <w:r>
        <w:tab/>
        <w:t xml:space="preserve">Documento de trabalho dos serviços da Comissão, Relatório da Comissão ao Parlamento Europeu, ao Conselho, ao Comité Económico e Social Europeu e ao Comité das Regiões sobre a primeira revisão preliminar da aplicação do Regulamento (UE) 2019/1150 relativo à promoção da equidade e da transparência para os utilizadores profissionais de serviços de intermediação em linha {SWD(2023) 300 final}. </w:t>
      </w:r>
    </w:p>
  </w:footnote>
  <w:footnote w:id="15">
    <w:p w14:paraId="78C186DC" w14:textId="77777777" w:rsidR="00CB052A" w:rsidRPr="006652C0" w:rsidRDefault="00CB052A" w:rsidP="0055422A">
      <w:pPr>
        <w:pStyle w:val="FootnoteText"/>
        <w:ind w:left="284" w:hanging="284"/>
      </w:pPr>
      <w:r>
        <w:rPr>
          <w:rStyle w:val="FootnoteReference"/>
        </w:rPr>
        <w:footnoteRef/>
      </w:r>
      <w:r>
        <w:tab/>
        <w:t xml:space="preserve">Comissão Europeia (2025), «Convite à apresentação de contributos para a Estratégia de Aplicação da IA». Disponível em: </w:t>
      </w:r>
      <w:hyperlink r:id="rId5" w:history="1">
        <w:r>
          <w:rPr>
            <w:rStyle w:val="Hyperlink"/>
            <w:color w:val="auto"/>
            <w:u w:val="none"/>
          </w:rPr>
          <w:t>Estratégia de aplicação da IA para reforçar o continente da IA</w:t>
        </w:r>
      </w:hyperlink>
      <w:r>
        <w:t>.</w:t>
      </w:r>
    </w:p>
  </w:footnote>
  <w:footnote w:id="16">
    <w:p w14:paraId="335F99D6" w14:textId="77777777" w:rsidR="00CB052A" w:rsidRPr="006652C0" w:rsidRDefault="00CB052A" w:rsidP="0055422A">
      <w:pPr>
        <w:pStyle w:val="FootnoteText"/>
        <w:ind w:left="284" w:hanging="284"/>
      </w:pPr>
      <w:r>
        <w:rPr>
          <w:rStyle w:val="FootnoteReference"/>
        </w:rPr>
        <w:footnoteRef/>
      </w:r>
      <w:r>
        <w:tab/>
        <w:t>Comissão Europeia (2025), «Convite à apresentação de contributos para a revisão do Regulamento Cibersegurança».</w:t>
      </w:r>
      <w:r>
        <w:rPr>
          <w:i/>
        </w:rPr>
        <w:t xml:space="preserve"> </w:t>
      </w:r>
      <w:r>
        <w:t xml:space="preserve">Disponível em: </w:t>
      </w:r>
      <w:hyperlink r:id="rId6" w:history="1">
        <w:r>
          <w:rPr>
            <w:rStyle w:val="Hyperlink"/>
            <w:color w:val="auto"/>
            <w:u w:val="none"/>
          </w:rPr>
          <w:t>Regulamento Cibersegurança da UE</w:t>
        </w:r>
      </w:hyperlink>
      <w:r>
        <w:t>.</w:t>
      </w:r>
    </w:p>
  </w:footnote>
  <w:footnote w:id="17">
    <w:p w14:paraId="759D8094" w14:textId="77777777" w:rsidR="00CB052A" w:rsidRPr="006652C0" w:rsidRDefault="00CB052A" w:rsidP="0055422A">
      <w:pPr>
        <w:pStyle w:val="FootnoteText"/>
        <w:ind w:left="284" w:hanging="284"/>
      </w:pPr>
      <w:r>
        <w:rPr>
          <w:rStyle w:val="FootnoteReference"/>
        </w:rPr>
        <w:footnoteRef/>
      </w:r>
      <w:r>
        <w:tab/>
        <w:t xml:space="preserve">Comissão Europeia (2025), «Convite à apresentação de contributos para a Estratégia para uma União Europeia dos Dados». Disponível em: </w:t>
      </w:r>
      <w:hyperlink r:id="rId7" w:history="1">
        <w:r>
          <w:rPr>
            <w:rStyle w:val="Hyperlink"/>
            <w:color w:val="auto"/>
            <w:u w:val="none"/>
          </w:rPr>
          <w:t>Estratégia para uma União Europeia dos Dados</w:t>
        </w:r>
      </w:hyperlink>
      <w:r>
        <w:t>.</w:t>
      </w:r>
    </w:p>
  </w:footnote>
  <w:footnote w:id="18">
    <w:p w14:paraId="365AA5CD" w14:textId="77777777" w:rsidR="00CB052A" w:rsidRPr="006652C0" w:rsidRDefault="00CB052A" w:rsidP="0055422A">
      <w:pPr>
        <w:pStyle w:val="FootnoteText"/>
        <w:ind w:left="284" w:hanging="284"/>
      </w:pPr>
      <w:r>
        <w:rPr>
          <w:rStyle w:val="FootnoteReference"/>
        </w:rPr>
        <w:footnoteRef/>
      </w:r>
      <w:r>
        <w:tab/>
        <w:t xml:space="preserve">Comissão Europeia (2025), Convite à apresentação de contributos para o pacote </w:t>
      </w:r>
      <w:r>
        <w:rPr>
          <w:i/>
        </w:rPr>
        <w:t>omnibus</w:t>
      </w:r>
      <w:r>
        <w:t xml:space="preserve"> sobre o setor digital. Disponível em: </w:t>
      </w:r>
      <w:hyperlink r:id="rId8" w:history="1">
        <w:r>
          <w:rPr>
            <w:rStyle w:val="Hyperlink"/>
            <w:color w:val="auto"/>
            <w:u w:val="none"/>
          </w:rPr>
          <w:t xml:space="preserve">Simplificação — Pacote digital e </w:t>
        </w:r>
        <w:r>
          <w:rPr>
            <w:rStyle w:val="Hyperlink"/>
            <w:i/>
            <w:iCs/>
            <w:color w:val="auto"/>
            <w:u w:val="none"/>
          </w:rPr>
          <w:t>omnibus</w:t>
        </w:r>
      </w:hyperlink>
      <w:r>
        <w:t>.</w:t>
      </w:r>
    </w:p>
  </w:footnote>
  <w:footnote w:id="19">
    <w:p w14:paraId="4E978303" w14:textId="14B7BBFC" w:rsidR="00067C7F" w:rsidRPr="006652C0" w:rsidRDefault="00067C7F" w:rsidP="0055422A">
      <w:pPr>
        <w:pStyle w:val="FootnoteText"/>
        <w:ind w:left="284" w:hanging="284"/>
      </w:pPr>
      <w:r>
        <w:rPr>
          <w:rStyle w:val="FootnoteReference"/>
        </w:rPr>
        <w:footnoteRef/>
      </w:r>
      <w:r>
        <w:tab/>
        <w:t xml:space="preserve">Comissão Europeia (2025), «Diálogo sobre a aplicação — política de dados». Disponível em: </w:t>
      </w:r>
      <w:hyperlink r:id="rId9" w:history="1">
        <w:r>
          <w:rPr>
            <w:rStyle w:val="Hyperlink"/>
            <w:color w:val="auto"/>
            <w:u w:val="none"/>
          </w:rPr>
          <w:t>Diálogo sobre a aplicação — política de dados — Comissão Europeia</w:t>
        </w:r>
      </w:hyperlink>
      <w:r>
        <w:t>.</w:t>
      </w:r>
    </w:p>
  </w:footnote>
  <w:footnote w:id="20">
    <w:p w14:paraId="2589E641" w14:textId="77777777" w:rsidR="00067C7F" w:rsidRPr="006652C0" w:rsidRDefault="00067C7F" w:rsidP="0055422A">
      <w:pPr>
        <w:pStyle w:val="FootnoteText"/>
        <w:ind w:left="284" w:hanging="284"/>
      </w:pPr>
      <w:r>
        <w:rPr>
          <w:rStyle w:val="FootnoteReference"/>
        </w:rPr>
        <w:footnoteRef/>
      </w:r>
      <w:r>
        <w:tab/>
        <w:t xml:space="preserve">Comissão Europeia (2025), «Diálogo sobre a aplicação da política de cibersegurança com a vice-presidente executiva Henna Virkkunen». Disponível em: </w:t>
      </w:r>
      <w:hyperlink r:id="rId10" w:history="1">
        <w:r>
          <w:rPr>
            <w:rStyle w:val="Hyperlink"/>
            <w:color w:val="auto"/>
            <w:u w:val="none"/>
          </w:rPr>
          <w:t>Diálogo sobre a aplicação da política de cibersegurança com a vice-presidente executiva Henna Virkkunen — Comissão Europeia</w:t>
        </w:r>
      </w:hyperlink>
      <w:r>
        <w:t>.</w:t>
      </w:r>
    </w:p>
  </w:footnote>
  <w:footnote w:id="21">
    <w:p w14:paraId="36530F20" w14:textId="77777777" w:rsidR="00067C7F" w:rsidRPr="006652C0" w:rsidRDefault="00067C7F" w:rsidP="0055422A">
      <w:pPr>
        <w:pStyle w:val="FootnoteText"/>
        <w:ind w:left="284" w:hanging="284"/>
      </w:pPr>
      <w:r>
        <w:rPr>
          <w:rStyle w:val="FootnoteReference"/>
        </w:rPr>
        <w:footnoteRef/>
      </w:r>
      <w:r>
        <w:tab/>
        <w:t>A REE é a maior rede mundial de apoio às pequenas e médias empresas, sendo operada pela Agência de Execução do Conselho Europeu da Inovação e das PME (EISMEA) da Comissão Europeia.</w:t>
      </w:r>
    </w:p>
  </w:footnote>
  <w:footnote w:id="22">
    <w:p w14:paraId="2B780B5A" w14:textId="77777777" w:rsidR="00FF2EDA" w:rsidRPr="006652C0" w:rsidRDefault="00FF2EDA" w:rsidP="0055422A">
      <w:pPr>
        <w:pStyle w:val="FootnoteText"/>
        <w:ind w:left="284" w:hanging="284"/>
      </w:pPr>
      <w:r>
        <w:rPr>
          <w:rStyle w:val="FootnoteReference"/>
        </w:rPr>
        <w:footnoteRef/>
      </w:r>
      <w:r>
        <w:tab/>
        <w:t>JO C […] de […], p. […].</w:t>
      </w:r>
    </w:p>
  </w:footnote>
  <w:footnote w:id="23">
    <w:p w14:paraId="37585589" w14:textId="77777777" w:rsidR="000A03B9" w:rsidRPr="006652C0" w:rsidRDefault="000A03B9">
      <w:pPr>
        <w:pStyle w:val="FootnoteText"/>
      </w:pPr>
      <w:r>
        <w:rPr>
          <w:rStyle w:val="FootnoteReference"/>
        </w:rPr>
        <w:footnoteRef/>
      </w:r>
      <w:r>
        <w:tab/>
        <w:t>JO C […] de […], p. […].</w:t>
      </w:r>
    </w:p>
  </w:footnote>
  <w:footnote w:id="24">
    <w:p w14:paraId="52D63A71" w14:textId="77777777" w:rsidR="00FF2EDA" w:rsidRPr="006652C0" w:rsidRDefault="00FF2EDA" w:rsidP="0055422A">
      <w:pPr>
        <w:pStyle w:val="FootnoteText"/>
        <w:ind w:left="284" w:hanging="284"/>
      </w:pPr>
      <w:r>
        <w:rPr>
          <w:rStyle w:val="FootnoteReference"/>
        </w:rPr>
        <w:footnoteRef/>
      </w:r>
      <w:r>
        <w:tab/>
        <w:t>JO C […] de […], p. […].</w:t>
      </w:r>
    </w:p>
  </w:footnote>
  <w:footnote w:id="25">
    <w:p w14:paraId="7F8CDA70" w14:textId="77777777" w:rsidR="002E7A79" w:rsidRPr="006652C0" w:rsidRDefault="002E7A79">
      <w:pPr>
        <w:pStyle w:val="FootnoteText"/>
      </w:pPr>
      <w:r>
        <w:rPr>
          <w:rStyle w:val="FootnoteReference"/>
        </w:rPr>
        <w:footnoteRef/>
      </w:r>
      <w:r>
        <w:tab/>
        <w:t>Comunicação da Comissão ao Parlamento Europeu, ao Conselho, ao Comité Económico e Social Europeu e ao Comité das Regiões, «Uma Europa mais simples e mais rápida: comunicação sobre simplificação e execução», COM(2025) 47 final, de 11 de fevereiro de 2025.</w:t>
      </w:r>
    </w:p>
  </w:footnote>
  <w:footnote w:id="26">
    <w:p w14:paraId="59A4EF46" w14:textId="77777777" w:rsidR="002A2EBF" w:rsidRPr="006652C0" w:rsidRDefault="002A2EBF" w:rsidP="0055422A">
      <w:pPr>
        <w:pStyle w:val="FootnoteText"/>
        <w:ind w:left="284" w:hanging="284"/>
      </w:pPr>
      <w:r>
        <w:rPr>
          <w:rStyle w:val="FootnoteReference"/>
        </w:rPr>
        <w:footnoteRef/>
      </w:r>
      <w:r>
        <w:tab/>
        <w:t>REGULAMENTO (UE) 2016/679 DO PARLAMENTO EUROPEU E DO CONSELHO, de 27 de abril de 2016, relativo à proteção das pessoas singulares no que diz respeito ao tratamento de dados pessoais e à livre circulação desses dados e que revoga a Diretiva 95/46/CE (Regulamento Geral sobre a Proteção de Dados).</w:t>
      </w:r>
    </w:p>
  </w:footnote>
  <w:footnote w:id="27">
    <w:p w14:paraId="277C428C" w14:textId="77777777" w:rsidR="00A35197" w:rsidRPr="006652C0" w:rsidRDefault="00A35197" w:rsidP="0055422A">
      <w:pPr>
        <w:pStyle w:val="FootnoteText"/>
        <w:ind w:left="284" w:hanging="284"/>
      </w:pPr>
      <w:r>
        <w:rPr>
          <w:rStyle w:val="FootnoteReference"/>
        </w:rPr>
        <w:footnoteRef/>
      </w:r>
      <w:r>
        <w:tab/>
        <w:t>REGULAMENTO (UE) 2023/2854 DO PARLAMENTO EUROPEU E DO CONSELHO, de 13 de dezembro de 2023, relativo a regras harmonizadas sobre o acesso equitativo aos dados e a sua utilização e que altera o Regulamento (UE) 2017/2394 e a Diretiva (UE) 2020/1828 (Regulamento dos Dados).</w:t>
      </w:r>
    </w:p>
  </w:footnote>
  <w:footnote w:id="28">
    <w:p w14:paraId="6511C0D6" w14:textId="77777777" w:rsidR="008032AF" w:rsidRPr="006652C0" w:rsidRDefault="008032AF">
      <w:pPr>
        <w:pStyle w:val="FootnoteText"/>
      </w:pPr>
      <w:r>
        <w:rPr>
          <w:rStyle w:val="FootnoteReference"/>
        </w:rPr>
        <w:footnoteRef/>
      </w:r>
      <w:r>
        <w:tab/>
        <w:t>Regulamento (UE) 2022/868 do Parlamento Europeu e do Conselho, de 30 de maio de 2022, relativo à governação europeia de dados e que altera o Regulamento (UE) 2018/1724 (Regulamento Governação de Dados) (JO L 152 de 3.6.2022, p. 1, ELI: http://data.europa.eu/eli/reg/2022/868/oj).</w:t>
      </w:r>
    </w:p>
  </w:footnote>
  <w:footnote w:id="29">
    <w:p w14:paraId="751FB29F" w14:textId="77777777" w:rsidR="004E40E3" w:rsidRPr="006652C0" w:rsidRDefault="004E40E3">
      <w:pPr>
        <w:pStyle w:val="FootnoteText"/>
      </w:pPr>
      <w:r>
        <w:rPr>
          <w:rStyle w:val="FootnoteReference"/>
        </w:rPr>
        <w:footnoteRef/>
      </w:r>
      <w:r>
        <w:tab/>
        <w:t>Diretiva (UE) 2019/1024 do Parlamento Europeu e do Conselho, de 20 de junho de 2019, relativa aos dados abertos e à reutilização de informações do setor público (JO L 172 de 26.6.2019, p. 56 ELI: http://data.europa.eu/eli/dir/2019/1024/oj).</w:t>
      </w:r>
    </w:p>
  </w:footnote>
  <w:footnote w:id="30">
    <w:p w14:paraId="5C1478A5" w14:textId="77777777" w:rsidR="002763AA" w:rsidRPr="006652C0" w:rsidRDefault="002763AA">
      <w:pPr>
        <w:pStyle w:val="FootnoteText"/>
      </w:pPr>
      <w:r>
        <w:rPr>
          <w:rStyle w:val="FootnoteReference"/>
        </w:rPr>
        <w:footnoteRef/>
      </w:r>
      <w:r>
        <w:tab/>
        <w:t xml:space="preserve">Regulamento (UE) 2016/679 do Parlamento Europeu e do Conselho, de 27 de abril de 2016, relativo à proteção das pessoas singulares no que diz respeito ao tratamento de dados pessoais e à livre circulação desses dados e que revoga a Diretiva 95/46/CE (Regulamento Geral sobre a Proteção de Dados) (JO L 119 de 4.5.2016, p. 1, ELI: </w:t>
      </w:r>
      <w:hyperlink r:id="rId11" w:tooltip="Permite aceder ao documento através do seu identificador ELI." w:history="1">
        <w:r>
          <w:rPr>
            <w:rStyle w:val="Hyperlink"/>
            <w:color w:val="auto"/>
            <w:u w:val="none"/>
          </w:rPr>
          <w:t>http://data.europa.eu/eli/reg/2016/679/oj</w:t>
        </w:r>
      </w:hyperlink>
      <w:r>
        <w:t>).</w:t>
      </w:r>
    </w:p>
  </w:footnote>
  <w:footnote w:id="31">
    <w:p w14:paraId="18652796" w14:textId="77777777" w:rsidR="00601089" w:rsidRPr="006652C0" w:rsidRDefault="00601089" w:rsidP="0055422A">
      <w:pPr>
        <w:pStyle w:val="FootnoteText"/>
        <w:ind w:left="284" w:hanging="284"/>
      </w:pPr>
      <w:r>
        <w:rPr>
          <w:rStyle w:val="FootnoteReference"/>
        </w:rPr>
        <w:footnoteRef/>
      </w:r>
      <w:r>
        <w:tab/>
        <w:t xml:space="preserve">Diretiva (UE) 2016/943 do Parlamento Europeu e do Conselho, de 8 de junho de 2016, relativa à proteção de </w:t>
      </w:r>
      <w:r>
        <w:rPr>
          <w:i/>
          <w:iCs/>
        </w:rPr>
        <w:t>know-how</w:t>
      </w:r>
      <w:r>
        <w:t xml:space="preserve"> e de informações comerciais confidenciais (segredos comerciais) contra a sua aquisição, utilização e divulgação ilegais (</w:t>
      </w:r>
      <w:hyperlink r:id="rId12" w:history="1">
        <w:r>
          <w:rPr>
            <w:rStyle w:val="Hyperlink"/>
            <w:color w:val="auto"/>
            <w:u w:val="none"/>
          </w:rPr>
          <w:t>JO L 157 de 15.6.2016, p. 1</w:t>
        </w:r>
      </w:hyperlink>
      <w:r>
        <w:t>).</w:t>
      </w:r>
    </w:p>
  </w:footnote>
  <w:footnote w:id="32">
    <w:p w14:paraId="7BAC7091" w14:textId="77777777" w:rsidR="00C62B6A" w:rsidRPr="006652C0" w:rsidRDefault="00C62B6A" w:rsidP="00C62B6A">
      <w:pPr>
        <w:pStyle w:val="FootnoteText"/>
      </w:pPr>
      <w:r>
        <w:rPr>
          <w:rStyle w:val="FootnoteReference"/>
        </w:rPr>
        <w:footnoteRef/>
      </w:r>
      <w:r>
        <w:tab/>
        <w:t>Regulamento (CE) n.º 223/2009 do Parlamento Europeu e do Conselho, de 11 de março de 2009, relativo às Estatísticas Europeias e que revoga o Regulamento (CE, Euratom) n.º 1101/2008 relativo à transmissão de informações abrangidas pelo segredo estatístico ao Serviço de Estatística das Comunidades Europeias, o Regulamento (CE) n.º 322/97 do Conselho relativo às estatísticas comunitárias e a Decisão 89/382/CEE, Euratom do Conselho que cria o Comité do Programa Estatístico das Comunidades Europeias (JO L 87 de 31.3.2009, p. 164, ELI: http://data.europa.eu/eli/reg/2009/223/oj).</w:t>
      </w:r>
    </w:p>
  </w:footnote>
  <w:footnote w:id="33">
    <w:p w14:paraId="21676B08" w14:textId="77777777" w:rsidR="0054555E" w:rsidRPr="006652C0" w:rsidRDefault="0054555E" w:rsidP="0054555E">
      <w:pPr>
        <w:pStyle w:val="FootnoteText"/>
      </w:pPr>
      <w:r>
        <w:rPr>
          <w:rStyle w:val="FootnoteReference"/>
        </w:rPr>
        <w:footnoteRef/>
      </w:r>
      <w:r>
        <w:tab/>
        <w:t>Regulamento (UE) 2018/1807 do Parlamento Europeu e do Conselho, de 14 de novembro de 2018, relativo a um regime para o livre fluxo de dados não pessoais na União Europeia (JO L 303 de 28.11.2018, p. 59, ELI: http://data.europa.eu/eli/reg/2018/1807/oj).</w:t>
      </w:r>
    </w:p>
  </w:footnote>
  <w:footnote w:id="34">
    <w:p w14:paraId="1781CB3B" w14:textId="77777777" w:rsidR="00051D29" w:rsidRPr="006652C0" w:rsidRDefault="00051D29" w:rsidP="00051D29">
      <w:pPr>
        <w:pStyle w:val="FootnoteText"/>
      </w:pPr>
      <w:r>
        <w:rPr>
          <w:rStyle w:val="FootnoteReference"/>
        </w:rPr>
        <w:footnoteRef/>
      </w:r>
      <w:r>
        <w:tab/>
        <w:t>Recomendação da Comissão, de 6 de maio de 2003, relativa à definição de micro, pequenas e médias empresas (JO L 124 de 20.5.2003, p. 36, ELI: http://data.europa.eu/eli/reco/2003/361/oj).</w:t>
      </w:r>
    </w:p>
  </w:footnote>
  <w:footnote w:id="35">
    <w:p w14:paraId="695E482F" w14:textId="77777777" w:rsidR="00FC54C1" w:rsidRPr="006652C0" w:rsidRDefault="00FC54C1" w:rsidP="00FC54C1">
      <w:pPr>
        <w:pStyle w:val="FootnoteText"/>
      </w:pPr>
      <w:r>
        <w:rPr>
          <w:rStyle w:val="FootnoteReference"/>
        </w:rPr>
        <w:footnoteRef/>
      </w:r>
      <w:r>
        <w:tab/>
        <w:t>Regulamento (UE) 2022/1925 do Parlamento Europeu e do Conselho, de 14 de setembro de 2022, relativo à disputabilidade e equidade dos mercados no setor digital e que altera as Diretivas (UE) 2019/1937 e (UE) 2020/1828 (Regulamento dos Mercados Digitais) (JO L 265 de 12.10.2022, p. 1, ELI: http://data.europa.eu/eli/reg/2022/1925/oj).</w:t>
      </w:r>
    </w:p>
  </w:footnote>
  <w:footnote w:id="36">
    <w:p w14:paraId="6104244A" w14:textId="77777777" w:rsidR="00093C8A" w:rsidRPr="000F0A2E" w:rsidRDefault="00093C8A" w:rsidP="00093C8A">
      <w:pPr>
        <w:pStyle w:val="FootnoteText"/>
      </w:pPr>
      <w:r>
        <w:rPr>
          <w:rStyle w:val="FootnoteReference"/>
        </w:rPr>
        <w:footnoteRef/>
      </w:r>
      <w:r>
        <w:tab/>
        <w:t>Regulamento (UE) 2025/327 do Parlamento Europeu e do Conselho, de 11 de fevereiro de 2025, relativo ao Espaço Europeu de Dados de Saúde e que altera a Diretiva 2011/24/UE e o Regulamento (UE) 2024/2847 (JO L, 2025/327, 5.3.2025, ELI: http://data.europa.eu/eli/reg/2025/327/oj).</w:t>
      </w:r>
    </w:p>
  </w:footnote>
  <w:footnote w:id="37">
    <w:p w14:paraId="76F11654" w14:textId="77777777" w:rsidR="6AE451C0" w:rsidRPr="006652C0" w:rsidRDefault="6AE451C0" w:rsidP="6AE451C0">
      <w:pPr>
        <w:rPr>
          <w:rFonts w:eastAsia="Times New Roman"/>
          <w:sz w:val="20"/>
          <w:szCs w:val="20"/>
        </w:rPr>
      </w:pPr>
      <w:r>
        <w:rPr>
          <w:rStyle w:val="FootnoteReference"/>
        </w:rPr>
        <w:footnoteRef/>
      </w:r>
      <w:r>
        <w:tab/>
      </w:r>
      <w:r>
        <w:rPr>
          <w:sz w:val="20"/>
        </w:rPr>
        <w:t>Regulamento (UE) 2018/1725 do Parlamento Europeu e do Conselho, de 23 de outubro de 2018, relativo à proteção das pessoas singulares no que diz respeito ao tratamento de dados pessoais pelas instituições e pelos órgãos e organismos da União e à livre circulação desses dados, e que revoga o Regulamento (CE) n.º 45/2001 e a Decisão n.º 1247/2002/CE (JO L 295 de 21.11.2018, p. 39, ELI: http://data.europa.eu/eli/reg/2018/1725/oj).</w:t>
      </w:r>
    </w:p>
  </w:footnote>
  <w:footnote w:id="38">
    <w:p w14:paraId="19F2807D" w14:textId="77777777" w:rsidR="55F92A37" w:rsidRPr="006652C0" w:rsidRDefault="55F92A37" w:rsidP="74364367">
      <w:pPr>
        <w:rPr>
          <w:rFonts w:eastAsia="Times New Roman"/>
          <w:sz w:val="20"/>
          <w:szCs w:val="20"/>
        </w:rPr>
      </w:pPr>
      <w:r>
        <w:rPr>
          <w:rStyle w:val="FootnoteReference"/>
        </w:rPr>
        <w:footnoteRef/>
      </w:r>
      <w:r>
        <w:tab/>
      </w:r>
      <w:r>
        <w:rPr>
          <w:sz w:val="20"/>
        </w:rPr>
        <w:t>Diretiva (UE) 2016/680 do Parlamento Europeu e do Conselho, de 27 de abril de 2016, relativa à proteção das pessoas singulares no que diz respeito ao tratamento de dados pessoais pelas autoridades competentes para efeitos de prevenção, investigação, deteção ou repressão de infrações penais ou execução de sanções penais, e à livre circulação desses dados, e que revoga a Decisão-Quadro 2008/977/JAI do Conselho (JO L 119 de 4.5.2016, p. 89, ELI: http://data.europa.eu/eli/dir/2016/680/oj).</w:t>
      </w:r>
    </w:p>
  </w:footnote>
  <w:footnote w:id="39">
    <w:p w14:paraId="07380B83" w14:textId="77777777" w:rsidR="0098680D" w:rsidRPr="006652C0" w:rsidRDefault="0098680D" w:rsidP="0055422A">
      <w:pPr>
        <w:pStyle w:val="FootnoteText"/>
        <w:ind w:left="284" w:hanging="284"/>
      </w:pPr>
      <w:r>
        <w:rPr>
          <w:rStyle w:val="FootnoteReference"/>
        </w:rPr>
        <w:footnoteRef/>
      </w:r>
      <w:r>
        <w:tab/>
        <w:t>Regulamento (UE) 2018/1725 do Parlamento Europeu e do Conselho, de 23 de outubro de 2018, relativo à proteção das pessoas singulares no que diz respeito ao tratamento de dados pessoais pelas instituições e pelos órgãos e organismos da União e à livre circulação desses dados, e que revoga o Regulamento (CE) n.º 45/2001 e a Decisão n.º 1247/2002/CE (JO L 295 de 21.11.2018, p. 39, ELI: http://data.europa.eu/eli/reg/2018/1725/oj).</w:t>
      </w:r>
    </w:p>
  </w:footnote>
  <w:footnote w:id="40">
    <w:p w14:paraId="0C1E5ABD" w14:textId="77777777" w:rsidR="007C050F" w:rsidRPr="006652C0" w:rsidRDefault="007C050F" w:rsidP="0055422A">
      <w:pPr>
        <w:pStyle w:val="FootnoteText"/>
        <w:ind w:left="284" w:hanging="284"/>
      </w:pPr>
      <w:r>
        <w:rPr>
          <w:rStyle w:val="FootnoteReference"/>
        </w:rPr>
        <w:footnoteRef/>
      </w:r>
      <w:r>
        <w:tab/>
        <w:t>Tal como referido no artigo 58.º, n.º 2, alíneas a) ou b), do Regulamento Financeiro.</w:t>
      </w:r>
    </w:p>
  </w:footnote>
  <w:footnote w:id="41">
    <w:p w14:paraId="038BB657" w14:textId="77777777" w:rsidR="007C050F" w:rsidRPr="006652C0" w:rsidRDefault="007C050F" w:rsidP="0055422A">
      <w:pPr>
        <w:pStyle w:val="FootnoteText"/>
        <w:ind w:left="284" w:hanging="284"/>
      </w:pPr>
      <w:r>
        <w:rPr>
          <w:rStyle w:val="FootnoteReference"/>
        </w:rPr>
        <w:footnoteRef/>
      </w:r>
      <w:r>
        <w:tab/>
        <w:t xml:space="preserve">Para mais explicações sobre os métodos de execução orçamental e as referências ao Regulamento Financeiro, consultar o sítio BUDGpedia: </w:t>
      </w:r>
      <w:hyperlink r:id="rId13" w:history="1">
        <w:r>
          <w:rPr>
            <w:rStyle w:val="Hyperlink"/>
            <w:color w:val="auto"/>
            <w:u w:val="none"/>
          </w:rPr>
          <w:t>https://myintracomm.ec.europa.eu/corp/budget/financial-rules/budget-implementation/Pages/implementation-methods.aspx</w:t>
        </w:r>
      </w:hyperlink>
      <w:r>
        <w:rPr>
          <w:rStyle w:val="Hyperlink"/>
          <w:color w:val="auto"/>
          <w:u w:val="none"/>
        </w:rPr>
        <w:t>.</w:t>
      </w:r>
    </w:p>
  </w:footnote>
  <w:footnote w:id="42">
    <w:p w14:paraId="21DEEB7E" w14:textId="77777777" w:rsidR="007C050F" w:rsidRPr="006652C0" w:rsidRDefault="007C050F" w:rsidP="0055422A">
      <w:pPr>
        <w:pStyle w:val="FootnoteText"/>
        <w:ind w:left="284" w:hanging="284"/>
      </w:pPr>
      <w:r>
        <w:rPr>
          <w:rStyle w:val="FootnoteReference"/>
        </w:rPr>
        <w:footnoteRef/>
      </w:r>
      <w:r>
        <w:tab/>
        <w:t>DD = dotações diferenciadas / DND = dotações não diferenciadas.</w:t>
      </w:r>
    </w:p>
  </w:footnote>
  <w:footnote w:id="43">
    <w:p w14:paraId="7FFD09FA" w14:textId="77777777" w:rsidR="007C050F" w:rsidRPr="006652C0" w:rsidRDefault="007C050F" w:rsidP="0055422A">
      <w:pPr>
        <w:pStyle w:val="FootnoteText"/>
        <w:ind w:left="284" w:hanging="284"/>
      </w:pPr>
      <w:r>
        <w:rPr>
          <w:rStyle w:val="FootnoteReference"/>
        </w:rPr>
        <w:footnoteRef/>
      </w:r>
      <w:r>
        <w:tab/>
        <w:t xml:space="preserve">EFTA: Associação Europeia de Comércio Livre. </w:t>
      </w:r>
    </w:p>
  </w:footnote>
  <w:footnote w:id="44">
    <w:p w14:paraId="2974A76B" w14:textId="77777777" w:rsidR="007C050F" w:rsidRPr="006652C0" w:rsidRDefault="007C050F" w:rsidP="0055422A">
      <w:pPr>
        <w:pStyle w:val="FootnoteText"/>
        <w:ind w:left="284" w:hanging="284"/>
      </w:pPr>
      <w:r>
        <w:rPr>
          <w:rStyle w:val="FootnoteReference"/>
        </w:rPr>
        <w:footnoteRef/>
      </w:r>
      <w:r>
        <w:tab/>
        <w:t>Países candidatos e, se aplicável, candidatos potenciais dos Balcãs Ocidentais.</w:t>
      </w:r>
    </w:p>
  </w:footnote>
  <w:footnote w:id="45">
    <w:p w14:paraId="7B47876A" w14:textId="77777777" w:rsidR="007C050F" w:rsidRPr="006652C0" w:rsidRDefault="007C050F" w:rsidP="0055422A">
      <w:pPr>
        <w:pStyle w:val="FootnoteText"/>
        <w:ind w:left="284" w:hanging="284"/>
      </w:pPr>
      <w:r>
        <w:rPr>
          <w:rStyle w:val="FootnoteReference"/>
        </w:rPr>
        <w:footnoteRef/>
      </w:r>
      <w:r>
        <w:tab/>
        <w:t>Assistência técnica e / ou administrativa e despesas de apoio à execução de programas e / ou ações da UE (antigas rubricas «BA»), bem como investigação direta e indireta.</w:t>
      </w:r>
    </w:p>
  </w:footnote>
  <w:footnote w:id="46">
    <w:p w14:paraId="0222DBA8" w14:textId="77777777" w:rsidR="007C050F" w:rsidRPr="006652C0" w:rsidRDefault="007C050F" w:rsidP="0055422A">
      <w:pPr>
        <w:pStyle w:val="FootnoteText"/>
        <w:ind w:left="284" w:hanging="284"/>
      </w:pPr>
      <w:r>
        <w:rPr>
          <w:rStyle w:val="FootnoteReference"/>
        </w:rPr>
        <w:footnoteRef/>
      </w:r>
      <w:r>
        <w:tab/>
        <w:t>Se comunicar a utilização de dotações da rubrica 7, o preenchimento do anexo 5 constitui um requisito obrigatório.</w:t>
      </w:r>
    </w:p>
  </w:footnote>
  <w:footnote w:id="47">
    <w:p w14:paraId="0E51701C" w14:textId="77777777" w:rsidR="007C050F" w:rsidRPr="006652C0" w:rsidRDefault="007C050F" w:rsidP="0055422A">
      <w:pPr>
        <w:pStyle w:val="FootnoteText"/>
        <w:ind w:left="284" w:hanging="284"/>
      </w:pPr>
      <w:r>
        <w:rPr>
          <w:rStyle w:val="FootnoteReference"/>
        </w:rPr>
        <w:footnoteRef/>
      </w:r>
      <w:r>
        <w:tab/>
        <w:t>Assistência técnica e / ou administrativa e despesas de apoio à execução de programas e / ou ações da UE (antigas rubricas «BA»), bem como investigação direta e indireta.</w:t>
      </w:r>
    </w:p>
  </w:footnote>
  <w:footnote w:id="48">
    <w:p w14:paraId="65469EDD" w14:textId="77777777" w:rsidR="007C050F" w:rsidRPr="006652C0" w:rsidRDefault="007C050F" w:rsidP="0055422A">
      <w:pPr>
        <w:pStyle w:val="FootnoteText"/>
        <w:ind w:left="284" w:hanging="284"/>
      </w:pPr>
      <w:r>
        <w:rPr>
          <w:rStyle w:val="FootnoteReference"/>
        </w:rPr>
        <w:footnoteRef/>
      </w:r>
      <w:r>
        <w:tab/>
        <w:t>As dotações necessárias devem ser determinadas utilizando os valores dos custos médios anuais disponíveis na página Web BUDGpedia pertinente.</w:t>
      </w:r>
    </w:p>
  </w:footnote>
  <w:footnote w:id="49">
    <w:p w14:paraId="61497A12" w14:textId="77777777" w:rsidR="007C050F" w:rsidRPr="006652C0" w:rsidRDefault="007C050F" w:rsidP="0055422A">
      <w:pPr>
        <w:pStyle w:val="FootnoteText"/>
        <w:ind w:left="284" w:hanging="284"/>
      </w:pPr>
      <w:r>
        <w:rPr>
          <w:rStyle w:val="FootnoteReference"/>
        </w:rPr>
        <w:footnoteRef/>
      </w:r>
      <w:r>
        <w:tab/>
        <w:t>As realizações referem-se aos produtos fornecidos e serviços prestados (por exemplo: número de intercâmbios de estudantes financiados, número de quilómetros de estradas construídas, etc.).</w:t>
      </w:r>
    </w:p>
  </w:footnote>
  <w:footnote w:id="50">
    <w:p w14:paraId="5ADCF30F" w14:textId="77777777" w:rsidR="007C050F" w:rsidRPr="006652C0" w:rsidRDefault="007C050F" w:rsidP="0055422A">
      <w:pPr>
        <w:pStyle w:val="FootnoteText"/>
        <w:ind w:left="284" w:hanging="284"/>
      </w:pPr>
      <w:r>
        <w:rPr>
          <w:rStyle w:val="FootnoteReference"/>
        </w:rPr>
        <w:footnoteRef/>
      </w:r>
      <w:r>
        <w:tab/>
        <w:t xml:space="preserve">Conforme descrito no ponto 1.3.2. «Objetivos específicos». </w:t>
      </w:r>
    </w:p>
  </w:footnote>
  <w:footnote w:id="51">
    <w:p w14:paraId="69655D37" w14:textId="77777777" w:rsidR="007C050F" w:rsidRPr="006652C0" w:rsidRDefault="007C050F" w:rsidP="0055422A">
      <w:pPr>
        <w:pStyle w:val="FootnoteText"/>
        <w:ind w:left="284" w:hanging="284"/>
      </w:pPr>
      <w:r>
        <w:rPr>
          <w:rStyle w:val="FootnoteReference"/>
        </w:rPr>
        <w:footnoteRef/>
      </w:r>
      <w:r>
        <w:tab/>
        <w:t>Especifique abaixo do quadro a quantidade de ETC do número indicado já atribuída à gestão da ação e/ou que pode ser reafetada dentro da sua DG e quais são as suas necessidades líquidas.</w:t>
      </w:r>
    </w:p>
  </w:footnote>
  <w:footnote w:id="52">
    <w:p w14:paraId="70B5EDDB" w14:textId="77777777" w:rsidR="007C050F" w:rsidRPr="006652C0" w:rsidRDefault="007C050F" w:rsidP="0055422A">
      <w:pPr>
        <w:pStyle w:val="FootnoteText"/>
        <w:ind w:left="284" w:hanging="284"/>
      </w:pPr>
      <w:r>
        <w:rPr>
          <w:rStyle w:val="FootnoteReference"/>
        </w:rPr>
        <w:footnoteRef/>
      </w:r>
      <w:r>
        <w:tab/>
        <w:t>No que respeita aos recursos próprios tradicionais (direitos aduaneiros e quotizações sobre o açúcar), os montantes indicados devem ser apresentados em termos líquidos, isto é, montantes brutos após dedução de 20 % a título de custos de cobrança.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F1172" w14:textId="77777777" w:rsidR="00053915" w:rsidRDefault="000539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E78D8" w14:textId="77777777" w:rsidR="00053915" w:rsidRDefault="00053915" w:rsidP="00053915">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41E81" w14:textId="77777777" w:rsidR="00053915" w:rsidRPr="00053915" w:rsidRDefault="00053915" w:rsidP="00053915">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36E63" w14:textId="77777777" w:rsidR="00053915" w:rsidRPr="00053915" w:rsidRDefault="00053915" w:rsidP="0005391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E585E" w14:textId="77777777" w:rsidR="00053915" w:rsidRPr="00053915" w:rsidRDefault="00053915" w:rsidP="00053915">
    <w:pPr>
      <w:pStyle w:val="HeaderLandscap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1058"/>
    <w:multiLevelType w:val="hybridMultilevel"/>
    <w:tmpl w:val="452E6C8A"/>
    <w:lvl w:ilvl="0" w:tplc="FFFFFFFF">
      <w:start w:val="1"/>
      <w:numFmt w:val="lowerLetter"/>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2" w15:restartNumberingAfterBreak="0">
    <w:nsid w:val="0B9E5244"/>
    <w:multiLevelType w:val="hybridMultilevel"/>
    <w:tmpl w:val="05AACBCA"/>
    <w:lvl w:ilvl="0" w:tplc="FFFFFFFF">
      <w:start w:val="1"/>
      <w:numFmt w:val="lowerLetter"/>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4"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1D144EF4"/>
    <w:multiLevelType w:val="hybridMultilevel"/>
    <w:tmpl w:val="D292C5FE"/>
    <w:lvl w:ilvl="0" w:tplc="2ABA7D34">
      <w:start w:val="1"/>
      <w:numFmt w:val="bullet"/>
      <w:lvlText w:val=""/>
      <w:lvlJc w:val="left"/>
      <w:pPr>
        <w:ind w:left="720" w:hanging="360"/>
      </w:pPr>
      <w:rPr>
        <w:rFonts w:ascii="Symbol" w:hAnsi="Symbol" w:hint="default"/>
      </w:rPr>
    </w:lvl>
    <w:lvl w:ilvl="1" w:tplc="AD144B86">
      <w:start w:val="1"/>
      <w:numFmt w:val="bullet"/>
      <w:lvlText w:val="o"/>
      <w:lvlJc w:val="left"/>
      <w:pPr>
        <w:ind w:left="1440" w:hanging="360"/>
      </w:pPr>
      <w:rPr>
        <w:rFonts w:ascii="Courier New" w:hAnsi="Courier New" w:hint="default"/>
      </w:rPr>
    </w:lvl>
    <w:lvl w:ilvl="2" w:tplc="B8FAFE7E">
      <w:start w:val="1"/>
      <w:numFmt w:val="bullet"/>
      <w:lvlText w:val=""/>
      <w:lvlJc w:val="left"/>
      <w:pPr>
        <w:ind w:left="2160" w:hanging="360"/>
      </w:pPr>
      <w:rPr>
        <w:rFonts w:ascii="Wingdings" w:hAnsi="Wingdings" w:hint="default"/>
      </w:rPr>
    </w:lvl>
    <w:lvl w:ilvl="3" w:tplc="C88882AA">
      <w:start w:val="1"/>
      <w:numFmt w:val="bullet"/>
      <w:lvlText w:val=""/>
      <w:lvlJc w:val="left"/>
      <w:pPr>
        <w:ind w:left="2880" w:hanging="360"/>
      </w:pPr>
      <w:rPr>
        <w:rFonts w:ascii="Symbol" w:hAnsi="Symbol" w:hint="default"/>
      </w:rPr>
    </w:lvl>
    <w:lvl w:ilvl="4" w:tplc="2854A54E">
      <w:start w:val="1"/>
      <w:numFmt w:val="bullet"/>
      <w:lvlText w:val="o"/>
      <w:lvlJc w:val="left"/>
      <w:pPr>
        <w:ind w:left="3600" w:hanging="360"/>
      </w:pPr>
      <w:rPr>
        <w:rFonts w:ascii="Courier New" w:hAnsi="Courier New" w:hint="default"/>
      </w:rPr>
    </w:lvl>
    <w:lvl w:ilvl="5" w:tplc="19BC8DC8">
      <w:start w:val="1"/>
      <w:numFmt w:val="bullet"/>
      <w:lvlText w:val=""/>
      <w:lvlJc w:val="left"/>
      <w:pPr>
        <w:ind w:left="4320" w:hanging="360"/>
      </w:pPr>
      <w:rPr>
        <w:rFonts w:ascii="Wingdings" w:hAnsi="Wingdings" w:hint="default"/>
      </w:rPr>
    </w:lvl>
    <w:lvl w:ilvl="6" w:tplc="C2E4549C">
      <w:start w:val="1"/>
      <w:numFmt w:val="bullet"/>
      <w:lvlText w:val=""/>
      <w:lvlJc w:val="left"/>
      <w:pPr>
        <w:ind w:left="5040" w:hanging="360"/>
      </w:pPr>
      <w:rPr>
        <w:rFonts w:ascii="Symbol" w:hAnsi="Symbol" w:hint="default"/>
      </w:rPr>
    </w:lvl>
    <w:lvl w:ilvl="7" w:tplc="557A9274">
      <w:start w:val="1"/>
      <w:numFmt w:val="bullet"/>
      <w:lvlText w:val="o"/>
      <w:lvlJc w:val="left"/>
      <w:pPr>
        <w:ind w:left="5760" w:hanging="360"/>
      </w:pPr>
      <w:rPr>
        <w:rFonts w:ascii="Courier New" w:hAnsi="Courier New" w:hint="default"/>
      </w:rPr>
    </w:lvl>
    <w:lvl w:ilvl="8" w:tplc="D8C827FC">
      <w:start w:val="1"/>
      <w:numFmt w:val="bullet"/>
      <w:lvlText w:val=""/>
      <w:lvlJc w:val="left"/>
      <w:pPr>
        <w:ind w:left="6480" w:hanging="360"/>
      </w:pPr>
      <w:rPr>
        <w:rFonts w:ascii="Wingdings" w:hAnsi="Wingdings" w:hint="default"/>
      </w:rPr>
    </w:lvl>
  </w:abstractNum>
  <w:abstractNum w:abstractNumId="7" w15:restartNumberingAfterBreak="0">
    <w:nsid w:val="1DD65D09"/>
    <w:multiLevelType w:val="hybridMultilevel"/>
    <w:tmpl w:val="452E6C8A"/>
    <w:lvl w:ilvl="0" w:tplc="FFFFFFFF">
      <w:start w:val="1"/>
      <w:numFmt w:val="lowerLetter"/>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4D5C1B"/>
    <w:multiLevelType w:val="hybridMultilevel"/>
    <w:tmpl w:val="297CF698"/>
    <w:lvl w:ilvl="0" w:tplc="C94AB8B8">
      <w:start w:val="1"/>
      <w:numFmt w:val="bullet"/>
      <w:lvlText w:val=""/>
      <w:lvlJc w:val="left"/>
      <w:pPr>
        <w:ind w:left="720" w:hanging="360"/>
      </w:pPr>
      <w:rPr>
        <w:rFonts w:ascii="Symbol" w:hAnsi="Symbol" w:hint="default"/>
      </w:rPr>
    </w:lvl>
    <w:lvl w:ilvl="1" w:tplc="06008A8C">
      <w:start w:val="1"/>
      <w:numFmt w:val="bullet"/>
      <w:lvlText w:val="o"/>
      <w:lvlJc w:val="left"/>
      <w:pPr>
        <w:ind w:left="1440" w:hanging="360"/>
      </w:pPr>
      <w:rPr>
        <w:rFonts w:ascii="Courier New" w:hAnsi="Courier New" w:hint="default"/>
      </w:rPr>
    </w:lvl>
    <w:lvl w:ilvl="2" w:tplc="82CC3522">
      <w:start w:val="1"/>
      <w:numFmt w:val="bullet"/>
      <w:lvlText w:val=""/>
      <w:lvlJc w:val="left"/>
      <w:pPr>
        <w:ind w:left="2160" w:hanging="360"/>
      </w:pPr>
      <w:rPr>
        <w:rFonts w:ascii="Wingdings" w:hAnsi="Wingdings" w:hint="default"/>
      </w:rPr>
    </w:lvl>
    <w:lvl w:ilvl="3" w:tplc="C24C8B1E">
      <w:start w:val="1"/>
      <w:numFmt w:val="bullet"/>
      <w:lvlText w:val=""/>
      <w:lvlJc w:val="left"/>
      <w:pPr>
        <w:ind w:left="2880" w:hanging="360"/>
      </w:pPr>
      <w:rPr>
        <w:rFonts w:ascii="Symbol" w:hAnsi="Symbol" w:hint="default"/>
      </w:rPr>
    </w:lvl>
    <w:lvl w:ilvl="4" w:tplc="9F56260E">
      <w:start w:val="1"/>
      <w:numFmt w:val="bullet"/>
      <w:lvlText w:val="o"/>
      <w:lvlJc w:val="left"/>
      <w:pPr>
        <w:ind w:left="3600" w:hanging="360"/>
      </w:pPr>
      <w:rPr>
        <w:rFonts w:ascii="Courier New" w:hAnsi="Courier New" w:hint="default"/>
      </w:rPr>
    </w:lvl>
    <w:lvl w:ilvl="5" w:tplc="43EE65A0">
      <w:start w:val="1"/>
      <w:numFmt w:val="bullet"/>
      <w:lvlText w:val=""/>
      <w:lvlJc w:val="left"/>
      <w:pPr>
        <w:ind w:left="4320" w:hanging="360"/>
      </w:pPr>
      <w:rPr>
        <w:rFonts w:ascii="Wingdings" w:hAnsi="Wingdings" w:hint="default"/>
      </w:rPr>
    </w:lvl>
    <w:lvl w:ilvl="6" w:tplc="36D4C6AA">
      <w:start w:val="1"/>
      <w:numFmt w:val="bullet"/>
      <w:lvlText w:val=""/>
      <w:lvlJc w:val="left"/>
      <w:pPr>
        <w:ind w:left="5040" w:hanging="360"/>
      </w:pPr>
      <w:rPr>
        <w:rFonts w:ascii="Symbol" w:hAnsi="Symbol" w:hint="default"/>
      </w:rPr>
    </w:lvl>
    <w:lvl w:ilvl="7" w:tplc="0600A4BA">
      <w:start w:val="1"/>
      <w:numFmt w:val="bullet"/>
      <w:lvlText w:val="o"/>
      <w:lvlJc w:val="left"/>
      <w:pPr>
        <w:ind w:left="5760" w:hanging="360"/>
      </w:pPr>
      <w:rPr>
        <w:rFonts w:ascii="Courier New" w:hAnsi="Courier New" w:hint="default"/>
      </w:rPr>
    </w:lvl>
    <w:lvl w:ilvl="8" w:tplc="EE0E3982">
      <w:start w:val="1"/>
      <w:numFmt w:val="bullet"/>
      <w:lvlText w:val=""/>
      <w:lvlJc w:val="left"/>
      <w:pPr>
        <w:ind w:left="6480" w:hanging="360"/>
      </w:pPr>
      <w:rPr>
        <w:rFonts w:ascii="Wingdings" w:hAnsi="Wingdings" w:hint="default"/>
      </w:rPr>
    </w:lvl>
  </w:abstractNum>
  <w:abstractNum w:abstractNumId="10" w15:restartNumberingAfterBreak="0">
    <w:nsid w:val="284B6F57"/>
    <w:multiLevelType w:val="hybridMultilevel"/>
    <w:tmpl w:val="452E6C8A"/>
    <w:lvl w:ilvl="0" w:tplc="FFFFFFFF">
      <w:start w:val="1"/>
      <w:numFmt w:val="lowerLetter"/>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1" w15:restartNumberingAfterBreak="0">
    <w:nsid w:val="2B092C01"/>
    <w:multiLevelType w:val="multilevel"/>
    <w:tmpl w:val="04070023"/>
    <w:styleLink w:val="ArticleSection"/>
    <w:lvl w:ilvl="0">
      <w:start w:val="1"/>
      <w:numFmt w:val="upperRoman"/>
      <w:lvlText w:val="Article %1."/>
      <w:lvlJc w:val="left"/>
      <w:pPr>
        <w:ind w:left="0" w:firstLine="0"/>
      </w:pPr>
    </w:lvl>
    <w:lvl w:ilvl="1">
      <w:start w:val="1"/>
      <w:numFmt w:val="decima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5"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2F860B72"/>
    <w:multiLevelType w:val="hybridMultilevel"/>
    <w:tmpl w:val="FFFFFFFF"/>
    <w:lvl w:ilvl="0" w:tplc="71E0109A">
      <w:start w:val="1"/>
      <w:numFmt w:val="lowerLetter"/>
      <w:lvlText w:val="(%1)"/>
      <w:lvlJc w:val="left"/>
      <w:pPr>
        <w:ind w:left="720" w:hanging="360"/>
      </w:pPr>
    </w:lvl>
    <w:lvl w:ilvl="1" w:tplc="5EDC7E96">
      <w:start w:val="1"/>
      <w:numFmt w:val="lowerLetter"/>
      <w:lvlText w:val="%2."/>
      <w:lvlJc w:val="left"/>
      <w:pPr>
        <w:ind w:left="1440" w:hanging="360"/>
      </w:pPr>
    </w:lvl>
    <w:lvl w:ilvl="2" w:tplc="E6DE7170">
      <w:start w:val="1"/>
      <w:numFmt w:val="lowerRoman"/>
      <w:lvlText w:val="%3."/>
      <w:lvlJc w:val="right"/>
      <w:pPr>
        <w:ind w:left="2160" w:hanging="180"/>
      </w:pPr>
    </w:lvl>
    <w:lvl w:ilvl="3" w:tplc="607E2778">
      <w:start w:val="1"/>
      <w:numFmt w:val="decimal"/>
      <w:lvlText w:val="%4."/>
      <w:lvlJc w:val="left"/>
      <w:pPr>
        <w:ind w:left="2880" w:hanging="360"/>
      </w:pPr>
    </w:lvl>
    <w:lvl w:ilvl="4" w:tplc="AD507864">
      <w:start w:val="1"/>
      <w:numFmt w:val="lowerLetter"/>
      <w:lvlText w:val="%5."/>
      <w:lvlJc w:val="left"/>
      <w:pPr>
        <w:ind w:left="3600" w:hanging="360"/>
      </w:pPr>
    </w:lvl>
    <w:lvl w:ilvl="5" w:tplc="21505BE8">
      <w:start w:val="1"/>
      <w:numFmt w:val="lowerRoman"/>
      <w:lvlText w:val="%6."/>
      <w:lvlJc w:val="right"/>
      <w:pPr>
        <w:ind w:left="4320" w:hanging="180"/>
      </w:pPr>
    </w:lvl>
    <w:lvl w:ilvl="6" w:tplc="5C9C3DAE">
      <w:start w:val="1"/>
      <w:numFmt w:val="decimal"/>
      <w:lvlText w:val="%7."/>
      <w:lvlJc w:val="left"/>
      <w:pPr>
        <w:ind w:left="5040" w:hanging="360"/>
      </w:pPr>
    </w:lvl>
    <w:lvl w:ilvl="7" w:tplc="863AD166">
      <w:start w:val="1"/>
      <w:numFmt w:val="lowerLetter"/>
      <w:lvlText w:val="%8."/>
      <w:lvlJc w:val="left"/>
      <w:pPr>
        <w:ind w:left="5760" w:hanging="360"/>
      </w:pPr>
    </w:lvl>
    <w:lvl w:ilvl="8" w:tplc="DB120156">
      <w:start w:val="1"/>
      <w:numFmt w:val="lowerRoman"/>
      <w:lvlText w:val="%9."/>
      <w:lvlJc w:val="right"/>
      <w:pPr>
        <w:ind w:left="6480" w:hanging="180"/>
      </w:pPr>
    </w:lvl>
  </w:abstractNum>
  <w:abstractNum w:abstractNumId="17"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8"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405537EC"/>
    <w:multiLevelType w:val="multilevel"/>
    <w:tmpl w:val="29CA718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1" w15:restartNumberingAfterBreak="0">
    <w:nsid w:val="42BC6A30"/>
    <w:multiLevelType w:val="hybridMultilevel"/>
    <w:tmpl w:val="05AACBCA"/>
    <w:lvl w:ilvl="0" w:tplc="A50422BC">
      <w:start w:val="1"/>
      <w:numFmt w:val="lowerLetter"/>
      <w:lvlText w:val="(%1)"/>
      <w:lvlJc w:val="left"/>
      <w:pPr>
        <w:ind w:left="1353" w:hanging="360"/>
      </w:pPr>
    </w:lvl>
    <w:lvl w:ilvl="1" w:tplc="18090019" w:tentative="1">
      <w:start w:val="1"/>
      <w:numFmt w:val="lowerLetter"/>
      <w:lvlText w:val="%2."/>
      <w:lvlJc w:val="left"/>
      <w:pPr>
        <w:ind w:left="2073" w:hanging="360"/>
      </w:pPr>
    </w:lvl>
    <w:lvl w:ilvl="2" w:tplc="1809001B" w:tentative="1">
      <w:start w:val="1"/>
      <w:numFmt w:val="lowerRoman"/>
      <w:lvlText w:val="%3."/>
      <w:lvlJc w:val="right"/>
      <w:pPr>
        <w:ind w:left="2793" w:hanging="180"/>
      </w:pPr>
    </w:lvl>
    <w:lvl w:ilvl="3" w:tplc="1809000F" w:tentative="1">
      <w:start w:val="1"/>
      <w:numFmt w:val="decimal"/>
      <w:lvlText w:val="%4."/>
      <w:lvlJc w:val="left"/>
      <w:pPr>
        <w:ind w:left="3513" w:hanging="360"/>
      </w:pPr>
    </w:lvl>
    <w:lvl w:ilvl="4" w:tplc="18090019" w:tentative="1">
      <w:start w:val="1"/>
      <w:numFmt w:val="lowerLetter"/>
      <w:lvlText w:val="%5."/>
      <w:lvlJc w:val="left"/>
      <w:pPr>
        <w:ind w:left="4233" w:hanging="360"/>
      </w:pPr>
    </w:lvl>
    <w:lvl w:ilvl="5" w:tplc="1809001B" w:tentative="1">
      <w:start w:val="1"/>
      <w:numFmt w:val="lowerRoman"/>
      <w:lvlText w:val="%6."/>
      <w:lvlJc w:val="right"/>
      <w:pPr>
        <w:ind w:left="4953" w:hanging="180"/>
      </w:pPr>
    </w:lvl>
    <w:lvl w:ilvl="6" w:tplc="1809000F" w:tentative="1">
      <w:start w:val="1"/>
      <w:numFmt w:val="decimal"/>
      <w:lvlText w:val="%7."/>
      <w:lvlJc w:val="left"/>
      <w:pPr>
        <w:ind w:left="5673" w:hanging="360"/>
      </w:pPr>
    </w:lvl>
    <w:lvl w:ilvl="7" w:tplc="18090019" w:tentative="1">
      <w:start w:val="1"/>
      <w:numFmt w:val="lowerLetter"/>
      <w:lvlText w:val="%8."/>
      <w:lvlJc w:val="left"/>
      <w:pPr>
        <w:ind w:left="6393" w:hanging="360"/>
      </w:pPr>
    </w:lvl>
    <w:lvl w:ilvl="8" w:tplc="1809001B" w:tentative="1">
      <w:start w:val="1"/>
      <w:numFmt w:val="lowerRoman"/>
      <w:lvlText w:val="%9."/>
      <w:lvlJc w:val="right"/>
      <w:pPr>
        <w:ind w:left="7113" w:hanging="180"/>
      </w:pPr>
    </w:lvl>
  </w:abstractNum>
  <w:abstractNum w:abstractNumId="2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3"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47F66C4D"/>
    <w:multiLevelType w:val="multilevel"/>
    <w:tmpl w:val="1F22DE4E"/>
    <w:styleLink w:val="CurrentList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0E2180"/>
    <w:multiLevelType w:val="hybridMultilevel"/>
    <w:tmpl w:val="0E88E348"/>
    <w:lvl w:ilvl="0" w:tplc="EADEDB98">
      <w:start w:val="1"/>
      <w:numFmt w:val="bullet"/>
      <w:lvlText w:val=""/>
      <w:lvlJc w:val="left"/>
      <w:pPr>
        <w:ind w:left="720" w:hanging="360"/>
      </w:pPr>
      <w:rPr>
        <w:rFonts w:ascii="Symbol" w:hAnsi="Symbol" w:hint="default"/>
      </w:rPr>
    </w:lvl>
    <w:lvl w:ilvl="1" w:tplc="DED4FB2A">
      <w:start w:val="1"/>
      <w:numFmt w:val="bullet"/>
      <w:lvlText w:val="o"/>
      <w:lvlJc w:val="left"/>
      <w:pPr>
        <w:ind w:left="1440" w:hanging="360"/>
      </w:pPr>
      <w:rPr>
        <w:rFonts w:ascii="Courier New" w:hAnsi="Courier New" w:hint="default"/>
      </w:rPr>
    </w:lvl>
    <w:lvl w:ilvl="2" w:tplc="3E5A6696">
      <w:start w:val="1"/>
      <w:numFmt w:val="bullet"/>
      <w:lvlText w:val=""/>
      <w:lvlJc w:val="left"/>
      <w:pPr>
        <w:ind w:left="2160" w:hanging="360"/>
      </w:pPr>
      <w:rPr>
        <w:rFonts w:ascii="Wingdings" w:hAnsi="Wingdings" w:hint="default"/>
      </w:rPr>
    </w:lvl>
    <w:lvl w:ilvl="3" w:tplc="14600CE4">
      <w:start w:val="1"/>
      <w:numFmt w:val="bullet"/>
      <w:lvlText w:val=""/>
      <w:lvlJc w:val="left"/>
      <w:pPr>
        <w:ind w:left="2880" w:hanging="360"/>
      </w:pPr>
      <w:rPr>
        <w:rFonts w:ascii="Symbol" w:hAnsi="Symbol" w:hint="default"/>
      </w:rPr>
    </w:lvl>
    <w:lvl w:ilvl="4" w:tplc="F508E290">
      <w:start w:val="1"/>
      <w:numFmt w:val="bullet"/>
      <w:lvlText w:val="o"/>
      <w:lvlJc w:val="left"/>
      <w:pPr>
        <w:ind w:left="3600" w:hanging="360"/>
      </w:pPr>
      <w:rPr>
        <w:rFonts w:ascii="Courier New" w:hAnsi="Courier New" w:hint="default"/>
      </w:rPr>
    </w:lvl>
    <w:lvl w:ilvl="5" w:tplc="29BA31EC">
      <w:start w:val="1"/>
      <w:numFmt w:val="bullet"/>
      <w:lvlText w:val=""/>
      <w:lvlJc w:val="left"/>
      <w:pPr>
        <w:ind w:left="4320" w:hanging="360"/>
      </w:pPr>
      <w:rPr>
        <w:rFonts w:ascii="Wingdings" w:hAnsi="Wingdings" w:hint="default"/>
      </w:rPr>
    </w:lvl>
    <w:lvl w:ilvl="6" w:tplc="7AE66270">
      <w:start w:val="1"/>
      <w:numFmt w:val="bullet"/>
      <w:lvlText w:val=""/>
      <w:lvlJc w:val="left"/>
      <w:pPr>
        <w:ind w:left="5040" w:hanging="360"/>
      </w:pPr>
      <w:rPr>
        <w:rFonts w:ascii="Symbol" w:hAnsi="Symbol" w:hint="default"/>
      </w:rPr>
    </w:lvl>
    <w:lvl w:ilvl="7" w:tplc="C674EDDC">
      <w:start w:val="1"/>
      <w:numFmt w:val="bullet"/>
      <w:lvlText w:val="o"/>
      <w:lvlJc w:val="left"/>
      <w:pPr>
        <w:ind w:left="5760" w:hanging="360"/>
      </w:pPr>
      <w:rPr>
        <w:rFonts w:ascii="Courier New" w:hAnsi="Courier New" w:hint="default"/>
      </w:rPr>
    </w:lvl>
    <w:lvl w:ilvl="8" w:tplc="CA86353E">
      <w:start w:val="1"/>
      <w:numFmt w:val="bullet"/>
      <w:lvlText w:val=""/>
      <w:lvlJc w:val="left"/>
      <w:pPr>
        <w:ind w:left="6480" w:hanging="360"/>
      </w:pPr>
      <w:rPr>
        <w:rFonts w:ascii="Wingdings" w:hAnsi="Wingdings" w:hint="default"/>
      </w:rPr>
    </w:lvl>
  </w:abstractNum>
  <w:abstractNum w:abstractNumId="27" w15:restartNumberingAfterBreak="0">
    <w:nsid w:val="481A7089"/>
    <w:multiLevelType w:val="hybridMultilevel"/>
    <w:tmpl w:val="BE065CC2"/>
    <w:lvl w:ilvl="0" w:tplc="09D8091E">
      <w:start w:val="1"/>
      <w:numFmt w:val="bullet"/>
      <w:lvlText w:val=""/>
      <w:lvlJc w:val="left"/>
      <w:pPr>
        <w:ind w:left="720" w:hanging="360"/>
      </w:pPr>
      <w:rPr>
        <w:rFonts w:ascii="Symbol" w:hAnsi="Symbol" w:hint="default"/>
      </w:rPr>
    </w:lvl>
    <w:lvl w:ilvl="1" w:tplc="2C46EEC4">
      <w:start w:val="1"/>
      <w:numFmt w:val="bullet"/>
      <w:lvlText w:val="o"/>
      <w:lvlJc w:val="left"/>
      <w:pPr>
        <w:ind w:left="1440" w:hanging="360"/>
      </w:pPr>
      <w:rPr>
        <w:rFonts w:ascii="Courier New" w:hAnsi="Courier New" w:hint="default"/>
      </w:rPr>
    </w:lvl>
    <w:lvl w:ilvl="2" w:tplc="9446B6DC">
      <w:start w:val="1"/>
      <w:numFmt w:val="bullet"/>
      <w:lvlText w:val=""/>
      <w:lvlJc w:val="left"/>
      <w:pPr>
        <w:ind w:left="2160" w:hanging="360"/>
      </w:pPr>
      <w:rPr>
        <w:rFonts w:ascii="Wingdings" w:hAnsi="Wingdings" w:hint="default"/>
      </w:rPr>
    </w:lvl>
    <w:lvl w:ilvl="3" w:tplc="A55058CE">
      <w:start w:val="1"/>
      <w:numFmt w:val="bullet"/>
      <w:lvlText w:val=""/>
      <w:lvlJc w:val="left"/>
      <w:pPr>
        <w:ind w:left="2880" w:hanging="360"/>
      </w:pPr>
      <w:rPr>
        <w:rFonts w:ascii="Symbol" w:hAnsi="Symbol" w:hint="default"/>
      </w:rPr>
    </w:lvl>
    <w:lvl w:ilvl="4" w:tplc="3F0C0A38">
      <w:start w:val="1"/>
      <w:numFmt w:val="bullet"/>
      <w:lvlText w:val="o"/>
      <w:lvlJc w:val="left"/>
      <w:pPr>
        <w:ind w:left="3600" w:hanging="360"/>
      </w:pPr>
      <w:rPr>
        <w:rFonts w:ascii="Courier New" w:hAnsi="Courier New" w:hint="default"/>
      </w:rPr>
    </w:lvl>
    <w:lvl w:ilvl="5" w:tplc="6C8A7E0C">
      <w:start w:val="1"/>
      <w:numFmt w:val="bullet"/>
      <w:lvlText w:val=""/>
      <w:lvlJc w:val="left"/>
      <w:pPr>
        <w:ind w:left="4320" w:hanging="360"/>
      </w:pPr>
      <w:rPr>
        <w:rFonts w:ascii="Wingdings" w:hAnsi="Wingdings" w:hint="default"/>
      </w:rPr>
    </w:lvl>
    <w:lvl w:ilvl="6" w:tplc="33E2D07C">
      <w:start w:val="1"/>
      <w:numFmt w:val="bullet"/>
      <w:lvlText w:val=""/>
      <w:lvlJc w:val="left"/>
      <w:pPr>
        <w:ind w:left="5040" w:hanging="360"/>
      </w:pPr>
      <w:rPr>
        <w:rFonts w:ascii="Symbol" w:hAnsi="Symbol" w:hint="default"/>
      </w:rPr>
    </w:lvl>
    <w:lvl w:ilvl="7" w:tplc="9CA26A4A">
      <w:start w:val="1"/>
      <w:numFmt w:val="bullet"/>
      <w:lvlText w:val="o"/>
      <w:lvlJc w:val="left"/>
      <w:pPr>
        <w:ind w:left="5760" w:hanging="360"/>
      </w:pPr>
      <w:rPr>
        <w:rFonts w:ascii="Courier New" w:hAnsi="Courier New" w:hint="default"/>
      </w:rPr>
    </w:lvl>
    <w:lvl w:ilvl="8" w:tplc="F372E296">
      <w:start w:val="1"/>
      <w:numFmt w:val="bullet"/>
      <w:lvlText w:val=""/>
      <w:lvlJc w:val="left"/>
      <w:pPr>
        <w:ind w:left="6480" w:hanging="360"/>
      </w:pPr>
      <w:rPr>
        <w:rFonts w:ascii="Wingdings" w:hAnsi="Wingdings" w:hint="default"/>
      </w:rPr>
    </w:lvl>
  </w:abstractNum>
  <w:abstractNum w:abstractNumId="28"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9" w15:restartNumberingAfterBreak="0">
    <w:nsid w:val="4BF8152A"/>
    <w:multiLevelType w:val="hybridMultilevel"/>
    <w:tmpl w:val="0BF88BB8"/>
    <w:lvl w:ilvl="0" w:tplc="B0F4FDF4">
      <w:start w:val="1"/>
      <w:numFmt w:val="bullet"/>
      <w:lvlText w:val=""/>
      <w:lvlJc w:val="left"/>
      <w:pPr>
        <w:ind w:left="720" w:hanging="360"/>
      </w:pPr>
      <w:rPr>
        <w:rFonts w:ascii="Symbol" w:hAnsi="Symbol" w:hint="default"/>
      </w:rPr>
    </w:lvl>
    <w:lvl w:ilvl="1" w:tplc="08920262">
      <w:start w:val="1"/>
      <w:numFmt w:val="bullet"/>
      <w:lvlText w:val="o"/>
      <w:lvlJc w:val="left"/>
      <w:pPr>
        <w:ind w:left="1440" w:hanging="360"/>
      </w:pPr>
      <w:rPr>
        <w:rFonts w:ascii="Courier New" w:hAnsi="Courier New" w:hint="default"/>
      </w:rPr>
    </w:lvl>
    <w:lvl w:ilvl="2" w:tplc="EA60F2CE">
      <w:start w:val="1"/>
      <w:numFmt w:val="bullet"/>
      <w:lvlText w:val=""/>
      <w:lvlJc w:val="left"/>
      <w:pPr>
        <w:ind w:left="2160" w:hanging="360"/>
      </w:pPr>
      <w:rPr>
        <w:rFonts w:ascii="Wingdings" w:hAnsi="Wingdings" w:hint="default"/>
      </w:rPr>
    </w:lvl>
    <w:lvl w:ilvl="3" w:tplc="81425DAA">
      <w:start w:val="1"/>
      <w:numFmt w:val="bullet"/>
      <w:lvlText w:val=""/>
      <w:lvlJc w:val="left"/>
      <w:pPr>
        <w:ind w:left="2880" w:hanging="360"/>
      </w:pPr>
      <w:rPr>
        <w:rFonts w:ascii="Symbol" w:hAnsi="Symbol" w:hint="default"/>
      </w:rPr>
    </w:lvl>
    <w:lvl w:ilvl="4" w:tplc="9D7E59F8">
      <w:start w:val="1"/>
      <w:numFmt w:val="bullet"/>
      <w:lvlText w:val="o"/>
      <w:lvlJc w:val="left"/>
      <w:pPr>
        <w:ind w:left="3600" w:hanging="360"/>
      </w:pPr>
      <w:rPr>
        <w:rFonts w:ascii="Courier New" w:hAnsi="Courier New" w:hint="default"/>
      </w:rPr>
    </w:lvl>
    <w:lvl w:ilvl="5" w:tplc="EF9A8E36">
      <w:start w:val="1"/>
      <w:numFmt w:val="bullet"/>
      <w:lvlText w:val=""/>
      <w:lvlJc w:val="left"/>
      <w:pPr>
        <w:ind w:left="4320" w:hanging="360"/>
      </w:pPr>
      <w:rPr>
        <w:rFonts w:ascii="Wingdings" w:hAnsi="Wingdings" w:hint="default"/>
      </w:rPr>
    </w:lvl>
    <w:lvl w:ilvl="6" w:tplc="28DA90DC">
      <w:start w:val="1"/>
      <w:numFmt w:val="bullet"/>
      <w:lvlText w:val=""/>
      <w:lvlJc w:val="left"/>
      <w:pPr>
        <w:ind w:left="5040" w:hanging="360"/>
      </w:pPr>
      <w:rPr>
        <w:rFonts w:ascii="Symbol" w:hAnsi="Symbol" w:hint="default"/>
      </w:rPr>
    </w:lvl>
    <w:lvl w:ilvl="7" w:tplc="E8ACAFDC">
      <w:start w:val="1"/>
      <w:numFmt w:val="bullet"/>
      <w:lvlText w:val="o"/>
      <w:lvlJc w:val="left"/>
      <w:pPr>
        <w:ind w:left="5760" w:hanging="360"/>
      </w:pPr>
      <w:rPr>
        <w:rFonts w:ascii="Courier New" w:hAnsi="Courier New" w:hint="default"/>
      </w:rPr>
    </w:lvl>
    <w:lvl w:ilvl="8" w:tplc="2B7819B2">
      <w:start w:val="1"/>
      <w:numFmt w:val="bullet"/>
      <w:lvlText w:val=""/>
      <w:lvlJc w:val="left"/>
      <w:pPr>
        <w:ind w:left="6480" w:hanging="360"/>
      </w:pPr>
      <w:rPr>
        <w:rFonts w:ascii="Wingdings" w:hAnsi="Wingdings" w:hint="default"/>
      </w:rPr>
    </w:lvl>
  </w:abstractNum>
  <w:abstractNum w:abstractNumId="30"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31" w15:restartNumberingAfterBreak="0">
    <w:nsid w:val="4D4D42B3"/>
    <w:multiLevelType w:val="hybridMultilevel"/>
    <w:tmpl w:val="452E6C8A"/>
    <w:lvl w:ilvl="0" w:tplc="FFFFFFFF">
      <w:start w:val="1"/>
      <w:numFmt w:val="lowerLetter"/>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2"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4"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35"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6"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8" w15:restartNumberingAfterBreak="0">
    <w:nsid w:val="5DB8ECC0"/>
    <w:multiLevelType w:val="hybridMultilevel"/>
    <w:tmpl w:val="2D16E97C"/>
    <w:lvl w:ilvl="0" w:tplc="C77208DE">
      <w:start w:val="1"/>
      <w:numFmt w:val="bullet"/>
      <w:lvlText w:val=""/>
      <w:lvlJc w:val="left"/>
      <w:pPr>
        <w:ind w:left="720" w:hanging="360"/>
      </w:pPr>
      <w:rPr>
        <w:rFonts w:ascii="Symbol" w:hAnsi="Symbol" w:hint="default"/>
      </w:rPr>
    </w:lvl>
    <w:lvl w:ilvl="1" w:tplc="B0ECE0B8">
      <w:start w:val="1"/>
      <w:numFmt w:val="bullet"/>
      <w:lvlText w:val="o"/>
      <w:lvlJc w:val="left"/>
      <w:pPr>
        <w:ind w:left="1440" w:hanging="360"/>
      </w:pPr>
      <w:rPr>
        <w:rFonts w:ascii="Courier New" w:hAnsi="Courier New" w:hint="default"/>
      </w:rPr>
    </w:lvl>
    <w:lvl w:ilvl="2" w:tplc="A2DC55A8">
      <w:start w:val="1"/>
      <w:numFmt w:val="bullet"/>
      <w:lvlText w:val=""/>
      <w:lvlJc w:val="left"/>
      <w:pPr>
        <w:ind w:left="2160" w:hanging="360"/>
      </w:pPr>
      <w:rPr>
        <w:rFonts w:ascii="Wingdings" w:hAnsi="Wingdings" w:hint="default"/>
      </w:rPr>
    </w:lvl>
    <w:lvl w:ilvl="3" w:tplc="8432F19E">
      <w:start w:val="1"/>
      <w:numFmt w:val="bullet"/>
      <w:lvlText w:val=""/>
      <w:lvlJc w:val="left"/>
      <w:pPr>
        <w:ind w:left="2880" w:hanging="360"/>
      </w:pPr>
      <w:rPr>
        <w:rFonts w:ascii="Symbol" w:hAnsi="Symbol" w:hint="default"/>
      </w:rPr>
    </w:lvl>
    <w:lvl w:ilvl="4" w:tplc="DDE66C2A">
      <w:start w:val="1"/>
      <w:numFmt w:val="bullet"/>
      <w:lvlText w:val="o"/>
      <w:lvlJc w:val="left"/>
      <w:pPr>
        <w:ind w:left="3600" w:hanging="360"/>
      </w:pPr>
      <w:rPr>
        <w:rFonts w:ascii="Courier New" w:hAnsi="Courier New" w:hint="default"/>
      </w:rPr>
    </w:lvl>
    <w:lvl w:ilvl="5" w:tplc="1BE0ACD4">
      <w:start w:val="1"/>
      <w:numFmt w:val="bullet"/>
      <w:lvlText w:val=""/>
      <w:lvlJc w:val="left"/>
      <w:pPr>
        <w:ind w:left="4320" w:hanging="360"/>
      </w:pPr>
      <w:rPr>
        <w:rFonts w:ascii="Wingdings" w:hAnsi="Wingdings" w:hint="default"/>
      </w:rPr>
    </w:lvl>
    <w:lvl w:ilvl="6" w:tplc="C542170C">
      <w:start w:val="1"/>
      <w:numFmt w:val="bullet"/>
      <w:lvlText w:val=""/>
      <w:lvlJc w:val="left"/>
      <w:pPr>
        <w:ind w:left="5040" w:hanging="360"/>
      </w:pPr>
      <w:rPr>
        <w:rFonts w:ascii="Symbol" w:hAnsi="Symbol" w:hint="default"/>
      </w:rPr>
    </w:lvl>
    <w:lvl w:ilvl="7" w:tplc="860855E8">
      <w:start w:val="1"/>
      <w:numFmt w:val="bullet"/>
      <w:lvlText w:val="o"/>
      <w:lvlJc w:val="left"/>
      <w:pPr>
        <w:ind w:left="5760" w:hanging="360"/>
      </w:pPr>
      <w:rPr>
        <w:rFonts w:ascii="Courier New" w:hAnsi="Courier New" w:hint="default"/>
      </w:rPr>
    </w:lvl>
    <w:lvl w:ilvl="8" w:tplc="09BCDD9E">
      <w:start w:val="1"/>
      <w:numFmt w:val="bullet"/>
      <w:lvlText w:val=""/>
      <w:lvlJc w:val="left"/>
      <w:pPr>
        <w:ind w:left="6480" w:hanging="360"/>
      </w:pPr>
      <w:rPr>
        <w:rFonts w:ascii="Wingdings" w:hAnsi="Wingdings" w:hint="default"/>
      </w:rPr>
    </w:lvl>
  </w:abstractNum>
  <w:abstractNum w:abstractNumId="39"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40" w15:restartNumberingAfterBreak="0">
    <w:nsid w:val="5EC57DBE"/>
    <w:multiLevelType w:val="hybridMultilevel"/>
    <w:tmpl w:val="13D8A464"/>
    <w:lvl w:ilvl="0" w:tplc="F49EE298">
      <w:start w:val="3"/>
      <w:numFmt w:val="bullet"/>
      <w:lvlText w:val="-"/>
      <w:lvlJc w:val="left"/>
      <w:pPr>
        <w:ind w:left="720" w:hanging="360"/>
      </w:pPr>
      <w:rPr>
        <w:rFonts w:ascii="Times New Roman" w:hAnsi="Times New Roman" w:hint="default"/>
      </w:rPr>
    </w:lvl>
    <w:lvl w:ilvl="1" w:tplc="7076C520" w:tentative="1">
      <w:start w:val="1"/>
      <w:numFmt w:val="bullet"/>
      <w:lvlText w:val="o"/>
      <w:lvlJc w:val="left"/>
      <w:pPr>
        <w:ind w:left="1440" w:hanging="360"/>
      </w:pPr>
      <w:rPr>
        <w:rFonts w:ascii="Courier New" w:hAnsi="Courier New" w:hint="default"/>
      </w:rPr>
    </w:lvl>
    <w:lvl w:ilvl="2" w:tplc="D98C77D8" w:tentative="1">
      <w:start w:val="1"/>
      <w:numFmt w:val="bullet"/>
      <w:lvlText w:val=""/>
      <w:lvlJc w:val="left"/>
      <w:pPr>
        <w:ind w:left="2160" w:hanging="360"/>
      </w:pPr>
      <w:rPr>
        <w:rFonts w:ascii="Wingdings" w:hAnsi="Wingdings" w:hint="default"/>
      </w:rPr>
    </w:lvl>
    <w:lvl w:ilvl="3" w:tplc="1E782B38" w:tentative="1">
      <w:start w:val="1"/>
      <w:numFmt w:val="bullet"/>
      <w:lvlText w:val=""/>
      <w:lvlJc w:val="left"/>
      <w:pPr>
        <w:ind w:left="2880" w:hanging="360"/>
      </w:pPr>
      <w:rPr>
        <w:rFonts w:ascii="Symbol" w:hAnsi="Symbol" w:hint="default"/>
      </w:rPr>
    </w:lvl>
    <w:lvl w:ilvl="4" w:tplc="8D987630" w:tentative="1">
      <w:start w:val="1"/>
      <w:numFmt w:val="bullet"/>
      <w:lvlText w:val="o"/>
      <w:lvlJc w:val="left"/>
      <w:pPr>
        <w:ind w:left="3600" w:hanging="360"/>
      </w:pPr>
      <w:rPr>
        <w:rFonts w:ascii="Courier New" w:hAnsi="Courier New" w:hint="default"/>
      </w:rPr>
    </w:lvl>
    <w:lvl w:ilvl="5" w:tplc="90C2E7E6" w:tentative="1">
      <w:start w:val="1"/>
      <w:numFmt w:val="bullet"/>
      <w:lvlText w:val=""/>
      <w:lvlJc w:val="left"/>
      <w:pPr>
        <w:ind w:left="4320" w:hanging="360"/>
      </w:pPr>
      <w:rPr>
        <w:rFonts w:ascii="Wingdings" w:hAnsi="Wingdings" w:hint="default"/>
      </w:rPr>
    </w:lvl>
    <w:lvl w:ilvl="6" w:tplc="F45E5B36" w:tentative="1">
      <w:start w:val="1"/>
      <w:numFmt w:val="bullet"/>
      <w:lvlText w:val=""/>
      <w:lvlJc w:val="left"/>
      <w:pPr>
        <w:ind w:left="5040" w:hanging="360"/>
      </w:pPr>
      <w:rPr>
        <w:rFonts w:ascii="Symbol" w:hAnsi="Symbol" w:hint="default"/>
      </w:rPr>
    </w:lvl>
    <w:lvl w:ilvl="7" w:tplc="9618AA74" w:tentative="1">
      <w:start w:val="1"/>
      <w:numFmt w:val="bullet"/>
      <w:lvlText w:val="o"/>
      <w:lvlJc w:val="left"/>
      <w:pPr>
        <w:ind w:left="5760" w:hanging="360"/>
      </w:pPr>
      <w:rPr>
        <w:rFonts w:ascii="Courier New" w:hAnsi="Courier New" w:hint="default"/>
      </w:rPr>
    </w:lvl>
    <w:lvl w:ilvl="8" w:tplc="9760B204" w:tentative="1">
      <w:start w:val="1"/>
      <w:numFmt w:val="bullet"/>
      <w:lvlText w:val=""/>
      <w:lvlJc w:val="left"/>
      <w:pPr>
        <w:ind w:left="6480" w:hanging="360"/>
      </w:pPr>
      <w:rPr>
        <w:rFonts w:ascii="Wingdings" w:hAnsi="Wingdings" w:hint="default"/>
      </w:rPr>
    </w:lvl>
  </w:abstractNum>
  <w:abstractNum w:abstractNumId="41" w15:restartNumberingAfterBreak="0">
    <w:nsid w:val="632415A2"/>
    <w:multiLevelType w:val="multilevel"/>
    <w:tmpl w:val="68806348"/>
    <w:lvl w:ilvl="0">
      <w:start w:val="1"/>
      <w:numFmt w:val="lowerLetter"/>
      <w:lvlText w:val="%1)"/>
      <w:lvlJc w:val="left"/>
      <w:pPr>
        <w:ind w:left="476" w:hanging="476"/>
      </w:pPr>
      <w:rPr>
        <w:rFonts w:hint="default"/>
      </w:rPr>
    </w:lvl>
    <w:lvl w:ilvl="1">
      <w:start w:val="1"/>
      <w:numFmt w:val="lowerLetter"/>
      <w:lvlText w:val="%2."/>
      <w:lvlJc w:val="left"/>
      <w:pPr>
        <w:ind w:left="953" w:hanging="477"/>
      </w:pPr>
      <w:rPr>
        <w:rFonts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4" w15:restartNumberingAfterBreak="0">
    <w:nsid w:val="6B69579D"/>
    <w:multiLevelType w:val="hybridMultilevel"/>
    <w:tmpl w:val="452E6C8A"/>
    <w:lvl w:ilvl="0" w:tplc="FFFFFFFF">
      <w:start w:val="1"/>
      <w:numFmt w:val="lowerLetter"/>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5" w15:restartNumberingAfterBreak="0">
    <w:nsid w:val="6EB7510E"/>
    <w:multiLevelType w:val="hybridMultilevel"/>
    <w:tmpl w:val="D98EDFF2"/>
    <w:lvl w:ilvl="0" w:tplc="C8420154">
      <w:start w:val="1"/>
      <w:numFmt w:val="bullet"/>
      <w:lvlText w:val=""/>
      <w:lvlJc w:val="left"/>
      <w:pPr>
        <w:ind w:left="720" w:hanging="360"/>
      </w:pPr>
      <w:rPr>
        <w:rFonts w:ascii="Symbol" w:hAnsi="Symbol" w:hint="default"/>
      </w:rPr>
    </w:lvl>
    <w:lvl w:ilvl="1" w:tplc="59E6454A">
      <w:start w:val="1"/>
      <w:numFmt w:val="bullet"/>
      <w:lvlText w:val="o"/>
      <w:lvlJc w:val="left"/>
      <w:pPr>
        <w:ind w:left="1440" w:hanging="360"/>
      </w:pPr>
      <w:rPr>
        <w:rFonts w:ascii="Courier New" w:hAnsi="Courier New" w:hint="default"/>
      </w:rPr>
    </w:lvl>
    <w:lvl w:ilvl="2" w:tplc="B16E7366">
      <w:start w:val="1"/>
      <w:numFmt w:val="bullet"/>
      <w:lvlText w:val=""/>
      <w:lvlJc w:val="left"/>
      <w:pPr>
        <w:ind w:left="2160" w:hanging="360"/>
      </w:pPr>
      <w:rPr>
        <w:rFonts w:ascii="Wingdings" w:hAnsi="Wingdings" w:hint="default"/>
      </w:rPr>
    </w:lvl>
    <w:lvl w:ilvl="3" w:tplc="ABFA1F72">
      <w:start w:val="1"/>
      <w:numFmt w:val="bullet"/>
      <w:lvlText w:val=""/>
      <w:lvlJc w:val="left"/>
      <w:pPr>
        <w:ind w:left="2880" w:hanging="360"/>
      </w:pPr>
      <w:rPr>
        <w:rFonts w:ascii="Symbol" w:hAnsi="Symbol" w:hint="default"/>
      </w:rPr>
    </w:lvl>
    <w:lvl w:ilvl="4" w:tplc="9EC69ECE">
      <w:start w:val="1"/>
      <w:numFmt w:val="bullet"/>
      <w:lvlText w:val="o"/>
      <w:lvlJc w:val="left"/>
      <w:pPr>
        <w:ind w:left="3600" w:hanging="360"/>
      </w:pPr>
      <w:rPr>
        <w:rFonts w:ascii="Courier New" w:hAnsi="Courier New" w:hint="default"/>
      </w:rPr>
    </w:lvl>
    <w:lvl w:ilvl="5" w:tplc="C6D8F794">
      <w:start w:val="1"/>
      <w:numFmt w:val="bullet"/>
      <w:lvlText w:val=""/>
      <w:lvlJc w:val="left"/>
      <w:pPr>
        <w:ind w:left="4320" w:hanging="360"/>
      </w:pPr>
      <w:rPr>
        <w:rFonts w:ascii="Wingdings" w:hAnsi="Wingdings" w:hint="default"/>
      </w:rPr>
    </w:lvl>
    <w:lvl w:ilvl="6" w:tplc="721E45FC">
      <w:start w:val="1"/>
      <w:numFmt w:val="bullet"/>
      <w:lvlText w:val=""/>
      <w:lvlJc w:val="left"/>
      <w:pPr>
        <w:ind w:left="5040" w:hanging="360"/>
      </w:pPr>
      <w:rPr>
        <w:rFonts w:ascii="Symbol" w:hAnsi="Symbol" w:hint="default"/>
      </w:rPr>
    </w:lvl>
    <w:lvl w:ilvl="7" w:tplc="63481620">
      <w:start w:val="1"/>
      <w:numFmt w:val="bullet"/>
      <w:lvlText w:val="o"/>
      <w:lvlJc w:val="left"/>
      <w:pPr>
        <w:ind w:left="5760" w:hanging="360"/>
      </w:pPr>
      <w:rPr>
        <w:rFonts w:ascii="Courier New" w:hAnsi="Courier New" w:hint="default"/>
      </w:rPr>
    </w:lvl>
    <w:lvl w:ilvl="8" w:tplc="2FCCF7E4">
      <w:start w:val="1"/>
      <w:numFmt w:val="bullet"/>
      <w:lvlText w:val=""/>
      <w:lvlJc w:val="left"/>
      <w:pPr>
        <w:ind w:left="6480" w:hanging="360"/>
      </w:pPr>
      <w:rPr>
        <w:rFonts w:ascii="Wingdings" w:hAnsi="Wingdings" w:hint="default"/>
      </w:rPr>
    </w:lvl>
  </w:abstractNum>
  <w:abstractNum w:abstractNumId="46" w15:restartNumberingAfterBreak="0">
    <w:nsid w:val="71342B76"/>
    <w:multiLevelType w:val="hybridMultilevel"/>
    <w:tmpl w:val="17209D68"/>
    <w:lvl w:ilvl="0" w:tplc="0CFEB03E">
      <w:start w:val="3"/>
      <w:numFmt w:val="bullet"/>
      <w:lvlText w:val="-"/>
      <w:lvlJc w:val="left"/>
      <w:pPr>
        <w:ind w:left="720" w:hanging="360"/>
      </w:pPr>
      <w:rPr>
        <w:rFonts w:ascii="Times New Roman" w:hAnsi="Times New Roman" w:hint="default"/>
        <w:b w:val="0"/>
        <w:color w:val="FF0000"/>
      </w:rPr>
    </w:lvl>
    <w:lvl w:ilvl="1" w:tplc="B3289990">
      <w:start w:val="1"/>
      <w:numFmt w:val="bullet"/>
      <w:lvlText w:val="o"/>
      <w:lvlJc w:val="left"/>
      <w:pPr>
        <w:ind w:left="1440" w:hanging="360"/>
      </w:pPr>
      <w:rPr>
        <w:rFonts w:ascii="Courier New" w:hAnsi="Courier New" w:hint="default"/>
      </w:rPr>
    </w:lvl>
    <w:lvl w:ilvl="2" w:tplc="C30AEB16" w:tentative="1">
      <w:start w:val="1"/>
      <w:numFmt w:val="bullet"/>
      <w:lvlText w:val=""/>
      <w:lvlJc w:val="left"/>
      <w:pPr>
        <w:ind w:left="2160" w:hanging="360"/>
      </w:pPr>
      <w:rPr>
        <w:rFonts w:ascii="Wingdings" w:hAnsi="Wingdings" w:hint="default"/>
      </w:rPr>
    </w:lvl>
    <w:lvl w:ilvl="3" w:tplc="6546B49C" w:tentative="1">
      <w:start w:val="1"/>
      <w:numFmt w:val="bullet"/>
      <w:lvlText w:val=""/>
      <w:lvlJc w:val="left"/>
      <w:pPr>
        <w:ind w:left="2880" w:hanging="360"/>
      </w:pPr>
      <w:rPr>
        <w:rFonts w:ascii="Symbol" w:hAnsi="Symbol" w:hint="default"/>
      </w:rPr>
    </w:lvl>
    <w:lvl w:ilvl="4" w:tplc="73564F7A" w:tentative="1">
      <w:start w:val="1"/>
      <w:numFmt w:val="bullet"/>
      <w:lvlText w:val="o"/>
      <w:lvlJc w:val="left"/>
      <w:pPr>
        <w:ind w:left="3600" w:hanging="360"/>
      </w:pPr>
      <w:rPr>
        <w:rFonts w:ascii="Courier New" w:hAnsi="Courier New" w:hint="default"/>
      </w:rPr>
    </w:lvl>
    <w:lvl w:ilvl="5" w:tplc="8BCC977C" w:tentative="1">
      <w:start w:val="1"/>
      <w:numFmt w:val="bullet"/>
      <w:lvlText w:val=""/>
      <w:lvlJc w:val="left"/>
      <w:pPr>
        <w:ind w:left="4320" w:hanging="360"/>
      </w:pPr>
      <w:rPr>
        <w:rFonts w:ascii="Wingdings" w:hAnsi="Wingdings" w:hint="default"/>
      </w:rPr>
    </w:lvl>
    <w:lvl w:ilvl="6" w:tplc="E8C0918A" w:tentative="1">
      <w:start w:val="1"/>
      <w:numFmt w:val="bullet"/>
      <w:lvlText w:val=""/>
      <w:lvlJc w:val="left"/>
      <w:pPr>
        <w:ind w:left="5040" w:hanging="360"/>
      </w:pPr>
      <w:rPr>
        <w:rFonts w:ascii="Symbol" w:hAnsi="Symbol" w:hint="default"/>
      </w:rPr>
    </w:lvl>
    <w:lvl w:ilvl="7" w:tplc="D4C0502A" w:tentative="1">
      <w:start w:val="1"/>
      <w:numFmt w:val="bullet"/>
      <w:lvlText w:val="o"/>
      <w:lvlJc w:val="left"/>
      <w:pPr>
        <w:ind w:left="5760" w:hanging="360"/>
      </w:pPr>
      <w:rPr>
        <w:rFonts w:ascii="Courier New" w:hAnsi="Courier New" w:hint="default"/>
      </w:rPr>
    </w:lvl>
    <w:lvl w:ilvl="8" w:tplc="B812048C" w:tentative="1">
      <w:start w:val="1"/>
      <w:numFmt w:val="bullet"/>
      <w:lvlText w:val=""/>
      <w:lvlJc w:val="left"/>
      <w:pPr>
        <w:ind w:left="6480" w:hanging="360"/>
      </w:pPr>
      <w:rPr>
        <w:rFonts w:ascii="Wingdings" w:hAnsi="Wingdings" w:hint="default"/>
      </w:rPr>
    </w:lvl>
  </w:abstractNum>
  <w:abstractNum w:abstractNumId="47"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72A5DBBB"/>
    <w:multiLevelType w:val="multilevel"/>
    <w:tmpl w:val="FFFFFFFF"/>
    <w:styleLink w:val="ArticleSection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3B11251"/>
    <w:multiLevelType w:val="hybridMultilevel"/>
    <w:tmpl w:val="452E6C8A"/>
    <w:lvl w:ilvl="0" w:tplc="FFFFFFFF">
      <w:start w:val="1"/>
      <w:numFmt w:val="lowerLetter"/>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50"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51"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52" w15:restartNumberingAfterBreak="0">
    <w:nsid w:val="79DE1055"/>
    <w:multiLevelType w:val="hybridMultilevel"/>
    <w:tmpl w:val="7788FCC4"/>
    <w:lvl w:ilvl="0" w:tplc="3F4EEFF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79F1B58D"/>
    <w:multiLevelType w:val="hybridMultilevel"/>
    <w:tmpl w:val="842858D8"/>
    <w:lvl w:ilvl="0" w:tplc="B8762718">
      <w:start w:val="1"/>
      <w:numFmt w:val="bullet"/>
      <w:lvlText w:val=""/>
      <w:lvlJc w:val="left"/>
      <w:pPr>
        <w:ind w:left="720" w:hanging="360"/>
      </w:pPr>
      <w:rPr>
        <w:rFonts w:ascii="Symbol" w:hAnsi="Symbol" w:hint="default"/>
      </w:rPr>
    </w:lvl>
    <w:lvl w:ilvl="1" w:tplc="269C7C8C">
      <w:start w:val="1"/>
      <w:numFmt w:val="bullet"/>
      <w:lvlText w:val="o"/>
      <w:lvlJc w:val="left"/>
      <w:pPr>
        <w:ind w:left="1440" w:hanging="360"/>
      </w:pPr>
      <w:rPr>
        <w:rFonts w:ascii="Courier New" w:hAnsi="Courier New" w:hint="default"/>
      </w:rPr>
    </w:lvl>
    <w:lvl w:ilvl="2" w:tplc="726CFBF0">
      <w:start w:val="1"/>
      <w:numFmt w:val="bullet"/>
      <w:lvlText w:val=""/>
      <w:lvlJc w:val="left"/>
      <w:pPr>
        <w:ind w:left="2160" w:hanging="360"/>
      </w:pPr>
      <w:rPr>
        <w:rFonts w:ascii="Wingdings" w:hAnsi="Wingdings" w:hint="default"/>
      </w:rPr>
    </w:lvl>
    <w:lvl w:ilvl="3" w:tplc="B27A7C2C">
      <w:start w:val="1"/>
      <w:numFmt w:val="bullet"/>
      <w:lvlText w:val=""/>
      <w:lvlJc w:val="left"/>
      <w:pPr>
        <w:ind w:left="2880" w:hanging="360"/>
      </w:pPr>
      <w:rPr>
        <w:rFonts w:ascii="Symbol" w:hAnsi="Symbol" w:hint="default"/>
      </w:rPr>
    </w:lvl>
    <w:lvl w:ilvl="4" w:tplc="175EBF5E">
      <w:start w:val="1"/>
      <w:numFmt w:val="bullet"/>
      <w:lvlText w:val="o"/>
      <w:lvlJc w:val="left"/>
      <w:pPr>
        <w:ind w:left="3600" w:hanging="360"/>
      </w:pPr>
      <w:rPr>
        <w:rFonts w:ascii="Courier New" w:hAnsi="Courier New" w:hint="default"/>
      </w:rPr>
    </w:lvl>
    <w:lvl w:ilvl="5" w:tplc="349491F8">
      <w:start w:val="1"/>
      <w:numFmt w:val="bullet"/>
      <w:lvlText w:val=""/>
      <w:lvlJc w:val="left"/>
      <w:pPr>
        <w:ind w:left="4320" w:hanging="360"/>
      </w:pPr>
      <w:rPr>
        <w:rFonts w:ascii="Wingdings" w:hAnsi="Wingdings" w:hint="default"/>
      </w:rPr>
    </w:lvl>
    <w:lvl w:ilvl="6" w:tplc="6BECA5F2">
      <w:start w:val="1"/>
      <w:numFmt w:val="bullet"/>
      <w:lvlText w:val=""/>
      <w:lvlJc w:val="left"/>
      <w:pPr>
        <w:ind w:left="5040" w:hanging="360"/>
      </w:pPr>
      <w:rPr>
        <w:rFonts w:ascii="Symbol" w:hAnsi="Symbol" w:hint="default"/>
      </w:rPr>
    </w:lvl>
    <w:lvl w:ilvl="7" w:tplc="E932BDFC">
      <w:start w:val="1"/>
      <w:numFmt w:val="bullet"/>
      <w:lvlText w:val="o"/>
      <w:lvlJc w:val="left"/>
      <w:pPr>
        <w:ind w:left="5760" w:hanging="360"/>
      </w:pPr>
      <w:rPr>
        <w:rFonts w:ascii="Courier New" w:hAnsi="Courier New" w:hint="default"/>
      </w:rPr>
    </w:lvl>
    <w:lvl w:ilvl="8" w:tplc="0FB858F0">
      <w:start w:val="1"/>
      <w:numFmt w:val="bullet"/>
      <w:lvlText w:val=""/>
      <w:lvlJc w:val="left"/>
      <w:pPr>
        <w:ind w:left="6480" w:hanging="360"/>
      </w:pPr>
      <w:rPr>
        <w:rFonts w:ascii="Wingdings" w:hAnsi="Wingdings" w:hint="default"/>
      </w:rPr>
    </w:lvl>
  </w:abstractNum>
  <w:abstractNum w:abstractNumId="54" w15:restartNumberingAfterBreak="0">
    <w:nsid w:val="7CA2C817"/>
    <w:multiLevelType w:val="hybridMultilevel"/>
    <w:tmpl w:val="F33622F0"/>
    <w:lvl w:ilvl="0" w:tplc="966AF6D0">
      <w:start w:val="1"/>
      <w:numFmt w:val="bullet"/>
      <w:lvlText w:val=""/>
      <w:lvlJc w:val="left"/>
      <w:pPr>
        <w:ind w:left="720" w:hanging="360"/>
      </w:pPr>
      <w:rPr>
        <w:rFonts w:ascii="Symbol" w:hAnsi="Symbol" w:hint="default"/>
      </w:rPr>
    </w:lvl>
    <w:lvl w:ilvl="1" w:tplc="2CBC7B64">
      <w:start w:val="1"/>
      <w:numFmt w:val="bullet"/>
      <w:lvlText w:val="o"/>
      <w:lvlJc w:val="left"/>
      <w:pPr>
        <w:ind w:left="1440" w:hanging="360"/>
      </w:pPr>
      <w:rPr>
        <w:rFonts w:ascii="Courier New" w:hAnsi="Courier New" w:hint="default"/>
      </w:rPr>
    </w:lvl>
    <w:lvl w:ilvl="2" w:tplc="0EB8EC66">
      <w:start w:val="1"/>
      <w:numFmt w:val="bullet"/>
      <w:lvlText w:val=""/>
      <w:lvlJc w:val="left"/>
      <w:pPr>
        <w:ind w:left="2160" w:hanging="360"/>
      </w:pPr>
      <w:rPr>
        <w:rFonts w:ascii="Wingdings" w:hAnsi="Wingdings" w:hint="default"/>
      </w:rPr>
    </w:lvl>
    <w:lvl w:ilvl="3" w:tplc="8ECCB016">
      <w:start w:val="1"/>
      <w:numFmt w:val="bullet"/>
      <w:lvlText w:val=""/>
      <w:lvlJc w:val="left"/>
      <w:pPr>
        <w:ind w:left="2880" w:hanging="360"/>
      </w:pPr>
      <w:rPr>
        <w:rFonts w:ascii="Symbol" w:hAnsi="Symbol" w:hint="default"/>
      </w:rPr>
    </w:lvl>
    <w:lvl w:ilvl="4" w:tplc="DCC656BE">
      <w:start w:val="1"/>
      <w:numFmt w:val="bullet"/>
      <w:lvlText w:val="o"/>
      <w:lvlJc w:val="left"/>
      <w:pPr>
        <w:ind w:left="3600" w:hanging="360"/>
      </w:pPr>
      <w:rPr>
        <w:rFonts w:ascii="Courier New" w:hAnsi="Courier New" w:hint="default"/>
      </w:rPr>
    </w:lvl>
    <w:lvl w:ilvl="5" w:tplc="228CD552">
      <w:start w:val="1"/>
      <w:numFmt w:val="bullet"/>
      <w:lvlText w:val=""/>
      <w:lvlJc w:val="left"/>
      <w:pPr>
        <w:ind w:left="4320" w:hanging="360"/>
      </w:pPr>
      <w:rPr>
        <w:rFonts w:ascii="Wingdings" w:hAnsi="Wingdings" w:hint="default"/>
      </w:rPr>
    </w:lvl>
    <w:lvl w:ilvl="6" w:tplc="20E0B61C">
      <w:start w:val="1"/>
      <w:numFmt w:val="bullet"/>
      <w:lvlText w:val=""/>
      <w:lvlJc w:val="left"/>
      <w:pPr>
        <w:ind w:left="5040" w:hanging="360"/>
      </w:pPr>
      <w:rPr>
        <w:rFonts w:ascii="Symbol" w:hAnsi="Symbol" w:hint="default"/>
      </w:rPr>
    </w:lvl>
    <w:lvl w:ilvl="7" w:tplc="CE8EC460">
      <w:start w:val="1"/>
      <w:numFmt w:val="bullet"/>
      <w:lvlText w:val="o"/>
      <w:lvlJc w:val="left"/>
      <w:pPr>
        <w:ind w:left="5760" w:hanging="360"/>
      </w:pPr>
      <w:rPr>
        <w:rFonts w:ascii="Courier New" w:hAnsi="Courier New" w:hint="default"/>
      </w:rPr>
    </w:lvl>
    <w:lvl w:ilvl="8" w:tplc="137E305C">
      <w:start w:val="1"/>
      <w:numFmt w:val="bullet"/>
      <w:lvlText w:val=""/>
      <w:lvlJc w:val="left"/>
      <w:pPr>
        <w:ind w:left="6480" w:hanging="360"/>
      </w:pPr>
      <w:rPr>
        <w:rFonts w:ascii="Wingdings" w:hAnsi="Wingdings" w:hint="default"/>
      </w:rPr>
    </w:lvl>
  </w:abstractNum>
  <w:abstractNum w:abstractNumId="55"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56" w15:restartNumberingAfterBreak="0">
    <w:nsid w:val="7F48B712"/>
    <w:multiLevelType w:val="hybridMultilevel"/>
    <w:tmpl w:val="E07220FC"/>
    <w:lvl w:ilvl="0" w:tplc="E6FA9F42">
      <w:start w:val="1"/>
      <w:numFmt w:val="bullet"/>
      <w:lvlText w:val=""/>
      <w:lvlJc w:val="left"/>
      <w:pPr>
        <w:ind w:left="720" w:hanging="360"/>
      </w:pPr>
      <w:rPr>
        <w:rFonts w:ascii="Symbol" w:hAnsi="Symbol" w:hint="default"/>
      </w:rPr>
    </w:lvl>
    <w:lvl w:ilvl="1" w:tplc="4CA00764">
      <w:start w:val="1"/>
      <w:numFmt w:val="bullet"/>
      <w:lvlText w:val="o"/>
      <w:lvlJc w:val="left"/>
      <w:pPr>
        <w:ind w:left="1440" w:hanging="360"/>
      </w:pPr>
      <w:rPr>
        <w:rFonts w:ascii="Courier New" w:hAnsi="Courier New" w:hint="default"/>
      </w:rPr>
    </w:lvl>
    <w:lvl w:ilvl="2" w:tplc="0BBCAF2A">
      <w:start w:val="1"/>
      <w:numFmt w:val="bullet"/>
      <w:lvlText w:val=""/>
      <w:lvlJc w:val="left"/>
      <w:pPr>
        <w:ind w:left="2160" w:hanging="360"/>
      </w:pPr>
      <w:rPr>
        <w:rFonts w:ascii="Wingdings" w:hAnsi="Wingdings" w:hint="default"/>
      </w:rPr>
    </w:lvl>
    <w:lvl w:ilvl="3" w:tplc="848A442A">
      <w:start w:val="1"/>
      <w:numFmt w:val="bullet"/>
      <w:lvlText w:val=""/>
      <w:lvlJc w:val="left"/>
      <w:pPr>
        <w:ind w:left="2880" w:hanging="360"/>
      </w:pPr>
      <w:rPr>
        <w:rFonts w:ascii="Symbol" w:hAnsi="Symbol" w:hint="default"/>
      </w:rPr>
    </w:lvl>
    <w:lvl w:ilvl="4" w:tplc="64C8AC9E">
      <w:start w:val="1"/>
      <w:numFmt w:val="bullet"/>
      <w:lvlText w:val="o"/>
      <w:lvlJc w:val="left"/>
      <w:pPr>
        <w:ind w:left="3600" w:hanging="360"/>
      </w:pPr>
      <w:rPr>
        <w:rFonts w:ascii="Courier New" w:hAnsi="Courier New" w:hint="default"/>
      </w:rPr>
    </w:lvl>
    <w:lvl w:ilvl="5" w:tplc="DC820082">
      <w:start w:val="1"/>
      <w:numFmt w:val="bullet"/>
      <w:lvlText w:val=""/>
      <w:lvlJc w:val="left"/>
      <w:pPr>
        <w:ind w:left="4320" w:hanging="360"/>
      </w:pPr>
      <w:rPr>
        <w:rFonts w:ascii="Wingdings" w:hAnsi="Wingdings" w:hint="default"/>
      </w:rPr>
    </w:lvl>
    <w:lvl w:ilvl="6" w:tplc="C30632F0">
      <w:start w:val="1"/>
      <w:numFmt w:val="bullet"/>
      <w:lvlText w:val=""/>
      <w:lvlJc w:val="left"/>
      <w:pPr>
        <w:ind w:left="5040" w:hanging="360"/>
      </w:pPr>
      <w:rPr>
        <w:rFonts w:ascii="Symbol" w:hAnsi="Symbol" w:hint="default"/>
      </w:rPr>
    </w:lvl>
    <w:lvl w:ilvl="7" w:tplc="94C4CC78">
      <w:start w:val="1"/>
      <w:numFmt w:val="bullet"/>
      <w:lvlText w:val="o"/>
      <w:lvlJc w:val="left"/>
      <w:pPr>
        <w:ind w:left="5760" w:hanging="360"/>
      </w:pPr>
      <w:rPr>
        <w:rFonts w:ascii="Courier New" w:hAnsi="Courier New" w:hint="default"/>
      </w:rPr>
    </w:lvl>
    <w:lvl w:ilvl="8" w:tplc="93E2EF30">
      <w:start w:val="1"/>
      <w:numFmt w:val="bullet"/>
      <w:lvlText w:val=""/>
      <w:lvlJc w:val="left"/>
      <w:pPr>
        <w:ind w:left="6480" w:hanging="360"/>
      </w:pPr>
      <w:rPr>
        <w:rFonts w:ascii="Wingdings" w:hAnsi="Wingdings" w:hint="default"/>
      </w:rPr>
    </w:lvl>
  </w:abstractNum>
  <w:num w:numId="1">
    <w:abstractNumId w:val="1"/>
  </w:num>
  <w:num w:numId="2">
    <w:abstractNumId w:val="34"/>
  </w:num>
  <w:num w:numId="3">
    <w:abstractNumId w:val="14"/>
  </w:num>
  <w:num w:numId="4">
    <w:abstractNumId w:val="30"/>
  </w:num>
  <w:num w:numId="5">
    <w:abstractNumId w:val="28"/>
  </w:num>
  <w:num w:numId="6">
    <w:abstractNumId w:val="47"/>
  </w:num>
  <w:num w:numId="7">
    <w:abstractNumId w:val="39"/>
  </w:num>
  <w:num w:numId="8">
    <w:abstractNumId w:val="50"/>
  </w:num>
  <w:num w:numId="9">
    <w:abstractNumId w:val="51"/>
  </w:num>
  <w:num w:numId="10">
    <w:abstractNumId w:val="3"/>
  </w:num>
  <w:num w:numId="11">
    <w:abstractNumId w:val="17"/>
  </w:num>
  <w:num w:numId="12">
    <w:abstractNumId w:val="4"/>
  </w:num>
  <w:num w:numId="13">
    <w:abstractNumId w:val="18"/>
  </w:num>
  <w:num w:numId="14">
    <w:abstractNumId w:val="15"/>
  </w:num>
  <w:num w:numId="15">
    <w:abstractNumId w:val="32"/>
  </w:num>
  <w:num w:numId="16">
    <w:abstractNumId w:val="11"/>
  </w:num>
  <w:num w:numId="17">
    <w:abstractNumId w:val="41"/>
  </w:num>
  <w:num w:numId="18">
    <w:abstractNumId w:val="19"/>
  </w:num>
  <w:num w:numId="19">
    <w:abstractNumId w:val="21"/>
  </w:num>
  <w:num w:numId="20">
    <w:abstractNumId w:val="48"/>
  </w:num>
  <w:num w:numId="21">
    <w:abstractNumId w:val="25"/>
  </w:num>
  <w:num w:numId="22">
    <w:abstractNumId w:val="53"/>
  </w:num>
  <w:num w:numId="23">
    <w:abstractNumId w:val="27"/>
  </w:num>
  <w:num w:numId="24">
    <w:abstractNumId w:val="54"/>
  </w:num>
  <w:num w:numId="25">
    <w:abstractNumId w:val="2"/>
  </w:num>
  <w:num w:numId="26">
    <w:abstractNumId w:val="10"/>
  </w:num>
  <w:num w:numId="27">
    <w:abstractNumId w:val="31"/>
  </w:num>
  <w:num w:numId="28">
    <w:abstractNumId w:val="0"/>
  </w:num>
  <w:num w:numId="29">
    <w:abstractNumId w:val="6"/>
  </w:num>
  <w:num w:numId="30">
    <w:abstractNumId w:val="38"/>
  </w:num>
  <w:num w:numId="31">
    <w:abstractNumId w:val="56"/>
  </w:num>
  <w:num w:numId="32">
    <w:abstractNumId w:val="9"/>
  </w:num>
  <w:num w:numId="33">
    <w:abstractNumId w:val="29"/>
  </w:num>
  <w:num w:numId="34">
    <w:abstractNumId w:val="45"/>
  </w:num>
  <w:num w:numId="35">
    <w:abstractNumId w:val="26"/>
  </w:num>
  <w:num w:numId="36">
    <w:abstractNumId w:val="46"/>
  </w:num>
  <w:num w:numId="37">
    <w:abstractNumId w:val="40"/>
  </w:num>
  <w:num w:numId="38">
    <w:abstractNumId w:val="16"/>
  </w:num>
  <w:num w:numId="39">
    <w:abstractNumId w:val="52"/>
  </w:num>
  <w:num w:numId="40">
    <w:abstractNumId w:val="24"/>
    <w:lvlOverride w:ilvl="0">
      <w:startOverride w:val="1"/>
    </w:lvlOverride>
  </w:num>
  <w:num w:numId="41">
    <w:abstractNumId w:val="7"/>
  </w:num>
  <w:num w:numId="42">
    <w:abstractNumId w:val="44"/>
  </w:num>
  <w:num w:numId="43">
    <w:abstractNumId w:val="49"/>
  </w:num>
  <w:num w:numId="44">
    <w:abstractNumId w:val="37"/>
  </w:num>
  <w:num w:numId="45">
    <w:abstractNumId w:val="20"/>
  </w:num>
  <w:num w:numId="46">
    <w:abstractNumId w:val="43"/>
  </w:num>
  <w:num w:numId="47">
    <w:abstractNumId w:val="13"/>
  </w:num>
  <w:num w:numId="48">
    <w:abstractNumId w:val="22"/>
  </w:num>
  <w:num w:numId="49">
    <w:abstractNumId w:val="23"/>
  </w:num>
  <w:num w:numId="50">
    <w:abstractNumId w:val="8"/>
  </w:num>
  <w:num w:numId="51">
    <w:abstractNumId w:val="42"/>
  </w:num>
  <w:num w:numId="52">
    <w:abstractNumId w:val="5"/>
  </w:num>
  <w:num w:numId="53">
    <w:abstractNumId w:val="24"/>
  </w:num>
  <w:num w:numId="54">
    <w:abstractNumId w:val="35"/>
  </w:num>
  <w:num w:numId="55">
    <w:abstractNumId w:val="36"/>
  </w:num>
  <w:num w:numId="56">
    <w:abstractNumId w:val="12"/>
  </w:num>
  <w:num w:numId="57">
    <w:abstractNumId w:val="33"/>
  </w:num>
  <w:num w:numId="58">
    <w:abstractNumId w:val="5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displayBackgroundShape/>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6-01-18 16:26:1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C57B2C9C-C5B6-46D1-B8D8-E97877A75186"/>
    <w:docVar w:name="LW_COVERPAGE_TYPE" w:val="1"/>
    <w:docVar w:name="LW_CreatedUtc" w:val="2025-03-19T16:43:19.7764381Z"/>
    <w:docVar w:name="LW_CROSSREFERENCE" w:val="{SWD(2025) 836 final}"/>
    <w:docVar w:name="LW_DocType" w:val="COM"/>
    <w:docVar w:name="LW_EMISSION" w:val="19.11.2025"/>
    <w:docVar w:name="LW_EMISSION_ISODATE" w:val="2025-11-19"/>
    <w:docVar w:name="LW_EMISSION_LOCATION" w:val="BRX"/>
    <w:docVar w:name="LW_EMISSION_PREFIX" w:val="Bruxelas,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PT"/>
    <w:docVar w:name="LW_LEVEL_OF_SENSITIVITY" w:val="Standard treatment"/>
    <w:docVar w:name="LW_NOM.INST" w:val="COMISSÃO EUROPEIA"/>
    <w:docVar w:name="LW_NOM.INST_JOINTDOC" w:val="&lt;EMPTY&gt;"/>
    <w:docVar w:name="LW_PART_NBR" w:val="1"/>
    <w:docVar w:name="LW_PART_NBR_TOTAL" w:val="1"/>
    <w:docVar w:name="LW_REF.II.NEW.CP" w:val="COD"/>
    <w:docVar w:name="LW_REF.II.NEW.CP_NUMBER" w:val="0360"/>
    <w:docVar w:name="LW_REF.II.NEW.CP_YEAR" w:val="2025"/>
    <w:docVar w:name="LW_REF.INST.NEW" w:val="COM"/>
    <w:docVar w:name="LW_REF.INST.NEW_ADOPTED" w:val="final"/>
    <w:docVar w:name="LW_REF.INST.NEW_TEXT" w:val="(2025) 83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e"/>
    <w:docVar w:name="LW_SUPERTITRE" w:val="&lt;UNUSED&gt;"/>
    <w:docVar w:name="LW_TITRE.OBJ.CP" w:val="que altera os Regulamentos (UE) 2016/679, (UE) 2018/1724, (UE) 2018/1725 e (UE) 2023/2854 e as Diretivas 2002/58/CE, (UE) 2022/2555 e (UE) 2022/2557 no respeitante à simplificação do quadro legislativo digital e que revoga os Regulamentos (UE) 2018/1807, (UE) 2019/1150, (UE) 2022/868 e a Diretiva (UE) 2019/1024 (&lt;FMT:Italic&gt;Omnibus&lt;/FMT&gt; Digital) _x000b_ _x000b_"/>
    <w:docVar w:name="LW_TYPE.DOC.CP" w:val="REGULAMENTO DO PARLAMENTO EUROPEU E DO CONSELHO"/>
    <w:docVar w:name="LwApiVersions" w:val="LW4CoDe 1.24.5.0; LW 9.2, Build 20251112"/>
  </w:docVars>
  <w:rsids>
    <w:rsidRoot w:val="00FF2EDA"/>
    <w:rsid w:val="0000006F"/>
    <w:rsid w:val="00000105"/>
    <w:rsid w:val="00000123"/>
    <w:rsid w:val="000001D4"/>
    <w:rsid w:val="00000205"/>
    <w:rsid w:val="000002A5"/>
    <w:rsid w:val="000002A6"/>
    <w:rsid w:val="000002EA"/>
    <w:rsid w:val="000003E6"/>
    <w:rsid w:val="00000475"/>
    <w:rsid w:val="00000521"/>
    <w:rsid w:val="0000052D"/>
    <w:rsid w:val="0000059E"/>
    <w:rsid w:val="00000624"/>
    <w:rsid w:val="0000068E"/>
    <w:rsid w:val="000006D2"/>
    <w:rsid w:val="0000070B"/>
    <w:rsid w:val="000007B5"/>
    <w:rsid w:val="000007F8"/>
    <w:rsid w:val="0000084B"/>
    <w:rsid w:val="00000889"/>
    <w:rsid w:val="00000906"/>
    <w:rsid w:val="00000919"/>
    <w:rsid w:val="00000922"/>
    <w:rsid w:val="00000963"/>
    <w:rsid w:val="00000A08"/>
    <w:rsid w:val="00000A80"/>
    <w:rsid w:val="00000AD6"/>
    <w:rsid w:val="00000B6B"/>
    <w:rsid w:val="00000BA6"/>
    <w:rsid w:val="00000BC6"/>
    <w:rsid w:val="00000BD5"/>
    <w:rsid w:val="00000BE1"/>
    <w:rsid w:val="00000C56"/>
    <w:rsid w:val="00000D40"/>
    <w:rsid w:val="00000D7C"/>
    <w:rsid w:val="00000DFE"/>
    <w:rsid w:val="00000E0A"/>
    <w:rsid w:val="00000E30"/>
    <w:rsid w:val="00000E90"/>
    <w:rsid w:val="00000EBE"/>
    <w:rsid w:val="00000ED8"/>
    <w:rsid w:val="00000EF0"/>
    <w:rsid w:val="00000F66"/>
    <w:rsid w:val="00000FDD"/>
    <w:rsid w:val="00001007"/>
    <w:rsid w:val="00001086"/>
    <w:rsid w:val="000010AC"/>
    <w:rsid w:val="00001152"/>
    <w:rsid w:val="00001255"/>
    <w:rsid w:val="0000131B"/>
    <w:rsid w:val="000013A0"/>
    <w:rsid w:val="000013E6"/>
    <w:rsid w:val="00001482"/>
    <w:rsid w:val="000014C5"/>
    <w:rsid w:val="00001517"/>
    <w:rsid w:val="000015E7"/>
    <w:rsid w:val="000015F9"/>
    <w:rsid w:val="000015FE"/>
    <w:rsid w:val="00001604"/>
    <w:rsid w:val="0000160C"/>
    <w:rsid w:val="00001678"/>
    <w:rsid w:val="00001781"/>
    <w:rsid w:val="00001788"/>
    <w:rsid w:val="000017F0"/>
    <w:rsid w:val="000018AE"/>
    <w:rsid w:val="000018B6"/>
    <w:rsid w:val="00001933"/>
    <w:rsid w:val="00001A63"/>
    <w:rsid w:val="00001AA7"/>
    <w:rsid w:val="00001ACF"/>
    <w:rsid w:val="00001C3C"/>
    <w:rsid w:val="00001CA2"/>
    <w:rsid w:val="00001CD3"/>
    <w:rsid w:val="00001D49"/>
    <w:rsid w:val="00001F27"/>
    <w:rsid w:val="00001FE9"/>
    <w:rsid w:val="00002045"/>
    <w:rsid w:val="000020DC"/>
    <w:rsid w:val="0000215D"/>
    <w:rsid w:val="00002171"/>
    <w:rsid w:val="0000223A"/>
    <w:rsid w:val="0000229E"/>
    <w:rsid w:val="000022BB"/>
    <w:rsid w:val="0000234C"/>
    <w:rsid w:val="0000240C"/>
    <w:rsid w:val="000024CF"/>
    <w:rsid w:val="000024E3"/>
    <w:rsid w:val="0000252C"/>
    <w:rsid w:val="000026D1"/>
    <w:rsid w:val="000026EF"/>
    <w:rsid w:val="00002737"/>
    <w:rsid w:val="00002771"/>
    <w:rsid w:val="00002775"/>
    <w:rsid w:val="0000278B"/>
    <w:rsid w:val="000027F3"/>
    <w:rsid w:val="0000282B"/>
    <w:rsid w:val="00002859"/>
    <w:rsid w:val="0000289B"/>
    <w:rsid w:val="00002ACF"/>
    <w:rsid w:val="00002B54"/>
    <w:rsid w:val="00002BC9"/>
    <w:rsid w:val="00002BDA"/>
    <w:rsid w:val="00002C92"/>
    <w:rsid w:val="00002CFF"/>
    <w:rsid w:val="00002E81"/>
    <w:rsid w:val="00002E90"/>
    <w:rsid w:val="00002F03"/>
    <w:rsid w:val="00002F25"/>
    <w:rsid w:val="00002F3A"/>
    <w:rsid w:val="00002F46"/>
    <w:rsid w:val="00002F5B"/>
    <w:rsid w:val="00002F5C"/>
    <w:rsid w:val="00002FEE"/>
    <w:rsid w:val="0000300A"/>
    <w:rsid w:val="000030F5"/>
    <w:rsid w:val="00003113"/>
    <w:rsid w:val="00003158"/>
    <w:rsid w:val="000032BB"/>
    <w:rsid w:val="000032F3"/>
    <w:rsid w:val="000035DB"/>
    <w:rsid w:val="000037CD"/>
    <w:rsid w:val="0000382F"/>
    <w:rsid w:val="0000383F"/>
    <w:rsid w:val="00003882"/>
    <w:rsid w:val="0000397A"/>
    <w:rsid w:val="000039BE"/>
    <w:rsid w:val="00003A8A"/>
    <w:rsid w:val="00003AF4"/>
    <w:rsid w:val="00003B95"/>
    <w:rsid w:val="00003BFC"/>
    <w:rsid w:val="00003CA1"/>
    <w:rsid w:val="00003CB8"/>
    <w:rsid w:val="00003CE3"/>
    <w:rsid w:val="00003D2C"/>
    <w:rsid w:val="00003D6E"/>
    <w:rsid w:val="00003D74"/>
    <w:rsid w:val="00003D9A"/>
    <w:rsid w:val="00003F6F"/>
    <w:rsid w:val="00004089"/>
    <w:rsid w:val="000041AC"/>
    <w:rsid w:val="00004201"/>
    <w:rsid w:val="00004212"/>
    <w:rsid w:val="00004325"/>
    <w:rsid w:val="0000437B"/>
    <w:rsid w:val="000043F8"/>
    <w:rsid w:val="00004418"/>
    <w:rsid w:val="00004452"/>
    <w:rsid w:val="0000453A"/>
    <w:rsid w:val="000046CA"/>
    <w:rsid w:val="00004759"/>
    <w:rsid w:val="00004770"/>
    <w:rsid w:val="00004859"/>
    <w:rsid w:val="000048AB"/>
    <w:rsid w:val="00004986"/>
    <w:rsid w:val="00004B87"/>
    <w:rsid w:val="00004BC6"/>
    <w:rsid w:val="00004BC9"/>
    <w:rsid w:val="00004D16"/>
    <w:rsid w:val="00004D84"/>
    <w:rsid w:val="00004D8D"/>
    <w:rsid w:val="00004E12"/>
    <w:rsid w:val="00004E72"/>
    <w:rsid w:val="00004EB3"/>
    <w:rsid w:val="00004F1A"/>
    <w:rsid w:val="00004F7F"/>
    <w:rsid w:val="00004F92"/>
    <w:rsid w:val="00005021"/>
    <w:rsid w:val="0000504D"/>
    <w:rsid w:val="0000513F"/>
    <w:rsid w:val="00005143"/>
    <w:rsid w:val="000051A9"/>
    <w:rsid w:val="000052B5"/>
    <w:rsid w:val="0000531D"/>
    <w:rsid w:val="000053DD"/>
    <w:rsid w:val="0000544B"/>
    <w:rsid w:val="00005461"/>
    <w:rsid w:val="0000552B"/>
    <w:rsid w:val="00005537"/>
    <w:rsid w:val="000056BD"/>
    <w:rsid w:val="00005748"/>
    <w:rsid w:val="00005764"/>
    <w:rsid w:val="00005830"/>
    <w:rsid w:val="0000592B"/>
    <w:rsid w:val="0000592D"/>
    <w:rsid w:val="0000593A"/>
    <w:rsid w:val="00005A0E"/>
    <w:rsid w:val="00005A29"/>
    <w:rsid w:val="00005ADB"/>
    <w:rsid w:val="00005B23"/>
    <w:rsid w:val="00005BB1"/>
    <w:rsid w:val="00005CE1"/>
    <w:rsid w:val="00005D1F"/>
    <w:rsid w:val="00005DA6"/>
    <w:rsid w:val="00005DC8"/>
    <w:rsid w:val="00005E6C"/>
    <w:rsid w:val="00005ED4"/>
    <w:rsid w:val="00005F39"/>
    <w:rsid w:val="00005F97"/>
    <w:rsid w:val="00005FB7"/>
    <w:rsid w:val="00006068"/>
    <w:rsid w:val="00006094"/>
    <w:rsid w:val="0000613C"/>
    <w:rsid w:val="0000619C"/>
    <w:rsid w:val="0000619F"/>
    <w:rsid w:val="00006228"/>
    <w:rsid w:val="0000628B"/>
    <w:rsid w:val="00006309"/>
    <w:rsid w:val="00006324"/>
    <w:rsid w:val="00006371"/>
    <w:rsid w:val="00006373"/>
    <w:rsid w:val="0000663E"/>
    <w:rsid w:val="00006652"/>
    <w:rsid w:val="000066D3"/>
    <w:rsid w:val="0000672A"/>
    <w:rsid w:val="00006803"/>
    <w:rsid w:val="000068C4"/>
    <w:rsid w:val="00006931"/>
    <w:rsid w:val="00006959"/>
    <w:rsid w:val="0000695E"/>
    <w:rsid w:val="0000695F"/>
    <w:rsid w:val="00006A88"/>
    <w:rsid w:val="00006A91"/>
    <w:rsid w:val="00006BAF"/>
    <w:rsid w:val="00006C18"/>
    <w:rsid w:val="00006C5F"/>
    <w:rsid w:val="00006D83"/>
    <w:rsid w:val="00006DF6"/>
    <w:rsid w:val="00006E40"/>
    <w:rsid w:val="00006ED1"/>
    <w:rsid w:val="00007008"/>
    <w:rsid w:val="000070E2"/>
    <w:rsid w:val="0000711A"/>
    <w:rsid w:val="0000714D"/>
    <w:rsid w:val="0000718F"/>
    <w:rsid w:val="000071B4"/>
    <w:rsid w:val="000072A8"/>
    <w:rsid w:val="000072C9"/>
    <w:rsid w:val="000072CF"/>
    <w:rsid w:val="00007324"/>
    <w:rsid w:val="00007393"/>
    <w:rsid w:val="00007492"/>
    <w:rsid w:val="00007623"/>
    <w:rsid w:val="00007654"/>
    <w:rsid w:val="0000765C"/>
    <w:rsid w:val="000076B9"/>
    <w:rsid w:val="000076BF"/>
    <w:rsid w:val="000076C6"/>
    <w:rsid w:val="00007707"/>
    <w:rsid w:val="000077FA"/>
    <w:rsid w:val="000078B7"/>
    <w:rsid w:val="0000790D"/>
    <w:rsid w:val="00007913"/>
    <w:rsid w:val="0000794D"/>
    <w:rsid w:val="0000795C"/>
    <w:rsid w:val="000079A0"/>
    <w:rsid w:val="00007A63"/>
    <w:rsid w:val="00007A77"/>
    <w:rsid w:val="00007ABF"/>
    <w:rsid w:val="00007ACE"/>
    <w:rsid w:val="00007AD9"/>
    <w:rsid w:val="00007ADF"/>
    <w:rsid w:val="00007B61"/>
    <w:rsid w:val="00007BA9"/>
    <w:rsid w:val="00007C70"/>
    <w:rsid w:val="00007C75"/>
    <w:rsid w:val="00007CE3"/>
    <w:rsid w:val="00007D55"/>
    <w:rsid w:val="00007ED3"/>
    <w:rsid w:val="00007EEA"/>
    <w:rsid w:val="00007F51"/>
    <w:rsid w:val="00007FB5"/>
    <w:rsid w:val="000100F5"/>
    <w:rsid w:val="000101C2"/>
    <w:rsid w:val="000101C8"/>
    <w:rsid w:val="0001021E"/>
    <w:rsid w:val="0001028F"/>
    <w:rsid w:val="00010397"/>
    <w:rsid w:val="0001041E"/>
    <w:rsid w:val="00010432"/>
    <w:rsid w:val="0001054C"/>
    <w:rsid w:val="0001058F"/>
    <w:rsid w:val="00010611"/>
    <w:rsid w:val="00010646"/>
    <w:rsid w:val="00010654"/>
    <w:rsid w:val="0001066D"/>
    <w:rsid w:val="000106D1"/>
    <w:rsid w:val="000106F5"/>
    <w:rsid w:val="000107C2"/>
    <w:rsid w:val="00010833"/>
    <w:rsid w:val="00010920"/>
    <w:rsid w:val="000109D8"/>
    <w:rsid w:val="00010A2E"/>
    <w:rsid w:val="00010A88"/>
    <w:rsid w:val="00010AEE"/>
    <w:rsid w:val="00010AF2"/>
    <w:rsid w:val="00010B02"/>
    <w:rsid w:val="00010B76"/>
    <w:rsid w:val="00010B9B"/>
    <w:rsid w:val="00010CA0"/>
    <w:rsid w:val="00010DAD"/>
    <w:rsid w:val="00010E63"/>
    <w:rsid w:val="00010E68"/>
    <w:rsid w:val="00010F4E"/>
    <w:rsid w:val="00010FAF"/>
    <w:rsid w:val="0001100E"/>
    <w:rsid w:val="00011093"/>
    <w:rsid w:val="000110F2"/>
    <w:rsid w:val="00011126"/>
    <w:rsid w:val="00011149"/>
    <w:rsid w:val="000111A4"/>
    <w:rsid w:val="000112C5"/>
    <w:rsid w:val="000113E7"/>
    <w:rsid w:val="000114D3"/>
    <w:rsid w:val="000115B8"/>
    <w:rsid w:val="0001160C"/>
    <w:rsid w:val="0001160D"/>
    <w:rsid w:val="000116D5"/>
    <w:rsid w:val="0001174A"/>
    <w:rsid w:val="000117F9"/>
    <w:rsid w:val="00011815"/>
    <w:rsid w:val="00011A16"/>
    <w:rsid w:val="00011AAE"/>
    <w:rsid w:val="00011AF9"/>
    <w:rsid w:val="00011B0C"/>
    <w:rsid w:val="00011B88"/>
    <w:rsid w:val="00011C11"/>
    <w:rsid w:val="00011C20"/>
    <w:rsid w:val="00011C40"/>
    <w:rsid w:val="00011C43"/>
    <w:rsid w:val="00011DEF"/>
    <w:rsid w:val="00011E4B"/>
    <w:rsid w:val="00011EAC"/>
    <w:rsid w:val="00011F18"/>
    <w:rsid w:val="00011F89"/>
    <w:rsid w:val="00011F92"/>
    <w:rsid w:val="00012082"/>
    <w:rsid w:val="00012123"/>
    <w:rsid w:val="00012147"/>
    <w:rsid w:val="000122EF"/>
    <w:rsid w:val="00012323"/>
    <w:rsid w:val="000123A7"/>
    <w:rsid w:val="000123ED"/>
    <w:rsid w:val="00012537"/>
    <w:rsid w:val="0001258D"/>
    <w:rsid w:val="0001264E"/>
    <w:rsid w:val="0001267C"/>
    <w:rsid w:val="0001271B"/>
    <w:rsid w:val="0001278F"/>
    <w:rsid w:val="0001279C"/>
    <w:rsid w:val="000127BC"/>
    <w:rsid w:val="000127EC"/>
    <w:rsid w:val="000127FF"/>
    <w:rsid w:val="0001283E"/>
    <w:rsid w:val="00012871"/>
    <w:rsid w:val="0001287B"/>
    <w:rsid w:val="0001288B"/>
    <w:rsid w:val="000129A2"/>
    <w:rsid w:val="000129E2"/>
    <w:rsid w:val="00012A90"/>
    <w:rsid w:val="00012AA5"/>
    <w:rsid w:val="00012AA7"/>
    <w:rsid w:val="00012B2B"/>
    <w:rsid w:val="00012B30"/>
    <w:rsid w:val="00012B4D"/>
    <w:rsid w:val="00012B68"/>
    <w:rsid w:val="00012C5D"/>
    <w:rsid w:val="00012CA7"/>
    <w:rsid w:val="00012E45"/>
    <w:rsid w:val="00012F65"/>
    <w:rsid w:val="000130BB"/>
    <w:rsid w:val="000130D4"/>
    <w:rsid w:val="00013113"/>
    <w:rsid w:val="0001315F"/>
    <w:rsid w:val="000131BC"/>
    <w:rsid w:val="000131DA"/>
    <w:rsid w:val="00013299"/>
    <w:rsid w:val="000132BC"/>
    <w:rsid w:val="00013365"/>
    <w:rsid w:val="00013381"/>
    <w:rsid w:val="000133E9"/>
    <w:rsid w:val="00013402"/>
    <w:rsid w:val="0001341A"/>
    <w:rsid w:val="0001344B"/>
    <w:rsid w:val="0001348E"/>
    <w:rsid w:val="00013547"/>
    <w:rsid w:val="00013571"/>
    <w:rsid w:val="000135CA"/>
    <w:rsid w:val="000135D7"/>
    <w:rsid w:val="00013624"/>
    <w:rsid w:val="0001364A"/>
    <w:rsid w:val="00013791"/>
    <w:rsid w:val="000137FD"/>
    <w:rsid w:val="00013828"/>
    <w:rsid w:val="0001382E"/>
    <w:rsid w:val="000138D3"/>
    <w:rsid w:val="000138E6"/>
    <w:rsid w:val="00013914"/>
    <w:rsid w:val="00013925"/>
    <w:rsid w:val="00013A67"/>
    <w:rsid w:val="00013AF3"/>
    <w:rsid w:val="00013DFA"/>
    <w:rsid w:val="00013F85"/>
    <w:rsid w:val="0001403E"/>
    <w:rsid w:val="000141A2"/>
    <w:rsid w:val="000141C4"/>
    <w:rsid w:val="00014209"/>
    <w:rsid w:val="0001423F"/>
    <w:rsid w:val="0001429A"/>
    <w:rsid w:val="00014354"/>
    <w:rsid w:val="00014394"/>
    <w:rsid w:val="00014424"/>
    <w:rsid w:val="00014425"/>
    <w:rsid w:val="0001445F"/>
    <w:rsid w:val="0001448A"/>
    <w:rsid w:val="00014495"/>
    <w:rsid w:val="00014547"/>
    <w:rsid w:val="00014590"/>
    <w:rsid w:val="000145FE"/>
    <w:rsid w:val="000146A9"/>
    <w:rsid w:val="00014801"/>
    <w:rsid w:val="000149E6"/>
    <w:rsid w:val="00014A50"/>
    <w:rsid w:val="00014AA3"/>
    <w:rsid w:val="00014AB1"/>
    <w:rsid w:val="00014CD1"/>
    <w:rsid w:val="00014DD2"/>
    <w:rsid w:val="00014E2E"/>
    <w:rsid w:val="00014E5B"/>
    <w:rsid w:val="00014E8D"/>
    <w:rsid w:val="00014F62"/>
    <w:rsid w:val="00015005"/>
    <w:rsid w:val="0001512A"/>
    <w:rsid w:val="0001514A"/>
    <w:rsid w:val="00015183"/>
    <w:rsid w:val="000151F2"/>
    <w:rsid w:val="00015272"/>
    <w:rsid w:val="0001528E"/>
    <w:rsid w:val="000153DC"/>
    <w:rsid w:val="000154C7"/>
    <w:rsid w:val="000154D3"/>
    <w:rsid w:val="000154F2"/>
    <w:rsid w:val="000156D2"/>
    <w:rsid w:val="00015742"/>
    <w:rsid w:val="0001577A"/>
    <w:rsid w:val="000157B0"/>
    <w:rsid w:val="000158F1"/>
    <w:rsid w:val="0001599F"/>
    <w:rsid w:val="000159A1"/>
    <w:rsid w:val="000159A5"/>
    <w:rsid w:val="00015AE0"/>
    <w:rsid w:val="00015B44"/>
    <w:rsid w:val="00015C78"/>
    <w:rsid w:val="00015D2C"/>
    <w:rsid w:val="00015D31"/>
    <w:rsid w:val="00015D3C"/>
    <w:rsid w:val="00015DB9"/>
    <w:rsid w:val="00015DCA"/>
    <w:rsid w:val="00015E03"/>
    <w:rsid w:val="00015EAD"/>
    <w:rsid w:val="00015ED2"/>
    <w:rsid w:val="00015F31"/>
    <w:rsid w:val="00015F8F"/>
    <w:rsid w:val="00015FC7"/>
    <w:rsid w:val="00016008"/>
    <w:rsid w:val="000161C4"/>
    <w:rsid w:val="0001624D"/>
    <w:rsid w:val="0001627C"/>
    <w:rsid w:val="000162E4"/>
    <w:rsid w:val="0001636E"/>
    <w:rsid w:val="00016454"/>
    <w:rsid w:val="00016493"/>
    <w:rsid w:val="000164C9"/>
    <w:rsid w:val="0001658C"/>
    <w:rsid w:val="000165B2"/>
    <w:rsid w:val="0001665C"/>
    <w:rsid w:val="0001665D"/>
    <w:rsid w:val="0001668D"/>
    <w:rsid w:val="000167BF"/>
    <w:rsid w:val="0001685D"/>
    <w:rsid w:val="00016B9A"/>
    <w:rsid w:val="00016C7A"/>
    <w:rsid w:val="00016D09"/>
    <w:rsid w:val="00016D46"/>
    <w:rsid w:val="00016D67"/>
    <w:rsid w:val="00016DE1"/>
    <w:rsid w:val="00016DEB"/>
    <w:rsid w:val="00016E3F"/>
    <w:rsid w:val="00016E7E"/>
    <w:rsid w:val="00016E91"/>
    <w:rsid w:val="00016E98"/>
    <w:rsid w:val="00016EA9"/>
    <w:rsid w:val="00016EE2"/>
    <w:rsid w:val="00016F6F"/>
    <w:rsid w:val="00016F98"/>
    <w:rsid w:val="00016FB7"/>
    <w:rsid w:val="00016FB8"/>
    <w:rsid w:val="0001704B"/>
    <w:rsid w:val="000170B1"/>
    <w:rsid w:val="000170C5"/>
    <w:rsid w:val="00017211"/>
    <w:rsid w:val="00017215"/>
    <w:rsid w:val="00017270"/>
    <w:rsid w:val="000172DA"/>
    <w:rsid w:val="0001731C"/>
    <w:rsid w:val="00017442"/>
    <w:rsid w:val="00017458"/>
    <w:rsid w:val="00017553"/>
    <w:rsid w:val="000175DD"/>
    <w:rsid w:val="00017638"/>
    <w:rsid w:val="00017673"/>
    <w:rsid w:val="000176B2"/>
    <w:rsid w:val="000176D8"/>
    <w:rsid w:val="00017709"/>
    <w:rsid w:val="0001778E"/>
    <w:rsid w:val="00017811"/>
    <w:rsid w:val="0001781B"/>
    <w:rsid w:val="00017887"/>
    <w:rsid w:val="000178AA"/>
    <w:rsid w:val="0001794D"/>
    <w:rsid w:val="00017A7C"/>
    <w:rsid w:val="00017AFA"/>
    <w:rsid w:val="00017B39"/>
    <w:rsid w:val="00017C4E"/>
    <w:rsid w:val="00017D39"/>
    <w:rsid w:val="00017D98"/>
    <w:rsid w:val="00017DF0"/>
    <w:rsid w:val="00017DFD"/>
    <w:rsid w:val="00017E2C"/>
    <w:rsid w:val="00017E81"/>
    <w:rsid w:val="00017E82"/>
    <w:rsid w:val="00017EE4"/>
    <w:rsid w:val="00017F67"/>
    <w:rsid w:val="00020029"/>
    <w:rsid w:val="000200DA"/>
    <w:rsid w:val="00020237"/>
    <w:rsid w:val="00020262"/>
    <w:rsid w:val="0002026C"/>
    <w:rsid w:val="0002031C"/>
    <w:rsid w:val="0002031F"/>
    <w:rsid w:val="00020352"/>
    <w:rsid w:val="000204A5"/>
    <w:rsid w:val="000204BA"/>
    <w:rsid w:val="00020664"/>
    <w:rsid w:val="00020679"/>
    <w:rsid w:val="00020954"/>
    <w:rsid w:val="00020999"/>
    <w:rsid w:val="000209F1"/>
    <w:rsid w:val="00020A05"/>
    <w:rsid w:val="00020AD5"/>
    <w:rsid w:val="00020B32"/>
    <w:rsid w:val="00020B71"/>
    <w:rsid w:val="00020BA9"/>
    <w:rsid w:val="00020BAD"/>
    <w:rsid w:val="00020C12"/>
    <w:rsid w:val="00020C39"/>
    <w:rsid w:val="00020CA9"/>
    <w:rsid w:val="00020DA8"/>
    <w:rsid w:val="00020DBD"/>
    <w:rsid w:val="00020E4C"/>
    <w:rsid w:val="00020E6F"/>
    <w:rsid w:val="00020E75"/>
    <w:rsid w:val="00020ED2"/>
    <w:rsid w:val="00020ED4"/>
    <w:rsid w:val="00020F5F"/>
    <w:rsid w:val="00020FD8"/>
    <w:rsid w:val="00020FF4"/>
    <w:rsid w:val="00021057"/>
    <w:rsid w:val="000210C5"/>
    <w:rsid w:val="000211A7"/>
    <w:rsid w:val="00021266"/>
    <w:rsid w:val="000213C6"/>
    <w:rsid w:val="00021455"/>
    <w:rsid w:val="000214A9"/>
    <w:rsid w:val="000214CE"/>
    <w:rsid w:val="00021514"/>
    <w:rsid w:val="00021648"/>
    <w:rsid w:val="0002168E"/>
    <w:rsid w:val="00021723"/>
    <w:rsid w:val="00021725"/>
    <w:rsid w:val="0002174D"/>
    <w:rsid w:val="000217C4"/>
    <w:rsid w:val="0002182E"/>
    <w:rsid w:val="0002196A"/>
    <w:rsid w:val="000219A0"/>
    <w:rsid w:val="00021B95"/>
    <w:rsid w:val="00021BE8"/>
    <w:rsid w:val="00021C37"/>
    <w:rsid w:val="00021C4F"/>
    <w:rsid w:val="00021C6B"/>
    <w:rsid w:val="00021CCC"/>
    <w:rsid w:val="00021D0D"/>
    <w:rsid w:val="00021DA5"/>
    <w:rsid w:val="00021F30"/>
    <w:rsid w:val="00021F61"/>
    <w:rsid w:val="00021FE4"/>
    <w:rsid w:val="00021FE5"/>
    <w:rsid w:val="0002205B"/>
    <w:rsid w:val="000220D7"/>
    <w:rsid w:val="00022133"/>
    <w:rsid w:val="00022180"/>
    <w:rsid w:val="000221D0"/>
    <w:rsid w:val="000221D6"/>
    <w:rsid w:val="0002220C"/>
    <w:rsid w:val="00022240"/>
    <w:rsid w:val="000222E6"/>
    <w:rsid w:val="00022336"/>
    <w:rsid w:val="00022387"/>
    <w:rsid w:val="00022560"/>
    <w:rsid w:val="00022587"/>
    <w:rsid w:val="000225E0"/>
    <w:rsid w:val="00022621"/>
    <w:rsid w:val="000226EF"/>
    <w:rsid w:val="00022721"/>
    <w:rsid w:val="000227E3"/>
    <w:rsid w:val="000228AA"/>
    <w:rsid w:val="00022931"/>
    <w:rsid w:val="0002293C"/>
    <w:rsid w:val="00022A08"/>
    <w:rsid w:val="00022A32"/>
    <w:rsid w:val="00022AAD"/>
    <w:rsid w:val="00022ABB"/>
    <w:rsid w:val="00022B4E"/>
    <w:rsid w:val="00022B6D"/>
    <w:rsid w:val="00022B9D"/>
    <w:rsid w:val="00022C0B"/>
    <w:rsid w:val="00022C4D"/>
    <w:rsid w:val="00022CE9"/>
    <w:rsid w:val="00022D3E"/>
    <w:rsid w:val="00022D60"/>
    <w:rsid w:val="00022D70"/>
    <w:rsid w:val="00022D7C"/>
    <w:rsid w:val="00022DA6"/>
    <w:rsid w:val="00022E01"/>
    <w:rsid w:val="00022EFB"/>
    <w:rsid w:val="00022F13"/>
    <w:rsid w:val="00023056"/>
    <w:rsid w:val="0002306F"/>
    <w:rsid w:val="00023155"/>
    <w:rsid w:val="00023254"/>
    <w:rsid w:val="0002331B"/>
    <w:rsid w:val="000233EE"/>
    <w:rsid w:val="00023421"/>
    <w:rsid w:val="00023512"/>
    <w:rsid w:val="0002351C"/>
    <w:rsid w:val="00023588"/>
    <w:rsid w:val="0002370B"/>
    <w:rsid w:val="00023764"/>
    <w:rsid w:val="000237AE"/>
    <w:rsid w:val="000237D6"/>
    <w:rsid w:val="00023888"/>
    <w:rsid w:val="00023AD0"/>
    <w:rsid w:val="00023AF9"/>
    <w:rsid w:val="00023C25"/>
    <w:rsid w:val="00023C43"/>
    <w:rsid w:val="00023D46"/>
    <w:rsid w:val="00023D85"/>
    <w:rsid w:val="00023DA6"/>
    <w:rsid w:val="00023DED"/>
    <w:rsid w:val="00023E60"/>
    <w:rsid w:val="00023F9F"/>
    <w:rsid w:val="0002402C"/>
    <w:rsid w:val="0002411D"/>
    <w:rsid w:val="00024250"/>
    <w:rsid w:val="000242A2"/>
    <w:rsid w:val="00024333"/>
    <w:rsid w:val="000243D1"/>
    <w:rsid w:val="0002447E"/>
    <w:rsid w:val="000244C7"/>
    <w:rsid w:val="0002452F"/>
    <w:rsid w:val="00024530"/>
    <w:rsid w:val="00024566"/>
    <w:rsid w:val="000245B3"/>
    <w:rsid w:val="000246ED"/>
    <w:rsid w:val="00024763"/>
    <w:rsid w:val="0002476A"/>
    <w:rsid w:val="0002479E"/>
    <w:rsid w:val="00024936"/>
    <w:rsid w:val="000249DA"/>
    <w:rsid w:val="000249EC"/>
    <w:rsid w:val="00024A0A"/>
    <w:rsid w:val="00024A39"/>
    <w:rsid w:val="00024A4F"/>
    <w:rsid w:val="00024B89"/>
    <w:rsid w:val="00024B96"/>
    <w:rsid w:val="00024CC7"/>
    <w:rsid w:val="00024CCB"/>
    <w:rsid w:val="00024CFF"/>
    <w:rsid w:val="00024D8B"/>
    <w:rsid w:val="00024D9E"/>
    <w:rsid w:val="00024DA6"/>
    <w:rsid w:val="00024DF8"/>
    <w:rsid w:val="00024E32"/>
    <w:rsid w:val="00024EF2"/>
    <w:rsid w:val="00025209"/>
    <w:rsid w:val="0002521C"/>
    <w:rsid w:val="00025255"/>
    <w:rsid w:val="00025279"/>
    <w:rsid w:val="00025329"/>
    <w:rsid w:val="0002552D"/>
    <w:rsid w:val="00025567"/>
    <w:rsid w:val="00025581"/>
    <w:rsid w:val="000255A2"/>
    <w:rsid w:val="00025609"/>
    <w:rsid w:val="00025648"/>
    <w:rsid w:val="0002566E"/>
    <w:rsid w:val="0002572C"/>
    <w:rsid w:val="00025781"/>
    <w:rsid w:val="000257D8"/>
    <w:rsid w:val="00025813"/>
    <w:rsid w:val="00025853"/>
    <w:rsid w:val="0002587C"/>
    <w:rsid w:val="0002590F"/>
    <w:rsid w:val="000259B9"/>
    <w:rsid w:val="000259CC"/>
    <w:rsid w:val="00025A00"/>
    <w:rsid w:val="00025B3E"/>
    <w:rsid w:val="00025B55"/>
    <w:rsid w:val="00025C29"/>
    <w:rsid w:val="00025C79"/>
    <w:rsid w:val="00025C7E"/>
    <w:rsid w:val="00025C85"/>
    <w:rsid w:val="00025CA7"/>
    <w:rsid w:val="00025D1E"/>
    <w:rsid w:val="00025D26"/>
    <w:rsid w:val="00025E7E"/>
    <w:rsid w:val="00025E81"/>
    <w:rsid w:val="00025E9E"/>
    <w:rsid w:val="00025EB8"/>
    <w:rsid w:val="00025EE0"/>
    <w:rsid w:val="00025EFE"/>
    <w:rsid w:val="00025F6F"/>
    <w:rsid w:val="0002601C"/>
    <w:rsid w:val="0002613F"/>
    <w:rsid w:val="000261BA"/>
    <w:rsid w:val="000263FB"/>
    <w:rsid w:val="0002650D"/>
    <w:rsid w:val="0002653A"/>
    <w:rsid w:val="00026557"/>
    <w:rsid w:val="0002664F"/>
    <w:rsid w:val="00026730"/>
    <w:rsid w:val="0002675B"/>
    <w:rsid w:val="000267A4"/>
    <w:rsid w:val="000267BC"/>
    <w:rsid w:val="00026856"/>
    <w:rsid w:val="0002693A"/>
    <w:rsid w:val="000269C7"/>
    <w:rsid w:val="00026A71"/>
    <w:rsid w:val="00026A7B"/>
    <w:rsid w:val="00026B15"/>
    <w:rsid w:val="00026B1F"/>
    <w:rsid w:val="00026B4D"/>
    <w:rsid w:val="00026C11"/>
    <w:rsid w:val="00026C4D"/>
    <w:rsid w:val="00026CC8"/>
    <w:rsid w:val="00026DCF"/>
    <w:rsid w:val="00026E62"/>
    <w:rsid w:val="00026ED9"/>
    <w:rsid w:val="00026F48"/>
    <w:rsid w:val="00026F67"/>
    <w:rsid w:val="00027059"/>
    <w:rsid w:val="0002709F"/>
    <w:rsid w:val="000271D5"/>
    <w:rsid w:val="000271E0"/>
    <w:rsid w:val="00027262"/>
    <w:rsid w:val="00027275"/>
    <w:rsid w:val="000272D5"/>
    <w:rsid w:val="00027306"/>
    <w:rsid w:val="000273EC"/>
    <w:rsid w:val="000273FF"/>
    <w:rsid w:val="000274F3"/>
    <w:rsid w:val="000275A6"/>
    <w:rsid w:val="0002761A"/>
    <w:rsid w:val="0002767E"/>
    <w:rsid w:val="0002769D"/>
    <w:rsid w:val="0002771F"/>
    <w:rsid w:val="00027739"/>
    <w:rsid w:val="0002773E"/>
    <w:rsid w:val="00027769"/>
    <w:rsid w:val="000277CD"/>
    <w:rsid w:val="00027886"/>
    <w:rsid w:val="00027960"/>
    <w:rsid w:val="00027A00"/>
    <w:rsid w:val="00027AE6"/>
    <w:rsid w:val="00027B58"/>
    <w:rsid w:val="00027BD7"/>
    <w:rsid w:val="00027C34"/>
    <w:rsid w:val="00027C7E"/>
    <w:rsid w:val="00027CB4"/>
    <w:rsid w:val="00027CC5"/>
    <w:rsid w:val="00027CE3"/>
    <w:rsid w:val="00027CE9"/>
    <w:rsid w:val="00027D13"/>
    <w:rsid w:val="00027DA1"/>
    <w:rsid w:val="00027DD2"/>
    <w:rsid w:val="00027E1A"/>
    <w:rsid w:val="00027F04"/>
    <w:rsid w:val="00030016"/>
    <w:rsid w:val="00030053"/>
    <w:rsid w:val="00030092"/>
    <w:rsid w:val="00030261"/>
    <w:rsid w:val="000302A9"/>
    <w:rsid w:val="00030440"/>
    <w:rsid w:val="00030441"/>
    <w:rsid w:val="0003049E"/>
    <w:rsid w:val="0003052D"/>
    <w:rsid w:val="0003053D"/>
    <w:rsid w:val="0003053E"/>
    <w:rsid w:val="00030573"/>
    <w:rsid w:val="000305E6"/>
    <w:rsid w:val="0003062E"/>
    <w:rsid w:val="00030718"/>
    <w:rsid w:val="00030857"/>
    <w:rsid w:val="0003089D"/>
    <w:rsid w:val="0003092A"/>
    <w:rsid w:val="000309A9"/>
    <w:rsid w:val="00030ABA"/>
    <w:rsid w:val="00030B8D"/>
    <w:rsid w:val="00030BB7"/>
    <w:rsid w:val="00030C52"/>
    <w:rsid w:val="00030C89"/>
    <w:rsid w:val="00030D04"/>
    <w:rsid w:val="00030D25"/>
    <w:rsid w:val="00030D5C"/>
    <w:rsid w:val="00030DCF"/>
    <w:rsid w:val="00030DDF"/>
    <w:rsid w:val="00030F26"/>
    <w:rsid w:val="00030F6E"/>
    <w:rsid w:val="00030FBA"/>
    <w:rsid w:val="00030FD8"/>
    <w:rsid w:val="000310DC"/>
    <w:rsid w:val="00031140"/>
    <w:rsid w:val="000311A4"/>
    <w:rsid w:val="00031211"/>
    <w:rsid w:val="000312C3"/>
    <w:rsid w:val="0003130A"/>
    <w:rsid w:val="000313CB"/>
    <w:rsid w:val="00031404"/>
    <w:rsid w:val="00031497"/>
    <w:rsid w:val="000314C4"/>
    <w:rsid w:val="00031516"/>
    <w:rsid w:val="0003158B"/>
    <w:rsid w:val="000315B7"/>
    <w:rsid w:val="000315FE"/>
    <w:rsid w:val="00031736"/>
    <w:rsid w:val="0003173B"/>
    <w:rsid w:val="0003181A"/>
    <w:rsid w:val="0003181B"/>
    <w:rsid w:val="00031838"/>
    <w:rsid w:val="00031855"/>
    <w:rsid w:val="000318F3"/>
    <w:rsid w:val="00031938"/>
    <w:rsid w:val="0003193B"/>
    <w:rsid w:val="00031B75"/>
    <w:rsid w:val="00031B88"/>
    <w:rsid w:val="00031CA5"/>
    <w:rsid w:val="00031CB6"/>
    <w:rsid w:val="00031D16"/>
    <w:rsid w:val="00031D64"/>
    <w:rsid w:val="00031DEA"/>
    <w:rsid w:val="00031E42"/>
    <w:rsid w:val="00031E4F"/>
    <w:rsid w:val="00031FFD"/>
    <w:rsid w:val="00032059"/>
    <w:rsid w:val="0003205A"/>
    <w:rsid w:val="0003209B"/>
    <w:rsid w:val="000321C3"/>
    <w:rsid w:val="000321EF"/>
    <w:rsid w:val="0003223C"/>
    <w:rsid w:val="00032255"/>
    <w:rsid w:val="000322C8"/>
    <w:rsid w:val="0003237F"/>
    <w:rsid w:val="0003240A"/>
    <w:rsid w:val="00032445"/>
    <w:rsid w:val="000324D3"/>
    <w:rsid w:val="000325EE"/>
    <w:rsid w:val="00032672"/>
    <w:rsid w:val="0003270D"/>
    <w:rsid w:val="00032744"/>
    <w:rsid w:val="000327CE"/>
    <w:rsid w:val="0003285B"/>
    <w:rsid w:val="000329B6"/>
    <w:rsid w:val="000329FB"/>
    <w:rsid w:val="00032A51"/>
    <w:rsid w:val="00032B41"/>
    <w:rsid w:val="00032BF6"/>
    <w:rsid w:val="00032C7F"/>
    <w:rsid w:val="00032D79"/>
    <w:rsid w:val="00032D8F"/>
    <w:rsid w:val="00032DC4"/>
    <w:rsid w:val="00032EA3"/>
    <w:rsid w:val="00032EE5"/>
    <w:rsid w:val="00032FC7"/>
    <w:rsid w:val="00033112"/>
    <w:rsid w:val="0003318E"/>
    <w:rsid w:val="00033248"/>
    <w:rsid w:val="00033312"/>
    <w:rsid w:val="00033341"/>
    <w:rsid w:val="0003343E"/>
    <w:rsid w:val="000334B6"/>
    <w:rsid w:val="00033647"/>
    <w:rsid w:val="000336CB"/>
    <w:rsid w:val="000337C1"/>
    <w:rsid w:val="0003384F"/>
    <w:rsid w:val="00033859"/>
    <w:rsid w:val="00033916"/>
    <w:rsid w:val="00033945"/>
    <w:rsid w:val="00033AD8"/>
    <w:rsid w:val="00033B4D"/>
    <w:rsid w:val="00033BB6"/>
    <w:rsid w:val="00033BE1"/>
    <w:rsid w:val="00033C09"/>
    <w:rsid w:val="00033C4D"/>
    <w:rsid w:val="00033DB0"/>
    <w:rsid w:val="00033DE5"/>
    <w:rsid w:val="00033E76"/>
    <w:rsid w:val="00033E91"/>
    <w:rsid w:val="00033F09"/>
    <w:rsid w:val="00033F27"/>
    <w:rsid w:val="00033F69"/>
    <w:rsid w:val="00033FC4"/>
    <w:rsid w:val="00034006"/>
    <w:rsid w:val="0003401C"/>
    <w:rsid w:val="0003404C"/>
    <w:rsid w:val="0003408F"/>
    <w:rsid w:val="000340A4"/>
    <w:rsid w:val="000340B8"/>
    <w:rsid w:val="00034156"/>
    <w:rsid w:val="000342DE"/>
    <w:rsid w:val="000342E7"/>
    <w:rsid w:val="00034321"/>
    <w:rsid w:val="00034322"/>
    <w:rsid w:val="0003432B"/>
    <w:rsid w:val="000343B8"/>
    <w:rsid w:val="000344F9"/>
    <w:rsid w:val="000345F1"/>
    <w:rsid w:val="000346B4"/>
    <w:rsid w:val="000346E7"/>
    <w:rsid w:val="00034797"/>
    <w:rsid w:val="0003484E"/>
    <w:rsid w:val="00034956"/>
    <w:rsid w:val="000349A5"/>
    <w:rsid w:val="000349C8"/>
    <w:rsid w:val="00034A43"/>
    <w:rsid w:val="00034A55"/>
    <w:rsid w:val="00034AA5"/>
    <w:rsid w:val="00034AC3"/>
    <w:rsid w:val="00034AEF"/>
    <w:rsid w:val="00034B38"/>
    <w:rsid w:val="00034BA2"/>
    <w:rsid w:val="00034BB5"/>
    <w:rsid w:val="00034BBF"/>
    <w:rsid w:val="00034BC3"/>
    <w:rsid w:val="00034DB0"/>
    <w:rsid w:val="00034DBF"/>
    <w:rsid w:val="00034E0D"/>
    <w:rsid w:val="00034E1E"/>
    <w:rsid w:val="00034ED2"/>
    <w:rsid w:val="00034F04"/>
    <w:rsid w:val="00034F55"/>
    <w:rsid w:val="00034F61"/>
    <w:rsid w:val="00034F6D"/>
    <w:rsid w:val="00034FB5"/>
    <w:rsid w:val="00034FDF"/>
    <w:rsid w:val="00034FFC"/>
    <w:rsid w:val="0003503E"/>
    <w:rsid w:val="000350B3"/>
    <w:rsid w:val="00035197"/>
    <w:rsid w:val="00035198"/>
    <w:rsid w:val="00035242"/>
    <w:rsid w:val="0003533C"/>
    <w:rsid w:val="0003535C"/>
    <w:rsid w:val="00035387"/>
    <w:rsid w:val="000354A7"/>
    <w:rsid w:val="00035523"/>
    <w:rsid w:val="00035632"/>
    <w:rsid w:val="000356BE"/>
    <w:rsid w:val="000357D8"/>
    <w:rsid w:val="000357EF"/>
    <w:rsid w:val="00035828"/>
    <w:rsid w:val="00035915"/>
    <w:rsid w:val="00035B0C"/>
    <w:rsid w:val="00035D02"/>
    <w:rsid w:val="00035D4A"/>
    <w:rsid w:val="00035D83"/>
    <w:rsid w:val="00035DBF"/>
    <w:rsid w:val="00035E2C"/>
    <w:rsid w:val="00035E7D"/>
    <w:rsid w:val="00035EBC"/>
    <w:rsid w:val="00035F4D"/>
    <w:rsid w:val="00035F6E"/>
    <w:rsid w:val="00035F82"/>
    <w:rsid w:val="00035F9E"/>
    <w:rsid w:val="00036277"/>
    <w:rsid w:val="00036375"/>
    <w:rsid w:val="00036421"/>
    <w:rsid w:val="000364AC"/>
    <w:rsid w:val="0003662A"/>
    <w:rsid w:val="00036665"/>
    <w:rsid w:val="000367E8"/>
    <w:rsid w:val="00036849"/>
    <w:rsid w:val="0003687C"/>
    <w:rsid w:val="00036910"/>
    <w:rsid w:val="00036948"/>
    <w:rsid w:val="00036A13"/>
    <w:rsid w:val="00036A49"/>
    <w:rsid w:val="00036A53"/>
    <w:rsid w:val="00036AC3"/>
    <w:rsid w:val="00036B7F"/>
    <w:rsid w:val="00036C64"/>
    <w:rsid w:val="00036CCD"/>
    <w:rsid w:val="00036CD2"/>
    <w:rsid w:val="00036D4E"/>
    <w:rsid w:val="00036D53"/>
    <w:rsid w:val="00036DE1"/>
    <w:rsid w:val="00036E0A"/>
    <w:rsid w:val="00036E66"/>
    <w:rsid w:val="00036E92"/>
    <w:rsid w:val="00036F8A"/>
    <w:rsid w:val="00036FA8"/>
    <w:rsid w:val="000370F7"/>
    <w:rsid w:val="00037169"/>
    <w:rsid w:val="0003718A"/>
    <w:rsid w:val="0003718E"/>
    <w:rsid w:val="000371E9"/>
    <w:rsid w:val="000371F1"/>
    <w:rsid w:val="00037261"/>
    <w:rsid w:val="000372F3"/>
    <w:rsid w:val="00037351"/>
    <w:rsid w:val="000373A6"/>
    <w:rsid w:val="0003749D"/>
    <w:rsid w:val="000374B8"/>
    <w:rsid w:val="000374DD"/>
    <w:rsid w:val="000374ED"/>
    <w:rsid w:val="0003751A"/>
    <w:rsid w:val="0003752B"/>
    <w:rsid w:val="0003758E"/>
    <w:rsid w:val="0003760B"/>
    <w:rsid w:val="00037650"/>
    <w:rsid w:val="00037705"/>
    <w:rsid w:val="00037708"/>
    <w:rsid w:val="0003771D"/>
    <w:rsid w:val="0003782E"/>
    <w:rsid w:val="0003784D"/>
    <w:rsid w:val="00037891"/>
    <w:rsid w:val="000378E6"/>
    <w:rsid w:val="0003798E"/>
    <w:rsid w:val="000379FD"/>
    <w:rsid w:val="00037A31"/>
    <w:rsid w:val="00037A49"/>
    <w:rsid w:val="00037A9E"/>
    <w:rsid w:val="00037B1F"/>
    <w:rsid w:val="00037B4D"/>
    <w:rsid w:val="00037BA8"/>
    <w:rsid w:val="00037BAE"/>
    <w:rsid w:val="00037BB7"/>
    <w:rsid w:val="00037C6D"/>
    <w:rsid w:val="00037C7C"/>
    <w:rsid w:val="00037CCA"/>
    <w:rsid w:val="00037D5E"/>
    <w:rsid w:val="00037DF8"/>
    <w:rsid w:val="00037F1A"/>
    <w:rsid w:val="00037F1E"/>
    <w:rsid w:val="00040043"/>
    <w:rsid w:val="00040071"/>
    <w:rsid w:val="00040139"/>
    <w:rsid w:val="0004015C"/>
    <w:rsid w:val="00040247"/>
    <w:rsid w:val="00040259"/>
    <w:rsid w:val="00040269"/>
    <w:rsid w:val="00040358"/>
    <w:rsid w:val="000403DD"/>
    <w:rsid w:val="000403FA"/>
    <w:rsid w:val="00040449"/>
    <w:rsid w:val="0004045A"/>
    <w:rsid w:val="0004048C"/>
    <w:rsid w:val="00040550"/>
    <w:rsid w:val="00040559"/>
    <w:rsid w:val="000405C3"/>
    <w:rsid w:val="00040690"/>
    <w:rsid w:val="000406FF"/>
    <w:rsid w:val="000407C3"/>
    <w:rsid w:val="0004085E"/>
    <w:rsid w:val="00040867"/>
    <w:rsid w:val="0004088B"/>
    <w:rsid w:val="0004098A"/>
    <w:rsid w:val="00040A58"/>
    <w:rsid w:val="00040ADF"/>
    <w:rsid w:val="00040B21"/>
    <w:rsid w:val="00040B25"/>
    <w:rsid w:val="00040B32"/>
    <w:rsid w:val="00040BDC"/>
    <w:rsid w:val="00040BE2"/>
    <w:rsid w:val="00040C07"/>
    <w:rsid w:val="00040C93"/>
    <w:rsid w:val="00040CF7"/>
    <w:rsid w:val="00040D82"/>
    <w:rsid w:val="00040D90"/>
    <w:rsid w:val="00040DED"/>
    <w:rsid w:val="00040E82"/>
    <w:rsid w:val="00040EE8"/>
    <w:rsid w:val="00040F5E"/>
    <w:rsid w:val="00040FA9"/>
    <w:rsid w:val="00040FAB"/>
    <w:rsid w:val="000410EF"/>
    <w:rsid w:val="00041146"/>
    <w:rsid w:val="00041164"/>
    <w:rsid w:val="000411DA"/>
    <w:rsid w:val="0004124E"/>
    <w:rsid w:val="00041286"/>
    <w:rsid w:val="00041301"/>
    <w:rsid w:val="00041417"/>
    <w:rsid w:val="00041461"/>
    <w:rsid w:val="00041546"/>
    <w:rsid w:val="00041568"/>
    <w:rsid w:val="0004164C"/>
    <w:rsid w:val="00041779"/>
    <w:rsid w:val="000417A3"/>
    <w:rsid w:val="000417B3"/>
    <w:rsid w:val="00041878"/>
    <w:rsid w:val="00041881"/>
    <w:rsid w:val="00041900"/>
    <w:rsid w:val="00041903"/>
    <w:rsid w:val="00041A3E"/>
    <w:rsid w:val="00041AE6"/>
    <w:rsid w:val="00041B0C"/>
    <w:rsid w:val="00041B55"/>
    <w:rsid w:val="00041D13"/>
    <w:rsid w:val="00041D45"/>
    <w:rsid w:val="00041D87"/>
    <w:rsid w:val="00041DAE"/>
    <w:rsid w:val="00041DB3"/>
    <w:rsid w:val="00041DC7"/>
    <w:rsid w:val="00041DC9"/>
    <w:rsid w:val="00041E00"/>
    <w:rsid w:val="00041E8D"/>
    <w:rsid w:val="00041FCE"/>
    <w:rsid w:val="00041FEB"/>
    <w:rsid w:val="0004201F"/>
    <w:rsid w:val="0004208B"/>
    <w:rsid w:val="000420A6"/>
    <w:rsid w:val="000420E0"/>
    <w:rsid w:val="000420FE"/>
    <w:rsid w:val="00042166"/>
    <w:rsid w:val="000421FE"/>
    <w:rsid w:val="000422C9"/>
    <w:rsid w:val="0004232F"/>
    <w:rsid w:val="00042379"/>
    <w:rsid w:val="000423BF"/>
    <w:rsid w:val="00042535"/>
    <w:rsid w:val="00042547"/>
    <w:rsid w:val="00042558"/>
    <w:rsid w:val="000425A3"/>
    <w:rsid w:val="000425FB"/>
    <w:rsid w:val="000426D2"/>
    <w:rsid w:val="00042750"/>
    <w:rsid w:val="00042813"/>
    <w:rsid w:val="00042822"/>
    <w:rsid w:val="000428B4"/>
    <w:rsid w:val="00042A34"/>
    <w:rsid w:val="00042A54"/>
    <w:rsid w:val="00042A9F"/>
    <w:rsid w:val="00042C3A"/>
    <w:rsid w:val="00042CE5"/>
    <w:rsid w:val="00042D36"/>
    <w:rsid w:val="00042D94"/>
    <w:rsid w:val="00042D97"/>
    <w:rsid w:val="00042D9A"/>
    <w:rsid w:val="00042DCC"/>
    <w:rsid w:val="00042E42"/>
    <w:rsid w:val="00042E58"/>
    <w:rsid w:val="00042E74"/>
    <w:rsid w:val="00042E81"/>
    <w:rsid w:val="00042ECA"/>
    <w:rsid w:val="00042FAD"/>
    <w:rsid w:val="00042FC6"/>
    <w:rsid w:val="00042FE0"/>
    <w:rsid w:val="00042FEB"/>
    <w:rsid w:val="0004310B"/>
    <w:rsid w:val="00043127"/>
    <w:rsid w:val="00043144"/>
    <w:rsid w:val="0004318D"/>
    <w:rsid w:val="000431A7"/>
    <w:rsid w:val="000431D7"/>
    <w:rsid w:val="000431EC"/>
    <w:rsid w:val="00043286"/>
    <w:rsid w:val="000432A9"/>
    <w:rsid w:val="000432E6"/>
    <w:rsid w:val="0004335B"/>
    <w:rsid w:val="000433AD"/>
    <w:rsid w:val="000433D6"/>
    <w:rsid w:val="0004341B"/>
    <w:rsid w:val="00043455"/>
    <w:rsid w:val="00043622"/>
    <w:rsid w:val="000437C4"/>
    <w:rsid w:val="000437F4"/>
    <w:rsid w:val="0004380E"/>
    <w:rsid w:val="0004381B"/>
    <w:rsid w:val="0004385E"/>
    <w:rsid w:val="00043898"/>
    <w:rsid w:val="00043900"/>
    <w:rsid w:val="0004396D"/>
    <w:rsid w:val="000439C9"/>
    <w:rsid w:val="00043B92"/>
    <w:rsid w:val="00043BA8"/>
    <w:rsid w:val="00043C4C"/>
    <w:rsid w:val="00043D06"/>
    <w:rsid w:val="00043D8E"/>
    <w:rsid w:val="00043DCC"/>
    <w:rsid w:val="00043DCD"/>
    <w:rsid w:val="00043DD1"/>
    <w:rsid w:val="00043DEC"/>
    <w:rsid w:val="00043E70"/>
    <w:rsid w:val="00043E7D"/>
    <w:rsid w:val="000440C5"/>
    <w:rsid w:val="00044175"/>
    <w:rsid w:val="000441BA"/>
    <w:rsid w:val="0004426D"/>
    <w:rsid w:val="0004426F"/>
    <w:rsid w:val="00044274"/>
    <w:rsid w:val="0004433D"/>
    <w:rsid w:val="0004438C"/>
    <w:rsid w:val="000443D9"/>
    <w:rsid w:val="00044476"/>
    <w:rsid w:val="00044587"/>
    <w:rsid w:val="00044589"/>
    <w:rsid w:val="000445A4"/>
    <w:rsid w:val="000445D3"/>
    <w:rsid w:val="00044699"/>
    <w:rsid w:val="000446C9"/>
    <w:rsid w:val="00044835"/>
    <w:rsid w:val="00044863"/>
    <w:rsid w:val="00044883"/>
    <w:rsid w:val="000448C4"/>
    <w:rsid w:val="0004491E"/>
    <w:rsid w:val="00044949"/>
    <w:rsid w:val="000449E2"/>
    <w:rsid w:val="00044A86"/>
    <w:rsid w:val="00044AC0"/>
    <w:rsid w:val="00044BD1"/>
    <w:rsid w:val="00044E8C"/>
    <w:rsid w:val="00045077"/>
    <w:rsid w:val="00045125"/>
    <w:rsid w:val="00045140"/>
    <w:rsid w:val="00045161"/>
    <w:rsid w:val="000451A9"/>
    <w:rsid w:val="00045436"/>
    <w:rsid w:val="00045459"/>
    <w:rsid w:val="00045496"/>
    <w:rsid w:val="00045567"/>
    <w:rsid w:val="000455C0"/>
    <w:rsid w:val="000455FD"/>
    <w:rsid w:val="0004565C"/>
    <w:rsid w:val="0004572F"/>
    <w:rsid w:val="0004575F"/>
    <w:rsid w:val="0004586E"/>
    <w:rsid w:val="00045986"/>
    <w:rsid w:val="000459D1"/>
    <w:rsid w:val="00045A98"/>
    <w:rsid w:val="00045B58"/>
    <w:rsid w:val="00045B79"/>
    <w:rsid w:val="00045BB5"/>
    <w:rsid w:val="00045C17"/>
    <w:rsid w:val="00045C2E"/>
    <w:rsid w:val="00045C38"/>
    <w:rsid w:val="00045CC5"/>
    <w:rsid w:val="00045D0D"/>
    <w:rsid w:val="00045DE7"/>
    <w:rsid w:val="00045DF5"/>
    <w:rsid w:val="00045E70"/>
    <w:rsid w:val="00045E7D"/>
    <w:rsid w:val="00045ED8"/>
    <w:rsid w:val="00045F4E"/>
    <w:rsid w:val="00045F7A"/>
    <w:rsid w:val="0004603A"/>
    <w:rsid w:val="00046044"/>
    <w:rsid w:val="00046143"/>
    <w:rsid w:val="00046144"/>
    <w:rsid w:val="000461CA"/>
    <w:rsid w:val="00046318"/>
    <w:rsid w:val="00046363"/>
    <w:rsid w:val="0004646F"/>
    <w:rsid w:val="00046604"/>
    <w:rsid w:val="00046620"/>
    <w:rsid w:val="00046688"/>
    <w:rsid w:val="000466A2"/>
    <w:rsid w:val="00046713"/>
    <w:rsid w:val="00046728"/>
    <w:rsid w:val="000467F2"/>
    <w:rsid w:val="0004683A"/>
    <w:rsid w:val="00046848"/>
    <w:rsid w:val="00046855"/>
    <w:rsid w:val="00046893"/>
    <w:rsid w:val="0004690D"/>
    <w:rsid w:val="0004692C"/>
    <w:rsid w:val="000469E4"/>
    <w:rsid w:val="00046A6E"/>
    <w:rsid w:val="00046A74"/>
    <w:rsid w:val="00046A98"/>
    <w:rsid w:val="00046A9A"/>
    <w:rsid w:val="00046B06"/>
    <w:rsid w:val="00046CCC"/>
    <w:rsid w:val="00046CCF"/>
    <w:rsid w:val="00046D0E"/>
    <w:rsid w:val="00046D27"/>
    <w:rsid w:val="00046D73"/>
    <w:rsid w:val="00046DF0"/>
    <w:rsid w:val="00046EC0"/>
    <w:rsid w:val="00046FF3"/>
    <w:rsid w:val="0004706C"/>
    <w:rsid w:val="00047114"/>
    <w:rsid w:val="000471D7"/>
    <w:rsid w:val="00047359"/>
    <w:rsid w:val="00047431"/>
    <w:rsid w:val="00047448"/>
    <w:rsid w:val="0004746B"/>
    <w:rsid w:val="000474D6"/>
    <w:rsid w:val="0004751C"/>
    <w:rsid w:val="000475D8"/>
    <w:rsid w:val="000475DF"/>
    <w:rsid w:val="000476A2"/>
    <w:rsid w:val="000476AD"/>
    <w:rsid w:val="000476E5"/>
    <w:rsid w:val="000477D4"/>
    <w:rsid w:val="000477E4"/>
    <w:rsid w:val="000477F9"/>
    <w:rsid w:val="000478CB"/>
    <w:rsid w:val="00047919"/>
    <w:rsid w:val="00047A7D"/>
    <w:rsid w:val="00047AA3"/>
    <w:rsid w:val="00047BB6"/>
    <w:rsid w:val="00047BDB"/>
    <w:rsid w:val="00047C24"/>
    <w:rsid w:val="00047CDE"/>
    <w:rsid w:val="00047D26"/>
    <w:rsid w:val="00047D37"/>
    <w:rsid w:val="00047E4D"/>
    <w:rsid w:val="00047EE8"/>
    <w:rsid w:val="00047FF6"/>
    <w:rsid w:val="00050130"/>
    <w:rsid w:val="00050132"/>
    <w:rsid w:val="00050155"/>
    <w:rsid w:val="00050176"/>
    <w:rsid w:val="000501FA"/>
    <w:rsid w:val="00050218"/>
    <w:rsid w:val="0005043A"/>
    <w:rsid w:val="00050450"/>
    <w:rsid w:val="00050525"/>
    <w:rsid w:val="0005052F"/>
    <w:rsid w:val="00050543"/>
    <w:rsid w:val="00050626"/>
    <w:rsid w:val="00050681"/>
    <w:rsid w:val="000506D9"/>
    <w:rsid w:val="0005071C"/>
    <w:rsid w:val="00050766"/>
    <w:rsid w:val="0005077C"/>
    <w:rsid w:val="00050832"/>
    <w:rsid w:val="00050839"/>
    <w:rsid w:val="000508C6"/>
    <w:rsid w:val="000508F4"/>
    <w:rsid w:val="000509C1"/>
    <w:rsid w:val="00050A67"/>
    <w:rsid w:val="00050A86"/>
    <w:rsid w:val="00050A8E"/>
    <w:rsid w:val="00050B10"/>
    <w:rsid w:val="00050B42"/>
    <w:rsid w:val="00050B63"/>
    <w:rsid w:val="00050D01"/>
    <w:rsid w:val="00050D17"/>
    <w:rsid w:val="00050D8A"/>
    <w:rsid w:val="00050E01"/>
    <w:rsid w:val="00050E0A"/>
    <w:rsid w:val="00050F54"/>
    <w:rsid w:val="00050FE0"/>
    <w:rsid w:val="00051060"/>
    <w:rsid w:val="00051084"/>
    <w:rsid w:val="000510A7"/>
    <w:rsid w:val="000510B6"/>
    <w:rsid w:val="00051106"/>
    <w:rsid w:val="0005116C"/>
    <w:rsid w:val="00051254"/>
    <w:rsid w:val="000512F3"/>
    <w:rsid w:val="0005131D"/>
    <w:rsid w:val="00051577"/>
    <w:rsid w:val="00051594"/>
    <w:rsid w:val="000515EE"/>
    <w:rsid w:val="00051681"/>
    <w:rsid w:val="0005169E"/>
    <w:rsid w:val="0005187F"/>
    <w:rsid w:val="0005189A"/>
    <w:rsid w:val="000518A7"/>
    <w:rsid w:val="0005192B"/>
    <w:rsid w:val="0005194A"/>
    <w:rsid w:val="00051955"/>
    <w:rsid w:val="00051A9B"/>
    <w:rsid w:val="00051AE6"/>
    <w:rsid w:val="00051B69"/>
    <w:rsid w:val="00051B96"/>
    <w:rsid w:val="00051C0D"/>
    <w:rsid w:val="00051C8B"/>
    <w:rsid w:val="00051D29"/>
    <w:rsid w:val="00051D59"/>
    <w:rsid w:val="00051D8C"/>
    <w:rsid w:val="00051D8D"/>
    <w:rsid w:val="00051DF2"/>
    <w:rsid w:val="00051E68"/>
    <w:rsid w:val="00051F10"/>
    <w:rsid w:val="00051F28"/>
    <w:rsid w:val="00051F9B"/>
    <w:rsid w:val="00051FCF"/>
    <w:rsid w:val="00052028"/>
    <w:rsid w:val="0005207C"/>
    <w:rsid w:val="000520CC"/>
    <w:rsid w:val="000520D2"/>
    <w:rsid w:val="000521AE"/>
    <w:rsid w:val="000521BD"/>
    <w:rsid w:val="000521CB"/>
    <w:rsid w:val="0005229F"/>
    <w:rsid w:val="000522E8"/>
    <w:rsid w:val="0005231C"/>
    <w:rsid w:val="000523B2"/>
    <w:rsid w:val="00052444"/>
    <w:rsid w:val="00052448"/>
    <w:rsid w:val="000524A2"/>
    <w:rsid w:val="000524B4"/>
    <w:rsid w:val="0005252C"/>
    <w:rsid w:val="00052557"/>
    <w:rsid w:val="000525DC"/>
    <w:rsid w:val="000526EB"/>
    <w:rsid w:val="00052869"/>
    <w:rsid w:val="000528F3"/>
    <w:rsid w:val="000528F6"/>
    <w:rsid w:val="000529A4"/>
    <w:rsid w:val="000529E9"/>
    <w:rsid w:val="00052A0F"/>
    <w:rsid w:val="00052AF3"/>
    <w:rsid w:val="00052B67"/>
    <w:rsid w:val="00052D29"/>
    <w:rsid w:val="00052D62"/>
    <w:rsid w:val="00052E1C"/>
    <w:rsid w:val="00052E53"/>
    <w:rsid w:val="00052EDF"/>
    <w:rsid w:val="00052F1A"/>
    <w:rsid w:val="00052FC3"/>
    <w:rsid w:val="0005300B"/>
    <w:rsid w:val="00053086"/>
    <w:rsid w:val="00053155"/>
    <w:rsid w:val="00053192"/>
    <w:rsid w:val="000531E0"/>
    <w:rsid w:val="000532A1"/>
    <w:rsid w:val="0005335B"/>
    <w:rsid w:val="00053381"/>
    <w:rsid w:val="00053398"/>
    <w:rsid w:val="00053573"/>
    <w:rsid w:val="00053610"/>
    <w:rsid w:val="0005361F"/>
    <w:rsid w:val="00053644"/>
    <w:rsid w:val="000537C8"/>
    <w:rsid w:val="0005383E"/>
    <w:rsid w:val="00053915"/>
    <w:rsid w:val="00053921"/>
    <w:rsid w:val="00053A0F"/>
    <w:rsid w:val="00053ADD"/>
    <w:rsid w:val="00053BA5"/>
    <w:rsid w:val="00053CDE"/>
    <w:rsid w:val="00053E35"/>
    <w:rsid w:val="00053E83"/>
    <w:rsid w:val="00053EA3"/>
    <w:rsid w:val="00053ECD"/>
    <w:rsid w:val="00053EF6"/>
    <w:rsid w:val="00053EF9"/>
    <w:rsid w:val="00053F02"/>
    <w:rsid w:val="00053F24"/>
    <w:rsid w:val="00053F3D"/>
    <w:rsid w:val="00053FEF"/>
    <w:rsid w:val="0005404C"/>
    <w:rsid w:val="0005410C"/>
    <w:rsid w:val="0005414F"/>
    <w:rsid w:val="000541A1"/>
    <w:rsid w:val="000541EA"/>
    <w:rsid w:val="0005423C"/>
    <w:rsid w:val="00054260"/>
    <w:rsid w:val="000542FD"/>
    <w:rsid w:val="00054318"/>
    <w:rsid w:val="0005431D"/>
    <w:rsid w:val="0005432E"/>
    <w:rsid w:val="00054437"/>
    <w:rsid w:val="000544F4"/>
    <w:rsid w:val="000544FD"/>
    <w:rsid w:val="00054610"/>
    <w:rsid w:val="00054687"/>
    <w:rsid w:val="000546B9"/>
    <w:rsid w:val="00054720"/>
    <w:rsid w:val="00054769"/>
    <w:rsid w:val="000548C0"/>
    <w:rsid w:val="00054921"/>
    <w:rsid w:val="0005495F"/>
    <w:rsid w:val="000549B9"/>
    <w:rsid w:val="00054A1E"/>
    <w:rsid w:val="00054A2F"/>
    <w:rsid w:val="00054AFF"/>
    <w:rsid w:val="00054B1F"/>
    <w:rsid w:val="00054B61"/>
    <w:rsid w:val="00054C54"/>
    <w:rsid w:val="00054C7A"/>
    <w:rsid w:val="00054D81"/>
    <w:rsid w:val="00054D89"/>
    <w:rsid w:val="00054F77"/>
    <w:rsid w:val="00054FF7"/>
    <w:rsid w:val="00055025"/>
    <w:rsid w:val="000550BE"/>
    <w:rsid w:val="000550F4"/>
    <w:rsid w:val="00055117"/>
    <w:rsid w:val="0005522B"/>
    <w:rsid w:val="0005531A"/>
    <w:rsid w:val="0005538A"/>
    <w:rsid w:val="0005539C"/>
    <w:rsid w:val="0005541A"/>
    <w:rsid w:val="00055423"/>
    <w:rsid w:val="00055472"/>
    <w:rsid w:val="00055514"/>
    <w:rsid w:val="0005552B"/>
    <w:rsid w:val="000555B4"/>
    <w:rsid w:val="000555EB"/>
    <w:rsid w:val="00055657"/>
    <w:rsid w:val="00055664"/>
    <w:rsid w:val="00055720"/>
    <w:rsid w:val="00055831"/>
    <w:rsid w:val="00055851"/>
    <w:rsid w:val="0005589B"/>
    <w:rsid w:val="000558F8"/>
    <w:rsid w:val="00055957"/>
    <w:rsid w:val="00055960"/>
    <w:rsid w:val="00055A36"/>
    <w:rsid w:val="00055BDE"/>
    <w:rsid w:val="00055CB0"/>
    <w:rsid w:val="00055D14"/>
    <w:rsid w:val="00055D1D"/>
    <w:rsid w:val="00055D57"/>
    <w:rsid w:val="00055D5F"/>
    <w:rsid w:val="00055DF1"/>
    <w:rsid w:val="00055E06"/>
    <w:rsid w:val="00055E8A"/>
    <w:rsid w:val="00055F29"/>
    <w:rsid w:val="00055F3B"/>
    <w:rsid w:val="00055FB0"/>
    <w:rsid w:val="00055FBE"/>
    <w:rsid w:val="00055FF4"/>
    <w:rsid w:val="0005600E"/>
    <w:rsid w:val="00056041"/>
    <w:rsid w:val="00056099"/>
    <w:rsid w:val="0005612D"/>
    <w:rsid w:val="00056201"/>
    <w:rsid w:val="00056278"/>
    <w:rsid w:val="0005629E"/>
    <w:rsid w:val="00056304"/>
    <w:rsid w:val="00056401"/>
    <w:rsid w:val="00056420"/>
    <w:rsid w:val="000564A4"/>
    <w:rsid w:val="000564C7"/>
    <w:rsid w:val="000564CF"/>
    <w:rsid w:val="0005652E"/>
    <w:rsid w:val="000565C2"/>
    <w:rsid w:val="00056672"/>
    <w:rsid w:val="0005668C"/>
    <w:rsid w:val="0005668D"/>
    <w:rsid w:val="000567D0"/>
    <w:rsid w:val="000567D1"/>
    <w:rsid w:val="00056900"/>
    <w:rsid w:val="00056969"/>
    <w:rsid w:val="000569BC"/>
    <w:rsid w:val="000569EA"/>
    <w:rsid w:val="000569FF"/>
    <w:rsid w:val="00056A73"/>
    <w:rsid w:val="00056BA7"/>
    <w:rsid w:val="00056CA4"/>
    <w:rsid w:val="00056D91"/>
    <w:rsid w:val="00056FC2"/>
    <w:rsid w:val="0005706E"/>
    <w:rsid w:val="00057112"/>
    <w:rsid w:val="0005713E"/>
    <w:rsid w:val="00057194"/>
    <w:rsid w:val="000571B3"/>
    <w:rsid w:val="000572CB"/>
    <w:rsid w:val="0005736C"/>
    <w:rsid w:val="00057497"/>
    <w:rsid w:val="000574C5"/>
    <w:rsid w:val="0005752E"/>
    <w:rsid w:val="000576F3"/>
    <w:rsid w:val="00057816"/>
    <w:rsid w:val="00057993"/>
    <w:rsid w:val="000579DD"/>
    <w:rsid w:val="00057A18"/>
    <w:rsid w:val="00057B76"/>
    <w:rsid w:val="00057C75"/>
    <w:rsid w:val="00057CBB"/>
    <w:rsid w:val="00057DCC"/>
    <w:rsid w:val="00057DE8"/>
    <w:rsid w:val="00057E00"/>
    <w:rsid w:val="00057E9A"/>
    <w:rsid w:val="00057F8E"/>
    <w:rsid w:val="00057FE7"/>
    <w:rsid w:val="00057FF6"/>
    <w:rsid w:val="00057FFC"/>
    <w:rsid w:val="00060056"/>
    <w:rsid w:val="00060057"/>
    <w:rsid w:val="00060096"/>
    <w:rsid w:val="000600C9"/>
    <w:rsid w:val="00060121"/>
    <w:rsid w:val="00060129"/>
    <w:rsid w:val="0006023A"/>
    <w:rsid w:val="00060295"/>
    <w:rsid w:val="000603C2"/>
    <w:rsid w:val="00060417"/>
    <w:rsid w:val="000604B6"/>
    <w:rsid w:val="00060600"/>
    <w:rsid w:val="00060787"/>
    <w:rsid w:val="0006080B"/>
    <w:rsid w:val="0006081C"/>
    <w:rsid w:val="0006085E"/>
    <w:rsid w:val="00060A57"/>
    <w:rsid w:val="00060ABD"/>
    <w:rsid w:val="00060B79"/>
    <w:rsid w:val="00060BA7"/>
    <w:rsid w:val="00060BBD"/>
    <w:rsid w:val="00060BE9"/>
    <w:rsid w:val="00060C49"/>
    <w:rsid w:val="00060C5C"/>
    <w:rsid w:val="00060CE0"/>
    <w:rsid w:val="00060D9C"/>
    <w:rsid w:val="00060DDB"/>
    <w:rsid w:val="00060DE7"/>
    <w:rsid w:val="00060E4A"/>
    <w:rsid w:val="00060E5B"/>
    <w:rsid w:val="00060F6C"/>
    <w:rsid w:val="0006100A"/>
    <w:rsid w:val="00061064"/>
    <w:rsid w:val="00061087"/>
    <w:rsid w:val="000610C1"/>
    <w:rsid w:val="0006110F"/>
    <w:rsid w:val="00061138"/>
    <w:rsid w:val="0006113E"/>
    <w:rsid w:val="00061272"/>
    <w:rsid w:val="0006127C"/>
    <w:rsid w:val="000612AC"/>
    <w:rsid w:val="00061318"/>
    <w:rsid w:val="0006131A"/>
    <w:rsid w:val="00061323"/>
    <w:rsid w:val="00061384"/>
    <w:rsid w:val="000613B3"/>
    <w:rsid w:val="000613B8"/>
    <w:rsid w:val="00061481"/>
    <w:rsid w:val="000614AC"/>
    <w:rsid w:val="00061628"/>
    <w:rsid w:val="0006163C"/>
    <w:rsid w:val="0006185C"/>
    <w:rsid w:val="00061AA8"/>
    <w:rsid w:val="00061C2F"/>
    <w:rsid w:val="00061C5C"/>
    <w:rsid w:val="00061C96"/>
    <w:rsid w:val="00061CD6"/>
    <w:rsid w:val="00061CF6"/>
    <w:rsid w:val="00061DA2"/>
    <w:rsid w:val="00061DAB"/>
    <w:rsid w:val="00061E84"/>
    <w:rsid w:val="00061EA9"/>
    <w:rsid w:val="00061EFE"/>
    <w:rsid w:val="00061FD1"/>
    <w:rsid w:val="00061FD5"/>
    <w:rsid w:val="00062129"/>
    <w:rsid w:val="00062162"/>
    <w:rsid w:val="000621CB"/>
    <w:rsid w:val="00062228"/>
    <w:rsid w:val="0006226C"/>
    <w:rsid w:val="00062270"/>
    <w:rsid w:val="0006230B"/>
    <w:rsid w:val="0006237B"/>
    <w:rsid w:val="000623E0"/>
    <w:rsid w:val="00062497"/>
    <w:rsid w:val="000624E4"/>
    <w:rsid w:val="0006261D"/>
    <w:rsid w:val="000626ED"/>
    <w:rsid w:val="00062768"/>
    <w:rsid w:val="00062812"/>
    <w:rsid w:val="0006281E"/>
    <w:rsid w:val="00062852"/>
    <w:rsid w:val="00062889"/>
    <w:rsid w:val="000628C0"/>
    <w:rsid w:val="00062903"/>
    <w:rsid w:val="0006293B"/>
    <w:rsid w:val="00062998"/>
    <w:rsid w:val="000629B5"/>
    <w:rsid w:val="000629D4"/>
    <w:rsid w:val="00062A08"/>
    <w:rsid w:val="00062A8C"/>
    <w:rsid w:val="00062BDF"/>
    <w:rsid w:val="00062BFB"/>
    <w:rsid w:val="00062C08"/>
    <w:rsid w:val="00062C21"/>
    <w:rsid w:val="00062DD5"/>
    <w:rsid w:val="00062FB4"/>
    <w:rsid w:val="00062FEE"/>
    <w:rsid w:val="00063024"/>
    <w:rsid w:val="000630A0"/>
    <w:rsid w:val="00063176"/>
    <w:rsid w:val="000631C8"/>
    <w:rsid w:val="00063207"/>
    <w:rsid w:val="00063219"/>
    <w:rsid w:val="00063238"/>
    <w:rsid w:val="00063260"/>
    <w:rsid w:val="0006326A"/>
    <w:rsid w:val="00063333"/>
    <w:rsid w:val="00063392"/>
    <w:rsid w:val="000633C2"/>
    <w:rsid w:val="000633DA"/>
    <w:rsid w:val="000634E4"/>
    <w:rsid w:val="000635CC"/>
    <w:rsid w:val="0006361B"/>
    <w:rsid w:val="00063691"/>
    <w:rsid w:val="000636A6"/>
    <w:rsid w:val="000636BA"/>
    <w:rsid w:val="00063769"/>
    <w:rsid w:val="00063873"/>
    <w:rsid w:val="0006387D"/>
    <w:rsid w:val="0006396A"/>
    <w:rsid w:val="000639A8"/>
    <w:rsid w:val="000639A9"/>
    <w:rsid w:val="00063A61"/>
    <w:rsid w:val="00063B09"/>
    <w:rsid w:val="00063C1F"/>
    <w:rsid w:val="00063CD6"/>
    <w:rsid w:val="00063D44"/>
    <w:rsid w:val="00063D51"/>
    <w:rsid w:val="00063DD9"/>
    <w:rsid w:val="00063E00"/>
    <w:rsid w:val="00063E34"/>
    <w:rsid w:val="00063EFE"/>
    <w:rsid w:val="00063F02"/>
    <w:rsid w:val="00063F2D"/>
    <w:rsid w:val="00063F58"/>
    <w:rsid w:val="00064074"/>
    <w:rsid w:val="00064083"/>
    <w:rsid w:val="000641F0"/>
    <w:rsid w:val="00064283"/>
    <w:rsid w:val="0006432F"/>
    <w:rsid w:val="0006438E"/>
    <w:rsid w:val="0006440E"/>
    <w:rsid w:val="00064447"/>
    <w:rsid w:val="0006445B"/>
    <w:rsid w:val="00064497"/>
    <w:rsid w:val="00064589"/>
    <w:rsid w:val="0006461E"/>
    <w:rsid w:val="00064646"/>
    <w:rsid w:val="000646E0"/>
    <w:rsid w:val="00064895"/>
    <w:rsid w:val="000648E0"/>
    <w:rsid w:val="0006496B"/>
    <w:rsid w:val="000649AF"/>
    <w:rsid w:val="00064A08"/>
    <w:rsid w:val="00064A22"/>
    <w:rsid w:val="00064A73"/>
    <w:rsid w:val="00064A81"/>
    <w:rsid w:val="00064B59"/>
    <w:rsid w:val="00064B5C"/>
    <w:rsid w:val="00064CF3"/>
    <w:rsid w:val="00064E93"/>
    <w:rsid w:val="00064F9C"/>
    <w:rsid w:val="00065000"/>
    <w:rsid w:val="00065103"/>
    <w:rsid w:val="00065129"/>
    <w:rsid w:val="000651F8"/>
    <w:rsid w:val="00065238"/>
    <w:rsid w:val="00065254"/>
    <w:rsid w:val="000652D4"/>
    <w:rsid w:val="000653A4"/>
    <w:rsid w:val="000654D2"/>
    <w:rsid w:val="000654FC"/>
    <w:rsid w:val="00065540"/>
    <w:rsid w:val="0006557D"/>
    <w:rsid w:val="000655DE"/>
    <w:rsid w:val="0006562C"/>
    <w:rsid w:val="00065641"/>
    <w:rsid w:val="00065719"/>
    <w:rsid w:val="00065792"/>
    <w:rsid w:val="000657E9"/>
    <w:rsid w:val="00065819"/>
    <w:rsid w:val="0006584C"/>
    <w:rsid w:val="000659AB"/>
    <w:rsid w:val="00065A9C"/>
    <w:rsid w:val="00065ACC"/>
    <w:rsid w:val="00065AE1"/>
    <w:rsid w:val="00065B27"/>
    <w:rsid w:val="00065B74"/>
    <w:rsid w:val="00065BD6"/>
    <w:rsid w:val="00065C05"/>
    <w:rsid w:val="00065E3A"/>
    <w:rsid w:val="00065E4E"/>
    <w:rsid w:val="00065F8F"/>
    <w:rsid w:val="00065FDC"/>
    <w:rsid w:val="0006608A"/>
    <w:rsid w:val="000660A2"/>
    <w:rsid w:val="000660DD"/>
    <w:rsid w:val="0006620D"/>
    <w:rsid w:val="0006622E"/>
    <w:rsid w:val="00066254"/>
    <w:rsid w:val="00066258"/>
    <w:rsid w:val="00066327"/>
    <w:rsid w:val="00066365"/>
    <w:rsid w:val="0006639D"/>
    <w:rsid w:val="00066411"/>
    <w:rsid w:val="00066503"/>
    <w:rsid w:val="0006658D"/>
    <w:rsid w:val="000665B0"/>
    <w:rsid w:val="0006668D"/>
    <w:rsid w:val="00066775"/>
    <w:rsid w:val="00066801"/>
    <w:rsid w:val="00066857"/>
    <w:rsid w:val="000668A4"/>
    <w:rsid w:val="000668AA"/>
    <w:rsid w:val="00066912"/>
    <w:rsid w:val="0006693A"/>
    <w:rsid w:val="0006698D"/>
    <w:rsid w:val="000669A5"/>
    <w:rsid w:val="00066A42"/>
    <w:rsid w:val="00066A8B"/>
    <w:rsid w:val="00066B09"/>
    <w:rsid w:val="00066B0D"/>
    <w:rsid w:val="00066B40"/>
    <w:rsid w:val="00066B67"/>
    <w:rsid w:val="00066C19"/>
    <w:rsid w:val="00066C6D"/>
    <w:rsid w:val="00066D16"/>
    <w:rsid w:val="00066D29"/>
    <w:rsid w:val="00066E17"/>
    <w:rsid w:val="00066E82"/>
    <w:rsid w:val="00066ED7"/>
    <w:rsid w:val="00066FC1"/>
    <w:rsid w:val="00067139"/>
    <w:rsid w:val="0006725E"/>
    <w:rsid w:val="00067299"/>
    <w:rsid w:val="000672E3"/>
    <w:rsid w:val="00067309"/>
    <w:rsid w:val="00067316"/>
    <w:rsid w:val="000673FE"/>
    <w:rsid w:val="00067485"/>
    <w:rsid w:val="000674D9"/>
    <w:rsid w:val="0006751D"/>
    <w:rsid w:val="000675B6"/>
    <w:rsid w:val="000675DB"/>
    <w:rsid w:val="0006761D"/>
    <w:rsid w:val="00067756"/>
    <w:rsid w:val="000677AB"/>
    <w:rsid w:val="000677C3"/>
    <w:rsid w:val="000677D0"/>
    <w:rsid w:val="0006782F"/>
    <w:rsid w:val="00067882"/>
    <w:rsid w:val="000678FB"/>
    <w:rsid w:val="000679AE"/>
    <w:rsid w:val="00067AB2"/>
    <w:rsid w:val="00067AF1"/>
    <w:rsid w:val="00067B36"/>
    <w:rsid w:val="00067B4E"/>
    <w:rsid w:val="00067BCE"/>
    <w:rsid w:val="00067BE5"/>
    <w:rsid w:val="00067C7F"/>
    <w:rsid w:val="00067C8C"/>
    <w:rsid w:val="00067CBE"/>
    <w:rsid w:val="00067D1F"/>
    <w:rsid w:val="00067E24"/>
    <w:rsid w:val="00067E8B"/>
    <w:rsid w:val="0007006A"/>
    <w:rsid w:val="0007014B"/>
    <w:rsid w:val="0007016E"/>
    <w:rsid w:val="000701EB"/>
    <w:rsid w:val="000701F4"/>
    <w:rsid w:val="00070241"/>
    <w:rsid w:val="00070330"/>
    <w:rsid w:val="00070423"/>
    <w:rsid w:val="00070428"/>
    <w:rsid w:val="00070465"/>
    <w:rsid w:val="0007049F"/>
    <w:rsid w:val="000704A1"/>
    <w:rsid w:val="000704CB"/>
    <w:rsid w:val="0007052D"/>
    <w:rsid w:val="000705E5"/>
    <w:rsid w:val="00070677"/>
    <w:rsid w:val="000706E0"/>
    <w:rsid w:val="000707F0"/>
    <w:rsid w:val="00070843"/>
    <w:rsid w:val="000708BC"/>
    <w:rsid w:val="0007091A"/>
    <w:rsid w:val="000709B5"/>
    <w:rsid w:val="00070B88"/>
    <w:rsid w:val="00070BBD"/>
    <w:rsid w:val="00070C35"/>
    <w:rsid w:val="00070E0A"/>
    <w:rsid w:val="00070E25"/>
    <w:rsid w:val="00070E85"/>
    <w:rsid w:val="00070EA7"/>
    <w:rsid w:val="00070EC5"/>
    <w:rsid w:val="00071019"/>
    <w:rsid w:val="000710BB"/>
    <w:rsid w:val="00071115"/>
    <w:rsid w:val="000711F2"/>
    <w:rsid w:val="00071202"/>
    <w:rsid w:val="00071208"/>
    <w:rsid w:val="0007123D"/>
    <w:rsid w:val="00071259"/>
    <w:rsid w:val="000712A3"/>
    <w:rsid w:val="00071332"/>
    <w:rsid w:val="000713FB"/>
    <w:rsid w:val="000714E1"/>
    <w:rsid w:val="000715C6"/>
    <w:rsid w:val="00071633"/>
    <w:rsid w:val="00071667"/>
    <w:rsid w:val="000716D9"/>
    <w:rsid w:val="0007176D"/>
    <w:rsid w:val="000717A1"/>
    <w:rsid w:val="0007182D"/>
    <w:rsid w:val="00071895"/>
    <w:rsid w:val="000718A2"/>
    <w:rsid w:val="000718C2"/>
    <w:rsid w:val="00071951"/>
    <w:rsid w:val="000719B2"/>
    <w:rsid w:val="000719BB"/>
    <w:rsid w:val="000719CD"/>
    <w:rsid w:val="00071A77"/>
    <w:rsid w:val="00071AAD"/>
    <w:rsid w:val="00071AC4"/>
    <w:rsid w:val="00071B7D"/>
    <w:rsid w:val="00071BF5"/>
    <w:rsid w:val="00071BFD"/>
    <w:rsid w:val="00071C28"/>
    <w:rsid w:val="00071C50"/>
    <w:rsid w:val="00071DEE"/>
    <w:rsid w:val="00071E3A"/>
    <w:rsid w:val="00071EDD"/>
    <w:rsid w:val="00071F4F"/>
    <w:rsid w:val="00071F64"/>
    <w:rsid w:val="00072003"/>
    <w:rsid w:val="0007200B"/>
    <w:rsid w:val="00072030"/>
    <w:rsid w:val="000721E3"/>
    <w:rsid w:val="0007223A"/>
    <w:rsid w:val="00072296"/>
    <w:rsid w:val="00072415"/>
    <w:rsid w:val="0007242B"/>
    <w:rsid w:val="0007253C"/>
    <w:rsid w:val="00072548"/>
    <w:rsid w:val="00072703"/>
    <w:rsid w:val="0007273D"/>
    <w:rsid w:val="0007275C"/>
    <w:rsid w:val="0007279A"/>
    <w:rsid w:val="0007282D"/>
    <w:rsid w:val="0007289A"/>
    <w:rsid w:val="000728D4"/>
    <w:rsid w:val="000729AE"/>
    <w:rsid w:val="000729D6"/>
    <w:rsid w:val="00072B0A"/>
    <w:rsid w:val="00072B32"/>
    <w:rsid w:val="00072B72"/>
    <w:rsid w:val="00072BAF"/>
    <w:rsid w:val="00072C12"/>
    <w:rsid w:val="00072C4D"/>
    <w:rsid w:val="00072CDE"/>
    <w:rsid w:val="00072DBE"/>
    <w:rsid w:val="00072F7C"/>
    <w:rsid w:val="00072F89"/>
    <w:rsid w:val="00073069"/>
    <w:rsid w:val="0007308F"/>
    <w:rsid w:val="00073132"/>
    <w:rsid w:val="00073377"/>
    <w:rsid w:val="000733DD"/>
    <w:rsid w:val="00073486"/>
    <w:rsid w:val="00073585"/>
    <w:rsid w:val="000736A2"/>
    <w:rsid w:val="000736B0"/>
    <w:rsid w:val="000738DD"/>
    <w:rsid w:val="0007394A"/>
    <w:rsid w:val="00073956"/>
    <w:rsid w:val="00073A79"/>
    <w:rsid w:val="00073AF3"/>
    <w:rsid w:val="00073B17"/>
    <w:rsid w:val="00073B45"/>
    <w:rsid w:val="00073B88"/>
    <w:rsid w:val="00073BAF"/>
    <w:rsid w:val="00073C34"/>
    <w:rsid w:val="00073D00"/>
    <w:rsid w:val="00073DAC"/>
    <w:rsid w:val="00073DCB"/>
    <w:rsid w:val="00073E58"/>
    <w:rsid w:val="00073E8F"/>
    <w:rsid w:val="00073EED"/>
    <w:rsid w:val="00073F22"/>
    <w:rsid w:val="00073F29"/>
    <w:rsid w:val="00073F2F"/>
    <w:rsid w:val="00073F75"/>
    <w:rsid w:val="00073FA2"/>
    <w:rsid w:val="0007411D"/>
    <w:rsid w:val="00074146"/>
    <w:rsid w:val="0007417F"/>
    <w:rsid w:val="00074194"/>
    <w:rsid w:val="000741A8"/>
    <w:rsid w:val="000741B3"/>
    <w:rsid w:val="000741D0"/>
    <w:rsid w:val="000741EB"/>
    <w:rsid w:val="000741EE"/>
    <w:rsid w:val="000742A1"/>
    <w:rsid w:val="000743B5"/>
    <w:rsid w:val="00074403"/>
    <w:rsid w:val="000744AD"/>
    <w:rsid w:val="00074537"/>
    <w:rsid w:val="00074550"/>
    <w:rsid w:val="00074576"/>
    <w:rsid w:val="00074683"/>
    <w:rsid w:val="00074695"/>
    <w:rsid w:val="00074797"/>
    <w:rsid w:val="00074863"/>
    <w:rsid w:val="00074893"/>
    <w:rsid w:val="000748CA"/>
    <w:rsid w:val="000748F5"/>
    <w:rsid w:val="00074A29"/>
    <w:rsid w:val="00074AD5"/>
    <w:rsid w:val="00074AF2"/>
    <w:rsid w:val="00074C1C"/>
    <w:rsid w:val="00074C5E"/>
    <w:rsid w:val="00074C79"/>
    <w:rsid w:val="00074D37"/>
    <w:rsid w:val="00074E63"/>
    <w:rsid w:val="00074F82"/>
    <w:rsid w:val="000750B7"/>
    <w:rsid w:val="000751B5"/>
    <w:rsid w:val="000751BE"/>
    <w:rsid w:val="000751F7"/>
    <w:rsid w:val="00075241"/>
    <w:rsid w:val="000752C2"/>
    <w:rsid w:val="00075343"/>
    <w:rsid w:val="0007537F"/>
    <w:rsid w:val="0007541C"/>
    <w:rsid w:val="0007543E"/>
    <w:rsid w:val="0007544B"/>
    <w:rsid w:val="00075526"/>
    <w:rsid w:val="00075536"/>
    <w:rsid w:val="00075541"/>
    <w:rsid w:val="00075587"/>
    <w:rsid w:val="00075620"/>
    <w:rsid w:val="0007564E"/>
    <w:rsid w:val="000756DA"/>
    <w:rsid w:val="00075753"/>
    <w:rsid w:val="0007578E"/>
    <w:rsid w:val="00075848"/>
    <w:rsid w:val="00075872"/>
    <w:rsid w:val="000758B6"/>
    <w:rsid w:val="000758D1"/>
    <w:rsid w:val="0007592C"/>
    <w:rsid w:val="000759DE"/>
    <w:rsid w:val="00075A47"/>
    <w:rsid w:val="00075A7B"/>
    <w:rsid w:val="00075AE2"/>
    <w:rsid w:val="00075B1A"/>
    <w:rsid w:val="00075B4F"/>
    <w:rsid w:val="00075D7B"/>
    <w:rsid w:val="00075E63"/>
    <w:rsid w:val="00075ECB"/>
    <w:rsid w:val="00075EEC"/>
    <w:rsid w:val="00075F44"/>
    <w:rsid w:val="00075F62"/>
    <w:rsid w:val="00075F6A"/>
    <w:rsid w:val="00076050"/>
    <w:rsid w:val="00076072"/>
    <w:rsid w:val="00076151"/>
    <w:rsid w:val="000761B5"/>
    <w:rsid w:val="0007620F"/>
    <w:rsid w:val="00076297"/>
    <w:rsid w:val="00076334"/>
    <w:rsid w:val="00076342"/>
    <w:rsid w:val="000763C0"/>
    <w:rsid w:val="0007643C"/>
    <w:rsid w:val="000764A1"/>
    <w:rsid w:val="000764F5"/>
    <w:rsid w:val="00076549"/>
    <w:rsid w:val="000765E9"/>
    <w:rsid w:val="00076643"/>
    <w:rsid w:val="00076694"/>
    <w:rsid w:val="000766EE"/>
    <w:rsid w:val="00076828"/>
    <w:rsid w:val="000768D5"/>
    <w:rsid w:val="000768EF"/>
    <w:rsid w:val="0007692B"/>
    <w:rsid w:val="00076A4B"/>
    <w:rsid w:val="00076B7D"/>
    <w:rsid w:val="00076C1C"/>
    <w:rsid w:val="00076C75"/>
    <w:rsid w:val="00076C7B"/>
    <w:rsid w:val="00076CCC"/>
    <w:rsid w:val="00076CE2"/>
    <w:rsid w:val="00076D58"/>
    <w:rsid w:val="00076DFB"/>
    <w:rsid w:val="00076E48"/>
    <w:rsid w:val="00076EF4"/>
    <w:rsid w:val="00076F75"/>
    <w:rsid w:val="00076F93"/>
    <w:rsid w:val="00076FAA"/>
    <w:rsid w:val="00076FB0"/>
    <w:rsid w:val="00076FD1"/>
    <w:rsid w:val="00077072"/>
    <w:rsid w:val="000770C6"/>
    <w:rsid w:val="000771F8"/>
    <w:rsid w:val="000772B9"/>
    <w:rsid w:val="000773F1"/>
    <w:rsid w:val="0007743C"/>
    <w:rsid w:val="00077478"/>
    <w:rsid w:val="0007748D"/>
    <w:rsid w:val="00077572"/>
    <w:rsid w:val="00077666"/>
    <w:rsid w:val="000776F7"/>
    <w:rsid w:val="00077860"/>
    <w:rsid w:val="000778A6"/>
    <w:rsid w:val="00077920"/>
    <w:rsid w:val="000779DF"/>
    <w:rsid w:val="000779E3"/>
    <w:rsid w:val="00077A26"/>
    <w:rsid w:val="00077A59"/>
    <w:rsid w:val="00077AD6"/>
    <w:rsid w:val="00077B25"/>
    <w:rsid w:val="00077B29"/>
    <w:rsid w:val="00077B79"/>
    <w:rsid w:val="00077C15"/>
    <w:rsid w:val="00077C6E"/>
    <w:rsid w:val="00077D2C"/>
    <w:rsid w:val="00077DEA"/>
    <w:rsid w:val="00077E1A"/>
    <w:rsid w:val="00077E5A"/>
    <w:rsid w:val="00077E64"/>
    <w:rsid w:val="00077FD3"/>
    <w:rsid w:val="0008005B"/>
    <w:rsid w:val="000801B7"/>
    <w:rsid w:val="000801C7"/>
    <w:rsid w:val="00080213"/>
    <w:rsid w:val="00080291"/>
    <w:rsid w:val="0008037D"/>
    <w:rsid w:val="000803B0"/>
    <w:rsid w:val="000803CB"/>
    <w:rsid w:val="0008052F"/>
    <w:rsid w:val="000805F6"/>
    <w:rsid w:val="00080698"/>
    <w:rsid w:val="000806A2"/>
    <w:rsid w:val="000807CF"/>
    <w:rsid w:val="00080814"/>
    <w:rsid w:val="0008083C"/>
    <w:rsid w:val="000808A3"/>
    <w:rsid w:val="000808D6"/>
    <w:rsid w:val="000809CD"/>
    <w:rsid w:val="000809D8"/>
    <w:rsid w:val="00080A5F"/>
    <w:rsid w:val="00080AC9"/>
    <w:rsid w:val="00080AD9"/>
    <w:rsid w:val="00080AFB"/>
    <w:rsid w:val="00080B4F"/>
    <w:rsid w:val="00080C26"/>
    <w:rsid w:val="00080C7A"/>
    <w:rsid w:val="00080CA2"/>
    <w:rsid w:val="00080DB5"/>
    <w:rsid w:val="00080DE5"/>
    <w:rsid w:val="00080E02"/>
    <w:rsid w:val="00080E5B"/>
    <w:rsid w:val="00080E68"/>
    <w:rsid w:val="00080EDC"/>
    <w:rsid w:val="00080F6D"/>
    <w:rsid w:val="00080FDE"/>
    <w:rsid w:val="000810E0"/>
    <w:rsid w:val="0008111A"/>
    <w:rsid w:val="0008116E"/>
    <w:rsid w:val="000811B8"/>
    <w:rsid w:val="000812FE"/>
    <w:rsid w:val="0008134B"/>
    <w:rsid w:val="0008136F"/>
    <w:rsid w:val="0008137D"/>
    <w:rsid w:val="000813AB"/>
    <w:rsid w:val="000813E2"/>
    <w:rsid w:val="000813E9"/>
    <w:rsid w:val="0008142A"/>
    <w:rsid w:val="00081593"/>
    <w:rsid w:val="000815AD"/>
    <w:rsid w:val="000815BE"/>
    <w:rsid w:val="000815DB"/>
    <w:rsid w:val="00081679"/>
    <w:rsid w:val="00081733"/>
    <w:rsid w:val="00081735"/>
    <w:rsid w:val="00081770"/>
    <w:rsid w:val="0008178C"/>
    <w:rsid w:val="000817A4"/>
    <w:rsid w:val="000817A5"/>
    <w:rsid w:val="000817DB"/>
    <w:rsid w:val="00081814"/>
    <w:rsid w:val="00081826"/>
    <w:rsid w:val="000818D6"/>
    <w:rsid w:val="0008197D"/>
    <w:rsid w:val="0008199A"/>
    <w:rsid w:val="00081A06"/>
    <w:rsid w:val="00081A07"/>
    <w:rsid w:val="00081B5D"/>
    <w:rsid w:val="00081CCB"/>
    <w:rsid w:val="00081CDA"/>
    <w:rsid w:val="00081DC8"/>
    <w:rsid w:val="00081EE2"/>
    <w:rsid w:val="00082026"/>
    <w:rsid w:val="0008203A"/>
    <w:rsid w:val="000820D8"/>
    <w:rsid w:val="0008214E"/>
    <w:rsid w:val="00082163"/>
    <w:rsid w:val="000821DD"/>
    <w:rsid w:val="00082209"/>
    <w:rsid w:val="0008222D"/>
    <w:rsid w:val="0008232D"/>
    <w:rsid w:val="000823B0"/>
    <w:rsid w:val="00082432"/>
    <w:rsid w:val="00082445"/>
    <w:rsid w:val="000824BA"/>
    <w:rsid w:val="000824DE"/>
    <w:rsid w:val="0008253B"/>
    <w:rsid w:val="00082554"/>
    <w:rsid w:val="00082590"/>
    <w:rsid w:val="000825A4"/>
    <w:rsid w:val="00082634"/>
    <w:rsid w:val="000826D3"/>
    <w:rsid w:val="00082915"/>
    <w:rsid w:val="00082927"/>
    <w:rsid w:val="00082934"/>
    <w:rsid w:val="00082951"/>
    <w:rsid w:val="000829F3"/>
    <w:rsid w:val="00082A47"/>
    <w:rsid w:val="00082BA4"/>
    <w:rsid w:val="00082C4F"/>
    <w:rsid w:val="00082CF5"/>
    <w:rsid w:val="00082CFF"/>
    <w:rsid w:val="00082E82"/>
    <w:rsid w:val="00082E9D"/>
    <w:rsid w:val="00082F6B"/>
    <w:rsid w:val="00082FA8"/>
    <w:rsid w:val="00083016"/>
    <w:rsid w:val="000830DD"/>
    <w:rsid w:val="000830EC"/>
    <w:rsid w:val="0008313A"/>
    <w:rsid w:val="0008313C"/>
    <w:rsid w:val="0008322C"/>
    <w:rsid w:val="0008326E"/>
    <w:rsid w:val="000832F7"/>
    <w:rsid w:val="00083323"/>
    <w:rsid w:val="00083324"/>
    <w:rsid w:val="000833B4"/>
    <w:rsid w:val="00083405"/>
    <w:rsid w:val="0008347C"/>
    <w:rsid w:val="0008348F"/>
    <w:rsid w:val="000834DD"/>
    <w:rsid w:val="000834DF"/>
    <w:rsid w:val="00083510"/>
    <w:rsid w:val="000835DE"/>
    <w:rsid w:val="0008360E"/>
    <w:rsid w:val="0008365E"/>
    <w:rsid w:val="000837A5"/>
    <w:rsid w:val="00083948"/>
    <w:rsid w:val="00083A69"/>
    <w:rsid w:val="00083B3D"/>
    <w:rsid w:val="00083BB6"/>
    <w:rsid w:val="00083BC9"/>
    <w:rsid w:val="00083BF1"/>
    <w:rsid w:val="00083C03"/>
    <w:rsid w:val="00083C74"/>
    <w:rsid w:val="00083C9D"/>
    <w:rsid w:val="00083CBB"/>
    <w:rsid w:val="00083CE1"/>
    <w:rsid w:val="00083D52"/>
    <w:rsid w:val="00083D90"/>
    <w:rsid w:val="00083D99"/>
    <w:rsid w:val="00083DB8"/>
    <w:rsid w:val="0008406C"/>
    <w:rsid w:val="000840D9"/>
    <w:rsid w:val="00084107"/>
    <w:rsid w:val="00084192"/>
    <w:rsid w:val="000841AC"/>
    <w:rsid w:val="00084218"/>
    <w:rsid w:val="00084231"/>
    <w:rsid w:val="000842E8"/>
    <w:rsid w:val="00084343"/>
    <w:rsid w:val="00084364"/>
    <w:rsid w:val="00084381"/>
    <w:rsid w:val="000843C0"/>
    <w:rsid w:val="00084505"/>
    <w:rsid w:val="00084672"/>
    <w:rsid w:val="00084850"/>
    <w:rsid w:val="00084896"/>
    <w:rsid w:val="0008490F"/>
    <w:rsid w:val="0008495D"/>
    <w:rsid w:val="00084991"/>
    <w:rsid w:val="00084997"/>
    <w:rsid w:val="000849BB"/>
    <w:rsid w:val="00084A57"/>
    <w:rsid w:val="00084B30"/>
    <w:rsid w:val="00084B4E"/>
    <w:rsid w:val="00084BC5"/>
    <w:rsid w:val="00084C40"/>
    <w:rsid w:val="00084C7D"/>
    <w:rsid w:val="00084D04"/>
    <w:rsid w:val="00084EAA"/>
    <w:rsid w:val="00084F70"/>
    <w:rsid w:val="00084FAF"/>
    <w:rsid w:val="000850B9"/>
    <w:rsid w:val="00085135"/>
    <w:rsid w:val="000851AA"/>
    <w:rsid w:val="000852A8"/>
    <w:rsid w:val="00085312"/>
    <w:rsid w:val="00085390"/>
    <w:rsid w:val="000853BC"/>
    <w:rsid w:val="000853CD"/>
    <w:rsid w:val="000853EC"/>
    <w:rsid w:val="000854D3"/>
    <w:rsid w:val="0008566A"/>
    <w:rsid w:val="000856BA"/>
    <w:rsid w:val="000856CD"/>
    <w:rsid w:val="0008572D"/>
    <w:rsid w:val="0008578D"/>
    <w:rsid w:val="00085842"/>
    <w:rsid w:val="00085899"/>
    <w:rsid w:val="000858FD"/>
    <w:rsid w:val="00085936"/>
    <w:rsid w:val="0008599A"/>
    <w:rsid w:val="000859BC"/>
    <w:rsid w:val="00085A3F"/>
    <w:rsid w:val="00085A45"/>
    <w:rsid w:val="00085B15"/>
    <w:rsid w:val="00085B3B"/>
    <w:rsid w:val="00085B68"/>
    <w:rsid w:val="00085B8F"/>
    <w:rsid w:val="00085CDD"/>
    <w:rsid w:val="00085DF6"/>
    <w:rsid w:val="00085E3E"/>
    <w:rsid w:val="00085E6B"/>
    <w:rsid w:val="00085E6F"/>
    <w:rsid w:val="00085EC9"/>
    <w:rsid w:val="00085FCC"/>
    <w:rsid w:val="00086060"/>
    <w:rsid w:val="00086078"/>
    <w:rsid w:val="000860E3"/>
    <w:rsid w:val="000860F3"/>
    <w:rsid w:val="00086173"/>
    <w:rsid w:val="000863AF"/>
    <w:rsid w:val="00086448"/>
    <w:rsid w:val="00086481"/>
    <w:rsid w:val="000864F1"/>
    <w:rsid w:val="000865A0"/>
    <w:rsid w:val="000865D6"/>
    <w:rsid w:val="0008661C"/>
    <w:rsid w:val="00086632"/>
    <w:rsid w:val="0008665E"/>
    <w:rsid w:val="00086686"/>
    <w:rsid w:val="000866E5"/>
    <w:rsid w:val="00086775"/>
    <w:rsid w:val="000867C3"/>
    <w:rsid w:val="0008684D"/>
    <w:rsid w:val="00086882"/>
    <w:rsid w:val="000868EB"/>
    <w:rsid w:val="0008692A"/>
    <w:rsid w:val="000869B7"/>
    <w:rsid w:val="00086A8B"/>
    <w:rsid w:val="00086AD5"/>
    <w:rsid w:val="00086AFB"/>
    <w:rsid w:val="00086C2D"/>
    <w:rsid w:val="00086D38"/>
    <w:rsid w:val="00086DA0"/>
    <w:rsid w:val="00086E04"/>
    <w:rsid w:val="00086E78"/>
    <w:rsid w:val="00086FA8"/>
    <w:rsid w:val="00087001"/>
    <w:rsid w:val="0008704C"/>
    <w:rsid w:val="0008707B"/>
    <w:rsid w:val="0008709B"/>
    <w:rsid w:val="0008718D"/>
    <w:rsid w:val="0008723D"/>
    <w:rsid w:val="000872F3"/>
    <w:rsid w:val="000873A4"/>
    <w:rsid w:val="000873E6"/>
    <w:rsid w:val="00087470"/>
    <w:rsid w:val="00087570"/>
    <w:rsid w:val="00087652"/>
    <w:rsid w:val="00087669"/>
    <w:rsid w:val="00087680"/>
    <w:rsid w:val="00087688"/>
    <w:rsid w:val="000877A8"/>
    <w:rsid w:val="000877C5"/>
    <w:rsid w:val="0008782F"/>
    <w:rsid w:val="00087847"/>
    <w:rsid w:val="00087858"/>
    <w:rsid w:val="00087935"/>
    <w:rsid w:val="0008798E"/>
    <w:rsid w:val="00087A6C"/>
    <w:rsid w:val="00087A75"/>
    <w:rsid w:val="00087B03"/>
    <w:rsid w:val="00087B32"/>
    <w:rsid w:val="00087B73"/>
    <w:rsid w:val="00087BCC"/>
    <w:rsid w:val="00087C40"/>
    <w:rsid w:val="00087CDD"/>
    <w:rsid w:val="00087DC4"/>
    <w:rsid w:val="00087F1A"/>
    <w:rsid w:val="00087FD4"/>
    <w:rsid w:val="00087FFA"/>
    <w:rsid w:val="000900A2"/>
    <w:rsid w:val="000900E7"/>
    <w:rsid w:val="00090194"/>
    <w:rsid w:val="000901E4"/>
    <w:rsid w:val="00090298"/>
    <w:rsid w:val="00090336"/>
    <w:rsid w:val="00090374"/>
    <w:rsid w:val="0009043B"/>
    <w:rsid w:val="00090456"/>
    <w:rsid w:val="0009047D"/>
    <w:rsid w:val="000905B6"/>
    <w:rsid w:val="000906DD"/>
    <w:rsid w:val="000907A6"/>
    <w:rsid w:val="000907A9"/>
    <w:rsid w:val="000907FF"/>
    <w:rsid w:val="0009081A"/>
    <w:rsid w:val="0009093C"/>
    <w:rsid w:val="00090948"/>
    <w:rsid w:val="00090965"/>
    <w:rsid w:val="00090A3E"/>
    <w:rsid w:val="00090A95"/>
    <w:rsid w:val="00090AFC"/>
    <w:rsid w:val="00090B9F"/>
    <w:rsid w:val="00090C07"/>
    <w:rsid w:val="00090C97"/>
    <w:rsid w:val="00090CCD"/>
    <w:rsid w:val="00090CDD"/>
    <w:rsid w:val="00090D31"/>
    <w:rsid w:val="00090D9C"/>
    <w:rsid w:val="00090E02"/>
    <w:rsid w:val="00090E54"/>
    <w:rsid w:val="00090E9E"/>
    <w:rsid w:val="00090FC7"/>
    <w:rsid w:val="000910EB"/>
    <w:rsid w:val="0009110F"/>
    <w:rsid w:val="000911D8"/>
    <w:rsid w:val="000912BD"/>
    <w:rsid w:val="000912C3"/>
    <w:rsid w:val="000913F5"/>
    <w:rsid w:val="00091489"/>
    <w:rsid w:val="00091493"/>
    <w:rsid w:val="000914CE"/>
    <w:rsid w:val="0009160E"/>
    <w:rsid w:val="000916C3"/>
    <w:rsid w:val="000916E8"/>
    <w:rsid w:val="00091756"/>
    <w:rsid w:val="0009178C"/>
    <w:rsid w:val="000917CA"/>
    <w:rsid w:val="0009186F"/>
    <w:rsid w:val="0009189C"/>
    <w:rsid w:val="00091950"/>
    <w:rsid w:val="00091BD9"/>
    <w:rsid w:val="00091C19"/>
    <w:rsid w:val="00091C76"/>
    <w:rsid w:val="00091C7E"/>
    <w:rsid w:val="00091CB2"/>
    <w:rsid w:val="00091D9C"/>
    <w:rsid w:val="00091D9D"/>
    <w:rsid w:val="00091DBC"/>
    <w:rsid w:val="00091DE9"/>
    <w:rsid w:val="00091DF9"/>
    <w:rsid w:val="00091E8E"/>
    <w:rsid w:val="0009200E"/>
    <w:rsid w:val="00092205"/>
    <w:rsid w:val="00092299"/>
    <w:rsid w:val="000922AB"/>
    <w:rsid w:val="00092354"/>
    <w:rsid w:val="000923D3"/>
    <w:rsid w:val="000923F1"/>
    <w:rsid w:val="00092440"/>
    <w:rsid w:val="00092462"/>
    <w:rsid w:val="0009248E"/>
    <w:rsid w:val="000926F0"/>
    <w:rsid w:val="00092728"/>
    <w:rsid w:val="0009275A"/>
    <w:rsid w:val="0009275C"/>
    <w:rsid w:val="000927AD"/>
    <w:rsid w:val="000927F2"/>
    <w:rsid w:val="0009286F"/>
    <w:rsid w:val="0009292C"/>
    <w:rsid w:val="00092A34"/>
    <w:rsid w:val="00092AF6"/>
    <w:rsid w:val="00092B07"/>
    <w:rsid w:val="00092BA7"/>
    <w:rsid w:val="00092BC3"/>
    <w:rsid w:val="00092CAA"/>
    <w:rsid w:val="00092CE1"/>
    <w:rsid w:val="00092E60"/>
    <w:rsid w:val="00092EC4"/>
    <w:rsid w:val="00092F37"/>
    <w:rsid w:val="00092FAA"/>
    <w:rsid w:val="00092FFA"/>
    <w:rsid w:val="0009314D"/>
    <w:rsid w:val="0009329B"/>
    <w:rsid w:val="0009329C"/>
    <w:rsid w:val="000932EF"/>
    <w:rsid w:val="00093509"/>
    <w:rsid w:val="00093545"/>
    <w:rsid w:val="0009371B"/>
    <w:rsid w:val="000937A1"/>
    <w:rsid w:val="000937A3"/>
    <w:rsid w:val="000937D8"/>
    <w:rsid w:val="00093853"/>
    <w:rsid w:val="000938E1"/>
    <w:rsid w:val="000938F7"/>
    <w:rsid w:val="00093970"/>
    <w:rsid w:val="00093A56"/>
    <w:rsid w:val="00093AA9"/>
    <w:rsid w:val="00093BBF"/>
    <w:rsid w:val="00093C02"/>
    <w:rsid w:val="00093C0E"/>
    <w:rsid w:val="00093C24"/>
    <w:rsid w:val="00093C2D"/>
    <w:rsid w:val="00093C2F"/>
    <w:rsid w:val="00093C33"/>
    <w:rsid w:val="00093C8A"/>
    <w:rsid w:val="00093D41"/>
    <w:rsid w:val="00093ED9"/>
    <w:rsid w:val="00093F2A"/>
    <w:rsid w:val="00093FB6"/>
    <w:rsid w:val="00093FE3"/>
    <w:rsid w:val="000940B7"/>
    <w:rsid w:val="00094130"/>
    <w:rsid w:val="00094154"/>
    <w:rsid w:val="00094341"/>
    <w:rsid w:val="0009434D"/>
    <w:rsid w:val="00094369"/>
    <w:rsid w:val="000943DC"/>
    <w:rsid w:val="00094469"/>
    <w:rsid w:val="000944BB"/>
    <w:rsid w:val="000944BD"/>
    <w:rsid w:val="000944FE"/>
    <w:rsid w:val="0009455A"/>
    <w:rsid w:val="00094703"/>
    <w:rsid w:val="00094776"/>
    <w:rsid w:val="000948F9"/>
    <w:rsid w:val="00094969"/>
    <w:rsid w:val="000949E4"/>
    <w:rsid w:val="00094A81"/>
    <w:rsid w:val="00094A92"/>
    <w:rsid w:val="00094ABD"/>
    <w:rsid w:val="00094AF6"/>
    <w:rsid w:val="00094BF5"/>
    <w:rsid w:val="00094BFE"/>
    <w:rsid w:val="00094C64"/>
    <w:rsid w:val="00094C89"/>
    <w:rsid w:val="00094CBD"/>
    <w:rsid w:val="00094E0D"/>
    <w:rsid w:val="00094E17"/>
    <w:rsid w:val="00094EE1"/>
    <w:rsid w:val="00094EF2"/>
    <w:rsid w:val="00094F3F"/>
    <w:rsid w:val="00094FA7"/>
    <w:rsid w:val="00094FC6"/>
    <w:rsid w:val="000950A8"/>
    <w:rsid w:val="000950EF"/>
    <w:rsid w:val="00095104"/>
    <w:rsid w:val="00095141"/>
    <w:rsid w:val="0009523C"/>
    <w:rsid w:val="00095368"/>
    <w:rsid w:val="00095474"/>
    <w:rsid w:val="000954B9"/>
    <w:rsid w:val="000954C6"/>
    <w:rsid w:val="000954E0"/>
    <w:rsid w:val="000955A4"/>
    <w:rsid w:val="0009563D"/>
    <w:rsid w:val="000956C4"/>
    <w:rsid w:val="000958A7"/>
    <w:rsid w:val="000958B2"/>
    <w:rsid w:val="0009591D"/>
    <w:rsid w:val="0009596E"/>
    <w:rsid w:val="000959A0"/>
    <w:rsid w:val="000959FA"/>
    <w:rsid w:val="00095B67"/>
    <w:rsid w:val="00095CFF"/>
    <w:rsid w:val="00095D09"/>
    <w:rsid w:val="00095D2E"/>
    <w:rsid w:val="00095DD1"/>
    <w:rsid w:val="00095E73"/>
    <w:rsid w:val="00095FA9"/>
    <w:rsid w:val="00095FC4"/>
    <w:rsid w:val="00096130"/>
    <w:rsid w:val="0009618E"/>
    <w:rsid w:val="000961B5"/>
    <w:rsid w:val="0009627B"/>
    <w:rsid w:val="000962DB"/>
    <w:rsid w:val="0009637C"/>
    <w:rsid w:val="0009650C"/>
    <w:rsid w:val="00096597"/>
    <w:rsid w:val="000965D1"/>
    <w:rsid w:val="00096612"/>
    <w:rsid w:val="00096699"/>
    <w:rsid w:val="000966A6"/>
    <w:rsid w:val="000968BD"/>
    <w:rsid w:val="0009696B"/>
    <w:rsid w:val="000969B2"/>
    <w:rsid w:val="000969BE"/>
    <w:rsid w:val="00096A51"/>
    <w:rsid w:val="00096AF6"/>
    <w:rsid w:val="00096B9B"/>
    <w:rsid w:val="00096C10"/>
    <w:rsid w:val="00096D55"/>
    <w:rsid w:val="00096DA1"/>
    <w:rsid w:val="00096E20"/>
    <w:rsid w:val="00096EE3"/>
    <w:rsid w:val="00096F82"/>
    <w:rsid w:val="00097052"/>
    <w:rsid w:val="00097054"/>
    <w:rsid w:val="000970A8"/>
    <w:rsid w:val="0009723E"/>
    <w:rsid w:val="000972C0"/>
    <w:rsid w:val="00097344"/>
    <w:rsid w:val="000973F7"/>
    <w:rsid w:val="0009740A"/>
    <w:rsid w:val="0009740C"/>
    <w:rsid w:val="00097419"/>
    <w:rsid w:val="0009746E"/>
    <w:rsid w:val="0009748A"/>
    <w:rsid w:val="00097549"/>
    <w:rsid w:val="00097634"/>
    <w:rsid w:val="00097676"/>
    <w:rsid w:val="0009767E"/>
    <w:rsid w:val="000976A7"/>
    <w:rsid w:val="000976FD"/>
    <w:rsid w:val="00097784"/>
    <w:rsid w:val="0009779D"/>
    <w:rsid w:val="0009781F"/>
    <w:rsid w:val="00097822"/>
    <w:rsid w:val="00097960"/>
    <w:rsid w:val="00097961"/>
    <w:rsid w:val="000979F1"/>
    <w:rsid w:val="00097B14"/>
    <w:rsid w:val="00097C56"/>
    <w:rsid w:val="00097CBE"/>
    <w:rsid w:val="00097D3D"/>
    <w:rsid w:val="00097DAC"/>
    <w:rsid w:val="00097EDE"/>
    <w:rsid w:val="00097F15"/>
    <w:rsid w:val="00097F18"/>
    <w:rsid w:val="00097F37"/>
    <w:rsid w:val="000A00BD"/>
    <w:rsid w:val="000A00F4"/>
    <w:rsid w:val="000A011B"/>
    <w:rsid w:val="000A0286"/>
    <w:rsid w:val="000A02BD"/>
    <w:rsid w:val="000A02BF"/>
    <w:rsid w:val="000A0357"/>
    <w:rsid w:val="000A03B9"/>
    <w:rsid w:val="000A0489"/>
    <w:rsid w:val="000A056D"/>
    <w:rsid w:val="000A059E"/>
    <w:rsid w:val="000A0625"/>
    <w:rsid w:val="000A0664"/>
    <w:rsid w:val="000A0688"/>
    <w:rsid w:val="000A06BF"/>
    <w:rsid w:val="000A072A"/>
    <w:rsid w:val="000A078B"/>
    <w:rsid w:val="000A07C3"/>
    <w:rsid w:val="000A085B"/>
    <w:rsid w:val="000A086F"/>
    <w:rsid w:val="000A0887"/>
    <w:rsid w:val="000A090F"/>
    <w:rsid w:val="000A092B"/>
    <w:rsid w:val="000A0948"/>
    <w:rsid w:val="000A09B5"/>
    <w:rsid w:val="000A0AED"/>
    <w:rsid w:val="000A0B15"/>
    <w:rsid w:val="000A0B3A"/>
    <w:rsid w:val="000A0B44"/>
    <w:rsid w:val="000A0C35"/>
    <w:rsid w:val="000A0C79"/>
    <w:rsid w:val="000A0CBE"/>
    <w:rsid w:val="000A0D8F"/>
    <w:rsid w:val="000A0E71"/>
    <w:rsid w:val="000A0F54"/>
    <w:rsid w:val="000A0F59"/>
    <w:rsid w:val="000A0FED"/>
    <w:rsid w:val="000A0FFD"/>
    <w:rsid w:val="000A1097"/>
    <w:rsid w:val="000A10E5"/>
    <w:rsid w:val="000A118E"/>
    <w:rsid w:val="000A1217"/>
    <w:rsid w:val="000A1240"/>
    <w:rsid w:val="000A13E2"/>
    <w:rsid w:val="000A13F9"/>
    <w:rsid w:val="000A142D"/>
    <w:rsid w:val="000A14A7"/>
    <w:rsid w:val="000A14C0"/>
    <w:rsid w:val="000A157F"/>
    <w:rsid w:val="000A1598"/>
    <w:rsid w:val="000A1642"/>
    <w:rsid w:val="000A1705"/>
    <w:rsid w:val="000A174C"/>
    <w:rsid w:val="000A17BF"/>
    <w:rsid w:val="000A17F2"/>
    <w:rsid w:val="000A186E"/>
    <w:rsid w:val="000A19A4"/>
    <w:rsid w:val="000A1A7B"/>
    <w:rsid w:val="000A1AB0"/>
    <w:rsid w:val="000A1AB8"/>
    <w:rsid w:val="000A1BBC"/>
    <w:rsid w:val="000A1C24"/>
    <w:rsid w:val="000A1C65"/>
    <w:rsid w:val="000A1CDD"/>
    <w:rsid w:val="000A1D1B"/>
    <w:rsid w:val="000A1D43"/>
    <w:rsid w:val="000A1D64"/>
    <w:rsid w:val="000A1D6E"/>
    <w:rsid w:val="000A1D70"/>
    <w:rsid w:val="000A1FEA"/>
    <w:rsid w:val="000A2091"/>
    <w:rsid w:val="000A20CA"/>
    <w:rsid w:val="000A215B"/>
    <w:rsid w:val="000A2259"/>
    <w:rsid w:val="000A2287"/>
    <w:rsid w:val="000A22C6"/>
    <w:rsid w:val="000A2305"/>
    <w:rsid w:val="000A2360"/>
    <w:rsid w:val="000A23A0"/>
    <w:rsid w:val="000A2428"/>
    <w:rsid w:val="000A24FC"/>
    <w:rsid w:val="000A263D"/>
    <w:rsid w:val="000A264F"/>
    <w:rsid w:val="000A2663"/>
    <w:rsid w:val="000A267C"/>
    <w:rsid w:val="000A26B4"/>
    <w:rsid w:val="000A2799"/>
    <w:rsid w:val="000A29EC"/>
    <w:rsid w:val="000A2A6C"/>
    <w:rsid w:val="000A2A71"/>
    <w:rsid w:val="000A2AAA"/>
    <w:rsid w:val="000A2C24"/>
    <w:rsid w:val="000A2C7A"/>
    <w:rsid w:val="000A2DA1"/>
    <w:rsid w:val="000A2E0C"/>
    <w:rsid w:val="000A2E72"/>
    <w:rsid w:val="000A2E9C"/>
    <w:rsid w:val="000A2ED7"/>
    <w:rsid w:val="000A2F73"/>
    <w:rsid w:val="000A3043"/>
    <w:rsid w:val="000A307D"/>
    <w:rsid w:val="000A30DE"/>
    <w:rsid w:val="000A31A0"/>
    <w:rsid w:val="000A31C6"/>
    <w:rsid w:val="000A32DF"/>
    <w:rsid w:val="000A32EE"/>
    <w:rsid w:val="000A3321"/>
    <w:rsid w:val="000A3366"/>
    <w:rsid w:val="000A3402"/>
    <w:rsid w:val="000A3549"/>
    <w:rsid w:val="000A35A9"/>
    <w:rsid w:val="000A3634"/>
    <w:rsid w:val="000A36D5"/>
    <w:rsid w:val="000A3702"/>
    <w:rsid w:val="000A3742"/>
    <w:rsid w:val="000A3825"/>
    <w:rsid w:val="000A38D5"/>
    <w:rsid w:val="000A39D9"/>
    <w:rsid w:val="000A3A3A"/>
    <w:rsid w:val="000A3A50"/>
    <w:rsid w:val="000A3B4F"/>
    <w:rsid w:val="000A3BB9"/>
    <w:rsid w:val="000A3BC5"/>
    <w:rsid w:val="000A3BF8"/>
    <w:rsid w:val="000A3C34"/>
    <w:rsid w:val="000A3C44"/>
    <w:rsid w:val="000A3C60"/>
    <w:rsid w:val="000A3C8E"/>
    <w:rsid w:val="000A3C9D"/>
    <w:rsid w:val="000A3CAD"/>
    <w:rsid w:val="000A3CD4"/>
    <w:rsid w:val="000A3D78"/>
    <w:rsid w:val="000A3E68"/>
    <w:rsid w:val="000A3ED4"/>
    <w:rsid w:val="000A3FA0"/>
    <w:rsid w:val="000A4015"/>
    <w:rsid w:val="000A407F"/>
    <w:rsid w:val="000A40F2"/>
    <w:rsid w:val="000A416A"/>
    <w:rsid w:val="000A4279"/>
    <w:rsid w:val="000A43BA"/>
    <w:rsid w:val="000A442F"/>
    <w:rsid w:val="000A446E"/>
    <w:rsid w:val="000A44F4"/>
    <w:rsid w:val="000A451C"/>
    <w:rsid w:val="000A45BF"/>
    <w:rsid w:val="000A4712"/>
    <w:rsid w:val="000A472F"/>
    <w:rsid w:val="000A478A"/>
    <w:rsid w:val="000A47E3"/>
    <w:rsid w:val="000A4898"/>
    <w:rsid w:val="000A48A0"/>
    <w:rsid w:val="000A48DA"/>
    <w:rsid w:val="000A493F"/>
    <w:rsid w:val="000A49F2"/>
    <w:rsid w:val="000A4ABA"/>
    <w:rsid w:val="000A4B20"/>
    <w:rsid w:val="000A4B62"/>
    <w:rsid w:val="000A4C55"/>
    <w:rsid w:val="000A4D3F"/>
    <w:rsid w:val="000A4D72"/>
    <w:rsid w:val="000A4D81"/>
    <w:rsid w:val="000A4DB6"/>
    <w:rsid w:val="000A4E76"/>
    <w:rsid w:val="000A4ECB"/>
    <w:rsid w:val="000A5047"/>
    <w:rsid w:val="000A52E2"/>
    <w:rsid w:val="000A5362"/>
    <w:rsid w:val="000A5364"/>
    <w:rsid w:val="000A537F"/>
    <w:rsid w:val="000A53AA"/>
    <w:rsid w:val="000A5454"/>
    <w:rsid w:val="000A5478"/>
    <w:rsid w:val="000A54F6"/>
    <w:rsid w:val="000A55E3"/>
    <w:rsid w:val="000A55E6"/>
    <w:rsid w:val="000A563E"/>
    <w:rsid w:val="000A56B3"/>
    <w:rsid w:val="000A572D"/>
    <w:rsid w:val="000A575A"/>
    <w:rsid w:val="000A580C"/>
    <w:rsid w:val="000A5870"/>
    <w:rsid w:val="000A58BC"/>
    <w:rsid w:val="000A593B"/>
    <w:rsid w:val="000A59AD"/>
    <w:rsid w:val="000A59F4"/>
    <w:rsid w:val="000A5A65"/>
    <w:rsid w:val="000A5B15"/>
    <w:rsid w:val="000A5BCA"/>
    <w:rsid w:val="000A5C30"/>
    <w:rsid w:val="000A5C65"/>
    <w:rsid w:val="000A5CA8"/>
    <w:rsid w:val="000A5CBC"/>
    <w:rsid w:val="000A5CC2"/>
    <w:rsid w:val="000A5CD1"/>
    <w:rsid w:val="000A5D9D"/>
    <w:rsid w:val="000A5DE2"/>
    <w:rsid w:val="000A5E49"/>
    <w:rsid w:val="000A5E67"/>
    <w:rsid w:val="000A5E9D"/>
    <w:rsid w:val="000A5EB9"/>
    <w:rsid w:val="000A5F22"/>
    <w:rsid w:val="000A5F3B"/>
    <w:rsid w:val="000A5F92"/>
    <w:rsid w:val="000A5F9C"/>
    <w:rsid w:val="000A5FEF"/>
    <w:rsid w:val="000A609D"/>
    <w:rsid w:val="000A6109"/>
    <w:rsid w:val="000A61AD"/>
    <w:rsid w:val="000A61B2"/>
    <w:rsid w:val="000A61C5"/>
    <w:rsid w:val="000A61D8"/>
    <w:rsid w:val="000A625E"/>
    <w:rsid w:val="000A6265"/>
    <w:rsid w:val="000A62D6"/>
    <w:rsid w:val="000A6383"/>
    <w:rsid w:val="000A642C"/>
    <w:rsid w:val="000A6579"/>
    <w:rsid w:val="000A6596"/>
    <w:rsid w:val="000A65B7"/>
    <w:rsid w:val="000A6635"/>
    <w:rsid w:val="000A667E"/>
    <w:rsid w:val="000A66DC"/>
    <w:rsid w:val="000A6738"/>
    <w:rsid w:val="000A678E"/>
    <w:rsid w:val="000A67EF"/>
    <w:rsid w:val="000A689B"/>
    <w:rsid w:val="000A6946"/>
    <w:rsid w:val="000A6983"/>
    <w:rsid w:val="000A6999"/>
    <w:rsid w:val="000A6A4B"/>
    <w:rsid w:val="000A6AB7"/>
    <w:rsid w:val="000A6ABA"/>
    <w:rsid w:val="000A6AF5"/>
    <w:rsid w:val="000A6B48"/>
    <w:rsid w:val="000A6BDB"/>
    <w:rsid w:val="000A6C8A"/>
    <w:rsid w:val="000A6C93"/>
    <w:rsid w:val="000A6D66"/>
    <w:rsid w:val="000A6D6C"/>
    <w:rsid w:val="000A6DED"/>
    <w:rsid w:val="000A6E55"/>
    <w:rsid w:val="000A6E8E"/>
    <w:rsid w:val="000A6F39"/>
    <w:rsid w:val="000A6F93"/>
    <w:rsid w:val="000A6FC2"/>
    <w:rsid w:val="000A7002"/>
    <w:rsid w:val="000A7006"/>
    <w:rsid w:val="000A7030"/>
    <w:rsid w:val="000A705A"/>
    <w:rsid w:val="000A7084"/>
    <w:rsid w:val="000A7108"/>
    <w:rsid w:val="000A71C3"/>
    <w:rsid w:val="000A7299"/>
    <w:rsid w:val="000A72A4"/>
    <w:rsid w:val="000A73AC"/>
    <w:rsid w:val="000A742D"/>
    <w:rsid w:val="000A7584"/>
    <w:rsid w:val="000A76F8"/>
    <w:rsid w:val="000A774E"/>
    <w:rsid w:val="000A7760"/>
    <w:rsid w:val="000A77C8"/>
    <w:rsid w:val="000A7887"/>
    <w:rsid w:val="000A7893"/>
    <w:rsid w:val="000A78AC"/>
    <w:rsid w:val="000A7920"/>
    <w:rsid w:val="000A796B"/>
    <w:rsid w:val="000A79B9"/>
    <w:rsid w:val="000A7A62"/>
    <w:rsid w:val="000A7A75"/>
    <w:rsid w:val="000A7A83"/>
    <w:rsid w:val="000A7A95"/>
    <w:rsid w:val="000A7B28"/>
    <w:rsid w:val="000A7B29"/>
    <w:rsid w:val="000A7C1E"/>
    <w:rsid w:val="000A7C3D"/>
    <w:rsid w:val="000A7C5D"/>
    <w:rsid w:val="000A7CB7"/>
    <w:rsid w:val="000A7CEE"/>
    <w:rsid w:val="000A7D15"/>
    <w:rsid w:val="000A7D4A"/>
    <w:rsid w:val="000A7D7D"/>
    <w:rsid w:val="000A7E29"/>
    <w:rsid w:val="000A7F40"/>
    <w:rsid w:val="000A7FA9"/>
    <w:rsid w:val="000A7FB9"/>
    <w:rsid w:val="000B0024"/>
    <w:rsid w:val="000B00EE"/>
    <w:rsid w:val="000B0206"/>
    <w:rsid w:val="000B02BC"/>
    <w:rsid w:val="000B03C2"/>
    <w:rsid w:val="000B03C4"/>
    <w:rsid w:val="000B051A"/>
    <w:rsid w:val="000B05C0"/>
    <w:rsid w:val="000B05D4"/>
    <w:rsid w:val="000B06A7"/>
    <w:rsid w:val="000B06C8"/>
    <w:rsid w:val="000B06CA"/>
    <w:rsid w:val="000B06E0"/>
    <w:rsid w:val="000B0784"/>
    <w:rsid w:val="000B07C4"/>
    <w:rsid w:val="000B07DF"/>
    <w:rsid w:val="000B0859"/>
    <w:rsid w:val="000B088A"/>
    <w:rsid w:val="000B088E"/>
    <w:rsid w:val="000B0891"/>
    <w:rsid w:val="000B0906"/>
    <w:rsid w:val="000B091F"/>
    <w:rsid w:val="000B092F"/>
    <w:rsid w:val="000B0974"/>
    <w:rsid w:val="000B09DD"/>
    <w:rsid w:val="000B0A5F"/>
    <w:rsid w:val="000B0AA8"/>
    <w:rsid w:val="000B0AE6"/>
    <w:rsid w:val="000B0B31"/>
    <w:rsid w:val="000B0B4A"/>
    <w:rsid w:val="000B0B8D"/>
    <w:rsid w:val="000B0B92"/>
    <w:rsid w:val="000B0C0A"/>
    <w:rsid w:val="000B0D2C"/>
    <w:rsid w:val="000B0D54"/>
    <w:rsid w:val="000B0D98"/>
    <w:rsid w:val="000B104C"/>
    <w:rsid w:val="000B1144"/>
    <w:rsid w:val="000B1165"/>
    <w:rsid w:val="000B117D"/>
    <w:rsid w:val="000B1428"/>
    <w:rsid w:val="000B1439"/>
    <w:rsid w:val="000B14F0"/>
    <w:rsid w:val="000B14FE"/>
    <w:rsid w:val="000B1598"/>
    <w:rsid w:val="000B159B"/>
    <w:rsid w:val="000B15CF"/>
    <w:rsid w:val="000B1679"/>
    <w:rsid w:val="000B168A"/>
    <w:rsid w:val="000B172D"/>
    <w:rsid w:val="000B1867"/>
    <w:rsid w:val="000B1880"/>
    <w:rsid w:val="000B1881"/>
    <w:rsid w:val="000B1888"/>
    <w:rsid w:val="000B18C5"/>
    <w:rsid w:val="000B1909"/>
    <w:rsid w:val="000B191B"/>
    <w:rsid w:val="000B1942"/>
    <w:rsid w:val="000B19A3"/>
    <w:rsid w:val="000B1A08"/>
    <w:rsid w:val="000B1A0B"/>
    <w:rsid w:val="000B1A57"/>
    <w:rsid w:val="000B1A79"/>
    <w:rsid w:val="000B1ACF"/>
    <w:rsid w:val="000B1AF7"/>
    <w:rsid w:val="000B1B34"/>
    <w:rsid w:val="000B1B36"/>
    <w:rsid w:val="000B1C50"/>
    <w:rsid w:val="000B1CC6"/>
    <w:rsid w:val="000B1D3D"/>
    <w:rsid w:val="000B1DEF"/>
    <w:rsid w:val="000B2131"/>
    <w:rsid w:val="000B226E"/>
    <w:rsid w:val="000B22A8"/>
    <w:rsid w:val="000B22C4"/>
    <w:rsid w:val="000B22F6"/>
    <w:rsid w:val="000B23B3"/>
    <w:rsid w:val="000B2431"/>
    <w:rsid w:val="000B2491"/>
    <w:rsid w:val="000B24B2"/>
    <w:rsid w:val="000B26D1"/>
    <w:rsid w:val="000B2719"/>
    <w:rsid w:val="000B2755"/>
    <w:rsid w:val="000B275A"/>
    <w:rsid w:val="000B277C"/>
    <w:rsid w:val="000B2859"/>
    <w:rsid w:val="000B2865"/>
    <w:rsid w:val="000B2872"/>
    <w:rsid w:val="000B288C"/>
    <w:rsid w:val="000B28EC"/>
    <w:rsid w:val="000B297C"/>
    <w:rsid w:val="000B2A3F"/>
    <w:rsid w:val="000B2A4A"/>
    <w:rsid w:val="000B2A64"/>
    <w:rsid w:val="000B2A65"/>
    <w:rsid w:val="000B2C95"/>
    <w:rsid w:val="000B2D10"/>
    <w:rsid w:val="000B2DA6"/>
    <w:rsid w:val="000B2DA9"/>
    <w:rsid w:val="000B2DD4"/>
    <w:rsid w:val="000B2E0B"/>
    <w:rsid w:val="000B2EA1"/>
    <w:rsid w:val="000B2EE7"/>
    <w:rsid w:val="000B2F67"/>
    <w:rsid w:val="000B2F68"/>
    <w:rsid w:val="000B2F7E"/>
    <w:rsid w:val="000B2FF8"/>
    <w:rsid w:val="000B3031"/>
    <w:rsid w:val="000B30D9"/>
    <w:rsid w:val="000B30F6"/>
    <w:rsid w:val="000B3118"/>
    <w:rsid w:val="000B3210"/>
    <w:rsid w:val="000B3230"/>
    <w:rsid w:val="000B32C2"/>
    <w:rsid w:val="000B3317"/>
    <w:rsid w:val="000B333A"/>
    <w:rsid w:val="000B3421"/>
    <w:rsid w:val="000B343D"/>
    <w:rsid w:val="000B346B"/>
    <w:rsid w:val="000B3485"/>
    <w:rsid w:val="000B34CC"/>
    <w:rsid w:val="000B3543"/>
    <w:rsid w:val="000B35D4"/>
    <w:rsid w:val="000B35E2"/>
    <w:rsid w:val="000B35FE"/>
    <w:rsid w:val="000B36BB"/>
    <w:rsid w:val="000B370D"/>
    <w:rsid w:val="000B3718"/>
    <w:rsid w:val="000B37C8"/>
    <w:rsid w:val="000B385F"/>
    <w:rsid w:val="000B38F8"/>
    <w:rsid w:val="000B39ED"/>
    <w:rsid w:val="000B3A65"/>
    <w:rsid w:val="000B3AAD"/>
    <w:rsid w:val="000B3AB1"/>
    <w:rsid w:val="000B3B14"/>
    <w:rsid w:val="000B3BE3"/>
    <w:rsid w:val="000B3BF7"/>
    <w:rsid w:val="000B3C38"/>
    <w:rsid w:val="000B3D6B"/>
    <w:rsid w:val="000B3DB4"/>
    <w:rsid w:val="000B3DCB"/>
    <w:rsid w:val="000B3DFD"/>
    <w:rsid w:val="000B3E2D"/>
    <w:rsid w:val="000B3E7E"/>
    <w:rsid w:val="000B3EEE"/>
    <w:rsid w:val="000B4068"/>
    <w:rsid w:val="000B4084"/>
    <w:rsid w:val="000B40A9"/>
    <w:rsid w:val="000B40E6"/>
    <w:rsid w:val="000B4189"/>
    <w:rsid w:val="000B4396"/>
    <w:rsid w:val="000B44C8"/>
    <w:rsid w:val="000B4501"/>
    <w:rsid w:val="000B456F"/>
    <w:rsid w:val="000B46D6"/>
    <w:rsid w:val="000B47EE"/>
    <w:rsid w:val="000B481B"/>
    <w:rsid w:val="000B4828"/>
    <w:rsid w:val="000B48B8"/>
    <w:rsid w:val="000B48C1"/>
    <w:rsid w:val="000B490A"/>
    <w:rsid w:val="000B4A4B"/>
    <w:rsid w:val="000B4A88"/>
    <w:rsid w:val="000B4B57"/>
    <w:rsid w:val="000B4DBD"/>
    <w:rsid w:val="000B4E9D"/>
    <w:rsid w:val="000B4F08"/>
    <w:rsid w:val="000B4F51"/>
    <w:rsid w:val="000B4FF4"/>
    <w:rsid w:val="000B506F"/>
    <w:rsid w:val="000B50DB"/>
    <w:rsid w:val="000B5179"/>
    <w:rsid w:val="000B51AA"/>
    <w:rsid w:val="000B51FE"/>
    <w:rsid w:val="000B5232"/>
    <w:rsid w:val="000B52D4"/>
    <w:rsid w:val="000B5328"/>
    <w:rsid w:val="000B5389"/>
    <w:rsid w:val="000B53F4"/>
    <w:rsid w:val="000B53F9"/>
    <w:rsid w:val="000B542F"/>
    <w:rsid w:val="000B543B"/>
    <w:rsid w:val="000B55EB"/>
    <w:rsid w:val="000B5643"/>
    <w:rsid w:val="000B56DC"/>
    <w:rsid w:val="000B5843"/>
    <w:rsid w:val="000B588A"/>
    <w:rsid w:val="000B58CC"/>
    <w:rsid w:val="000B5930"/>
    <w:rsid w:val="000B5A18"/>
    <w:rsid w:val="000B5C31"/>
    <w:rsid w:val="000B5C5D"/>
    <w:rsid w:val="000B5DE4"/>
    <w:rsid w:val="000B5DE5"/>
    <w:rsid w:val="000B5E4C"/>
    <w:rsid w:val="000B5EAE"/>
    <w:rsid w:val="000B5EB7"/>
    <w:rsid w:val="000B5ECD"/>
    <w:rsid w:val="000B5F3C"/>
    <w:rsid w:val="000B5F60"/>
    <w:rsid w:val="000B5F7B"/>
    <w:rsid w:val="000B604D"/>
    <w:rsid w:val="000B60B0"/>
    <w:rsid w:val="000B6133"/>
    <w:rsid w:val="000B615E"/>
    <w:rsid w:val="000B61B2"/>
    <w:rsid w:val="000B61B3"/>
    <w:rsid w:val="000B62FD"/>
    <w:rsid w:val="000B632E"/>
    <w:rsid w:val="000B639D"/>
    <w:rsid w:val="000B658C"/>
    <w:rsid w:val="000B661B"/>
    <w:rsid w:val="000B6681"/>
    <w:rsid w:val="000B66E8"/>
    <w:rsid w:val="000B6799"/>
    <w:rsid w:val="000B69F2"/>
    <w:rsid w:val="000B6A07"/>
    <w:rsid w:val="000B6B53"/>
    <w:rsid w:val="000B6C3E"/>
    <w:rsid w:val="000B6C4B"/>
    <w:rsid w:val="000B6D2B"/>
    <w:rsid w:val="000B6D41"/>
    <w:rsid w:val="000B6D9B"/>
    <w:rsid w:val="000B6E06"/>
    <w:rsid w:val="000B6E91"/>
    <w:rsid w:val="000B6E92"/>
    <w:rsid w:val="000B6EBA"/>
    <w:rsid w:val="000B6ED8"/>
    <w:rsid w:val="000B6F7E"/>
    <w:rsid w:val="000B6F87"/>
    <w:rsid w:val="000B6FA2"/>
    <w:rsid w:val="000B700C"/>
    <w:rsid w:val="000B701F"/>
    <w:rsid w:val="000B7138"/>
    <w:rsid w:val="000B71C8"/>
    <w:rsid w:val="000B74AE"/>
    <w:rsid w:val="000B75C1"/>
    <w:rsid w:val="000B7619"/>
    <w:rsid w:val="000B7645"/>
    <w:rsid w:val="000B7678"/>
    <w:rsid w:val="000B76AA"/>
    <w:rsid w:val="000B76DA"/>
    <w:rsid w:val="000B77BA"/>
    <w:rsid w:val="000B77D7"/>
    <w:rsid w:val="000B787B"/>
    <w:rsid w:val="000B7891"/>
    <w:rsid w:val="000B78E4"/>
    <w:rsid w:val="000B792A"/>
    <w:rsid w:val="000B7986"/>
    <w:rsid w:val="000B799C"/>
    <w:rsid w:val="000B7BF7"/>
    <w:rsid w:val="000B7C75"/>
    <w:rsid w:val="000B7D05"/>
    <w:rsid w:val="000B7DB0"/>
    <w:rsid w:val="000B7DC2"/>
    <w:rsid w:val="000C023F"/>
    <w:rsid w:val="000C026F"/>
    <w:rsid w:val="000C0270"/>
    <w:rsid w:val="000C02BF"/>
    <w:rsid w:val="000C02E0"/>
    <w:rsid w:val="000C031B"/>
    <w:rsid w:val="000C0364"/>
    <w:rsid w:val="000C03A5"/>
    <w:rsid w:val="000C04EF"/>
    <w:rsid w:val="000C05C1"/>
    <w:rsid w:val="000C05DC"/>
    <w:rsid w:val="000C064C"/>
    <w:rsid w:val="000C0A15"/>
    <w:rsid w:val="000C0A3F"/>
    <w:rsid w:val="000C0A60"/>
    <w:rsid w:val="000C0A93"/>
    <w:rsid w:val="000C0ABC"/>
    <w:rsid w:val="000C0B70"/>
    <w:rsid w:val="000C0BA6"/>
    <w:rsid w:val="000C0BCF"/>
    <w:rsid w:val="000C0C30"/>
    <w:rsid w:val="000C0C88"/>
    <w:rsid w:val="000C0D45"/>
    <w:rsid w:val="000C0D59"/>
    <w:rsid w:val="000C0D82"/>
    <w:rsid w:val="000C0D95"/>
    <w:rsid w:val="000C0DB1"/>
    <w:rsid w:val="000C0E45"/>
    <w:rsid w:val="000C0EBB"/>
    <w:rsid w:val="000C0FC4"/>
    <w:rsid w:val="000C1244"/>
    <w:rsid w:val="000C1275"/>
    <w:rsid w:val="000C1292"/>
    <w:rsid w:val="000C14A0"/>
    <w:rsid w:val="000C153A"/>
    <w:rsid w:val="000C1584"/>
    <w:rsid w:val="000C158C"/>
    <w:rsid w:val="000C161A"/>
    <w:rsid w:val="000C1669"/>
    <w:rsid w:val="000C16D9"/>
    <w:rsid w:val="000C1722"/>
    <w:rsid w:val="000C1812"/>
    <w:rsid w:val="000C1952"/>
    <w:rsid w:val="000C19E2"/>
    <w:rsid w:val="000C1A43"/>
    <w:rsid w:val="000C1ACC"/>
    <w:rsid w:val="000C1C30"/>
    <w:rsid w:val="000C1C53"/>
    <w:rsid w:val="000C1CF3"/>
    <w:rsid w:val="000C1DF0"/>
    <w:rsid w:val="000C1E0E"/>
    <w:rsid w:val="000C1E1D"/>
    <w:rsid w:val="000C1E54"/>
    <w:rsid w:val="000C1EB3"/>
    <w:rsid w:val="000C1FAA"/>
    <w:rsid w:val="000C214B"/>
    <w:rsid w:val="000C2199"/>
    <w:rsid w:val="000C21C8"/>
    <w:rsid w:val="000C222D"/>
    <w:rsid w:val="000C2282"/>
    <w:rsid w:val="000C231A"/>
    <w:rsid w:val="000C23EE"/>
    <w:rsid w:val="000C242B"/>
    <w:rsid w:val="000C24BA"/>
    <w:rsid w:val="000C250B"/>
    <w:rsid w:val="000C25D5"/>
    <w:rsid w:val="000C260E"/>
    <w:rsid w:val="000C264A"/>
    <w:rsid w:val="000C26B9"/>
    <w:rsid w:val="000C2851"/>
    <w:rsid w:val="000C289F"/>
    <w:rsid w:val="000C28AA"/>
    <w:rsid w:val="000C2917"/>
    <w:rsid w:val="000C2931"/>
    <w:rsid w:val="000C2955"/>
    <w:rsid w:val="000C2A23"/>
    <w:rsid w:val="000C2AA1"/>
    <w:rsid w:val="000C2AA6"/>
    <w:rsid w:val="000C2B0C"/>
    <w:rsid w:val="000C2D71"/>
    <w:rsid w:val="000C2DFA"/>
    <w:rsid w:val="000C2E3C"/>
    <w:rsid w:val="000C2E68"/>
    <w:rsid w:val="000C2E7A"/>
    <w:rsid w:val="000C2EA6"/>
    <w:rsid w:val="000C2EEC"/>
    <w:rsid w:val="000C2F50"/>
    <w:rsid w:val="000C2FF4"/>
    <w:rsid w:val="000C30C4"/>
    <w:rsid w:val="000C30F8"/>
    <w:rsid w:val="000C3120"/>
    <w:rsid w:val="000C3152"/>
    <w:rsid w:val="000C3287"/>
    <w:rsid w:val="000C33BF"/>
    <w:rsid w:val="000C3620"/>
    <w:rsid w:val="000C3774"/>
    <w:rsid w:val="000C37C8"/>
    <w:rsid w:val="000C385D"/>
    <w:rsid w:val="000C38A7"/>
    <w:rsid w:val="000C39B4"/>
    <w:rsid w:val="000C39BA"/>
    <w:rsid w:val="000C3AB0"/>
    <w:rsid w:val="000C3AC5"/>
    <w:rsid w:val="000C3AC7"/>
    <w:rsid w:val="000C3AD1"/>
    <w:rsid w:val="000C3B1A"/>
    <w:rsid w:val="000C3C0D"/>
    <w:rsid w:val="000C3C7B"/>
    <w:rsid w:val="000C3D0B"/>
    <w:rsid w:val="000C3D21"/>
    <w:rsid w:val="000C3D8A"/>
    <w:rsid w:val="000C3EB9"/>
    <w:rsid w:val="000C3F0D"/>
    <w:rsid w:val="000C3F0F"/>
    <w:rsid w:val="000C3F62"/>
    <w:rsid w:val="000C3FBE"/>
    <w:rsid w:val="000C3FFE"/>
    <w:rsid w:val="000C4069"/>
    <w:rsid w:val="000C40A1"/>
    <w:rsid w:val="000C40BE"/>
    <w:rsid w:val="000C4138"/>
    <w:rsid w:val="000C4285"/>
    <w:rsid w:val="000C4351"/>
    <w:rsid w:val="000C43ED"/>
    <w:rsid w:val="000C445F"/>
    <w:rsid w:val="000C44B0"/>
    <w:rsid w:val="000C450F"/>
    <w:rsid w:val="000C453C"/>
    <w:rsid w:val="000C45CE"/>
    <w:rsid w:val="000C461D"/>
    <w:rsid w:val="000C46B3"/>
    <w:rsid w:val="000C46C3"/>
    <w:rsid w:val="000C46C5"/>
    <w:rsid w:val="000C4722"/>
    <w:rsid w:val="000C4769"/>
    <w:rsid w:val="000C4778"/>
    <w:rsid w:val="000C47FD"/>
    <w:rsid w:val="000C489B"/>
    <w:rsid w:val="000C48D5"/>
    <w:rsid w:val="000C490D"/>
    <w:rsid w:val="000C49C5"/>
    <w:rsid w:val="000C4A9F"/>
    <w:rsid w:val="000C4AAD"/>
    <w:rsid w:val="000C4AE7"/>
    <w:rsid w:val="000C4B26"/>
    <w:rsid w:val="000C4B8E"/>
    <w:rsid w:val="000C4B8F"/>
    <w:rsid w:val="000C4C71"/>
    <w:rsid w:val="000C4CA4"/>
    <w:rsid w:val="000C4D71"/>
    <w:rsid w:val="000C4E1D"/>
    <w:rsid w:val="000C4F1D"/>
    <w:rsid w:val="000C4F3F"/>
    <w:rsid w:val="000C4FF4"/>
    <w:rsid w:val="000C50AA"/>
    <w:rsid w:val="000C50FC"/>
    <w:rsid w:val="000C511F"/>
    <w:rsid w:val="000C5174"/>
    <w:rsid w:val="000C5178"/>
    <w:rsid w:val="000C51DD"/>
    <w:rsid w:val="000C5207"/>
    <w:rsid w:val="000C5245"/>
    <w:rsid w:val="000C5297"/>
    <w:rsid w:val="000C52E8"/>
    <w:rsid w:val="000C52EE"/>
    <w:rsid w:val="000C5324"/>
    <w:rsid w:val="000C533B"/>
    <w:rsid w:val="000C539C"/>
    <w:rsid w:val="000C53AE"/>
    <w:rsid w:val="000C54E3"/>
    <w:rsid w:val="000C559F"/>
    <w:rsid w:val="000C5620"/>
    <w:rsid w:val="000C5641"/>
    <w:rsid w:val="000C56B5"/>
    <w:rsid w:val="000C56B8"/>
    <w:rsid w:val="000C5938"/>
    <w:rsid w:val="000C5A52"/>
    <w:rsid w:val="000C5A8E"/>
    <w:rsid w:val="000C5B14"/>
    <w:rsid w:val="000C5B97"/>
    <w:rsid w:val="000C5BEE"/>
    <w:rsid w:val="000C5C31"/>
    <w:rsid w:val="000C5CFC"/>
    <w:rsid w:val="000C5EC6"/>
    <w:rsid w:val="000C5ECA"/>
    <w:rsid w:val="000C5F13"/>
    <w:rsid w:val="000C5F6C"/>
    <w:rsid w:val="000C5F96"/>
    <w:rsid w:val="000C5FAE"/>
    <w:rsid w:val="000C5FB5"/>
    <w:rsid w:val="000C5FD5"/>
    <w:rsid w:val="000C600F"/>
    <w:rsid w:val="000C60A7"/>
    <w:rsid w:val="000C60FF"/>
    <w:rsid w:val="000C6264"/>
    <w:rsid w:val="000C6267"/>
    <w:rsid w:val="000C62D7"/>
    <w:rsid w:val="000C62DD"/>
    <w:rsid w:val="000C6316"/>
    <w:rsid w:val="000C6335"/>
    <w:rsid w:val="000C6392"/>
    <w:rsid w:val="000C63E8"/>
    <w:rsid w:val="000C6535"/>
    <w:rsid w:val="000C6573"/>
    <w:rsid w:val="000C657C"/>
    <w:rsid w:val="000C65FA"/>
    <w:rsid w:val="000C6601"/>
    <w:rsid w:val="000C66AA"/>
    <w:rsid w:val="000C671B"/>
    <w:rsid w:val="000C6768"/>
    <w:rsid w:val="000C6784"/>
    <w:rsid w:val="000C67B8"/>
    <w:rsid w:val="000C67F6"/>
    <w:rsid w:val="000C684B"/>
    <w:rsid w:val="000C68F6"/>
    <w:rsid w:val="000C6936"/>
    <w:rsid w:val="000C698D"/>
    <w:rsid w:val="000C6A82"/>
    <w:rsid w:val="000C6B03"/>
    <w:rsid w:val="000C6B14"/>
    <w:rsid w:val="000C6B35"/>
    <w:rsid w:val="000C6BB0"/>
    <w:rsid w:val="000C6BCD"/>
    <w:rsid w:val="000C6CF9"/>
    <w:rsid w:val="000C6D3D"/>
    <w:rsid w:val="000C6D5F"/>
    <w:rsid w:val="000C6E2A"/>
    <w:rsid w:val="000C6E65"/>
    <w:rsid w:val="000C6F13"/>
    <w:rsid w:val="000C7071"/>
    <w:rsid w:val="000C7085"/>
    <w:rsid w:val="000C7110"/>
    <w:rsid w:val="000C71DE"/>
    <w:rsid w:val="000C7236"/>
    <w:rsid w:val="000C72A7"/>
    <w:rsid w:val="000C72A8"/>
    <w:rsid w:val="000C734F"/>
    <w:rsid w:val="000C7368"/>
    <w:rsid w:val="000C73B6"/>
    <w:rsid w:val="000C75AE"/>
    <w:rsid w:val="000C75D5"/>
    <w:rsid w:val="000C76A1"/>
    <w:rsid w:val="000C76DC"/>
    <w:rsid w:val="000C770C"/>
    <w:rsid w:val="000C771F"/>
    <w:rsid w:val="000C788F"/>
    <w:rsid w:val="000C791B"/>
    <w:rsid w:val="000C7BAA"/>
    <w:rsid w:val="000C7BBF"/>
    <w:rsid w:val="000C7CCF"/>
    <w:rsid w:val="000C7D7A"/>
    <w:rsid w:val="000C7DFA"/>
    <w:rsid w:val="000C7ECE"/>
    <w:rsid w:val="000C7ED1"/>
    <w:rsid w:val="000C7F1C"/>
    <w:rsid w:val="000C7F47"/>
    <w:rsid w:val="000C7FE7"/>
    <w:rsid w:val="000D009D"/>
    <w:rsid w:val="000D00BA"/>
    <w:rsid w:val="000D015B"/>
    <w:rsid w:val="000D01E2"/>
    <w:rsid w:val="000D0240"/>
    <w:rsid w:val="000D025C"/>
    <w:rsid w:val="000D028A"/>
    <w:rsid w:val="000D02AE"/>
    <w:rsid w:val="000D0330"/>
    <w:rsid w:val="000D0373"/>
    <w:rsid w:val="000D03D2"/>
    <w:rsid w:val="000D040D"/>
    <w:rsid w:val="000D0463"/>
    <w:rsid w:val="000D04B3"/>
    <w:rsid w:val="000D04C1"/>
    <w:rsid w:val="000D0545"/>
    <w:rsid w:val="000D056A"/>
    <w:rsid w:val="000D0576"/>
    <w:rsid w:val="000D06C0"/>
    <w:rsid w:val="000D06C9"/>
    <w:rsid w:val="000D07FF"/>
    <w:rsid w:val="000D0901"/>
    <w:rsid w:val="000D098C"/>
    <w:rsid w:val="000D09FE"/>
    <w:rsid w:val="000D0A39"/>
    <w:rsid w:val="000D0B21"/>
    <w:rsid w:val="000D0B3E"/>
    <w:rsid w:val="000D0B8A"/>
    <w:rsid w:val="000D0BCF"/>
    <w:rsid w:val="000D0BE8"/>
    <w:rsid w:val="000D0C6E"/>
    <w:rsid w:val="000D0CF2"/>
    <w:rsid w:val="000D0D06"/>
    <w:rsid w:val="000D0DE7"/>
    <w:rsid w:val="000D0EBD"/>
    <w:rsid w:val="000D0F1F"/>
    <w:rsid w:val="000D0FB6"/>
    <w:rsid w:val="000D108D"/>
    <w:rsid w:val="000D1145"/>
    <w:rsid w:val="000D11D4"/>
    <w:rsid w:val="000D12D5"/>
    <w:rsid w:val="000D13CD"/>
    <w:rsid w:val="000D14B2"/>
    <w:rsid w:val="000D14B5"/>
    <w:rsid w:val="000D154A"/>
    <w:rsid w:val="000D1579"/>
    <w:rsid w:val="000D168E"/>
    <w:rsid w:val="000D197E"/>
    <w:rsid w:val="000D19FB"/>
    <w:rsid w:val="000D1A9D"/>
    <w:rsid w:val="000D1AD9"/>
    <w:rsid w:val="000D1B98"/>
    <w:rsid w:val="000D1CFC"/>
    <w:rsid w:val="000D1D47"/>
    <w:rsid w:val="000D1DEF"/>
    <w:rsid w:val="000D1F3A"/>
    <w:rsid w:val="000D1F91"/>
    <w:rsid w:val="000D1FDF"/>
    <w:rsid w:val="000D21FA"/>
    <w:rsid w:val="000D24BB"/>
    <w:rsid w:val="000D25FB"/>
    <w:rsid w:val="000D26CE"/>
    <w:rsid w:val="000D27A0"/>
    <w:rsid w:val="000D27AF"/>
    <w:rsid w:val="000D2852"/>
    <w:rsid w:val="000D28F3"/>
    <w:rsid w:val="000D29C7"/>
    <w:rsid w:val="000D2A1D"/>
    <w:rsid w:val="000D2A8F"/>
    <w:rsid w:val="000D2C82"/>
    <w:rsid w:val="000D2F12"/>
    <w:rsid w:val="000D305D"/>
    <w:rsid w:val="000D3083"/>
    <w:rsid w:val="000D30B4"/>
    <w:rsid w:val="000D30DC"/>
    <w:rsid w:val="000D3114"/>
    <w:rsid w:val="000D31DE"/>
    <w:rsid w:val="000D3220"/>
    <w:rsid w:val="000D325C"/>
    <w:rsid w:val="000D32B5"/>
    <w:rsid w:val="000D32B9"/>
    <w:rsid w:val="000D32F3"/>
    <w:rsid w:val="000D3314"/>
    <w:rsid w:val="000D33A1"/>
    <w:rsid w:val="000D340A"/>
    <w:rsid w:val="000D345D"/>
    <w:rsid w:val="000D3488"/>
    <w:rsid w:val="000D34AB"/>
    <w:rsid w:val="000D3534"/>
    <w:rsid w:val="000D3690"/>
    <w:rsid w:val="000D36CD"/>
    <w:rsid w:val="000D3744"/>
    <w:rsid w:val="000D376C"/>
    <w:rsid w:val="000D3823"/>
    <w:rsid w:val="000D382C"/>
    <w:rsid w:val="000D383C"/>
    <w:rsid w:val="000D383E"/>
    <w:rsid w:val="000D38AA"/>
    <w:rsid w:val="000D3918"/>
    <w:rsid w:val="000D393A"/>
    <w:rsid w:val="000D398E"/>
    <w:rsid w:val="000D3ABF"/>
    <w:rsid w:val="000D3B28"/>
    <w:rsid w:val="000D3B45"/>
    <w:rsid w:val="000D3B58"/>
    <w:rsid w:val="000D3B5D"/>
    <w:rsid w:val="000D3B70"/>
    <w:rsid w:val="000D3C18"/>
    <w:rsid w:val="000D3C56"/>
    <w:rsid w:val="000D3C8F"/>
    <w:rsid w:val="000D3D18"/>
    <w:rsid w:val="000D3D5C"/>
    <w:rsid w:val="000D3D7C"/>
    <w:rsid w:val="000D3D7F"/>
    <w:rsid w:val="000D3E82"/>
    <w:rsid w:val="000D3EE8"/>
    <w:rsid w:val="000D3FC8"/>
    <w:rsid w:val="000D4002"/>
    <w:rsid w:val="000D411D"/>
    <w:rsid w:val="000D4174"/>
    <w:rsid w:val="000D4187"/>
    <w:rsid w:val="000D41A1"/>
    <w:rsid w:val="000D41B9"/>
    <w:rsid w:val="000D41C0"/>
    <w:rsid w:val="000D42A0"/>
    <w:rsid w:val="000D42D0"/>
    <w:rsid w:val="000D4375"/>
    <w:rsid w:val="000D43B5"/>
    <w:rsid w:val="000D447A"/>
    <w:rsid w:val="000D44DB"/>
    <w:rsid w:val="000D457F"/>
    <w:rsid w:val="000D46B7"/>
    <w:rsid w:val="000D4732"/>
    <w:rsid w:val="000D48C8"/>
    <w:rsid w:val="000D4911"/>
    <w:rsid w:val="000D4914"/>
    <w:rsid w:val="000D4987"/>
    <w:rsid w:val="000D4A06"/>
    <w:rsid w:val="000D4A4E"/>
    <w:rsid w:val="000D4A5E"/>
    <w:rsid w:val="000D4A8C"/>
    <w:rsid w:val="000D4AC1"/>
    <w:rsid w:val="000D4B6C"/>
    <w:rsid w:val="000D4C00"/>
    <w:rsid w:val="000D4C70"/>
    <w:rsid w:val="000D4D6A"/>
    <w:rsid w:val="000D4E77"/>
    <w:rsid w:val="000D4EBF"/>
    <w:rsid w:val="000D4F86"/>
    <w:rsid w:val="000D4FCC"/>
    <w:rsid w:val="000D50CC"/>
    <w:rsid w:val="000D5177"/>
    <w:rsid w:val="000D5209"/>
    <w:rsid w:val="000D53C1"/>
    <w:rsid w:val="000D5477"/>
    <w:rsid w:val="000D54CC"/>
    <w:rsid w:val="000D54F2"/>
    <w:rsid w:val="000D55DF"/>
    <w:rsid w:val="000D55ED"/>
    <w:rsid w:val="000D562C"/>
    <w:rsid w:val="000D569B"/>
    <w:rsid w:val="000D56D2"/>
    <w:rsid w:val="000D5773"/>
    <w:rsid w:val="000D579D"/>
    <w:rsid w:val="000D5813"/>
    <w:rsid w:val="000D588D"/>
    <w:rsid w:val="000D589E"/>
    <w:rsid w:val="000D5984"/>
    <w:rsid w:val="000D59A8"/>
    <w:rsid w:val="000D5A70"/>
    <w:rsid w:val="000D5A91"/>
    <w:rsid w:val="000D5B13"/>
    <w:rsid w:val="000D5B56"/>
    <w:rsid w:val="000D5BCE"/>
    <w:rsid w:val="000D5C0D"/>
    <w:rsid w:val="000D5CC7"/>
    <w:rsid w:val="000D5CCA"/>
    <w:rsid w:val="000D5E14"/>
    <w:rsid w:val="000D5EDB"/>
    <w:rsid w:val="000D5F08"/>
    <w:rsid w:val="000D5F18"/>
    <w:rsid w:val="000D5F1F"/>
    <w:rsid w:val="000D5F2F"/>
    <w:rsid w:val="000D5F82"/>
    <w:rsid w:val="000D5FB8"/>
    <w:rsid w:val="000D5FDB"/>
    <w:rsid w:val="000D5FE7"/>
    <w:rsid w:val="000D5FF9"/>
    <w:rsid w:val="000D5FFD"/>
    <w:rsid w:val="000D6128"/>
    <w:rsid w:val="000D6233"/>
    <w:rsid w:val="000D624B"/>
    <w:rsid w:val="000D6334"/>
    <w:rsid w:val="000D635E"/>
    <w:rsid w:val="000D63AB"/>
    <w:rsid w:val="000D6460"/>
    <w:rsid w:val="000D658B"/>
    <w:rsid w:val="000D65E1"/>
    <w:rsid w:val="000D6624"/>
    <w:rsid w:val="000D6696"/>
    <w:rsid w:val="000D66D0"/>
    <w:rsid w:val="000D6716"/>
    <w:rsid w:val="000D67B1"/>
    <w:rsid w:val="000D67BE"/>
    <w:rsid w:val="000D6864"/>
    <w:rsid w:val="000D6940"/>
    <w:rsid w:val="000D6993"/>
    <w:rsid w:val="000D69A2"/>
    <w:rsid w:val="000D6AFE"/>
    <w:rsid w:val="000D6BD7"/>
    <w:rsid w:val="000D6BEF"/>
    <w:rsid w:val="000D6C58"/>
    <w:rsid w:val="000D6C76"/>
    <w:rsid w:val="000D6C94"/>
    <w:rsid w:val="000D6DE4"/>
    <w:rsid w:val="000D6E73"/>
    <w:rsid w:val="000D6F91"/>
    <w:rsid w:val="000D7013"/>
    <w:rsid w:val="000D701A"/>
    <w:rsid w:val="000D7037"/>
    <w:rsid w:val="000D713B"/>
    <w:rsid w:val="000D7160"/>
    <w:rsid w:val="000D7276"/>
    <w:rsid w:val="000D72AF"/>
    <w:rsid w:val="000D7389"/>
    <w:rsid w:val="000D73D1"/>
    <w:rsid w:val="000D73E4"/>
    <w:rsid w:val="000D741E"/>
    <w:rsid w:val="000D7490"/>
    <w:rsid w:val="000D74C4"/>
    <w:rsid w:val="000D75E5"/>
    <w:rsid w:val="000D760B"/>
    <w:rsid w:val="000D7620"/>
    <w:rsid w:val="000D764F"/>
    <w:rsid w:val="000D76B6"/>
    <w:rsid w:val="000D76C9"/>
    <w:rsid w:val="000D7713"/>
    <w:rsid w:val="000D779A"/>
    <w:rsid w:val="000D77FD"/>
    <w:rsid w:val="000D78AA"/>
    <w:rsid w:val="000D7976"/>
    <w:rsid w:val="000D79DF"/>
    <w:rsid w:val="000D7AC8"/>
    <w:rsid w:val="000D7BB2"/>
    <w:rsid w:val="000D7C9A"/>
    <w:rsid w:val="000D7CAF"/>
    <w:rsid w:val="000D7CC3"/>
    <w:rsid w:val="000D7CE0"/>
    <w:rsid w:val="000D7D15"/>
    <w:rsid w:val="000D7D2A"/>
    <w:rsid w:val="000D7EAC"/>
    <w:rsid w:val="000D7FCC"/>
    <w:rsid w:val="000D7FFA"/>
    <w:rsid w:val="000E002A"/>
    <w:rsid w:val="000E0170"/>
    <w:rsid w:val="000E01A9"/>
    <w:rsid w:val="000E01C1"/>
    <w:rsid w:val="000E02D0"/>
    <w:rsid w:val="000E039E"/>
    <w:rsid w:val="000E03FF"/>
    <w:rsid w:val="000E042F"/>
    <w:rsid w:val="000E04AF"/>
    <w:rsid w:val="000E04D1"/>
    <w:rsid w:val="000E04D6"/>
    <w:rsid w:val="000E055F"/>
    <w:rsid w:val="000E0651"/>
    <w:rsid w:val="000E07E8"/>
    <w:rsid w:val="000E080E"/>
    <w:rsid w:val="000E089A"/>
    <w:rsid w:val="000E0D70"/>
    <w:rsid w:val="000E0D9C"/>
    <w:rsid w:val="000E0DCC"/>
    <w:rsid w:val="000E0F77"/>
    <w:rsid w:val="000E100D"/>
    <w:rsid w:val="000E100F"/>
    <w:rsid w:val="000E110C"/>
    <w:rsid w:val="000E12B4"/>
    <w:rsid w:val="000E12C5"/>
    <w:rsid w:val="000E1371"/>
    <w:rsid w:val="000E1380"/>
    <w:rsid w:val="000E179B"/>
    <w:rsid w:val="000E17AD"/>
    <w:rsid w:val="000E17E5"/>
    <w:rsid w:val="000E1990"/>
    <w:rsid w:val="000E1A41"/>
    <w:rsid w:val="000E1C15"/>
    <w:rsid w:val="000E1CC7"/>
    <w:rsid w:val="000E1DFC"/>
    <w:rsid w:val="000E1EDB"/>
    <w:rsid w:val="000E1F08"/>
    <w:rsid w:val="000E1FCD"/>
    <w:rsid w:val="000E2090"/>
    <w:rsid w:val="000E2096"/>
    <w:rsid w:val="000E224F"/>
    <w:rsid w:val="000E23B3"/>
    <w:rsid w:val="000E23C0"/>
    <w:rsid w:val="000E24A3"/>
    <w:rsid w:val="000E24E9"/>
    <w:rsid w:val="000E25FD"/>
    <w:rsid w:val="000E262E"/>
    <w:rsid w:val="000E2632"/>
    <w:rsid w:val="000E2761"/>
    <w:rsid w:val="000E27BA"/>
    <w:rsid w:val="000E285F"/>
    <w:rsid w:val="000E28FF"/>
    <w:rsid w:val="000E2941"/>
    <w:rsid w:val="000E2B27"/>
    <w:rsid w:val="000E2BC3"/>
    <w:rsid w:val="000E2BD5"/>
    <w:rsid w:val="000E2C37"/>
    <w:rsid w:val="000E2C82"/>
    <w:rsid w:val="000E2C93"/>
    <w:rsid w:val="000E2CE7"/>
    <w:rsid w:val="000E2D5F"/>
    <w:rsid w:val="000E2E27"/>
    <w:rsid w:val="000E2EBC"/>
    <w:rsid w:val="000E2EEA"/>
    <w:rsid w:val="000E2EF8"/>
    <w:rsid w:val="000E2F20"/>
    <w:rsid w:val="000E2F7E"/>
    <w:rsid w:val="000E3054"/>
    <w:rsid w:val="000E30F6"/>
    <w:rsid w:val="000E310E"/>
    <w:rsid w:val="000E3145"/>
    <w:rsid w:val="000E3170"/>
    <w:rsid w:val="000E317C"/>
    <w:rsid w:val="000E3187"/>
    <w:rsid w:val="000E3199"/>
    <w:rsid w:val="000E3283"/>
    <w:rsid w:val="000E3334"/>
    <w:rsid w:val="000E3350"/>
    <w:rsid w:val="000E33AE"/>
    <w:rsid w:val="000E33D7"/>
    <w:rsid w:val="000E3616"/>
    <w:rsid w:val="000E3694"/>
    <w:rsid w:val="000E36D0"/>
    <w:rsid w:val="000E376C"/>
    <w:rsid w:val="000E3772"/>
    <w:rsid w:val="000E37FD"/>
    <w:rsid w:val="000E3812"/>
    <w:rsid w:val="000E385E"/>
    <w:rsid w:val="000E3993"/>
    <w:rsid w:val="000E39E1"/>
    <w:rsid w:val="000E3A98"/>
    <w:rsid w:val="000E3B39"/>
    <w:rsid w:val="000E3B3A"/>
    <w:rsid w:val="000E3DBD"/>
    <w:rsid w:val="000E3E15"/>
    <w:rsid w:val="000E3E19"/>
    <w:rsid w:val="000E3F54"/>
    <w:rsid w:val="000E3F61"/>
    <w:rsid w:val="000E3F85"/>
    <w:rsid w:val="000E403C"/>
    <w:rsid w:val="000E4098"/>
    <w:rsid w:val="000E40C0"/>
    <w:rsid w:val="000E40E6"/>
    <w:rsid w:val="000E4113"/>
    <w:rsid w:val="000E4174"/>
    <w:rsid w:val="000E436E"/>
    <w:rsid w:val="000E4485"/>
    <w:rsid w:val="000E44A4"/>
    <w:rsid w:val="000E4517"/>
    <w:rsid w:val="000E4547"/>
    <w:rsid w:val="000E454F"/>
    <w:rsid w:val="000E46F5"/>
    <w:rsid w:val="000E476D"/>
    <w:rsid w:val="000E4793"/>
    <w:rsid w:val="000E479E"/>
    <w:rsid w:val="000E498B"/>
    <w:rsid w:val="000E4A3B"/>
    <w:rsid w:val="000E4A3E"/>
    <w:rsid w:val="000E4D3E"/>
    <w:rsid w:val="000E4D6F"/>
    <w:rsid w:val="000E4EDE"/>
    <w:rsid w:val="000E4F4F"/>
    <w:rsid w:val="000E5038"/>
    <w:rsid w:val="000E50F7"/>
    <w:rsid w:val="000E5110"/>
    <w:rsid w:val="000E517D"/>
    <w:rsid w:val="000E53DC"/>
    <w:rsid w:val="000E5401"/>
    <w:rsid w:val="000E54ED"/>
    <w:rsid w:val="000E54F1"/>
    <w:rsid w:val="000E559E"/>
    <w:rsid w:val="000E5632"/>
    <w:rsid w:val="000E56BA"/>
    <w:rsid w:val="000E5796"/>
    <w:rsid w:val="000E57AD"/>
    <w:rsid w:val="000E57F7"/>
    <w:rsid w:val="000E5850"/>
    <w:rsid w:val="000E5855"/>
    <w:rsid w:val="000E58E1"/>
    <w:rsid w:val="000E5952"/>
    <w:rsid w:val="000E597A"/>
    <w:rsid w:val="000E5A21"/>
    <w:rsid w:val="000E5AFD"/>
    <w:rsid w:val="000E5B75"/>
    <w:rsid w:val="000E5C32"/>
    <w:rsid w:val="000E5C33"/>
    <w:rsid w:val="000E5C48"/>
    <w:rsid w:val="000E5D5E"/>
    <w:rsid w:val="000E5D85"/>
    <w:rsid w:val="000E5DF8"/>
    <w:rsid w:val="000E5DFF"/>
    <w:rsid w:val="000E5E14"/>
    <w:rsid w:val="000E5E5A"/>
    <w:rsid w:val="000E5E67"/>
    <w:rsid w:val="000E5E74"/>
    <w:rsid w:val="000E5F26"/>
    <w:rsid w:val="000E5F73"/>
    <w:rsid w:val="000E5F98"/>
    <w:rsid w:val="000E6009"/>
    <w:rsid w:val="000E600B"/>
    <w:rsid w:val="000E6112"/>
    <w:rsid w:val="000E6168"/>
    <w:rsid w:val="000E61E6"/>
    <w:rsid w:val="000E6213"/>
    <w:rsid w:val="000E621A"/>
    <w:rsid w:val="000E6226"/>
    <w:rsid w:val="000E6272"/>
    <w:rsid w:val="000E6288"/>
    <w:rsid w:val="000E62F9"/>
    <w:rsid w:val="000E6323"/>
    <w:rsid w:val="000E63AC"/>
    <w:rsid w:val="000E6413"/>
    <w:rsid w:val="000E64C6"/>
    <w:rsid w:val="000E64DD"/>
    <w:rsid w:val="000E650F"/>
    <w:rsid w:val="000E66E1"/>
    <w:rsid w:val="000E67D0"/>
    <w:rsid w:val="000E6802"/>
    <w:rsid w:val="000E686C"/>
    <w:rsid w:val="000E699B"/>
    <w:rsid w:val="000E6AD0"/>
    <w:rsid w:val="000E6B71"/>
    <w:rsid w:val="000E6C8E"/>
    <w:rsid w:val="000E6D17"/>
    <w:rsid w:val="000E6D83"/>
    <w:rsid w:val="000E6DBE"/>
    <w:rsid w:val="000E6E09"/>
    <w:rsid w:val="000E6E16"/>
    <w:rsid w:val="000E6E25"/>
    <w:rsid w:val="000E6E32"/>
    <w:rsid w:val="000E7007"/>
    <w:rsid w:val="000E70BA"/>
    <w:rsid w:val="000E7102"/>
    <w:rsid w:val="000E71EA"/>
    <w:rsid w:val="000E71FB"/>
    <w:rsid w:val="000E7227"/>
    <w:rsid w:val="000E72E3"/>
    <w:rsid w:val="000E74B1"/>
    <w:rsid w:val="000E7538"/>
    <w:rsid w:val="000E7566"/>
    <w:rsid w:val="000E75F4"/>
    <w:rsid w:val="000E7602"/>
    <w:rsid w:val="000E7782"/>
    <w:rsid w:val="000E77B7"/>
    <w:rsid w:val="000E7818"/>
    <w:rsid w:val="000E78B8"/>
    <w:rsid w:val="000E7924"/>
    <w:rsid w:val="000E7928"/>
    <w:rsid w:val="000E792D"/>
    <w:rsid w:val="000E798E"/>
    <w:rsid w:val="000E79A1"/>
    <w:rsid w:val="000E7B82"/>
    <w:rsid w:val="000E7BA2"/>
    <w:rsid w:val="000E7C80"/>
    <w:rsid w:val="000E7D5D"/>
    <w:rsid w:val="000E7D6F"/>
    <w:rsid w:val="000E7F80"/>
    <w:rsid w:val="000F00C2"/>
    <w:rsid w:val="000F00DD"/>
    <w:rsid w:val="000F0184"/>
    <w:rsid w:val="000F01EC"/>
    <w:rsid w:val="000F02A8"/>
    <w:rsid w:val="000F034F"/>
    <w:rsid w:val="000F03B0"/>
    <w:rsid w:val="000F04D8"/>
    <w:rsid w:val="000F05C6"/>
    <w:rsid w:val="000F0747"/>
    <w:rsid w:val="000F07F9"/>
    <w:rsid w:val="000F08E2"/>
    <w:rsid w:val="000F0996"/>
    <w:rsid w:val="000F09E6"/>
    <w:rsid w:val="000F0A2E"/>
    <w:rsid w:val="000F0A7E"/>
    <w:rsid w:val="000F0A91"/>
    <w:rsid w:val="000F0AE7"/>
    <w:rsid w:val="000F0BBE"/>
    <w:rsid w:val="000F0C84"/>
    <w:rsid w:val="000F0DA5"/>
    <w:rsid w:val="000F0DE8"/>
    <w:rsid w:val="000F0E48"/>
    <w:rsid w:val="000F101A"/>
    <w:rsid w:val="000F105B"/>
    <w:rsid w:val="000F10AF"/>
    <w:rsid w:val="000F10B4"/>
    <w:rsid w:val="000F10E4"/>
    <w:rsid w:val="000F1217"/>
    <w:rsid w:val="000F137B"/>
    <w:rsid w:val="000F1388"/>
    <w:rsid w:val="000F13EE"/>
    <w:rsid w:val="000F1475"/>
    <w:rsid w:val="000F14EF"/>
    <w:rsid w:val="000F1553"/>
    <w:rsid w:val="000F15A0"/>
    <w:rsid w:val="000F1620"/>
    <w:rsid w:val="000F1737"/>
    <w:rsid w:val="000F17CE"/>
    <w:rsid w:val="000F18F2"/>
    <w:rsid w:val="000F1933"/>
    <w:rsid w:val="000F193C"/>
    <w:rsid w:val="000F1940"/>
    <w:rsid w:val="000F1997"/>
    <w:rsid w:val="000F19DE"/>
    <w:rsid w:val="000F1A9C"/>
    <w:rsid w:val="000F1AF5"/>
    <w:rsid w:val="000F1B70"/>
    <w:rsid w:val="000F1B74"/>
    <w:rsid w:val="000F1BAA"/>
    <w:rsid w:val="000F1C49"/>
    <w:rsid w:val="000F1D67"/>
    <w:rsid w:val="000F1DC1"/>
    <w:rsid w:val="000F1DDA"/>
    <w:rsid w:val="000F1E38"/>
    <w:rsid w:val="000F1E59"/>
    <w:rsid w:val="000F1E92"/>
    <w:rsid w:val="000F1EB5"/>
    <w:rsid w:val="000F1F37"/>
    <w:rsid w:val="000F1F53"/>
    <w:rsid w:val="000F1FB5"/>
    <w:rsid w:val="000F200C"/>
    <w:rsid w:val="000F215E"/>
    <w:rsid w:val="000F220E"/>
    <w:rsid w:val="000F22EB"/>
    <w:rsid w:val="000F2337"/>
    <w:rsid w:val="000F238F"/>
    <w:rsid w:val="000F2390"/>
    <w:rsid w:val="000F2407"/>
    <w:rsid w:val="000F2454"/>
    <w:rsid w:val="000F2543"/>
    <w:rsid w:val="000F258F"/>
    <w:rsid w:val="000F2648"/>
    <w:rsid w:val="000F2655"/>
    <w:rsid w:val="000F26AA"/>
    <w:rsid w:val="000F2730"/>
    <w:rsid w:val="000F2746"/>
    <w:rsid w:val="000F2770"/>
    <w:rsid w:val="000F2879"/>
    <w:rsid w:val="000F2A64"/>
    <w:rsid w:val="000F2AAD"/>
    <w:rsid w:val="000F2BAD"/>
    <w:rsid w:val="000F2BD5"/>
    <w:rsid w:val="000F2C90"/>
    <w:rsid w:val="000F2E0A"/>
    <w:rsid w:val="000F2E3A"/>
    <w:rsid w:val="000F2E9C"/>
    <w:rsid w:val="000F2FCB"/>
    <w:rsid w:val="000F2FE0"/>
    <w:rsid w:val="000F3152"/>
    <w:rsid w:val="000F315E"/>
    <w:rsid w:val="000F31F6"/>
    <w:rsid w:val="000F3294"/>
    <w:rsid w:val="000F33BE"/>
    <w:rsid w:val="000F3455"/>
    <w:rsid w:val="000F3568"/>
    <w:rsid w:val="000F359E"/>
    <w:rsid w:val="000F35C3"/>
    <w:rsid w:val="000F361F"/>
    <w:rsid w:val="000F3650"/>
    <w:rsid w:val="000F3682"/>
    <w:rsid w:val="000F36EA"/>
    <w:rsid w:val="000F37A9"/>
    <w:rsid w:val="000F37E7"/>
    <w:rsid w:val="000F3870"/>
    <w:rsid w:val="000F390D"/>
    <w:rsid w:val="000F3996"/>
    <w:rsid w:val="000F3A2C"/>
    <w:rsid w:val="000F3A66"/>
    <w:rsid w:val="000F3AD4"/>
    <w:rsid w:val="000F3ADE"/>
    <w:rsid w:val="000F3AE3"/>
    <w:rsid w:val="000F3C7D"/>
    <w:rsid w:val="000F3CD6"/>
    <w:rsid w:val="000F3D13"/>
    <w:rsid w:val="000F3D20"/>
    <w:rsid w:val="000F3D39"/>
    <w:rsid w:val="000F3E74"/>
    <w:rsid w:val="000F3EEF"/>
    <w:rsid w:val="000F3F27"/>
    <w:rsid w:val="000F3F2D"/>
    <w:rsid w:val="000F3FCB"/>
    <w:rsid w:val="000F402C"/>
    <w:rsid w:val="000F4100"/>
    <w:rsid w:val="000F412C"/>
    <w:rsid w:val="000F41A0"/>
    <w:rsid w:val="000F42DF"/>
    <w:rsid w:val="000F430E"/>
    <w:rsid w:val="000F4393"/>
    <w:rsid w:val="000F4464"/>
    <w:rsid w:val="000F44E2"/>
    <w:rsid w:val="000F44E9"/>
    <w:rsid w:val="000F4528"/>
    <w:rsid w:val="000F464C"/>
    <w:rsid w:val="000F4692"/>
    <w:rsid w:val="000F4694"/>
    <w:rsid w:val="000F46C9"/>
    <w:rsid w:val="000F46EC"/>
    <w:rsid w:val="000F47B0"/>
    <w:rsid w:val="000F47ED"/>
    <w:rsid w:val="000F48B8"/>
    <w:rsid w:val="000F4917"/>
    <w:rsid w:val="000F496E"/>
    <w:rsid w:val="000F4A73"/>
    <w:rsid w:val="000F4ABE"/>
    <w:rsid w:val="000F4AE8"/>
    <w:rsid w:val="000F4B7C"/>
    <w:rsid w:val="000F4C4C"/>
    <w:rsid w:val="000F4D43"/>
    <w:rsid w:val="000F4D8A"/>
    <w:rsid w:val="000F4E00"/>
    <w:rsid w:val="000F4E39"/>
    <w:rsid w:val="000F4FB3"/>
    <w:rsid w:val="000F4FD4"/>
    <w:rsid w:val="000F5046"/>
    <w:rsid w:val="000F50C7"/>
    <w:rsid w:val="000F5174"/>
    <w:rsid w:val="000F51CB"/>
    <w:rsid w:val="000F5203"/>
    <w:rsid w:val="000F526B"/>
    <w:rsid w:val="000F5471"/>
    <w:rsid w:val="000F5602"/>
    <w:rsid w:val="000F562A"/>
    <w:rsid w:val="000F5754"/>
    <w:rsid w:val="000F580C"/>
    <w:rsid w:val="000F581C"/>
    <w:rsid w:val="000F587B"/>
    <w:rsid w:val="000F589A"/>
    <w:rsid w:val="000F5A9A"/>
    <w:rsid w:val="000F5C48"/>
    <w:rsid w:val="000F5C95"/>
    <w:rsid w:val="000F5CC9"/>
    <w:rsid w:val="000F5D46"/>
    <w:rsid w:val="000F5D5B"/>
    <w:rsid w:val="000F5E8B"/>
    <w:rsid w:val="000F5EA0"/>
    <w:rsid w:val="000F5F63"/>
    <w:rsid w:val="000F5F81"/>
    <w:rsid w:val="000F5FA9"/>
    <w:rsid w:val="000F6082"/>
    <w:rsid w:val="000F6109"/>
    <w:rsid w:val="000F6111"/>
    <w:rsid w:val="000F6121"/>
    <w:rsid w:val="000F6197"/>
    <w:rsid w:val="000F6219"/>
    <w:rsid w:val="000F6262"/>
    <w:rsid w:val="000F6287"/>
    <w:rsid w:val="000F62AF"/>
    <w:rsid w:val="000F636A"/>
    <w:rsid w:val="000F6650"/>
    <w:rsid w:val="000F66B7"/>
    <w:rsid w:val="000F6701"/>
    <w:rsid w:val="000F6757"/>
    <w:rsid w:val="000F6771"/>
    <w:rsid w:val="000F6999"/>
    <w:rsid w:val="000F69EA"/>
    <w:rsid w:val="000F6AE4"/>
    <w:rsid w:val="000F6AE6"/>
    <w:rsid w:val="000F6C14"/>
    <w:rsid w:val="000F6C59"/>
    <w:rsid w:val="000F6C9D"/>
    <w:rsid w:val="000F6CD2"/>
    <w:rsid w:val="000F6D2A"/>
    <w:rsid w:val="000F6D79"/>
    <w:rsid w:val="000F6DB9"/>
    <w:rsid w:val="000F6E09"/>
    <w:rsid w:val="000F6E43"/>
    <w:rsid w:val="000F6EBE"/>
    <w:rsid w:val="000F6FF1"/>
    <w:rsid w:val="000F7150"/>
    <w:rsid w:val="000F71C0"/>
    <w:rsid w:val="000F71CD"/>
    <w:rsid w:val="000F71D1"/>
    <w:rsid w:val="000F71DD"/>
    <w:rsid w:val="000F72F9"/>
    <w:rsid w:val="000F72FC"/>
    <w:rsid w:val="000F731F"/>
    <w:rsid w:val="000F7376"/>
    <w:rsid w:val="000F7377"/>
    <w:rsid w:val="000F738E"/>
    <w:rsid w:val="000F7477"/>
    <w:rsid w:val="000F74C8"/>
    <w:rsid w:val="000F74DA"/>
    <w:rsid w:val="000F74E7"/>
    <w:rsid w:val="000F7513"/>
    <w:rsid w:val="000F7550"/>
    <w:rsid w:val="000F7623"/>
    <w:rsid w:val="000F76AC"/>
    <w:rsid w:val="000F76F8"/>
    <w:rsid w:val="000F7753"/>
    <w:rsid w:val="000F77DD"/>
    <w:rsid w:val="000F77DF"/>
    <w:rsid w:val="000F7801"/>
    <w:rsid w:val="000F7851"/>
    <w:rsid w:val="000F79B1"/>
    <w:rsid w:val="000F7A3F"/>
    <w:rsid w:val="000F7A6C"/>
    <w:rsid w:val="000F7A79"/>
    <w:rsid w:val="000F7B0F"/>
    <w:rsid w:val="000F7B12"/>
    <w:rsid w:val="000F7C43"/>
    <w:rsid w:val="000F7C9E"/>
    <w:rsid w:val="000F7CEB"/>
    <w:rsid w:val="000F7D40"/>
    <w:rsid w:val="000F7E9A"/>
    <w:rsid w:val="000F7EAA"/>
    <w:rsid w:val="000F7F5A"/>
    <w:rsid w:val="000F7F6C"/>
    <w:rsid w:val="00100094"/>
    <w:rsid w:val="001000AF"/>
    <w:rsid w:val="001000FB"/>
    <w:rsid w:val="0010029C"/>
    <w:rsid w:val="0010029F"/>
    <w:rsid w:val="001002BD"/>
    <w:rsid w:val="001002D9"/>
    <w:rsid w:val="001002FE"/>
    <w:rsid w:val="0010040E"/>
    <w:rsid w:val="00100452"/>
    <w:rsid w:val="001004A4"/>
    <w:rsid w:val="00100547"/>
    <w:rsid w:val="00100560"/>
    <w:rsid w:val="001005C1"/>
    <w:rsid w:val="00100688"/>
    <w:rsid w:val="00100726"/>
    <w:rsid w:val="0010080C"/>
    <w:rsid w:val="00100867"/>
    <w:rsid w:val="00100869"/>
    <w:rsid w:val="001008D8"/>
    <w:rsid w:val="00100916"/>
    <w:rsid w:val="0010099C"/>
    <w:rsid w:val="00100A26"/>
    <w:rsid w:val="00100A8E"/>
    <w:rsid w:val="00100AE9"/>
    <w:rsid w:val="00100BA0"/>
    <w:rsid w:val="00100BC1"/>
    <w:rsid w:val="00100C12"/>
    <w:rsid w:val="00100CB8"/>
    <w:rsid w:val="00100D01"/>
    <w:rsid w:val="00100D0B"/>
    <w:rsid w:val="00100D78"/>
    <w:rsid w:val="00100D80"/>
    <w:rsid w:val="00100DB1"/>
    <w:rsid w:val="00100E82"/>
    <w:rsid w:val="00100F17"/>
    <w:rsid w:val="00100F3C"/>
    <w:rsid w:val="00100F79"/>
    <w:rsid w:val="00100FA3"/>
    <w:rsid w:val="00100FAA"/>
    <w:rsid w:val="001010E1"/>
    <w:rsid w:val="00101129"/>
    <w:rsid w:val="001011CE"/>
    <w:rsid w:val="001011DC"/>
    <w:rsid w:val="001012D5"/>
    <w:rsid w:val="0010147B"/>
    <w:rsid w:val="001014F6"/>
    <w:rsid w:val="00101524"/>
    <w:rsid w:val="00101545"/>
    <w:rsid w:val="00101580"/>
    <w:rsid w:val="001015CB"/>
    <w:rsid w:val="0010166D"/>
    <w:rsid w:val="0010167E"/>
    <w:rsid w:val="0010170A"/>
    <w:rsid w:val="001017A9"/>
    <w:rsid w:val="001017EB"/>
    <w:rsid w:val="001017FC"/>
    <w:rsid w:val="001018DE"/>
    <w:rsid w:val="00101928"/>
    <w:rsid w:val="00101939"/>
    <w:rsid w:val="001019AD"/>
    <w:rsid w:val="00101AC6"/>
    <w:rsid w:val="00101AD3"/>
    <w:rsid w:val="00101AF4"/>
    <w:rsid w:val="00101BCF"/>
    <w:rsid w:val="00101C83"/>
    <w:rsid w:val="00101C8D"/>
    <w:rsid w:val="00101CA1"/>
    <w:rsid w:val="00101D1C"/>
    <w:rsid w:val="00101D8F"/>
    <w:rsid w:val="00101DD2"/>
    <w:rsid w:val="00101EA2"/>
    <w:rsid w:val="00101F2A"/>
    <w:rsid w:val="0010205B"/>
    <w:rsid w:val="001020BE"/>
    <w:rsid w:val="00102131"/>
    <w:rsid w:val="00102323"/>
    <w:rsid w:val="001023D9"/>
    <w:rsid w:val="0010241F"/>
    <w:rsid w:val="00102521"/>
    <w:rsid w:val="001025C4"/>
    <w:rsid w:val="001025D7"/>
    <w:rsid w:val="001028CB"/>
    <w:rsid w:val="00102970"/>
    <w:rsid w:val="00102A3E"/>
    <w:rsid w:val="00102B0B"/>
    <w:rsid w:val="00102BDC"/>
    <w:rsid w:val="00102BDD"/>
    <w:rsid w:val="00102CF2"/>
    <w:rsid w:val="00102D33"/>
    <w:rsid w:val="00102DB6"/>
    <w:rsid w:val="00102DE7"/>
    <w:rsid w:val="00102F32"/>
    <w:rsid w:val="00102F36"/>
    <w:rsid w:val="00102F61"/>
    <w:rsid w:val="001030A8"/>
    <w:rsid w:val="0010313F"/>
    <w:rsid w:val="0010319A"/>
    <w:rsid w:val="001031A2"/>
    <w:rsid w:val="001031A8"/>
    <w:rsid w:val="00103289"/>
    <w:rsid w:val="0010334E"/>
    <w:rsid w:val="001033C7"/>
    <w:rsid w:val="00103441"/>
    <w:rsid w:val="00103476"/>
    <w:rsid w:val="001034C7"/>
    <w:rsid w:val="00103537"/>
    <w:rsid w:val="00103618"/>
    <w:rsid w:val="0010362F"/>
    <w:rsid w:val="0010364E"/>
    <w:rsid w:val="0010369A"/>
    <w:rsid w:val="001036D6"/>
    <w:rsid w:val="001036E5"/>
    <w:rsid w:val="00103766"/>
    <w:rsid w:val="0010379C"/>
    <w:rsid w:val="001037A0"/>
    <w:rsid w:val="00103826"/>
    <w:rsid w:val="0010385F"/>
    <w:rsid w:val="00103950"/>
    <w:rsid w:val="001039BB"/>
    <w:rsid w:val="00103A1E"/>
    <w:rsid w:val="00103A23"/>
    <w:rsid w:val="00103A2A"/>
    <w:rsid w:val="00103A84"/>
    <w:rsid w:val="00103ACA"/>
    <w:rsid w:val="00103ADD"/>
    <w:rsid w:val="00103AEB"/>
    <w:rsid w:val="00103C59"/>
    <w:rsid w:val="00103CA5"/>
    <w:rsid w:val="00103CAC"/>
    <w:rsid w:val="00103D00"/>
    <w:rsid w:val="00103D0C"/>
    <w:rsid w:val="00103D5B"/>
    <w:rsid w:val="00103D96"/>
    <w:rsid w:val="00103E03"/>
    <w:rsid w:val="00103F09"/>
    <w:rsid w:val="00103F91"/>
    <w:rsid w:val="00103FE7"/>
    <w:rsid w:val="0010404F"/>
    <w:rsid w:val="00104078"/>
    <w:rsid w:val="0010414E"/>
    <w:rsid w:val="001041D9"/>
    <w:rsid w:val="0010430D"/>
    <w:rsid w:val="00104335"/>
    <w:rsid w:val="001043CD"/>
    <w:rsid w:val="001043DF"/>
    <w:rsid w:val="0010454C"/>
    <w:rsid w:val="001045FA"/>
    <w:rsid w:val="00104600"/>
    <w:rsid w:val="00104726"/>
    <w:rsid w:val="00104746"/>
    <w:rsid w:val="0010481E"/>
    <w:rsid w:val="001049B5"/>
    <w:rsid w:val="001049FF"/>
    <w:rsid w:val="00104B26"/>
    <w:rsid w:val="00104C02"/>
    <w:rsid w:val="00104C52"/>
    <w:rsid w:val="00104C81"/>
    <w:rsid w:val="00104CB8"/>
    <w:rsid w:val="00104CF6"/>
    <w:rsid w:val="00104D20"/>
    <w:rsid w:val="00104DBA"/>
    <w:rsid w:val="00104E09"/>
    <w:rsid w:val="00104E0A"/>
    <w:rsid w:val="00104ED1"/>
    <w:rsid w:val="00104F72"/>
    <w:rsid w:val="00104FF1"/>
    <w:rsid w:val="00104FF3"/>
    <w:rsid w:val="00105004"/>
    <w:rsid w:val="00105082"/>
    <w:rsid w:val="001050FE"/>
    <w:rsid w:val="00105145"/>
    <w:rsid w:val="0010522A"/>
    <w:rsid w:val="00105254"/>
    <w:rsid w:val="001052B6"/>
    <w:rsid w:val="0010540D"/>
    <w:rsid w:val="001054E6"/>
    <w:rsid w:val="001055CC"/>
    <w:rsid w:val="00105621"/>
    <w:rsid w:val="00105643"/>
    <w:rsid w:val="00105650"/>
    <w:rsid w:val="0010567C"/>
    <w:rsid w:val="00105701"/>
    <w:rsid w:val="0010571C"/>
    <w:rsid w:val="00105724"/>
    <w:rsid w:val="001057D8"/>
    <w:rsid w:val="0010580C"/>
    <w:rsid w:val="00105822"/>
    <w:rsid w:val="00105877"/>
    <w:rsid w:val="00105901"/>
    <w:rsid w:val="00105946"/>
    <w:rsid w:val="00105A0F"/>
    <w:rsid w:val="00105A1A"/>
    <w:rsid w:val="00105AD8"/>
    <w:rsid w:val="00105ADD"/>
    <w:rsid w:val="00105AFB"/>
    <w:rsid w:val="00105BE9"/>
    <w:rsid w:val="00105C1C"/>
    <w:rsid w:val="00105C29"/>
    <w:rsid w:val="00105C87"/>
    <w:rsid w:val="00105D54"/>
    <w:rsid w:val="00105D7F"/>
    <w:rsid w:val="00105E91"/>
    <w:rsid w:val="00105F86"/>
    <w:rsid w:val="00105F97"/>
    <w:rsid w:val="00105FE7"/>
    <w:rsid w:val="00106060"/>
    <w:rsid w:val="001061B8"/>
    <w:rsid w:val="001061C2"/>
    <w:rsid w:val="001062A4"/>
    <w:rsid w:val="001062F6"/>
    <w:rsid w:val="001063A9"/>
    <w:rsid w:val="001063DE"/>
    <w:rsid w:val="00106456"/>
    <w:rsid w:val="0010647A"/>
    <w:rsid w:val="00106526"/>
    <w:rsid w:val="001065CC"/>
    <w:rsid w:val="001065F5"/>
    <w:rsid w:val="00106627"/>
    <w:rsid w:val="00106649"/>
    <w:rsid w:val="0010664F"/>
    <w:rsid w:val="0010667A"/>
    <w:rsid w:val="0010678C"/>
    <w:rsid w:val="00106833"/>
    <w:rsid w:val="00106857"/>
    <w:rsid w:val="00106862"/>
    <w:rsid w:val="00106863"/>
    <w:rsid w:val="00106885"/>
    <w:rsid w:val="001069BC"/>
    <w:rsid w:val="00106A33"/>
    <w:rsid w:val="00106ABF"/>
    <w:rsid w:val="00106AD6"/>
    <w:rsid w:val="00106BA5"/>
    <w:rsid w:val="00106BC6"/>
    <w:rsid w:val="00106BF6"/>
    <w:rsid w:val="00106CD6"/>
    <w:rsid w:val="00106D42"/>
    <w:rsid w:val="00106D8B"/>
    <w:rsid w:val="00106DDA"/>
    <w:rsid w:val="00106F11"/>
    <w:rsid w:val="00106F42"/>
    <w:rsid w:val="00107064"/>
    <w:rsid w:val="00107074"/>
    <w:rsid w:val="001070CE"/>
    <w:rsid w:val="001070EC"/>
    <w:rsid w:val="001070F8"/>
    <w:rsid w:val="00107236"/>
    <w:rsid w:val="001072B2"/>
    <w:rsid w:val="00107328"/>
    <w:rsid w:val="00107333"/>
    <w:rsid w:val="00107447"/>
    <w:rsid w:val="0010747F"/>
    <w:rsid w:val="00107572"/>
    <w:rsid w:val="00107588"/>
    <w:rsid w:val="001076A0"/>
    <w:rsid w:val="001076B3"/>
    <w:rsid w:val="00107780"/>
    <w:rsid w:val="00107835"/>
    <w:rsid w:val="00107838"/>
    <w:rsid w:val="0010785C"/>
    <w:rsid w:val="0010791C"/>
    <w:rsid w:val="001079DC"/>
    <w:rsid w:val="00107A04"/>
    <w:rsid w:val="00107A49"/>
    <w:rsid w:val="00107AE1"/>
    <w:rsid w:val="00107B31"/>
    <w:rsid w:val="00107B54"/>
    <w:rsid w:val="00107BD3"/>
    <w:rsid w:val="00107C00"/>
    <w:rsid w:val="00107CFE"/>
    <w:rsid w:val="00107D55"/>
    <w:rsid w:val="00107E98"/>
    <w:rsid w:val="00107EF2"/>
    <w:rsid w:val="00107F16"/>
    <w:rsid w:val="00107FAF"/>
    <w:rsid w:val="00107FF2"/>
    <w:rsid w:val="001100A1"/>
    <w:rsid w:val="0011014E"/>
    <w:rsid w:val="001101BB"/>
    <w:rsid w:val="00110229"/>
    <w:rsid w:val="0011022B"/>
    <w:rsid w:val="00110241"/>
    <w:rsid w:val="0011025D"/>
    <w:rsid w:val="0011029D"/>
    <w:rsid w:val="00110316"/>
    <w:rsid w:val="00110461"/>
    <w:rsid w:val="001104A0"/>
    <w:rsid w:val="001104FB"/>
    <w:rsid w:val="00110516"/>
    <w:rsid w:val="0011059A"/>
    <w:rsid w:val="00110678"/>
    <w:rsid w:val="001106B5"/>
    <w:rsid w:val="0011072C"/>
    <w:rsid w:val="0011074D"/>
    <w:rsid w:val="001108E5"/>
    <w:rsid w:val="00110935"/>
    <w:rsid w:val="001109AF"/>
    <w:rsid w:val="00110A29"/>
    <w:rsid w:val="00110B16"/>
    <w:rsid w:val="00110BAC"/>
    <w:rsid w:val="00110BB6"/>
    <w:rsid w:val="00110BD2"/>
    <w:rsid w:val="00110C58"/>
    <w:rsid w:val="00110CBE"/>
    <w:rsid w:val="00110E07"/>
    <w:rsid w:val="00110EBE"/>
    <w:rsid w:val="00110FD7"/>
    <w:rsid w:val="00111032"/>
    <w:rsid w:val="0011108E"/>
    <w:rsid w:val="00111156"/>
    <w:rsid w:val="001111DF"/>
    <w:rsid w:val="00111441"/>
    <w:rsid w:val="00111624"/>
    <w:rsid w:val="0011163C"/>
    <w:rsid w:val="0011169E"/>
    <w:rsid w:val="001116A8"/>
    <w:rsid w:val="00111723"/>
    <w:rsid w:val="0011178A"/>
    <w:rsid w:val="001117E0"/>
    <w:rsid w:val="001117EF"/>
    <w:rsid w:val="0011180B"/>
    <w:rsid w:val="00111974"/>
    <w:rsid w:val="00111988"/>
    <w:rsid w:val="001119A8"/>
    <w:rsid w:val="00111A34"/>
    <w:rsid w:val="00111A6B"/>
    <w:rsid w:val="00111A78"/>
    <w:rsid w:val="00111B6A"/>
    <w:rsid w:val="00111BC0"/>
    <w:rsid w:val="00111C7B"/>
    <w:rsid w:val="00111CA7"/>
    <w:rsid w:val="00111D1A"/>
    <w:rsid w:val="00111D71"/>
    <w:rsid w:val="00111E58"/>
    <w:rsid w:val="00111E63"/>
    <w:rsid w:val="00111EE5"/>
    <w:rsid w:val="00112065"/>
    <w:rsid w:val="00112070"/>
    <w:rsid w:val="001121D4"/>
    <w:rsid w:val="001122A8"/>
    <w:rsid w:val="001122D2"/>
    <w:rsid w:val="001123FA"/>
    <w:rsid w:val="00112471"/>
    <w:rsid w:val="00112483"/>
    <w:rsid w:val="001124ED"/>
    <w:rsid w:val="00112526"/>
    <w:rsid w:val="001125E8"/>
    <w:rsid w:val="001125FB"/>
    <w:rsid w:val="00112613"/>
    <w:rsid w:val="00112618"/>
    <w:rsid w:val="00112643"/>
    <w:rsid w:val="00112794"/>
    <w:rsid w:val="001127C6"/>
    <w:rsid w:val="001127FA"/>
    <w:rsid w:val="001128CA"/>
    <w:rsid w:val="0011291D"/>
    <w:rsid w:val="00112941"/>
    <w:rsid w:val="001129BF"/>
    <w:rsid w:val="001129E4"/>
    <w:rsid w:val="001129F6"/>
    <w:rsid w:val="00112A24"/>
    <w:rsid w:val="00112A42"/>
    <w:rsid w:val="00112A5A"/>
    <w:rsid w:val="00112A6C"/>
    <w:rsid w:val="00112A6E"/>
    <w:rsid w:val="00112B3D"/>
    <w:rsid w:val="00112B4F"/>
    <w:rsid w:val="00112BB3"/>
    <w:rsid w:val="00112BDC"/>
    <w:rsid w:val="00112C20"/>
    <w:rsid w:val="00112CB9"/>
    <w:rsid w:val="00112CD2"/>
    <w:rsid w:val="00112D64"/>
    <w:rsid w:val="00112DD1"/>
    <w:rsid w:val="00112DEE"/>
    <w:rsid w:val="00112E02"/>
    <w:rsid w:val="00112E0E"/>
    <w:rsid w:val="00112E41"/>
    <w:rsid w:val="00112F49"/>
    <w:rsid w:val="00112FCB"/>
    <w:rsid w:val="00112FEA"/>
    <w:rsid w:val="00113002"/>
    <w:rsid w:val="0011313F"/>
    <w:rsid w:val="00113167"/>
    <w:rsid w:val="001132E6"/>
    <w:rsid w:val="00113376"/>
    <w:rsid w:val="0011337C"/>
    <w:rsid w:val="0011337D"/>
    <w:rsid w:val="00113390"/>
    <w:rsid w:val="001133F3"/>
    <w:rsid w:val="001134F2"/>
    <w:rsid w:val="00113570"/>
    <w:rsid w:val="0011358A"/>
    <w:rsid w:val="0011368C"/>
    <w:rsid w:val="0011368F"/>
    <w:rsid w:val="00113706"/>
    <w:rsid w:val="00113759"/>
    <w:rsid w:val="00113769"/>
    <w:rsid w:val="00113785"/>
    <w:rsid w:val="001137AB"/>
    <w:rsid w:val="00113802"/>
    <w:rsid w:val="0011396F"/>
    <w:rsid w:val="0011397B"/>
    <w:rsid w:val="00113A3E"/>
    <w:rsid w:val="00113B87"/>
    <w:rsid w:val="00113BC1"/>
    <w:rsid w:val="00113D54"/>
    <w:rsid w:val="00113D6A"/>
    <w:rsid w:val="00113D88"/>
    <w:rsid w:val="00113D8A"/>
    <w:rsid w:val="00113DAB"/>
    <w:rsid w:val="00113DAF"/>
    <w:rsid w:val="00113E4F"/>
    <w:rsid w:val="00113E53"/>
    <w:rsid w:val="00113F28"/>
    <w:rsid w:val="00113FA9"/>
    <w:rsid w:val="00113FD7"/>
    <w:rsid w:val="00114030"/>
    <w:rsid w:val="00114061"/>
    <w:rsid w:val="001141C6"/>
    <w:rsid w:val="001141E3"/>
    <w:rsid w:val="00114243"/>
    <w:rsid w:val="0011434C"/>
    <w:rsid w:val="00114396"/>
    <w:rsid w:val="00114451"/>
    <w:rsid w:val="00114515"/>
    <w:rsid w:val="00114586"/>
    <w:rsid w:val="001145DE"/>
    <w:rsid w:val="0011465A"/>
    <w:rsid w:val="001146C5"/>
    <w:rsid w:val="00114759"/>
    <w:rsid w:val="00114898"/>
    <w:rsid w:val="001148B4"/>
    <w:rsid w:val="001148CB"/>
    <w:rsid w:val="001148EE"/>
    <w:rsid w:val="0011490F"/>
    <w:rsid w:val="0011495C"/>
    <w:rsid w:val="00114974"/>
    <w:rsid w:val="0011498E"/>
    <w:rsid w:val="00114A70"/>
    <w:rsid w:val="00114B30"/>
    <w:rsid w:val="00114B71"/>
    <w:rsid w:val="00114BD6"/>
    <w:rsid w:val="00114C3B"/>
    <w:rsid w:val="00114D05"/>
    <w:rsid w:val="00114D3B"/>
    <w:rsid w:val="00114DCE"/>
    <w:rsid w:val="00114E2C"/>
    <w:rsid w:val="00114FF1"/>
    <w:rsid w:val="001150A3"/>
    <w:rsid w:val="001150AD"/>
    <w:rsid w:val="001150C5"/>
    <w:rsid w:val="00115119"/>
    <w:rsid w:val="00115281"/>
    <w:rsid w:val="00115331"/>
    <w:rsid w:val="001153EB"/>
    <w:rsid w:val="00115506"/>
    <w:rsid w:val="00115575"/>
    <w:rsid w:val="0011559A"/>
    <w:rsid w:val="001155EE"/>
    <w:rsid w:val="0011561E"/>
    <w:rsid w:val="00115644"/>
    <w:rsid w:val="0011569C"/>
    <w:rsid w:val="001156DC"/>
    <w:rsid w:val="00115790"/>
    <w:rsid w:val="001157AF"/>
    <w:rsid w:val="001157EA"/>
    <w:rsid w:val="001157ED"/>
    <w:rsid w:val="0011583F"/>
    <w:rsid w:val="001158FE"/>
    <w:rsid w:val="0011590F"/>
    <w:rsid w:val="001159B9"/>
    <w:rsid w:val="00115B32"/>
    <w:rsid w:val="00115B97"/>
    <w:rsid w:val="00115C39"/>
    <w:rsid w:val="00115C4E"/>
    <w:rsid w:val="00115CD6"/>
    <w:rsid w:val="00115D1C"/>
    <w:rsid w:val="00115D5D"/>
    <w:rsid w:val="00115DF2"/>
    <w:rsid w:val="00115E90"/>
    <w:rsid w:val="00115E99"/>
    <w:rsid w:val="00115EFE"/>
    <w:rsid w:val="00115FA4"/>
    <w:rsid w:val="00116094"/>
    <w:rsid w:val="001160BE"/>
    <w:rsid w:val="001160E3"/>
    <w:rsid w:val="00116353"/>
    <w:rsid w:val="0011636F"/>
    <w:rsid w:val="0011642F"/>
    <w:rsid w:val="00116520"/>
    <w:rsid w:val="001165B7"/>
    <w:rsid w:val="00116682"/>
    <w:rsid w:val="001166CE"/>
    <w:rsid w:val="001167AB"/>
    <w:rsid w:val="001168F5"/>
    <w:rsid w:val="00116901"/>
    <w:rsid w:val="00116945"/>
    <w:rsid w:val="001169AA"/>
    <w:rsid w:val="001169AF"/>
    <w:rsid w:val="001169B0"/>
    <w:rsid w:val="001169CB"/>
    <w:rsid w:val="00116B86"/>
    <w:rsid w:val="00116C28"/>
    <w:rsid w:val="00116CB9"/>
    <w:rsid w:val="00116DB9"/>
    <w:rsid w:val="00116E33"/>
    <w:rsid w:val="00116E56"/>
    <w:rsid w:val="00116E65"/>
    <w:rsid w:val="00116E75"/>
    <w:rsid w:val="0011704E"/>
    <w:rsid w:val="00117066"/>
    <w:rsid w:val="00117092"/>
    <w:rsid w:val="0011710A"/>
    <w:rsid w:val="00117127"/>
    <w:rsid w:val="00117150"/>
    <w:rsid w:val="0011724C"/>
    <w:rsid w:val="00117281"/>
    <w:rsid w:val="001172B8"/>
    <w:rsid w:val="001173A9"/>
    <w:rsid w:val="001173B6"/>
    <w:rsid w:val="001174E3"/>
    <w:rsid w:val="00117519"/>
    <w:rsid w:val="00117520"/>
    <w:rsid w:val="0011769B"/>
    <w:rsid w:val="001176DF"/>
    <w:rsid w:val="001177BA"/>
    <w:rsid w:val="00117845"/>
    <w:rsid w:val="00117914"/>
    <w:rsid w:val="00117917"/>
    <w:rsid w:val="00117943"/>
    <w:rsid w:val="00117992"/>
    <w:rsid w:val="00117998"/>
    <w:rsid w:val="00117AA3"/>
    <w:rsid w:val="00117AF1"/>
    <w:rsid w:val="00117AF4"/>
    <w:rsid w:val="00117B21"/>
    <w:rsid w:val="00117BBF"/>
    <w:rsid w:val="00117BD6"/>
    <w:rsid w:val="00117BEC"/>
    <w:rsid w:val="00117C03"/>
    <w:rsid w:val="00117C34"/>
    <w:rsid w:val="00117CC5"/>
    <w:rsid w:val="00117ECC"/>
    <w:rsid w:val="00117F74"/>
    <w:rsid w:val="001200BD"/>
    <w:rsid w:val="0012021F"/>
    <w:rsid w:val="001202BE"/>
    <w:rsid w:val="00120322"/>
    <w:rsid w:val="001204C6"/>
    <w:rsid w:val="0012057D"/>
    <w:rsid w:val="0012078A"/>
    <w:rsid w:val="00120818"/>
    <w:rsid w:val="001208AD"/>
    <w:rsid w:val="001209B9"/>
    <w:rsid w:val="001209E1"/>
    <w:rsid w:val="00120A83"/>
    <w:rsid w:val="00120A8D"/>
    <w:rsid w:val="00120BCB"/>
    <w:rsid w:val="00120C34"/>
    <w:rsid w:val="00120D11"/>
    <w:rsid w:val="00120D71"/>
    <w:rsid w:val="00120DB0"/>
    <w:rsid w:val="00120E0F"/>
    <w:rsid w:val="00120E1B"/>
    <w:rsid w:val="00120E36"/>
    <w:rsid w:val="00120FC2"/>
    <w:rsid w:val="00120FE9"/>
    <w:rsid w:val="0012103A"/>
    <w:rsid w:val="00121159"/>
    <w:rsid w:val="001211B7"/>
    <w:rsid w:val="0012127E"/>
    <w:rsid w:val="001212E2"/>
    <w:rsid w:val="00121305"/>
    <w:rsid w:val="00121378"/>
    <w:rsid w:val="00121383"/>
    <w:rsid w:val="001213B5"/>
    <w:rsid w:val="001213B7"/>
    <w:rsid w:val="001213DD"/>
    <w:rsid w:val="001213E2"/>
    <w:rsid w:val="001213F8"/>
    <w:rsid w:val="00121419"/>
    <w:rsid w:val="0012143D"/>
    <w:rsid w:val="00121453"/>
    <w:rsid w:val="00121490"/>
    <w:rsid w:val="0012156C"/>
    <w:rsid w:val="00121603"/>
    <w:rsid w:val="00121712"/>
    <w:rsid w:val="001217A4"/>
    <w:rsid w:val="001217C7"/>
    <w:rsid w:val="0012181A"/>
    <w:rsid w:val="0012190E"/>
    <w:rsid w:val="00121910"/>
    <w:rsid w:val="00121AB8"/>
    <w:rsid w:val="00121BC9"/>
    <w:rsid w:val="00121C21"/>
    <w:rsid w:val="00121CC3"/>
    <w:rsid w:val="00121D2C"/>
    <w:rsid w:val="00121D3A"/>
    <w:rsid w:val="00121E07"/>
    <w:rsid w:val="00121E0A"/>
    <w:rsid w:val="00121E44"/>
    <w:rsid w:val="00121F16"/>
    <w:rsid w:val="00121FC0"/>
    <w:rsid w:val="00121FC8"/>
    <w:rsid w:val="00122015"/>
    <w:rsid w:val="00122018"/>
    <w:rsid w:val="00122039"/>
    <w:rsid w:val="0012206C"/>
    <w:rsid w:val="001220D5"/>
    <w:rsid w:val="0012210B"/>
    <w:rsid w:val="001221F4"/>
    <w:rsid w:val="001222AC"/>
    <w:rsid w:val="001222BA"/>
    <w:rsid w:val="001222DF"/>
    <w:rsid w:val="00122322"/>
    <w:rsid w:val="001223C1"/>
    <w:rsid w:val="0012258A"/>
    <w:rsid w:val="001225A1"/>
    <w:rsid w:val="001225AF"/>
    <w:rsid w:val="00122713"/>
    <w:rsid w:val="0012275C"/>
    <w:rsid w:val="001227F0"/>
    <w:rsid w:val="00122819"/>
    <w:rsid w:val="001228CB"/>
    <w:rsid w:val="001228E7"/>
    <w:rsid w:val="001228FD"/>
    <w:rsid w:val="0012298B"/>
    <w:rsid w:val="00122A7A"/>
    <w:rsid w:val="00122A8C"/>
    <w:rsid w:val="00122B3A"/>
    <w:rsid w:val="00122B53"/>
    <w:rsid w:val="00122BB1"/>
    <w:rsid w:val="00122BC1"/>
    <w:rsid w:val="00122BF6"/>
    <w:rsid w:val="00122C19"/>
    <w:rsid w:val="00122C5A"/>
    <w:rsid w:val="00122D85"/>
    <w:rsid w:val="00122DF6"/>
    <w:rsid w:val="00122DFB"/>
    <w:rsid w:val="00122E30"/>
    <w:rsid w:val="00122EB7"/>
    <w:rsid w:val="00122EBF"/>
    <w:rsid w:val="00122FA3"/>
    <w:rsid w:val="00122FCC"/>
    <w:rsid w:val="00122FF3"/>
    <w:rsid w:val="00123048"/>
    <w:rsid w:val="00123079"/>
    <w:rsid w:val="0012309F"/>
    <w:rsid w:val="0012313E"/>
    <w:rsid w:val="00123156"/>
    <w:rsid w:val="00123290"/>
    <w:rsid w:val="001232E2"/>
    <w:rsid w:val="00123350"/>
    <w:rsid w:val="00123490"/>
    <w:rsid w:val="001234F3"/>
    <w:rsid w:val="001234F6"/>
    <w:rsid w:val="00123528"/>
    <w:rsid w:val="00123547"/>
    <w:rsid w:val="001235E4"/>
    <w:rsid w:val="00123814"/>
    <w:rsid w:val="001238EF"/>
    <w:rsid w:val="00123946"/>
    <w:rsid w:val="0012394D"/>
    <w:rsid w:val="001239F0"/>
    <w:rsid w:val="00123A17"/>
    <w:rsid w:val="00123A30"/>
    <w:rsid w:val="00123A3F"/>
    <w:rsid w:val="00123A8A"/>
    <w:rsid w:val="00123B03"/>
    <w:rsid w:val="00123B22"/>
    <w:rsid w:val="00123B88"/>
    <w:rsid w:val="00123C17"/>
    <w:rsid w:val="00123C1D"/>
    <w:rsid w:val="00123CE3"/>
    <w:rsid w:val="00123E5A"/>
    <w:rsid w:val="00123E9C"/>
    <w:rsid w:val="00123F6F"/>
    <w:rsid w:val="00123FE2"/>
    <w:rsid w:val="001240BF"/>
    <w:rsid w:val="00124109"/>
    <w:rsid w:val="00124214"/>
    <w:rsid w:val="00124293"/>
    <w:rsid w:val="00124339"/>
    <w:rsid w:val="001243EF"/>
    <w:rsid w:val="00124442"/>
    <w:rsid w:val="00124456"/>
    <w:rsid w:val="00124522"/>
    <w:rsid w:val="0012453C"/>
    <w:rsid w:val="0012454B"/>
    <w:rsid w:val="0012459B"/>
    <w:rsid w:val="001245D8"/>
    <w:rsid w:val="001245E5"/>
    <w:rsid w:val="00124615"/>
    <w:rsid w:val="0012462E"/>
    <w:rsid w:val="001246DD"/>
    <w:rsid w:val="001246DF"/>
    <w:rsid w:val="0012478D"/>
    <w:rsid w:val="00124984"/>
    <w:rsid w:val="001249A3"/>
    <w:rsid w:val="001249A6"/>
    <w:rsid w:val="00124A1E"/>
    <w:rsid w:val="00124ABC"/>
    <w:rsid w:val="00124C74"/>
    <w:rsid w:val="00124C7D"/>
    <w:rsid w:val="00124DCA"/>
    <w:rsid w:val="00124DE8"/>
    <w:rsid w:val="00124EB3"/>
    <w:rsid w:val="00124F4C"/>
    <w:rsid w:val="00125043"/>
    <w:rsid w:val="001250BD"/>
    <w:rsid w:val="001250EC"/>
    <w:rsid w:val="00125209"/>
    <w:rsid w:val="0012520C"/>
    <w:rsid w:val="00125254"/>
    <w:rsid w:val="00125276"/>
    <w:rsid w:val="0012528D"/>
    <w:rsid w:val="001252BE"/>
    <w:rsid w:val="0012536C"/>
    <w:rsid w:val="0012537A"/>
    <w:rsid w:val="001253B5"/>
    <w:rsid w:val="00125504"/>
    <w:rsid w:val="00125560"/>
    <w:rsid w:val="0012557E"/>
    <w:rsid w:val="001255AB"/>
    <w:rsid w:val="001256BF"/>
    <w:rsid w:val="001257B5"/>
    <w:rsid w:val="00125858"/>
    <w:rsid w:val="001258A4"/>
    <w:rsid w:val="00125A1C"/>
    <w:rsid w:val="00125A2D"/>
    <w:rsid w:val="00125B9E"/>
    <w:rsid w:val="00125BCC"/>
    <w:rsid w:val="00125BEF"/>
    <w:rsid w:val="00125C1B"/>
    <w:rsid w:val="00125C80"/>
    <w:rsid w:val="00125CD1"/>
    <w:rsid w:val="00125D4E"/>
    <w:rsid w:val="00125D63"/>
    <w:rsid w:val="00125E24"/>
    <w:rsid w:val="00125E6C"/>
    <w:rsid w:val="00125F4A"/>
    <w:rsid w:val="00125F75"/>
    <w:rsid w:val="00126011"/>
    <w:rsid w:val="001260AD"/>
    <w:rsid w:val="00126158"/>
    <w:rsid w:val="0012623B"/>
    <w:rsid w:val="00126247"/>
    <w:rsid w:val="0012635E"/>
    <w:rsid w:val="0012636B"/>
    <w:rsid w:val="00126443"/>
    <w:rsid w:val="00126481"/>
    <w:rsid w:val="001264B7"/>
    <w:rsid w:val="001264D7"/>
    <w:rsid w:val="00126572"/>
    <w:rsid w:val="00126645"/>
    <w:rsid w:val="00126660"/>
    <w:rsid w:val="00126724"/>
    <w:rsid w:val="00126771"/>
    <w:rsid w:val="00126792"/>
    <w:rsid w:val="00126794"/>
    <w:rsid w:val="001267A6"/>
    <w:rsid w:val="001267AD"/>
    <w:rsid w:val="001268E4"/>
    <w:rsid w:val="0012696D"/>
    <w:rsid w:val="00126A59"/>
    <w:rsid w:val="00126A7D"/>
    <w:rsid w:val="00126AB7"/>
    <w:rsid w:val="00126B4E"/>
    <w:rsid w:val="00126B65"/>
    <w:rsid w:val="00126B87"/>
    <w:rsid w:val="00126BA9"/>
    <w:rsid w:val="00126BBB"/>
    <w:rsid w:val="00126BF0"/>
    <w:rsid w:val="00126C6A"/>
    <w:rsid w:val="00126C94"/>
    <w:rsid w:val="00126CE2"/>
    <w:rsid w:val="00126D8E"/>
    <w:rsid w:val="00126DED"/>
    <w:rsid w:val="00126E74"/>
    <w:rsid w:val="00126F57"/>
    <w:rsid w:val="00126F60"/>
    <w:rsid w:val="00126FB6"/>
    <w:rsid w:val="0012701F"/>
    <w:rsid w:val="001270A0"/>
    <w:rsid w:val="001270B0"/>
    <w:rsid w:val="0012715A"/>
    <w:rsid w:val="00127176"/>
    <w:rsid w:val="001271E7"/>
    <w:rsid w:val="0012726D"/>
    <w:rsid w:val="001272A1"/>
    <w:rsid w:val="00127314"/>
    <w:rsid w:val="00127323"/>
    <w:rsid w:val="00127358"/>
    <w:rsid w:val="001273BD"/>
    <w:rsid w:val="0012745D"/>
    <w:rsid w:val="0012746C"/>
    <w:rsid w:val="001275BC"/>
    <w:rsid w:val="001275D2"/>
    <w:rsid w:val="00127615"/>
    <w:rsid w:val="00127645"/>
    <w:rsid w:val="0012772E"/>
    <w:rsid w:val="0012775A"/>
    <w:rsid w:val="001277FE"/>
    <w:rsid w:val="00127897"/>
    <w:rsid w:val="00127940"/>
    <w:rsid w:val="001279B2"/>
    <w:rsid w:val="00127A11"/>
    <w:rsid w:val="00127B0E"/>
    <w:rsid w:val="00127B54"/>
    <w:rsid w:val="00127BB1"/>
    <w:rsid w:val="00127BBC"/>
    <w:rsid w:val="00127BE6"/>
    <w:rsid w:val="00127C16"/>
    <w:rsid w:val="00127C61"/>
    <w:rsid w:val="00127CF6"/>
    <w:rsid w:val="00127D86"/>
    <w:rsid w:val="00127F01"/>
    <w:rsid w:val="00127F22"/>
    <w:rsid w:val="00127F6B"/>
    <w:rsid w:val="00127FB2"/>
    <w:rsid w:val="00127FB4"/>
    <w:rsid w:val="00130003"/>
    <w:rsid w:val="00130042"/>
    <w:rsid w:val="0013008D"/>
    <w:rsid w:val="0013009F"/>
    <w:rsid w:val="0013015C"/>
    <w:rsid w:val="00130181"/>
    <w:rsid w:val="0013019F"/>
    <w:rsid w:val="001301E7"/>
    <w:rsid w:val="00130212"/>
    <w:rsid w:val="00130230"/>
    <w:rsid w:val="0013027C"/>
    <w:rsid w:val="001302A4"/>
    <w:rsid w:val="001302E5"/>
    <w:rsid w:val="0013031F"/>
    <w:rsid w:val="0013034D"/>
    <w:rsid w:val="001303E7"/>
    <w:rsid w:val="00130428"/>
    <w:rsid w:val="00130477"/>
    <w:rsid w:val="0013050D"/>
    <w:rsid w:val="00130572"/>
    <w:rsid w:val="001305DF"/>
    <w:rsid w:val="0013060D"/>
    <w:rsid w:val="00130720"/>
    <w:rsid w:val="00130753"/>
    <w:rsid w:val="00130819"/>
    <w:rsid w:val="001308D3"/>
    <w:rsid w:val="0013094C"/>
    <w:rsid w:val="00130970"/>
    <w:rsid w:val="001309A1"/>
    <w:rsid w:val="00130A56"/>
    <w:rsid w:val="00130AA5"/>
    <w:rsid w:val="00130B7D"/>
    <w:rsid w:val="00130C6B"/>
    <w:rsid w:val="00130CAC"/>
    <w:rsid w:val="00130CCB"/>
    <w:rsid w:val="00130D3B"/>
    <w:rsid w:val="00130D7C"/>
    <w:rsid w:val="00130DBA"/>
    <w:rsid w:val="00130E12"/>
    <w:rsid w:val="00130E5F"/>
    <w:rsid w:val="00130EA6"/>
    <w:rsid w:val="00130F46"/>
    <w:rsid w:val="00130FE5"/>
    <w:rsid w:val="0013101E"/>
    <w:rsid w:val="0013103D"/>
    <w:rsid w:val="001310E8"/>
    <w:rsid w:val="00131163"/>
    <w:rsid w:val="0013129D"/>
    <w:rsid w:val="001312E8"/>
    <w:rsid w:val="00131336"/>
    <w:rsid w:val="0013134C"/>
    <w:rsid w:val="00131354"/>
    <w:rsid w:val="00131413"/>
    <w:rsid w:val="0013141D"/>
    <w:rsid w:val="0013149B"/>
    <w:rsid w:val="001314A3"/>
    <w:rsid w:val="001314B0"/>
    <w:rsid w:val="001314B4"/>
    <w:rsid w:val="001314CE"/>
    <w:rsid w:val="0013159A"/>
    <w:rsid w:val="001315CB"/>
    <w:rsid w:val="001315F0"/>
    <w:rsid w:val="00131775"/>
    <w:rsid w:val="001317E6"/>
    <w:rsid w:val="001317E8"/>
    <w:rsid w:val="00131884"/>
    <w:rsid w:val="00131896"/>
    <w:rsid w:val="00131908"/>
    <w:rsid w:val="001319A2"/>
    <w:rsid w:val="001319C2"/>
    <w:rsid w:val="00131A48"/>
    <w:rsid w:val="00131A4C"/>
    <w:rsid w:val="00131A81"/>
    <w:rsid w:val="00131ADA"/>
    <w:rsid w:val="00131B47"/>
    <w:rsid w:val="00131BE5"/>
    <w:rsid w:val="00131BFD"/>
    <w:rsid w:val="00131C64"/>
    <w:rsid w:val="00131C89"/>
    <w:rsid w:val="00131CA5"/>
    <w:rsid w:val="00131CD6"/>
    <w:rsid w:val="00131DC1"/>
    <w:rsid w:val="00131E27"/>
    <w:rsid w:val="00131E2C"/>
    <w:rsid w:val="00132005"/>
    <w:rsid w:val="00132059"/>
    <w:rsid w:val="0013209F"/>
    <w:rsid w:val="0013210A"/>
    <w:rsid w:val="00132164"/>
    <w:rsid w:val="00132230"/>
    <w:rsid w:val="00132238"/>
    <w:rsid w:val="00132561"/>
    <w:rsid w:val="00132589"/>
    <w:rsid w:val="001325A3"/>
    <w:rsid w:val="001325F9"/>
    <w:rsid w:val="0013265E"/>
    <w:rsid w:val="00132677"/>
    <w:rsid w:val="0013268E"/>
    <w:rsid w:val="00132756"/>
    <w:rsid w:val="001327C9"/>
    <w:rsid w:val="00132849"/>
    <w:rsid w:val="00132A05"/>
    <w:rsid w:val="00132A4B"/>
    <w:rsid w:val="00132AEE"/>
    <w:rsid w:val="00132B06"/>
    <w:rsid w:val="00132C07"/>
    <w:rsid w:val="00132C29"/>
    <w:rsid w:val="00132D16"/>
    <w:rsid w:val="00132D79"/>
    <w:rsid w:val="00132E51"/>
    <w:rsid w:val="00132E74"/>
    <w:rsid w:val="00132EAC"/>
    <w:rsid w:val="00132EB5"/>
    <w:rsid w:val="00132F54"/>
    <w:rsid w:val="00133034"/>
    <w:rsid w:val="00133124"/>
    <w:rsid w:val="0013329F"/>
    <w:rsid w:val="00133414"/>
    <w:rsid w:val="001334AA"/>
    <w:rsid w:val="0013354F"/>
    <w:rsid w:val="001337C8"/>
    <w:rsid w:val="00133829"/>
    <w:rsid w:val="001338BF"/>
    <w:rsid w:val="00133996"/>
    <w:rsid w:val="00133AAE"/>
    <w:rsid w:val="00133AE5"/>
    <w:rsid w:val="00133AF8"/>
    <w:rsid w:val="00133B45"/>
    <w:rsid w:val="00133C57"/>
    <w:rsid w:val="00133C7D"/>
    <w:rsid w:val="00133CAC"/>
    <w:rsid w:val="00133CC9"/>
    <w:rsid w:val="00133E19"/>
    <w:rsid w:val="00133E71"/>
    <w:rsid w:val="00133E8A"/>
    <w:rsid w:val="00133EBB"/>
    <w:rsid w:val="00133F8D"/>
    <w:rsid w:val="00133FD6"/>
    <w:rsid w:val="00134037"/>
    <w:rsid w:val="00134054"/>
    <w:rsid w:val="001340AB"/>
    <w:rsid w:val="001342C3"/>
    <w:rsid w:val="00134326"/>
    <w:rsid w:val="001343BD"/>
    <w:rsid w:val="001343CF"/>
    <w:rsid w:val="00134407"/>
    <w:rsid w:val="0013440B"/>
    <w:rsid w:val="00134574"/>
    <w:rsid w:val="00134665"/>
    <w:rsid w:val="00134713"/>
    <w:rsid w:val="0013482F"/>
    <w:rsid w:val="00134A4B"/>
    <w:rsid w:val="00134B3B"/>
    <w:rsid w:val="00134BF5"/>
    <w:rsid w:val="00134C80"/>
    <w:rsid w:val="00134CE3"/>
    <w:rsid w:val="00134D07"/>
    <w:rsid w:val="00134D82"/>
    <w:rsid w:val="00134E25"/>
    <w:rsid w:val="00134E2B"/>
    <w:rsid w:val="00134E31"/>
    <w:rsid w:val="00134E6B"/>
    <w:rsid w:val="00134F14"/>
    <w:rsid w:val="00134F2C"/>
    <w:rsid w:val="00134F78"/>
    <w:rsid w:val="00134FC3"/>
    <w:rsid w:val="0013507F"/>
    <w:rsid w:val="00135100"/>
    <w:rsid w:val="0013514D"/>
    <w:rsid w:val="0013517A"/>
    <w:rsid w:val="001351C0"/>
    <w:rsid w:val="00135224"/>
    <w:rsid w:val="001352E9"/>
    <w:rsid w:val="00135306"/>
    <w:rsid w:val="0013530C"/>
    <w:rsid w:val="0013547B"/>
    <w:rsid w:val="00135546"/>
    <w:rsid w:val="0013563A"/>
    <w:rsid w:val="001356E7"/>
    <w:rsid w:val="001356F4"/>
    <w:rsid w:val="0013574C"/>
    <w:rsid w:val="00135797"/>
    <w:rsid w:val="0013579B"/>
    <w:rsid w:val="00135884"/>
    <w:rsid w:val="001359AB"/>
    <w:rsid w:val="00135A53"/>
    <w:rsid w:val="00135AE2"/>
    <w:rsid w:val="00135BE3"/>
    <w:rsid w:val="00135C09"/>
    <w:rsid w:val="00135CBC"/>
    <w:rsid w:val="00135D5E"/>
    <w:rsid w:val="00135D7C"/>
    <w:rsid w:val="00135E5B"/>
    <w:rsid w:val="00135E7F"/>
    <w:rsid w:val="00135EE3"/>
    <w:rsid w:val="00135EE6"/>
    <w:rsid w:val="00135F7B"/>
    <w:rsid w:val="00136032"/>
    <w:rsid w:val="001360ED"/>
    <w:rsid w:val="001361F7"/>
    <w:rsid w:val="001362CC"/>
    <w:rsid w:val="00136350"/>
    <w:rsid w:val="001363E4"/>
    <w:rsid w:val="0013648B"/>
    <w:rsid w:val="001364AF"/>
    <w:rsid w:val="001364B2"/>
    <w:rsid w:val="001364BF"/>
    <w:rsid w:val="0013654B"/>
    <w:rsid w:val="0013659A"/>
    <w:rsid w:val="00136719"/>
    <w:rsid w:val="00136801"/>
    <w:rsid w:val="0013687E"/>
    <w:rsid w:val="0013688F"/>
    <w:rsid w:val="001368D3"/>
    <w:rsid w:val="0013693C"/>
    <w:rsid w:val="0013699D"/>
    <w:rsid w:val="001369A5"/>
    <w:rsid w:val="001369BE"/>
    <w:rsid w:val="00136A38"/>
    <w:rsid w:val="00136A55"/>
    <w:rsid w:val="00136AC9"/>
    <w:rsid w:val="00136BA5"/>
    <w:rsid w:val="00136C2A"/>
    <w:rsid w:val="00136C37"/>
    <w:rsid w:val="00136C5D"/>
    <w:rsid w:val="00136C5F"/>
    <w:rsid w:val="00136C74"/>
    <w:rsid w:val="00136CCE"/>
    <w:rsid w:val="00136CE0"/>
    <w:rsid w:val="00136D44"/>
    <w:rsid w:val="00136DA0"/>
    <w:rsid w:val="00136DD4"/>
    <w:rsid w:val="00136E36"/>
    <w:rsid w:val="00136E9D"/>
    <w:rsid w:val="0013702F"/>
    <w:rsid w:val="001370EF"/>
    <w:rsid w:val="0013714F"/>
    <w:rsid w:val="00137164"/>
    <w:rsid w:val="0013719F"/>
    <w:rsid w:val="001371A0"/>
    <w:rsid w:val="001371CA"/>
    <w:rsid w:val="00137303"/>
    <w:rsid w:val="00137316"/>
    <w:rsid w:val="0013740B"/>
    <w:rsid w:val="0013743E"/>
    <w:rsid w:val="00137453"/>
    <w:rsid w:val="001374B9"/>
    <w:rsid w:val="001375AD"/>
    <w:rsid w:val="001376A1"/>
    <w:rsid w:val="00137705"/>
    <w:rsid w:val="001377FF"/>
    <w:rsid w:val="00137B41"/>
    <w:rsid w:val="00137BB0"/>
    <w:rsid w:val="00137D1F"/>
    <w:rsid w:val="00137E44"/>
    <w:rsid w:val="00137E6C"/>
    <w:rsid w:val="00137EB0"/>
    <w:rsid w:val="00137EFC"/>
    <w:rsid w:val="00137F07"/>
    <w:rsid w:val="00137FC9"/>
    <w:rsid w:val="00137FF3"/>
    <w:rsid w:val="001400B3"/>
    <w:rsid w:val="00140195"/>
    <w:rsid w:val="00140283"/>
    <w:rsid w:val="0014035D"/>
    <w:rsid w:val="0014047A"/>
    <w:rsid w:val="00140491"/>
    <w:rsid w:val="001404F3"/>
    <w:rsid w:val="00140542"/>
    <w:rsid w:val="00140609"/>
    <w:rsid w:val="00140647"/>
    <w:rsid w:val="0014079B"/>
    <w:rsid w:val="001408AE"/>
    <w:rsid w:val="00140971"/>
    <w:rsid w:val="00140998"/>
    <w:rsid w:val="00140A23"/>
    <w:rsid w:val="00140BBA"/>
    <w:rsid w:val="00140D00"/>
    <w:rsid w:val="00140D08"/>
    <w:rsid w:val="00140D4E"/>
    <w:rsid w:val="00140D65"/>
    <w:rsid w:val="00140DDD"/>
    <w:rsid w:val="00140E13"/>
    <w:rsid w:val="00140E53"/>
    <w:rsid w:val="00140E56"/>
    <w:rsid w:val="00140E94"/>
    <w:rsid w:val="00140F20"/>
    <w:rsid w:val="00140F46"/>
    <w:rsid w:val="00140F9A"/>
    <w:rsid w:val="0014106A"/>
    <w:rsid w:val="001410B0"/>
    <w:rsid w:val="001410F1"/>
    <w:rsid w:val="0014117D"/>
    <w:rsid w:val="001411BD"/>
    <w:rsid w:val="001411EA"/>
    <w:rsid w:val="00141230"/>
    <w:rsid w:val="00141392"/>
    <w:rsid w:val="001413C8"/>
    <w:rsid w:val="0014144F"/>
    <w:rsid w:val="001414AA"/>
    <w:rsid w:val="00141532"/>
    <w:rsid w:val="0014153D"/>
    <w:rsid w:val="001415A8"/>
    <w:rsid w:val="00141621"/>
    <w:rsid w:val="0014163C"/>
    <w:rsid w:val="00141660"/>
    <w:rsid w:val="00141682"/>
    <w:rsid w:val="00141750"/>
    <w:rsid w:val="00141815"/>
    <w:rsid w:val="00141903"/>
    <w:rsid w:val="00141A11"/>
    <w:rsid w:val="00141B20"/>
    <w:rsid w:val="00141B3B"/>
    <w:rsid w:val="00141C14"/>
    <w:rsid w:val="00141C84"/>
    <w:rsid w:val="00141D28"/>
    <w:rsid w:val="00141D48"/>
    <w:rsid w:val="00141F21"/>
    <w:rsid w:val="00141F50"/>
    <w:rsid w:val="00141F5A"/>
    <w:rsid w:val="00141F98"/>
    <w:rsid w:val="00141FC0"/>
    <w:rsid w:val="00142050"/>
    <w:rsid w:val="001420A9"/>
    <w:rsid w:val="001420AB"/>
    <w:rsid w:val="001420CA"/>
    <w:rsid w:val="001420EB"/>
    <w:rsid w:val="00142145"/>
    <w:rsid w:val="0014217F"/>
    <w:rsid w:val="001421DC"/>
    <w:rsid w:val="00142225"/>
    <w:rsid w:val="00142317"/>
    <w:rsid w:val="00142416"/>
    <w:rsid w:val="0014242F"/>
    <w:rsid w:val="00142472"/>
    <w:rsid w:val="001425B4"/>
    <w:rsid w:val="001426E3"/>
    <w:rsid w:val="00142745"/>
    <w:rsid w:val="001427D1"/>
    <w:rsid w:val="001428B7"/>
    <w:rsid w:val="001428FC"/>
    <w:rsid w:val="0014294E"/>
    <w:rsid w:val="00142AB2"/>
    <w:rsid w:val="00142C04"/>
    <w:rsid w:val="00142C5F"/>
    <w:rsid w:val="00142C66"/>
    <w:rsid w:val="00142C6F"/>
    <w:rsid w:val="00142CB5"/>
    <w:rsid w:val="00142CFD"/>
    <w:rsid w:val="00142D44"/>
    <w:rsid w:val="00142D8E"/>
    <w:rsid w:val="00142E04"/>
    <w:rsid w:val="00143096"/>
    <w:rsid w:val="00143137"/>
    <w:rsid w:val="00143230"/>
    <w:rsid w:val="0014328B"/>
    <w:rsid w:val="001432B0"/>
    <w:rsid w:val="00143375"/>
    <w:rsid w:val="00143399"/>
    <w:rsid w:val="001434BE"/>
    <w:rsid w:val="00143527"/>
    <w:rsid w:val="0014366B"/>
    <w:rsid w:val="001436B0"/>
    <w:rsid w:val="00143734"/>
    <w:rsid w:val="00143763"/>
    <w:rsid w:val="0014376D"/>
    <w:rsid w:val="001437D8"/>
    <w:rsid w:val="001437E2"/>
    <w:rsid w:val="0014382F"/>
    <w:rsid w:val="001438A6"/>
    <w:rsid w:val="0014393D"/>
    <w:rsid w:val="001439DA"/>
    <w:rsid w:val="001439FB"/>
    <w:rsid w:val="00143A73"/>
    <w:rsid w:val="00143A96"/>
    <w:rsid w:val="00143ADD"/>
    <w:rsid w:val="00143BDA"/>
    <w:rsid w:val="00143C35"/>
    <w:rsid w:val="00143D07"/>
    <w:rsid w:val="00143D2E"/>
    <w:rsid w:val="00143D70"/>
    <w:rsid w:val="00143DF5"/>
    <w:rsid w:val="00143FC0"/>
    <w:rsid w:val="00143FD4"/>
    <w:rsid w:val="00144230"/>
    <w:rsid w:val="0014424F"/>
    <w:rsid w:val="00144250"/>
    <w:rsid w:val="001442C2"/>
    <w:rsid w:val="00144339"/>
    <w:rsid w:val="001443CB"/>
    <w:rsid w:val="00144420"/>
    <w:rsid w:val="00144599"/>
    <w:rsid w:val="001445DB"/>
    <w:rsid w:val="0014468D"/>
    <w:rsid w:val="00144752"/>
    <w:rsid w:val="00144785"/>
    <w:rsid w:val="001447A9"/>
    <w:rsid w:val="001447F4"/>
    <w:rsid w:val="001447FA"/>
    <w:rsid w:val="00144879"/>
    <w:rsid w:val="001448E2"/>
    <w:rsid w:val="00144922"/>
    <w:rsid w:val="00144954"/>
    <w:rsid w:val="001449E4"/>
    <w:rsid w:val="00144A60"/>
    <w:rsid w:val="00144B05"/>
    <w:rsid w:val="00144B08"/>
    <w:rsid w:val="00144B59"/>
    <w:rsid w:val="00144BD2"/>
    <w:rsid w:val="00144C55"/>
    <w:rsid w:val="00144CDC"/>
    <w:rsid w:val="00144D19"/>
    <w:rsid w:val="00144F19"/>
    <w:rsid w:val="00144F1D"/>
    <w:rsid w:val="00144FA1"/>
    <w:rsid w:val="00144FD6"/>
    <w:rsid w:val="00145052"/>
    <w:rsid w:val="00145063"/>
    <w:rsid w:val="00145088"/>
    <w:rsid w:val="0014514F"/>
    <w:rsid w:val="0014515D"/>
    <w:rsid w:val="0014521F"/>
    <w:rsid w:val="00145309"/>
    <w:rsid w:val="0014535B"/>
    <w:rsid w:val="00145438"/>
    <w:rsid w:val="0014550B"/>
    <w:rsid w:val="0014560F"/>
    <w:rsid w:val="00145615"/>
    <w:rsid w:val="00145618"/>
    <w:rsid w:val="00145782"/>
    <w:rsid w:val="001457A8"/>
    <w:rsid w:val="001457D0"/>
    <w:rsid w:val="001457F8"/>
    <w:rsid w:val="0014580C"/>
    <w:rsid w:val="0014581E"/>
    <w:rsid w:val="0014584A"/>
    <w:rsid w:val="0014584B"/>
    <w:rsid w:val="0014586D"/>
    <w:rsid w:val="001458D3"/>
    <w:rsid w:val="001458F8"/>
    <w:rsid w:val="00145913"/>
    <w:rsid w:val="0014591E"/>
    <w:rsid w:val="00145926"/>
    <w:rsid w:val="00145B1A"/>
    <w:rsid w:val="00145B44"/>
    <w:rsid w:val="00145C08"/>
    <w:rsid w:val="00145C17"/>
    <w:rsid w:val="00145CEA"/>
    <w:rsid w:val="00145D3C"/>
    <w:rsid w:val="00145D72"/>
    <w:rsid w:val="00145E53"/>
    <w:rsid w:val="00146096"/>
    <w:rsid w:val="0014614B"/>
    <w:rsid w:val="00146187"/>
    <w:rsid w:val="00146226"/>
    <w:rsid w:val="0014626D"/>
    <w:rsid w:val="001462B5"/>
    <w:rsid w:val="0014649C"/>
    <w:rsid w:val="001464B2"/>
    <w:rsid w:val="001464B3"/>
    <w:rsid w:val="0014651D"/>
    <w:rsid w:val="00146541"/>
    <w:rsid w:val="001465BC"/>
    <w:rsid w:val="0014661A"/>
    <w:rsid w:val="0014668F"/>
    <w:rsid w:val="001466EF"/>
    <w:rsid w:val="0014688E"/>
    <w:rsid w:val="00146904"/>
    <w:rsid w:val="00146A85"/>
    <w:rsid w:val="00146B22"/>
    <w:rsid w:val="00146B57"/>
    <w:rsid w:val="00146C14"/>
    <w:rsid w:val="00146C1D"/>
    <w:rsid w:val="00146C96"/>
    <w:rsid w:val="00146E8B"/>
    <w:rsid w:val="00146ED0"/>
    <w:rsid w:val="00146EF7"/>
    <w:rsid w:val="00146F16"/>
    <w:rsid w:val="0014706F"/>
    <w:rsid w:val="0014709A"/>
    <w:rsid w:val="001470A9"/>
    <w:rsid w:val="0014711E"/>
    <w:rsid w:val="001471B6"/>
    <w:rsid w:val="0014720F"/>
    <w:rsid w:val="00147289"/>
    <w:rsid w:val="001474BB"/>
    <w:rsid w:val="001475D9"/>
    <w:rsid w:val="00147634"/>
    <w:rsid w:val="0014764C"/>
    <w:rsid w:val="0014768C"/>
    <w:rsid w:val="00147709"/>
    <w:rsid w:val="0014773F"/>
    <w:rsid w:val="0014788E"/>
    <w:rsid w:val="00147903"/>
    <w:rsid w:val="00147934"/>
    <w:rsid w:val="00147943"/>
    <w:rsid w:val="001479F1"/>
    <w:rsid w:val="00147A05"/>
    <w:rsid w:val="00147A45"/>
    <w:rsid w:val="00147A4B"/>
    <w:rsid w:val="00147AA3"/>
    <w:rsid w:val="00147B31"/>
    <w:rsid w:val="00147C42"/>
    <w:rsid w:val="00147C7B"/>
    <w:rsid w:val="00147C81"/>
    <w:rsid w:val="00147C92"/>
    <w:rsid w:val="00147D4E"/>
    <w:rsid w:val="00147DDD"/>
    <w:rsid w:val="00147E45"/>
    <w:rsid w:val="00147E79"/>
    <w:rsid w:val="00147EFD"/>
    <w:rsid w:val="00147F48"/>
    <w:rsid w:val="00150127"/>
    <w:rsid w:val="00150131"/>
    <w:rsid w:val="00150159"/>
    <w:rsid w:val="00150194"/>
    <w:rsid w:val="001501B7"/>
    <w:rsid w:val="00150293"/>
    <w:rsid w:val="001502BF"/>
    <w:rsid w:val="001503AE"/>
    <w:rsid w:val="0015043D"/>
    <w:rsid w:val="00150448"/>
    <w:rsid w:val="0015046C"/>
    <w:rsid w:val="001504D1"/>
    <w:rsid w:val="0015052A"/>
    <w:rsid w:val="0015053B"/>
    <w:rsid w:val="001505A4"/>
    <w:rsid w:val="0015063D"/>
    <w:rsid w:val="00150712"/>
    <w:rsid w:val="00150728"/>
    <w:rsid w:val="00150849"/>
    <w:rsid w:val="00150868"/>
    <w:rsid w:val="00150874"/>
    <w:rsid w:val="001508BF"/>
    <w:rsid w:val="0015093F"/>
    <w:rsid w:val="0015095D"/>
    <w:rsid w:val="00150999"/>
    <w:rsid w:val="001509A0"/>
    <w:rsid w:val="00150A1E"/>
    <w:rsid w:val="00150A2C"/>
    <w:rsid w:val="00150AB7"/>
    <w:rsid w:val="00150B27"/>
    <w:rsid w:val="00150B59"/>
    <w:rsid w:val="00150B7B"/>
    <w:rsid w:val="00150B9D"/>
    <w:rsid w:val="00150C7D"/>
    <w:rsid w:val="00150CED"/>
    <w:rsid w:val="00150F58"/>
    <w:rsid w:val="00150FA4"/>
    <w:rsid w:val="00150FCD"/>
    <w:rsid w:val="001510C7"/>
    <w:rsid w:val="001511A5"/>
    <w:rsid w:val="001511F6"/>
    <w:rsid w:val="001514C1"/>
    <w:rsid w:val="00151588"/>
    <w:rsid w:val="0015164A"/>
    <w:rsid w:val="001516D4"/>
    <w:rsid w:val="00151780"/>
    <w:rsid w:val="0015178F"/>
    <w:rsid w:val="00151797"/>
    <w:rsid w:val="0015182E"/>
    <w:rsid w:val="0015188E"/>
    <w:rsid w:val="001518C3"/>
    <w:rsid w:val="00151941"/>
    <w:rsid w:val="001519A6"/>
    <w:rsid w:val="00151B31"/>
    <w:rsid w:val="00151B74"/>
    <w:rsid w:val="00151B92"/>
    <w:rsid w:val="00151BAA"/>
    <w:rsid w:val="00151BAB"/>
    <w:rsid w:val="00151BE2"/>
    <w:rsid w:val="00151C4E"/>
    <w:rsid w:val="00151D0A"/>
    <w:rsid w:val="00151D89"/>
    <w:rsid w:val="00151DBE"/>
    <w:rsid w:val="00151DC3"/>
    <w:rsid w:val="00151DFA"/>
    <w:rsid w:val="00151FD3"/>
    <w:rsid w:val="00151FF8"/>
    <w:rsid w:val="0015205B"/>
    <w:rsid w:val="00152063"/>
    <w:rsid w:val="001520B0"/>
    <w:rsid w:val="001520B5"/>
    <w:rsid w:val="001520FF"/>
    <w:rsid w:val="00152131"/>
    <w:rsid w:val="00152134"/>
    <w:rsid w:val="001521C7"/>
    <w:rsid w:val="001521DD"/>
    <w:rsid w:val="0015220F"/>
    <w:rsid w:val="00152562"/>
    <w:rsid w:val="001525A7"/>
    <w:rsid w:val="001525DF"/>
    <w:rsid w:val="001525FD"/>
    <w:rsid w:val="00152656"/>
    <w:rsid w:val="0015266E"/>
    <w:rsid w:val="001527B4"/>
    <w:rsid w:val="001527BF"/>
    <w:rsid w:val="0015280B"/>
    <w:rsid w:val="00152843"/>
    <w:rsid w:val="001528EC"/>
    <w:rsid w:val="00152A7A"/>
    <w:rsid w:val="00152ADC"/>
    <w:rsid w:val="00152AE0"/>
    <w:rsid w:val="00152BDC"/>
    <w:rsid w:val="00152C69"/>
    <w:rsid w:val="00152CDB"/>
    <w:rsid w:val="00152CE5"/>
    <w:rsid w:val="00152D7E"/>
    <w:rsid w:val="00152E6C"/>
    <w:rsid w:val="00152EDC"/>
    <w:rsid w:val="00152F6D"/>
    <w:rsid w:val="00152FB8"/>
    <w:rsid w:val="00152FEA"/>
    <w:rsid w:val="00153046"/>
    <w:rsid w:val="00153079"/>
    <w:rsid w:val="001531AE"/>
    <w:rsid w:val="001531F1"/>
    <w:rsid w:val="00153244"/>
    <w:rsid w:val="00153567"/>
    <w:rsid w:val="0015369E"/>
    <w:rsid w:val="001536D8"/>
    <w:rsid w:val="0015370B"/>
    <w:rsid w:val="00153830"/>
    <w:rsid w:val="0015385B"/>
    <w:rsid w:val="00153887"/>
    <w:rsid w:val="00153969"/>
    <w:rsid w:val="00153970"/>
    <w:rsid w:val="00153AEF"/>
    <w:rsid w:val="00153B64"/>
    <w:rsid w:val="00153BAE"/>
    <w:rsid w:val="00153C89"/>
    <w:rsid w:val="00153CD9"/>
    <w:rsid w:val="00153D78"/>
    <w:rsid w:val="00153DBC"/>
    <w:rsid w:val="00153E74"/>
    <w:rsid w:val="00153EEA"/>
    <w:rsid w:val="00154098"/>
    <w:rsid w:val="00154107"/>
    <w:rsid w:val="0015413D"/>
    <w:rsid w:val="0015416E"/>
    <w:rsid w:val="001541DD"/>
    <w:rsid w:val="00154223"/>
    <w:rsid w:val="00154234"/>
    <w:rsid w:val="00154253"/>
    <w:rsid w:val="001542D2"/>
    <w:rsid w:val="001542E4"/>
    <w:rsid w:val="001543A9"/>
    <w:rsid w:val="001543AC"/>
    <w:rsid w:val="001543D4"/>
    <w:rsid w:val="00154404"/>
    <w:rsid w:val="0015440D"/>
    <w:rsid w:val="00154439"/>
    <w:rsid w:val="00154586"/>
    <w:rsid w:val="001548AB"/>
    <w:rsid w:val="001548E7"/>
    <w:rsid w:val="00154992"/>
    <w:rsid w:val="001549F1"/>
    <w:rsid w:val="00154A71"/>
    <w:rsid w:val="00154AE6"/>
    <w:rsid w:val="00154CEB"/>
    <w:rsid w:val="00154CFD"/>
    <w:rsid w:val="00154CFF"/>
    <w:rsid w:val="00154D26"/>
    <w:rsid w:val="00154D2C"/>
    <w:rsid w:val="00154DC7"/>
    <w:rsid w:val="00154E1B"/>
    <w:rsid w:val="00154FCA"/>
    <w:rsid w:val="00155011"/>
    <w:rsid w:val="00155023"/>
    <w:rsid w:val="00155034"/>
    <w:rsid w:val="0015503C"/>
    <w:rsid w:val="001550F8"/>
    <w:rsid w:val="0015515A"/>
    <w:rsid w:val="001552F9"/>
    <w:rsid w:val="00155317"/>
    <w:rsid w:val="0015538E"/>
    <w:rsid w:val="001553A7"/>
    <w:rsid w:val="001553DE"/>
    <w:rsid w:val="0015555F"/>
    <w:rsid w:val="0015559C"/>
    <w:rsid w:val="00155808"/>
    <w:rsid w:val="00155841"/>
    <w:rsid w:val="00155912"/>
    <w:rsid w:val="00155A42"/>
    <w:rsid w:val="00155AC8"/>
    <w:rsid w:val="00155B38"/>
    <w:rsid w:val="00155BFB"/>
    <w:rsid w:val="00155CC6"/>
    <w:rsid w:val="00155CCE"/>
    <w:rsid w:val="00155D3C"/>
    <w:rsid w:val="00155D46"/>
    <w:rsid w:val="00155D91"/>
    <w:rsid w:val="00155DBA"/>
    <w:rsid w:val="00155DE8"/>
    <w:rsid w:val="00155DFE"/>
    <w:rsid w:val="00155EE8"/>
    <w:rsid w:val="00156026"/>
    <w:rsid w:val="0015611E"/>
    <w:rsid w:val="00156141"/>
    <w:rsid w:val="00156155"/>
    <w:rsid w:val="001562AA"/>
    <w:rsid w:val="001563AF"/>
    <w:rsid w:val="001564A1"/>
    <w:rsid w:val="001565C2"/>
    <w:rsid w:val="0015661D"/>
    <w:rsid w:val="00156660"/>
    <w:rsid w:val="001566D6"/>
    <w:rsid w:val="00156789"/>
    <w:rsid w:val="001567C9"/>
    <w:rsid w:val="001567F9"/>
    <w:rsid w:val="00156818"/>
    <w:rsid w:val="00156849"/>
    <w:rsid w:val="001568CB"/>
    <w:rsid w:val="00156993"/>
    <w:rsid w:val="001569E9"/>
    <w:rsid w:val="00156A11"/>
    <w:rsid w:val="00156A45"/>
    <w:rsid w:val="00156A65"/>
    <w:rsid w:val="00156ADC"/>
    <w:rsid w:val="00156BB1"/>
    <w:rsid w:val="00156C97"/>
    <w:rsid w:val="00156CB4"/>
    <w:rsid w:val="00156CD4"/>
    <w:rsid w:val="00156D13"/>
    <w:rsid w:val="00156D8E"/>
    <w:rsid w:val="00156E3C"/>
    <w:rsid w:val="00156F33"/>
    <w:rsid w:val="00156FA2"/>
    <w:rsid w:val="00156FA5"/>
    <w:rsid w:val="00156FC5"/>
    <w:rsid w:val="00157029"/>
    <w:rsid w:val="00157077"/>
    <w:rsid w:val="001570B6"/>
    <w:rsid w:val="001570FC"/>
    <w:rsid w:val="00157102"/>
    <w:rsid w:val="00157175"/>
    <w:rsid w:val="001571F2"/>
    <w:rsid w:val="001573CB"/>
    <w:rsid w:val="001573ED"/>
    <w:rsid w:val="001573FB"/>
    <w:rsid w:val="0015756E"/>
    <w:rsid w:val="0015756F"/>
    <w:rsid w:val="0015761A"/>
    <w:rsid w:val="001576BE"/>
    <w:rsid w:val="001576F4"/>
    <w:rsid w:val="00157816"/>
    <w:rsid w:val="0015788C"/>
    <w:rsid w:val="00157938"/>
    <w:rsid w:val="00157A5C"/>
    <w:rsid w:val="00157AC8"/>
    <w:rsid w:val="00157AD3"/>
    <w:rsid w:val="00157B7F"/>
    <w:rsid w:val="00157BC3"/>
    <w:rsid w:val="00157C4A"/>
    <w:rsid w:val="00157CAA"/>
    <w:rsid w:val="00157DBC"/>
    <w:rsid w:val="00157DBF"/>
    <w:rsid w:val="00157E40"/>
    <w:rsid w:val="00157E7E"/>
    <w:rsid w:val="00157F6F"/>
    <w:rsid w:val="00160007"/>
    <w:rsid w:val="0016017D"/>
    <w:rsid w:val="0016018B"/>
    <w:rsid w:val="00160194"/>
    <w:rsid w:val="001601E4"/>
    <w:rsid w:val="00160201"/>
    <w:rsid w:val="00160292"/>
    <w:rsid w:val="001602F3"/>
    <w:rsid w:val="0016033C"/>
    <w:rsid w:val="0016034F"/>
    <w:rsid w:val="00160355"/>
    <w:rsid w:val="00160387"/>
    <w:rsid w:val="001603B7"/>
    <w:rsid w:val="00160445"/>
    <w:rsid w:val="00160575"/>
    <w:rsid w:val="00160686"/>
    <w:rsid w:val="001606C4"/>
    <w:rsid w:val="001607D4"/>
    <w:rsid w:val="00160865"/>
    <w:rsid w:val="001608E0"/>
    <w:rsid w:val="001609F8"/>
    <w:rsid w:val="00160A38"/>
    <w:rsid w:val="00160A46"/>
    <w:rsid w:val="00160AE8"/>
    <w:rsid w:val="00160B7E"/>
    <w:rsid w:val="00160B90"/>
    <w:rsid w:val="00160B98"/>
    <w:rsid w:val="00160BC4"/>
    <w:rsid w:val="00160C10"/>
    <w:rsid w:val="00160C9F"/>
    <w:rsid w:val="00160DAE"/>
    <w:rsid w:val="00160DCB"/>
    <w:rsid w:val="00160F0B"/>
    <w:rsid w:val="00160F20"/>
    <w:rsid w:val="00160F25"/>
    <w:rsid w:val="00160F31"/>
    <w:rsid w:val="00160F40"/>
    <w:rsid w:val="001610CE"/>
    <w:rsid w:val="0016116B"/>
    <w:rsid w:val="00161182"/>
    <w:rsid w:val="0016124E"/>
    <w:rsid w:val="0016129E"/>
    <w:rsid w:val="0016138B"/>
    <w:rsid w:val="00161395"/>
    <w:rsid w:val="001613DE"/>
    <w:rsid w:val="001613F2"/>
    <w:rsid w:val="0016150A"/>
    <w:rsid w:val="001615DB"/>
    <w:rsid w:val="001616DD"/>
    <w:rsid w:val="00161731"/>
    <w:rsid w:val="0016175F"/>
    <w:rsid w:val="00161898"/>
    <w:rsid w:val="001618AA"/>
    <w:rsid w:val="00161930"/>
    <w:rsid w:val="00161939"/>
    <w:rsid w:val="0016195F"/>
    <w:rsid w:val="001619C1"/>
    <w:rsid w:val="00161A23"/>
    <w:rsid w:val="00161ACE"/>
    <w:rsid w:val="00161B30"/>
    <w:rsid w:val="00161B51"/>
    <w:rsid w:val="00161C6A"/>
    <w:rsid w:val="00161C6B"/>
    <w:rsid w:val="00161D60"/>
    <w:rsid w:val="00161FA6"/>
    <w:rsid w:val="001620B5"/>
    <w:rsid w:val="00162102"/>
    <w:rsid w:val="0016210E"/>
    <w:rsid w:val="00162117"/>
    <w:rsid w:val="0016212F"/>
    <w:rsid w:val="0016215B"/>
    <w:rsid w:val="001621FE"/>
    <w:rsid w:val="001622B3"/>
    <w:rsid w:val="001622C7"/>
    <w:rsid w:val="00162329"/>
    <w:rsid w:val="0016234E"/>
    <w:rsid w:val="0016240E"/>
    <w:rsid w:val="00162483"/>
    <w:rsid w:val="00162488"/>
    <w:rsid w:val="001624B1"/>
    <w:rsid w:val="0016253D"/>
    <w:rsid w:val="00162597"/>
    <w:rsid w:val="00162A24"/>
    <w:rsid w:val="00162AB4"/>
    <w:rsid w:val="00162B43"/>
    <w:rsid w:val="00162C20"/>
    <w:rsid w:val="00162C38"/>
    <w:rsid w:val="00162D72"/>
    <w:rsid w:val="00162DB3"/>
    <w:rsid w:val="00162DE4"/>
    <w:rsid w:val="00162E4E"/>
    <w:rsid w:val="00162EB3"/>
    <w:rsid w:val="00162F4F"/>
    <w:rsid w:val="00162F8F"/>
    <w:rsid w:val="0016303B"/>
    <w:rsid w:val="001630F9"/>
    <w:rsid w:val="0016310C"/>
    <w:rsid w:val="001631A2"/>
    <w:rsid w:val="001631AF"/>
    <w:rsid w:val="00163201"/>
    <w:rsid w:val="0016326C"/>
    <w:rsid w:val="00163278"/>
    <w:rsid w:val="0016329C"/>
    <w:rsid w:val="0016337B"/>
    <w:rsid w:val="00163399"/>
    <w:rsid w:val="001633B9"/>
    <w:rsid w:val="00163414"/>
    <w:rsid w:val="00163426"/>
    <w:rsid w:val="0016349F"/>
    <w:rsid w:val="0016354A"/>
    <w:rsid w:val="00163566"/>
    <w:rsid w:val="001635C0"/>
    <w:rsid w:val="0016364A"/>
    <w:rsid w:val="00163676"/>
    <w:rsid w:val="001637B9"/>
    <w:rsid w:val="001637C0"/>
    <w:rsid w:val="00163863"/>
    <w:rsid w:val="001638F3"/>
    <w:rsid w:val="00163913"/>
    <w:rsid w:val="00163B7C"/>
    <w:rsid w:val="00163BCB"/>
    <w:rsid w:val="00163C2E"/>
    <w:rsid w:val="00163CAA"/>
    <w:rsid w:val="00163CB8"/>
    <w:rsid w:val="00163CB9"/>
    <w:rsid w:val="00163CC1"/>
    <w:rsid w:val="00163D82"/>
    <w:rsid w:val="00163DC3"/>
    <w:rsid w:val="00163E7B"/>
    <w:rsid w:val="00163EBD"/>
    <w:rsid w:val="00163F72"/>
    <w:rsid w:val="0016407B"/>
    <w:rsid w:val="00164088"/>
    <w:rsid w:val="001640EA"/>
    <w:rsid w:val="00164137"/>
    <w:rsid w:val="00164195"/>
    <w:rsid w:val="0016429D"/>
    <w:rsid w:val="001642B3"/>
    <w:rsid w:val="001642DE"/>
    <w:rsid w:val="0016430D"/>
    <w:rsid w:val="0016434C"/>
    <w:rsid w:val="00164394"/>
    <w:rsid w:val="00164398"/>
    <w:rsid w:val="001644C0"/>
    <w:rsid w:val="001644EA"/>
    <w:rsid w:val="00164585"/>
    <w:rsid w:val="001645DE"/>
    <w:rsid w:val="00164667"/>
    <w:rsid w:val="00164706"/>
    <w:rsid w:val="0016470F"/>
    <w:rsid w:val="00164759"/>
    <w:rsid w:val="00164791"/>
    <w:rsid w:val="001647CD"/>
    <w:rsid w:val="00164817"/>
    <w:rsid w:val="0016487C"/>
    <w:rsid w:val="0016488F"/>
    <w:rsid w:val="001648B2"/>
    <w:rsid w:val="001648EE"/>
    <w:rsid w:val="00164982"/>
    <w:rsid w:val="001649E9"/>
    <w:rsid w:val="00164A4B"/>
    <w:rsid w:val="00164A61"/>
    <w:rsid w:val="00164AA7"/>
    <w:rsid w:val="00164ABD"/>
    <w:rsid w:val="00164B2D"/>
    <w:rsid w:val="00164BBB"/>
    <w:rsid w:val="00164C03"/>
    <w:rsid w:val="00164C16"/>
    <w:rsid w:val="00164C2E"/>
    <w:rsid w:val="00164DA5"/>
    <w:rsid w:val="00164DEA"/>
    <w:rsid w:val="00164E22"/>
    <w:rsid w:val="00164E35"/>
    <w:rsid w:val="00164EB4"/>
    <w:rsid w:val="00164EC2"/>
    <w:rsid w:val="00164F87"/>
    <w:rsid w:val="0016504A"/>
    <w:rsid w:val="00165087"/>
    <w:rsid w:val="001650C3"/>
    <w:rsid w:val="00165153"/>
    <w:rsid w:val="001651EF"/>
    <w:rsid w:val="0016526B"/>
    <w:rsid w:val="001652B0"/>
    <w:rsid w:val="001652EB"/>
    <w:rsid w:val="001652F8"/>
    <w:rsid w:val="00165405"/>
    <w:rsid w:val="0016544F"/>
    <w:rsid w:val="00165475"/>
    <w:rsid w:val="00165502"/>
    <w:rsid w:val="00165616"/>
    <w:rsid w:val="00165634"/>
    <w:rsid w:val="00165642"/>
    <w:rsid w:val="001656D8"/>
    <w:rsid w:val="00165742"/>
    <w:rsid w:val="001658A5"/>
    <w:rsid w:val="001658C0"/>
    <w:rsid w:val="0016593A"/>
    <w:rsid w:val="0016597A"/>
    <w:rsid w:val="001659CE"/>
    <w:rsid w:val="001659D6"/>
    <w:rsid w:val="00165A07"/>
    <w:rsid w:val="00165A4D"/>
    <w:rsid w:val="00165B2D"/>
    <w:rsid w:val="00165CF7"/>
    <w:rsid w:val="00165D0F"/>
    <w:rsid w:val="00165D31"/>
    <w:rsid w:val="00165F14"/>
    <w:rsid w:val="00165F76"/>
    <w:rsid w:val="00165FD5"/>
    <w:rsid w:val="00165FD8"/>
    <w:rsid w:val="00166007"/>
    <w:rsid w:val="0016602F"/>
    <w:rsid w:val="0016603D"/>
    <w:rsid w:val="00166083"/>
    <w:rsid w:val="001661AE"/>
    <w:rsid w:val="001661B8"/>
    <w:rsid w:val="00166294"/>
    <w:rsid w:val="001662FD"/>
    <w:rsid w:val="0016633D"/>
    <w:rsid w:val="0016634C"/>
    <w:rsid w:val="00166371"/>
    <w:rsid w:val="001663B2"/>
    <w:rsid w:val="001663F0"/>
    <w:rsid w:val="00166401"/>
    <w:rsid w:val="0016643D"/>
    <w:rsid w:val="001664D7"/>
    <w:rsid w:val="001664F1"/>
    <w:rsid w:val="00166530"/>
    <w:rsid w:val="00166535"/>
    <w:rsid w:val="0016655C"/>
    <w:rsid w:val="0016656E"/>
    <w:rsid w:val="001665A9"/>
    <w:rsid w:val="00166605"/>
    <w:rsid w:val="00166662"/>
    <w:rsid w:val="00166687"/>
    <w:rsid w:val="001667E2"/>
    <w:rsid w:val="0016682D"/>
    <w:rsid w:val="0016688C"/>
    <w:rsid w:val="001668E4"/>
    <w:rsid w:val="00166908"/>
    <w:rsid w:val="00166921"/>
    <w:rsid w:val="00166B12"/>
    <w:rsid w:val="00166C40"/>
    <w:rsid w:val="00166C83"/>
    <w:rsid w:val="00166C86"/>
    <w:rsid w:val="00166D05"/>
    <w:rsid w:val="00166D1E"/>
    <w:rsid w:val="00166D7C"/>
    <w:rsid w:val="00166EB3"/>
    <w:rsid w:val="00166EDE"/>
    <w:rsid w:val="00166F48"/>
    <w:rsid w:val="00166FF0"/>
    <w:rsid w:val="00166FFF"/>
    <w:rsid w:val="001670C1"/>
    <w:rsid w:val="001670E0"/>
    <w:rsid w:val="001670FF"/>
    <w:rsid w:val="00167183"/>
    <w:rsid w:val="0016721C"/>
    <w:rsid w:val="00167223"/>
    <w:rsid w:val="0016727B"/>
    <w:rsid w:val="001672A3"/>
    <w:rsid w:val="001672A4"/>
    <w:rsid w:val="001672B0"/>
    <w:rsid w:val="001672B4"/>
    <w:rsid w:val="00167374"/>
    <w:rsid w:val="0016747C"/>
    <w:rsid w:val="00167550"/>
    <w:rsid w:val="0016759D"/>
    <w:rsid w:val="0016761A"/>
    <w:rsid w:val="00167636"/>
    <w:rsid w:val="0016768A"/>
    <w:rsid w:val="0016769F"/>
    <w:rsid w:val="001677D0"/>
    <w:rsid w:val="001677D1"/>
    <w:rsid w:val="00167812"/>
    <w:rsid w:val="00167844"/>
    <w:rsid w:val="001678C7"/>
    <w:rsid w:val="00167A7B"/>
    <w:rsid w:val="00167A9E"/>
    <w:rsid w:val="00167B49"/>
    <w:rsid w:val="00167B64"/>
    <w:rsid w:val="00167B89"/>
    <w:rsid w:val="00167CDA"/>
    <w:rsid w:val="00167D43"/>
    <w:rsid w:val="00167D9D"/>
    <w:rsid w:val="00167E43"/>
    <w:rsid w:val="00167E4B"/>
    <w:rsid w:val="00167FC6"/>
    <w:rsid w:val="00167FE7"/>
    <w:rsid w:val="00167FF3"/>
    <w:rsid w:val="00167FF9"/>
    <w:rsid w:val="0017009E"/>
    <w:rsid w:val="001700CA"/>
    <w:rsid w:val="00170150"/>
    <w:rsid w:val="00170195"/>
    <w:rsid w:val="0017023F"/>
    <w:rsid w:val="001702B8"/>
    <w:rsid w:val="001702BF"/>
    <w:rsid w:val="001702F2"/>
    <w:rsid w:val="00170310"/>
    <w:rsid w:val="0017034B"/>
    <w:rsid w:val="001703A3"/>
    <w:rsid w:val="001703EE"/>
    <w:rsid w:val="0017049E"/>
    <w:rsid w:val="001705F1"/>
    <w:rsid w:val="00170716"/>
    <w:rsid w:val="001707AB"/>
    <w:rsid w:val="001707E4"/>
    <w:rsid w:val="001708C6"/>
    <w:rsid w:val="001709F0"/>
    <w:rsid w:val="00170ABE"/>
    <w:rsid w:val="00170B7B"/>
    <w:rsid w:val="00170BE2"/>
    <w:rsid w:val="00170C46"/>
    <w:rsid w:val="00170C97"/>
    <w:rsid w:val="00170D4D"/>
    <w:rsid w:val="00170D5E"/>
    <w:rsid w:val="00170EEA"/>
    <w:rsid w:val="00170F32"/>
    <w:rsid w:val="00170FE3"/>
    <w:rsid w:val="00171044"/>
    <w:rsid w:val="001710D4"/>
    <w:rsid w:val="0017114D"/>
    <w:rsid w:val="00171162"/>
    <w:rsid w:val="00171166"/>
    <w:rsid w:val="00171222"/>
    <w:rsid w:val="00171267"/>
    <w:rsid w:val="00171412"/>
    <w:rsid w:val="0017144B"/>
    <w:rsid w:val="00171499"/>
    <w:rsid w:val="00171597"/>
    <w:rsid w:val="001716A9"/>
    <w:rsid w:val="00171762"/>
    <w:rsid w:val="00171852"/>
    <w:rsid w:val="00171883"/>
    <w:rsid w:val="00171967"/>
    <w:rsid w:val="00171998"/>
    <w:rsid w:val="00171A62"/>
    <w:rsid w:val="00171A98"/>
    <w:rsid w:val="00171AF9"/>
    <w:rsid w:val="00171B17"/>
    <w:rsid w:val="00171BC2"/>
    <w:rsid w:val="00171BCE"/>
    <w:rsid w:val="00171BFE"/>
    <w:rsid w:val="00171CC3"/>
    <w:rsid w:val="00171D05"/>
    <w:rsid w:val="00171D49"/>
    <w:rsid w:val="00171DC3"/>
    <w:rsid w:val="00171E66"/>
    <w:rsid w:val="00171F74"/>
    <w:rsid w:val="001720FC"/>
    <w:rsid w:val="00172282"/>
    <w:rsid w:val="001722A4"/>
    <w:rsid w:val="0017233E"/>
    <w:rsid w:val="00172340"/>
    <w:rsid w:val="00172374"/>
    <w:rsid w:val="001726BC"/>
    <w:rsid w:val="00172877"/>
    <w:rsid w:val="00172899"/>
    <w:rsid w:val="0017293F"/>
    <w:rsid w:val="00172956"/>
    <w:rsid w:val="00172962"/>
    <w:rsid w:val="00172AFB"/>
    <w:rsid w:val="00172C4D"/>
    <w:rsid w:val="00172C8F"/>
    <w:rsid w:val="00172C9A"/>
    <w:rsid w:val="00172D05"/>
    <w:rsid w:val="00172D33"/>
    <w:rsid w:val="00172D6C"/>
    <w:rsid w:val="00172DFD"/>
    <w:rsid w:val="00172F41"/>
    <w:rsid w:val="0017301C"/>
    <w:rsid w:val="00173161"/>
    <w:rsid w:val="00173175"/>
    <w:rsid w:val="00173187"/>
    <w:rsid w:val="00173262"/>
    <w:rsid w:val="001732BC"/>
    <w:rsid w:val="001733AB"/>
    <w:rsid w:val="00173720"/>
    <w:rsid w:val="00173750"/>
    <w:rsid w:val="0017381F"/>
    <w:rsid w:val="001738C2"/>
    <w:rsid w:val="00173983"/>
    <w:rsid w:val="001739E5"/>
    <w:rsid w:val="00173A30"/>
    <w:rsid w:val="00173C93"/>
    <w:rsid w:val="00173CEC"/>
    <w:rsid w:val="00173D84"/>
    <w:rsid w:val="00173DD7"/>
    <w:rsid w:val="00173DDB"/>
    <w:rsid w:val="00173E3F"/>
    <w:rsid w:val="00173E54"/>
    <w:rsid w:val="00173F26"/>
    <w:rsid w:val="00173F6D"/>
    <w:rsid w:val="00173FE9"/>
    <w:rsid w:val="00174109"/>
    <w:rsid w:val="0017415B"/>
    <w:rsid w:val="001741AC"/>
    <w:rsid w:val="0017427E"/>
    <w:rsid w:val="0017428A"/>
    <w:rsid w:val="001742B8"/>
    <w:rsid w:val="001742CD"/>
    <w:rsid w:val="00174316"/>
    <w:rsid w:val="0017448C"/>
    <w:rsid w:val="001745BC"/>
    <w:rsid w:val="001746CD"/>
    <w:rsid w:val="001747C6"/>
    <w:rsid w:val="0017489B"/>
    <w:rsid w:val="0017492B"/>
    <w:rsid w:val="001749D2"/>
    <w:rsid w:val="001749F3"/>
    <w:rsid w:val="00174A32"/>
    <w:rsid w:val="00174A34"/>
    <w:rsid w:val="00174A45"/>
    <w:rsid w:val="00174B20"/>
    <w:rsid w:val="00174B52"/>
    <w:rsid w:val="00174C88"/>
    <w:rsid w:val="00174C9C"/>
    <w:rsid w:val="00174CDC"/>
    <w:rsid w:val="00174DC5"/>
    <w:rsid w:val="00174DD0"/>
    <w:rsid w:val="00174EB8"/>
    <w:rsid w:val="00174EBB"/>
    <w:rsid w:val="00174EF0"/>
    <w:rsid w:val="00174F0B"/>
    <w:rsid w:val="00174F9D"/>
    <w:rsid w:val="00175046"/>
    <w:rsid w:val="0017507B"/>
    <w:rsid w:val="001750AA"/>
    <w:rsid w:val="0017515F"/>
    <w:rsid w:val="0017518C"/>
    <w:rsid w:val="0017534A"/>
    <w:rsid w:val="001753C0"/>
    <w:rsid w:val="0017558F"/>
    <w:rsid w:val="00175601"/>
    <w:rsid w:val="00175619"/>
    <w:rsid w:val="00175643"/>
    <w:rsid w:val="00175788"/>
    <w:rsid w:val="001757AF"/>
    <w:rsid w:val="00175807"/>
    <w:rsid w:val="0017582B"/>
    <w:rsid w:val="00175830"/>
    <w:rsid w:val="00175851"/>
    <w:rsid w:val="001759FF"/>
    <w:rsid w:val="00175A5E"/>
    <w:rsid w:val="00175AE9"/>
    <w:rsid w:val="00175AF4"/>
    <w:rsid w:val="00175B6D"/>
    <w:rsid w:val="00175B70"/>
    <w:rsid w:val="00175D96"/>
    <w:rsid w:val="00175E8A"/>
    <w:rsid w:val="00175E8F"/>
    <w:rsid w:val="00175EC3"/>
    <w:rsid w:val="00175EEC"/>
    <w:rsid w:val="00176036"/>
    <w:rsid w:val="00176083"/>
    <w:rsid w:val="001760F6"/>
    <w:rsid w:val="00176224"/>
    <w:rsid w:val="00176242"/>
    <w:rsid w:val="001763B4"/>
    <w:rsid w:val="001763BD"/>
    <w:rsid w:val="001763CB"/>
    <w:rsid w:val="001763CF"/>
    <w:rsid w:val="0017642E"/>
    <w:rsid w:val="001764A5"/>
    <w:rsid w:val="0017653E"/>
    <w:rsid w:val="00176541"/>
    <w:rsid w:val="00176543"/>
    <w:rsid w:val="001765A7"/>
    <w:rsid w:val="00176632"/>
    <w:rsid w:val="001766C1"/>
    <w:rsid w:val="001767B7"/>
    <w:rsid w:val="00176805"/>
    <w:rsid w:val="0017684A"/>
    <w:rsid w:val="00176883"/>
    <w:rsid w:val="0017689F"/>
    <w:rsid w:val="001768FD"/>
    <w:rsid w:val="00176914"/>
    <w:rsid w:val="0017691B"/>
    <w:rsid w:val="0017695F"/>
    <w:rsid w:val="0017696E"/>
    <w:rsid w:val="00176B9B"/>
    <w:rsid w:val="00176BEC"/>
    <w:rsid w:val="00176CC5"/>
    <w:rsid w:val="00176D76"/>
    <w:rsid w:val="00176E0E"/>
    <w:rsid w:val="00176E74"/>
    <w:rsid w:val="00176EC6"/>
    <w:rsid w:val="00176FC0"/>
    <w:rsid w:val="00176FE6"/>
    <w:rsid w:val="0017704F"/>
    <w:rsid w:val="001770A8"/>
    <w:rsid w:val="0017714D"/>
    <w:rsid w:val="001771B8"/>
    <w:rsid w:val="001772A6"/>
    <w:rsid w:val="00177303"/>
    <w:rsid w:val="00177358"/>
    <w:rsid w:val="00177381"/>
    <w:rsid w:val="0017740F"/>
    <w:rsid w:val="001774AF"/>
    <w:rsid w:val="00177519"/>
    <w:rsid w:val="0017755D"/>
    <w:rsid w:val="0017758A"/>
    <w:rsid w:val="0017761F"/>
    <w:rsid w:val="00177702"/>
    <w:rsid w:val="001777D4"/>
    <w:rsid w:val="00177835"/>
    <w:rsid w:val="00177904"/>
    <w:rsid w:val="001779B8"/>
    <w:rsid w:val="001779BF"/>
    <w:rsid w:val="001779D5"/>
    <w:rsid w:val="00177AB9"/>
    <w:rsid w:val="00177B2A"/>
    <w:rsid w:val="00177B5D"/>
    <w:rsid w:val="00177CC7"/>
    <w:rsid w:val="00177E0F"/>
    <w:rsid w:val="00177E22"/>
    <w:rsid w:val="00177F3D"/>
    <w:rsid w:val="00180078"/>
    <w:rsid w:val="0018014A"/>
    <w:rsid w:val="001801CF"/>
    <w:rsid w:val="0018027D"/>
    <w:rsid w:val="001802DF"/>
    <w:rsid w:val="001802F6"/>
    <w:rsid w:val="00180334"/>
    <w:rsid w:val="00180389"/>
    <w:rsid w:val="001803D0"/>
    <w:rsid w:val="00180402"/>
    <w:rsid w:val="00180455"/>
    <w:rsid w:val="00180532"/>
    <w:rsid w:val="0018057B"/>
    <w:rsid w:val="00180669"/>
    <w:rsid w:val="0018069E"/>
    <w:rsid w:val="00180730"/>
    <w:rsid w:val="00180782"/>
    <w:rsid w:val="00180822"/>
    <w:rsid w:val="00180826"/>
    <w:rsid w:val="0018084D"/>
    <w:rsid w:val="0018087E"/>
    <w:rsid w:val="0018096F"/>
    <w:rsid w:val="0018099B"/>
    <w:rsid w:val="00180A43"/>
    <w:rsid w:val="00180B67"/>
    <w:rsid w:val="00180B7B"/>
    <w:rsid w:val="00180B7E"/>
    <w:rsid w:val="00180B83"/>
    <w:rsid w:val="00180B89"/>
    <w:rsid w:val="00180B91"/>
    <w:rsid w:val="00180BC4"/>
    <w:rsid w:val="00180CA3"/>
    <w:rsid w:val="00180E07"/>
    <w:rsid w:val="00180E41"/>
    <w:rsid w:val="00180EAA"/>
    <w:rsid w:val="00180EB9"/>
    <w:rsid w:val="00180FCC"/>
    <w:rsid w:val="00181108"/>
    <w:rsid w:val="00181264"/>
    <w:rsid w:val="00181302"/>
    <w:rsid w:val="0018130E"/>
    <w:rsid w:val="001813EA"/>
    <w:rsid w:val="00181412"/>
    <w:rsid w:val="0018143B"/>
    <w:rsid w:val="001814A0"/>
    <w:rsid w:val="001814B6"/>
    <w:rsid w:val="00181528"/>
    <w:rsid w:val="00181605"/>
    <w:rsid w:val="0018166E"/>
    <w:rsid w:val="001816A0"/>
    <w:rsid w:val="001816D5"/>
    <w:rsid w:val="0018178E"/>
    <w:rsid w:val="00181814"/>
    <w:rsid w:val="001818BC"/>
    <w:rsid w:val="001819E1"/>
    <w:rsid w:val="00181B0D"/>
    <w:rsid w:val="00181DB5"/>
    <w:rsid w:val="00181DD5"/>
    <w:rsid w:val="00181E24"/>
    <w:rsid w:val="00181E8D"/>
    <w:rsid w:val="00181F59"/>
    <w:rsid w:val="00182002"/>
    <w:rsid w:val="00182071"/>
    <w:rsid w:val="00182090"/>
    <w:rsid w:val="001820A7"/>
    <w:rsid w:val="001820C5"/>
    <w:rsid w:val="001821D2"/>
    <w:rsid w:val="001821F1"/>
    <w:rsid w:val="00182241"/>
    <w:rsid w:val="00182270"/>
    <w:rsid w:val="00182351"/>
    <w:rsid w:val="00182361"/>
    <w:rsid w:val="00182376"/>
    <w:rsid w:val="001823EA"/>
    <w:rsid w:val="00182469"/>
    <w:rsid w:val="001824BB"/>
    <w:rsid w:val="00182591"/>
    <w:rsid w:val="001825E4"/>
    <w:rsid w:val="001825EC"/>
    <w:rsid w:val="00182618"/>
    <w:rsid w:val="001827CE"/>
    <w:rsid w:val="0018281A"/>
    <w:rsid w:val="0018285C"/>
    <w:rsid w:val="00182886"/>
    <w:rsid w:val="001828C7"/>
    <w:rsid w:val="00182925"/>
    <w:rsid w:val="00182958"/>
    <w:rsid w:val="00182A2E"/>
    <w:rsid w:val="00182A8D"/>
    <w:rsid w:val="00182B54"/>
    <w:rsid w:val="00182B61"/>
    <w:rsid w:val="00182B73"/>
    <w:rsid w:val="00182BA7"/>
    <w:rsid w:val="00182C6F"/>
    <w:rsid w:val="00182C92"/>
    <w:rsid w:val="00182D67"/>
    <w:rsid w:val="00182D6C"/>
    <w:rsid w:val="00182D8D"/>
    <w:rsid w:val="00182E90"/>
    <w:rsid w:val="00182ECD"/>
    <w:rsid w:val="00182F94"/>
    <w:rsid w:val="0018306A"/>
    <w:rsid w:val="001830B9"/>
    <w:rsid w:val="001830CB"/>
    <w:rsid w:val="001830CD"/>
    <w:rsid w:val="001831B9"/>
    <w:rsid w:val="001831D0"/>
    <w:rsid w:val="001831E2"/>
    <w:rsid w:val="0018341E"/>
    <w:rsid w:val="00183476"/>
    <w:rsid w:val="00183549"/>
    <w:rsid w:val="00183727"/>
    <w:rsid w:val="00183789"/>
    <w:rsid w:val="0018394B"/>
    <w:rsid w:val="0018394D"/>
    <w:rsid w:val="001839B4"/>
    <w:rsid w:val="00183A04"/>
    <w:rsid w:val="00183A5F"/>
    <w:rsid w:val="00183A7A"/>
    <w:rsid w:val="00183AAC"/>
    <w:rsid w:val="00183ADF"/>
    <w:rsid w:val="00183C61"/>
    <w:rsid w:val="00183CF8"/>
    <w:rsid w:val="00183D7A"/>
    <w:rsid w:val="00183D89"/>
    <w:rsid w:val="00183DD7"/>
    <w:rsid w:val="00183EF6"/>
    <w:rsid w:val="00183EFF"/>
    <w:rsid w:val="00183F09"/>
    <w:rsid w:val="00183FF7"/>
    <w:rsid w:val="0018401A"/>
    <w:rsid w:val="001840AE"/>
    <w:rsid w:val="00184130"/>
    <w:rsid w:val="0018413B"/>
    <w:rsid w:val="001841AE"/>
    <w:rsid w:val="001841D3"/>
    <w:rsid w:val="001841E8"/>
    <w:rsid w:val="00184243"/>
    <w:rsid w:val="00184244"/>
    <w:rsid w:val="001842FB"/>
    <w:rsid w:val="00184353"/>
    <w:rsid w:val="00184393"/>
    <w:rsid w:val="0018442B"/>
    <w:rsid w:val="001844A8"/>
    <w:rsid w:val="0018452F"/>
    <w:rsid w:val="0018460F"/>
    <w:rsid w:val="00184653"/>
    <w:rsid w:val="001846C7"/>
    <w:rsid w:val="00184756"/>
    <w:rsid w:val="00184805"/>
    <w:rsid w:val="001849E4"/>
    <w:rsid w:val="00184A24"/>
    <w:rsid w:val="00184ADB"/>
    <w:rsid w:val="00184AF5"/>
    <w:rsid w:val="00184AFD"/>
    <w:rsid w:val="00184B29"/>
    <w:rsid w:val="00184BD8"/>
    <w:rsid w:val="00184BEE"/>
    <w:rsid w:val="00184C6C"/>
    <w:rsid w:val="00184CB8"/>
    <w:rsid w:val="00184CF9"/>
    <w:rsid w:val="00184D08"/>
    <w:rsid w:val="00184FC5"/>
    <w:rsid w:val="00184FC9"/>
    <w:rsid w:val="00185111"/>
    <w:rsid w:val="001851D1"/>
    <w:rsid w:val="00185231"/>
    <w:rsid w:val="00185284"/>
    <w:rsid w:val="001852F8"/>
    <w:rsid w:val="001852F9"/>
    <w:rsid w:val="001852FC"/>
    <w:rsid w:val="0018552D"/>
    <w:rsid w:val="00185579"/>
    <w:rsid w:val="0018558E"/>
    <w:rsid w:val="001855FC"/>
    <w:rsid w:val="0018569A"/>
    <w:rsid w:val="001856DB"/>
    <w:rsid w:val="00185789"/>
    <w:rsid w:val="001857C5"/>
    <w:rsid w:val="001858F2"/>
    <w:rsid w:val="00185A2A"/>
    <w:rsid w:val="00185A36"/>
    <w:rsid w:val="00185A47"/>
    <w:rsid w:val="00185AA0"/>
    <w:rsid w:val="00185AB7"/>
    <w:rsid w:val="00185ACB"/>
    <w:rsid w:val="00185B17"/>
    <w:rsid w:val="00185B2C"/>
    <w:rsid w:val="00185B6E"/>
    <w:rsid w:val="00185B7D"/>
    <w:rsid w:val="00185B97"/>
    <w:rsid w:val="00185BFC"/>
    <w:rsid w:val="00185D36"/>
    <w:rsid w:val="00185D42"/>
    <w:rsid w:val="00185D75"/>
    <w:rsid w:val="00185DD1"/>
    <w:rsid w:val="00185DF7"/>
    <w:rsid w:val="00185E5B"/>
    <w:rsid w:val="00185E7B"/>
    <w:rsid w:val="00185E88"/>
    <w:rsid w:val="00185F33"/>
    <w:rsid w:val="00185F55"/>
    <w:rsid w:val="00185FFB"/>
    <w:rsid w:val="0018608B"/>
    <w:rsid w:val="001860BD"/>
    <w:rsid w:val="001861BD"/>
    <w:rsid w:val="001861E8"/>
    <w:rsid w:val="00186301"/>
    <w:rsid w:val="0018638D"/>
    <w:rsid w:val="001864C7"/>
    <w:rsid w:val="001864F2"/>
    <w:rsid w:val="0018655B"/>
    <w:rsid w:val="001865AE"/>
    <w:rsid w:val="001866B2"/>
    <w:rsid w:val="00186899"/>
    <w:rsid w:val="00186991"/>
    <w:rsid w:val="001869B6"/>
    <w:rsid w:val="001869EA"/>
    <w:rsid w:val="00186A15"/>
    <w:rsid w:val="00186A3F"/>
    <w:rsid w:val="00186A5C"/>
    <w:rsid w:val="00186ACA"/>
    <w:rsid w:val="00186B9F"/>
    <w:rsid w:val="00186BBF"/>
    <w:rsid w:val="00186C13"/>
    <w:rsid w:val="00186C6E"/>
    <w:rsid w:val="00186CAB"/>
    <w:rsid w:val="00186CB3"/>
    <w:rsid w:val="00187097"/>
    <w:rsid w:val="001870BB"/>
    <w:rsid w:val="0018714E"/>
    <w:rsid w:val="0018724C"/>
    <w:rsid w:val="0018729C"/>
    <w:rsid w:val="0018729F"/>
    <w:rsid w:val="00187308"/>
    <w:rsid w:val="00187356"/>
    <w:rsid w:val="001873A3"/>
    <w:rsid w:val="0018745C"/>
    <w:rsid w:val="0018748E"/>
    <w:rsid w:val="00187533"/>
    <w:rsid w:val="0018761B"/>
    <w:rsid w:val="00187656"/>
    <w:rsid w:val="00187747"/>
    <w:rsid w:val="001877B0"/>
    <w:rsid w:val="00187802"/>
    <w:rsid w:val="001878C0"/>
    <w:rsid w:val="001878C5"/>
    <w:rsid w:val="001878DC"/>
    <w:rsid w:val="001878FF"/>
    <w:rsid w:val="00187901"/>
    <w:rsid w:val="001879E9"/>
    <w:rsid w:val="00187A12"/>
    <w:rsid w:val="00187A42"/>
    <w:rsid w:val="00187B78"/>
    <w:rsid w:val="00187C69"/>
    <w:rsid w:val="00187CF0"/>
    <w:rsid w:val="00187CFD"/>
    <w:rsid w:val="00187D21"/>
    <w:rsid w:val="00187F46"/>
    <w:rsid w:val="00187F52"/>
    <w:rsid w:val="00187F5E"/>
    <w:rsid w:val="00187FC6"/>
    <w:rsid w:val="0018D23A"/>
    <w:rsid w:val="00190008"/>
    <w:rsid w:val="0019000E"/>
    <w:rsid w:val="00190035"/>
    <w:rsid w:val="00190075"/>
    <w:rsid w:val="001900BA"/>
    <w:rsid w:val="0019025D"/>
    <w:rsid w:val="001902BF"/>
    <w:rsid w:val="001902E1"/>
    <w:rsid w:val="001903DE"/>
    <w:rsid w:val="00190404"/>
    <w:rsid w:val="00190472"/>
    <w:rsid w:val="001904CA"/>
    <w:rsid w:val="00190511"/>
    <w:rsid w:val="0019067B"/>
    <w:rsid w:val="0019079E"/>
    <w:rsid w:val="001907BA"/>
    <w:rsid w:val="0019083C"/>
    <w:rsid w:val="00190977"/>
    <w:rsid w:val="00190A6C"/>
    <w:rsid w:val="00190AA7"/>
    <w:rsid w:val="00190AED"/>
    <w:rsid w:val="00190B37"/>
    <w:rsid w:val="00190BF5"/>
    <w:rsid w:val="00190CFD"/>
    <w:rsid w:val="00190D41"/>
    <w:rsid w:val="00190D4C"/>
    <w:rsid w:val="00190D61"/>
    <w:rsid w:val="00190DB7"/>
    <w:rsid w:val="00190E7A"/>
    <w:rsid w:val="00190F4C"/>
    <w:rsid w:val="00190F66"/>
    <w:rsid w:val="00190FA5"/>
    <w:rsid w:val="00190FB3"/>
    <w:rsid w:val="00191022"/>
    <w:rsid w:val="0019105A"/>
    <w:rsid w:val="0019105B"/>
    <w:rsid w:val="0019120F"/>
    <w:rsid w:val="00191246"/>
    <w:rsid w:val="00191272"/>
    <w:rsid w:val="00191324"/>
    <w:rsid w:val="001913DE"/>
    <w:rsid w:val="00191502"/>
    <w:rsid w:val="0019153C"/>
    <w:rsid w:val="0019161A"/>
    <w:rsid w:val="00191673"/>
    <w:rsid w:val="00191740"/>
    <w:rsid w:val="0019179D"/>
    <w:rsid w:val="001917EE"/>
    <w:rsid w:val="001918FE"/>
    <w:rsid w:val="001919C1"/>
    <w:rsid w:val="001919C4"/>
    <w:rsid w:val="001919EC"/>
    <w:rsid w:val="00191BFE"/>
    <w:rsid w:val="00191C7C"/>
    <w:rsid w:val="00191D28"/>
    <w:rsid w:val="00191D2B"/>
    <w:rsid w:val="00191DBA"/>
    <w:rsid w:val="00191DC1"/>
    <w:rsid w:val="00191E6E"/>
    <w:rsid w:val="00191E8B"/>
    <w:rsid w:val="00191F26"/>
    <w:rsid w:val="00191FBD"/>
    <w:rsid w:val="0019200E"/>
    <w:rsid w:val="0019203A"/>
    <w:rsid w:val="0019205B"/>
    <w:rsid w:val="0019208F"/>
    <w:rsid w:val="00192153"/>
    <w:rsid w:val="00192174"/>
    <w:rsid w:val="001921C2"/>
    <w:rsid w:val="001921E3"/>
    <w:rsid w:val="001921E6"/>
    <w:rsid w:val="001922B9"/>
    <w:rsid w:val="0019230D"/>
    <w:rsid w:val="00192331"/>
    <w:rsid w:val="0019242A"/>
    <w:rsid w:val="001924A1"/>
    <w:rsid w:val="001924BF"/>
    <w:rsid w:val="00192558"/>
    <w:rsid w:val="0019257D"/>
    <w:rsid w:val="00192636"/>
    <w:rsid w:val="00192643"/>
    <w:rsid w:val="0019265A"/>
    <w:rsid w:val="001926D3"/>
    <w:rsid w:val="001926E1"/>
    <w:rsid w:val="001927A6"/>
    <w:rsid w:val="00192861"/>
    <w:rsid w:val="001929D4"/>
    <w:rsid w:val="00192AE9"/>
    <w:rsid w:val="00192B98"/>
    <w:rsid w:val="00192BBB"/>
    <w:rsid w:val="00192BD9"/>
    <w:rsid w:val="00192CE8"/>
    <w:rsid w:val="00192D13"/>
    <w:rsid w:val="00192ECC"/>
    <w:rsid w:val="00192F74"/>
    <w:rsid w:val="00192F8F"/>
    <w:rsid w:val="0019301E"/>
    <w:rsid w:val="00193103"/>
    <w:rsid w:val="0019313E"/>
    <w:rsid w:val="0019316B"/>
    <w:rsid w:val="00193252"/>
    <w:rsid w:val="00193321"/>
    <w:rsid w:val="0019334E"/>
    <w:rsid w:val="001936B3"/>
    <w:rsid w:val="001936B5"/>
    <w:rsid w:val="001936FC"/>
    <w:rsid w:val="0019377D"/>
    <w:rsid w:val="00193825"/>
    <w:rsid w:val="00193850"/>
    <w:rsid w:val="00193864"/>
    <w:rsid w:val="001938FB"/>
    <w:rsid w:val="00193904"/>
    <w:rsid w:val="0019399C"/>
    <w:rsid w:val="001939AD"/>
    <w:rsid w:val="00193A31"/>
    <w:rsid w:val="00193A8F"/>
    <w:rsid w:val="00193AA0"/>
    <w:rsid w:val="00193ABF"/>
    <w:rsid w:val="00193BBD"/>
    <w:rsid w:val="00193D88"/>
    <w:rsid w:val="00193E26"/>
    <w:rsid w:val="00193E8A"/>
    <w:rsid w:val="00193EB7"/>
    <w:rsid w:val="00193FA9"/>
    <w:rsid w:val="00194083"/>
    <w:rsid w:val="001940A0"/>
    <w:rsid w:val="00194142"/>
    <w:rsid w:val="00194179"/>
    <w:rsid w:val="001941BF"/>
    <w:rsid w:val="0019424B"/>
    <w:rsid w:val="0019432C"/>
    <w:rsid w:val="0019441F"/>
    <w:rsid w:val="001944E4"/>
    <w:rsid w:val="0019457D"/>
    <w:rsid w:val="00194594"/>
    <w:rsid w:val="001945F3"/>
    <w:rsid w:val="0019463A"/>
    <w:rsid w:val="00194642"/>
    <w:rsid w:val="001946A4"/>
    <w:rsid w:val="001946D9"/>
    <w:rsid w:val="001946E8"/>
    <w:rsid w:val="0019470D"/>
    <w:rsid w:val="00194731"/>
    <w:rsid w:val="00194752"/>
    <w:rsid w:val="001947B7"/>
    <w:rsid w:val="001948A4"/>
    <w:rsid w:val="001949D3"/>
    <w:rsid w:val="001949FE"/>
    <w:rsid w:val="00194A28"/>
    <w:rsid w:val="00194A45"/>
    <w:rsid w:val="00194A8F"/>
    <w:rsid w:val="00194B21"/>
    <w:rsid w:val="00194C18"/>
    <w:rsid w:val="00194CD3"/>
    <w:rsid w:val="00194D11"/>
    <w:rsid w:val="00194D29"/>
    <w:rsid w:val="00194DE8"/>
    <w:rsid w:val="00194EA7"/>
    <w:rsid w:val="00194EFB"/>
    <w:rsid w:val="00195036"/>
    <w:rsid w:val="001950BE"/>
    <w:rsid w:val="001950C6"/>
    <w:rsid w:val="00195207"/>
    <w:rsid w:val="0019522E"/>
    <w:rsid w:val="00195367"/>
    <w:rsid w:val="001953B8"/>
    <w:rsid w:val="001956DA"/>
    <w:rsid w:val="00195724"/>
    <w:rsid w:val="0019587A"/>
    <w:rsid w:val="001959AF"/>
    <w:rsid w:val="00195AD3"/>
    <w:rsid w:val="00195B32"/>
    <w:rsid w:val="00195B60"/>
    <w:rsid w:val="00195C2E"/>
    <w:rsid w:val="00195C4A"/>
    <w:rsid w:val="00195D2D"/>
    <w:rsid w:val="00195D31"/>
    <w:rsid w:val="00195D85"/>
    <w:rsid w:val="00195F11"/>
    <w:rsid w:val="00196020"/>
    <w:rsid w:val="0019603B"/>
    <w:rsid w:val="001960D7"/>
    <w:rsid w:val="00196233"/>
    <w:rsid w:val="0019626D"/>
    <w:rsid w:val="00196630"/>
    <w:rsid w:val="00196652"/>
    <w:rsid w:val="00196770"/>
    <w:rsid w:val="001967E8"/>
    <w:rsid w:val="001967EC"/>
    <w:rsid w:val="00196852"/>
    <w:rsid w:val="0019695F"/>
    <w:rsid w:val="00196A63"/>
    <w:rsid w:val="00196A6C"/>
    <w:rsid w:val="00196B28"/>
    <w:rsid w:val="00196C89"/>
    <w:rsid w:val="00196CDC"/>
    <w:rsid w:val="00196D80"/>
    <w:rsid w:val="00196EFD"/>
    <w:rsid w:val="00196FB3"/>
    <w:rsid w:val="001970AC"/>
    <w:rsid w:val="00197244"/>
    <w:rsid w:val="001972A4"/>
    <w:rsid w:val="001973B8"/>
    <w:rsid w:val="00197471"/>
    <w:rsid w:val="001974C0"/>
    <w:rsid w:val="001974E0"/>
    <w:rsid w:val="001975B5"/>
    <w:rsid w:val="001975DF"/>
    <w:rsid w:val="00197613"/>
    <w:rsid w:val="00197615"/>
    <w:rsid w:val="00197669"/>
    <w:rsid w:val="0019777D"/>
    <w:rsid w:val="001977F8"/>
    <w:rsid w:val="0019785C"/>
    <w:rsid w:val="001978A4"/>
    <w:rsid w:val="001978FD"/>
    <w:rsid w:val="00197948"/>
    <w:rsid w:val="00197A06"/>
    <w:rsid w:val="00197A6B"/>
    <w:rsid w:val="00197A93"/>
    <w:rsid w:val="00197A9F"/>
    <w:rsid w:val="00197B19"/>
    <w:rsid w:val="00197C5F"/>
    <w:rsid w:val="00197C9B"/>
    <w:rsid w:val="00197D84"/>
    <w:rsid w:val="00197DD7"/>
    <w:rsid w:val="00197DE7"/>
    <w:rsid w:val="00197E6E"/>
    <w:rsid w:val="00197EE1"/>
    <w:rsid w:val="00197EEB"/>
    <w:rsid w:val="001A00A8"/>
    <w:rsid w:val="001A00C6"/>
    <w:rsid w:val="001A0110"/>
    <w:rsid w:val="001A012C"/>
    <w:rsid w:val="001A01E8"/>
    <w:rsid w:val="001A0248"/>
    <w:rsid w:val="001A0362"/>
    <w:rsid w:val="001A03AB"/>
    <w:rsid w:val="001A04A3"/>
    <w:rsid w:val="001A0547"/>
    <w:rsid w:val="001A05FC"/>
    <w:rsid w:val="001A06D6"/>
    <w:rsid w:val="001A07A6"/>
    <w:rsid w:val="001A08FF"/>
    <w:rsid w:val="001A097E"/>
    <w:rsid w:val="001A09FC"/>
    <w:rsid w:val="001A0A0E"/>
    <w:rsid w:val="001A0AC2"/>
    <w:rsid w:val="001A0B0F"/>
    <w:rsid w:val="001A0C45"/>
    <w:rsid w:val="001A0CE7"/>
    <w:rsid w:val="001A0E03"/>
    <w:rsid w:val="001A0ED6"/>
    <w:rsid w:val="001A0EDE"/>
    <w:rsid w:val="001A0EE1"/>
    <w:rsid w:val="001A0FC7"/>
    <w:rsid w:val="001A1007"/>
    <w:rsid w:val="001A1157"/>
    <w:rsid w:val="001A1214"/>
    <w:rsid w:val="001A1274"/>
    <w:rsid w:val="001A12F5"/>
    <w:rsid w:val="001A13A2"/>
    <w:rsid w:val="001A143B"/>
    <w:rsid w:val="001A1499"/>
    <w:rsid w:val="001A14FC"/>
    <w:rsid w:val="001A1577"/>
    <w:rsid w:val="001A15E5"/>
    <w:rsid w:val="001A1612"/>
    <w:rsid w:val="001A165F"/>
    <w:rsid w:val="001A17BD"/>
    <w:rsid w:val="001A181E"/>
    <w:rsid w:val="001A1971"/>
    <w:rsid w:val="001A1979"/>
    <w:rsid w:val="001A1A31"/>
    <w:rsid w:val="001A1A8E"/>
    <w:rsid w:val="001A1AC1"/>
    <w:rsid w:val="001A1B8C"/>
    <w:rsid w:val="001A1B95"/>
    <w:rsid w:val="001A1BB9"/>
    <w:rsid w:val="001A1C14"/>
    <w:rsid w:val="001A1C76"/>
    <w:rsid w:val="001A1CA5"/>
    <w:rsid w:val="001A1D17"/>
    <w:rsid w:val="001A1D34"/>
    <w:rsid w:val="001A1E21"/>
    <w:rsid w:val="001A1EEF"/>
    <w:rsid w:val="001A1F7F"/>
    <w:rsid w:val="001A210C"/>
    <w:rsid w:val="001A215B"/>
    <w:rsid w:val="001A21C6"/>
    <w:rsid w:val="001A21D0"/>
    <w:rsid w:val="001A225F"/>
    <w:rsid w:val="001A22CE"/>
    <w:rsid w:val="001A22FA"/>
    <w:rsid w:val="001A235C"/>
    <w:rsid w:val="001A23A5"/>
    <w:rsid w:val="001A23FE"/>
    <w:rsid w:val="001A246D"/>
    <w:rsid w:val="001A2569"/>
    <w:rsid w:val="001A257E"/>
    <w:rsid w:val="001A2586"/>
    <w:rsid w:val="001A25B3"/>
    <w:rsid w:val="001A25BC"/>
    <w:rsid w:val="001A2788"/>
    <w:rsid w:val="001A27BD"/>
    <w:rsid w:val="001A283F"/>
    <w:rsid w:val="001A2858"/>
    <w:rsid w:val="001A28ED"/>
    <w:rsid w:val="001A2964"/>
    <w:rsid w:val="001A2982"/>
    <w:rsid w:val="001A2991"/>
    <w:rsid w:val="001A29BF"/>
    <w:rsid w:val="001A29C4"/>
    <w:rsid w:val="001A2A41"/>
    <w:rsid w:val="001A2A52"/>
    <w:rsid w:val="001A2AC1"/>
    <w:rsid w:val="001A2AD3"/>
    <w:rsid w:val="001A2B24"/>
    <w:rsid w:val="001A2C52"/>
    <w:rsid w:val="001A2DD4"/>
    <w:rsid w:val="001A2EDE"/>
    <w:rsid w:val="001A2EE1"/>
    <w:rsid w:val="001A2F2F"/>
    <w:rsid w:val="001A2F57"/>
    <w:rsid w:val="001A2F8D"/>
    <w:rsid w:val="001A3010"/>
    <w:rsid w:val="001A30F5"/>
    <w:rsid w:val="001A31CA"/>
    <w:rsid w:val="001A31EF"/>
    <w:rsid w:val="001A328C"/>
    <w:rsid w:val="001A32A4"/>
    <w:rsid w:val="001A32DE"/>
    <w:rsid w:val="001A32F0"/>
    <w:rsid w:val="001A32FB"/>
    <w:rsid w:val="001A335E"/>
    <w:rsid w:val="001A33B2"/>
    <w:rsid w:val="001A33DF"/>
    <w:rsid w:val="001A33E0"/>
    <w:rsid w:val="001A347E"/>
    <w:rsid w:val="001A348D"/>
    <w:rsid w:val="001A34A4"/>
    <w:rsid w:val="001A355F"/>
    <w:rsid w:val="001A358A"/>
    <w:rsid w:val="001A3674"/>
    <w:rsid w:val="001A3687"/>
    <w:rsid w:val="001A36CD"/>
    <w:rsid w:val="001A376B"/>
    <w:rsid w:val="001A3798"/>
    <w:rsid w:val="001A381B"/>
    <w:rsid w:val="001A38A3"/>
    <w:rsid w:val="001A3955"/>
    <w:rsid w:val="001A3A07"/>
    <w:rsid w:val="001A3A30"/>
    <w:rsid w:val="001A3AC3"/>
    <w:rsid w:val="001A3C09"/>
    <w:rsid w:val="001A3C23"/>
    <w:rsid w:val="001A3C76"/>
    <w:rsid w:val="001A3D44"/>
    <w:rsid w:val="001A3E67"/>
    <w:rsid w:val="001A3EF4"/>
    <w:rsid w:val="001A3F4D"/>
    <w:rsid w:val="001A4092"/>
    <w:rsid w:val="001A40F5"/>
    <w:rsid w:val="001A40F6"/>
    <w:rsid w:val="001A41B5"/>
    <w:rsid w:val="001A41E3"/>
    <w:rsid w:val="001A4223"/>
    <w:rsid w:val="001A4252"/>
    <w:rsid w:val="001A4294"/>
    <w:rsid w:val="001A42BB"/>
    <w:rsid w:val="001A4315"/>
    <w:rsid w:val="001A431C"/>
    <w:rsid w:val="001A4339"/>
    <w:rsid w:val="001A449F"/>
    <w:rsid w:val="001A450B"/>
    <w:rsid w:val="001A4682"/>
    <w:rsid w:val="001A46A3"/>
    <w:rsid w:val="001A4744"/>
    <w:rsid w:val="001A4833"/>
    <w:rsid w:val="001A4854"/>
    <w:rsid w:val="001A48A9"/>
    <w:rsid w:val="001A490E"/>
    <w:rsid w:val="001A4955"/>
    <w:rsid w:val="001A4A16"/>
    <w:rsid w:val="001A4ABB"/>
    <w:rsid w:val="001A4AC3"/>
    <w:rsid w:val="001A4B11"/>
    <w:rsid w:val="001A4B52"/>
    <w:rsid w:val="001A4B70"/>
    <w:rsid w:val="001A4BAD"/>
    <w:rsid w:val="001A4CC0"/>
    <w:rsid w:val="001A4D30"/>
    <w:rsid w:val="001A4D4B"/>
    <w:rsid w:val="001A4F06"/>
    <w:rsid w:val="001A4F5A"/>
    <w:rsid w:val="001A4FC5"/>
    <w:rsid w:val="001A4FF7"/>
    <w:rsid w:val="001A5057"/>
    <w:rsid w:val="001A5104"/>
    <w:rsid w:val="001A5133"/>
    <w:rsid w:val="001A513D"/>
    <w:rsid w:val="001A518F"/>
    <w:rsid w:val="001A51E7"/>
    <w:rsid w:val="001A5239"/>
    <w:rsid w:val="001A525F"/>
    <w:rsid w:val="001A528E"/>
    <w:rsid w:val="001A5306"/>
    <w:rsid w:val="001A5345"/>
    <w:rsid w:val="001A53FD"/>
    <w:rsid w:val="001A540C"/>
    <w:rsid w:val="001A5457"/>
    <w:rsid w:val="001A54DF"/>
    <w:rsid w:val="001A54ED"/>
    <w:rsid w:val="001A5511"/>
    <w:rsid w:val="001A5541"/>
    <w:rsid w:val="001A556C"/>
    <w:rsid w:val="001A5579"/>
    <w:rsid w:val="001A55B9"/>
    <w:rsid w:val="001A5787"/>
    <w:rsid w:val="001A5832"/>
    <w:rsid w:val="001A5909"/>
    <w:rsid w:val="001A5922"/>
    <w:rsid w:val="001A597F"/>
    <w:rsid w:val="001A5AD1"/>
    <w:rsid w:val="001A5BB0"/>
    <w:rsid w:val="001A5DB3"/>
    <w:rsid w:val="001A5E4B"/>
    <w:rsid w:val="001A5E64"/>
    <w:rsid w:val="001A5EAA"/>
    <w:rsid w:val="001A5EE4"/>
    <w:rsid w:val="001A5EF9"/>
    <w:rsid w:val="001A5FC1"/>
    <w:rsid w:val="001A6058"/>
    <w:rsid w:val="001A608C"/>
    <w:rsid w:val="001A60B3"/>
    <w:rsid w:val="001A60EC"/>
    <w:rsid w:val="001A60F8"/>
    <w:rsid w:val="001A6335"/>
    <w:rsid w:val="001A63C9"/>
    <w:rsid w:val="001A6434"/>
    <w:rsid w:val="001A64E3"/>
    <w:rsid w:val="001A660E"/>
    <w:rsid w:val="001A677B"/>
    <w:rsid w:val="001A6858"/>
    <w:rsid w:val="001A68A1"/>
    <w:rsid w:val="001A68B2"/>
    <w:rsid w:val="001A68CA"/>
    <w:rsid w:val="001A6A56"/>
    <w:rsid w:val="001A6A6D"/>
    <w:rsid w:val="001A6AC4"/>
    <w:rsid w:val="001A6B0D"/>
    <w:rsid w:val="001A6C50"/>
    <w:rsid w:val="001A6C9D"/>
    <w:rsid w:val="001A6CA6"/>
    <w:rsid w:val="001A6D12"/>
    <w:rsid w:val="001A6D15"/>
    <w:rsid w:val="001A6D73"/>
    <w:rsid w:val="001A6D85"/>
    <w:rsid w:val="001A6E01"/>
    <w:rsid w:val="001A6F89"/>
    <w:rsid w:val="001A703D"/>
    <w:rsid w:val="001A70D0"/>
    <w:rsid w:val="001A710F"/>
    <w:rsid w:val="001A717F"/>
    <w:rsid w:val="001A72C8"/>
    <w:rsid w:val="001A737A"/>
    <w:rsid w:val="001A738B"/>
    <w:rsid w:val="001A7428"/>
    <w:rsid w:val="001A743E"/>
    <w:rsid w:val="001A74C1"/>
    <w:rsid w:val="001A76DB"/>
    <w:rsid w:val="001A76F9"/>
    <w:rsid w:val="001A7743"/>
    <w:rsid w:val="001A78BC"/>
    <w:rsid w:val="001A791C"/>
    <w:rsid w:val="001A7982"/>
    <w:rsid w:val="001A7A2B"/>
    <w:rsid w:val="001A7A74"/>
    <w:rsid w:val="001A7B6C"/>
    <w:rsid w:val="001A7BA3"/>
    <w:rsid w:val="001A7BD5"/>
    <w:rsid w:val="001A7C35"/>
    <w:rsid w:val="001A7D8F"/>
    <w:rsid w:val="001A7DB9"/>
    <w:rsid w:val="001A7DD1"/>
    <w:rsid w:val="001A7E05"/>
    <w:rsid w:val="001A7F39"/>
    <w:rsid w:val="001A7F3D"/>
    <w:rsid w:val="001A7FDB"/>
    <w:rsid w:val="001B0128"/>
    <w:rsid w:val="001B014E"/>
    <w:rsid w:val="001B0176"/>
    <w:rsid w:val="001B0275"/>
    <w:rsid w:val="001B028E"/>
    <w:rsid w:val="001B02E2"/>
    <w:rsid w:val="001B0367"/>
    <w:rsid w:val="001B040C"/>
    <w:rsid w:val="001B044E"/>
    <w:rsid w:val="001B0487"/>
    <w:rsid w:val="001B052B"/>
    <w:rsid w:val="001B057C"/>
    <w:rsid w:val="001B05A5"/>
    <w:rsid w:val="001B05D5"/>
    <w:rsid w:val="001B066D"/>
    <w:rsid w:val="001B0713"/>
    <w:rsid w:val="001B076E"/>
    <w:rsid w:val="001B0800"/>
    <w:rsid w:val="001B084E"/>
    <w:rsid w:val="001B0977"/>
    <w:rsid w:val="001B09B6"/>
    <w:rsid w:val="001B09D4"/>
    <w:rsid w:val="001B0A03"/>
    <w:rsid w:val="001B0A0E"/>
    <w:rsid w:val="001B0A20"/>
    <w:rsid w:val="001B0A28"/>
    <w:rsid w:val="001B0A36"/>
    <w:rsid w:val="001B0AB5"/>
    <w:rsid w:val="001B0B65"/>
    <w:rsid w:val="001B0B6F"/>
    <w:rsid w:val="001B0BEC"/>
    <w:rsid w:val="001B0C0B"/>
    <w:rsid w:val="001B0C1B"/>
    <w:rsid w:val="001B0C93"/>
    <w:rsid w:val="001B0CB1"/>
    <w:rsid w:val="001B0ED7"/>
    <w:rsid w:val="001B0F2D"/>
    <w:rsid w:val="001B0FE0"/>
    <w:rsid w:val="001B1017"/>
    <w:rsid w:val="001B10C3"/>
    <w:rsid w:val="001B11E8"/>
    <w:rsid w:val="001B11EB"/>
    <w:rsid w:val="001B12B9"/>
    <w:rsid w:val="001B12CD"/>
    <w:rsid w:val="001B133B"/>
    <w:rsid w:val="001B140C"/>
    <w:rsid w:val="001B146B"/>
    <w:rsid w:val="001B1473"/>
    <w:rsid w:val="001B149A"/>
    <w:rsid w:val="001B1510"/>
    <w:rsid w:val="001B1643"/>
    <w:rsid w:val="001B16A4"/>
    <w:rsid w:val="001B171C"/>
    <w:rsid w:val="001B17C3"/>
    <w:rsid w:val="001B185E"/>
    <w:rsid w:val="001B1863"/>
    <w:rsid w:val="001B1870"/>
    <w:rsid w:val="001B1A3A"/>
    <w:rsid w:val="001B1B4A"/>
    <w:rsid w:val="001B1B4E"/>
    <w:rsid w:val="001B1BCC"/>
    <w:rsid w:val="001B1BE7"/>
    <w:rsid w:val="001B1C46"/>
    <w:rsid w:val="001B1C61"/>
    <w:rsid w:val="001B1C6D"/>
    <w:rsid w:val="001B1C88"/>
    <w:rsid w:val="001B1CBB"/>
    <w:rsid w:val="001B1CBE"/>
    <w:rsid w:val="001B1E3A"/>
    <w:rsid w:val="001B1E5D"/>
    <w:rsid w:val="001B1E87"/>
    <w:rsid w:val="001B1ECE"/>
    <w:rsid w:val="001B1EEC"/>
    <w:rsid w:val="001B1F8C"/>
    <w:rsid w:val="001B2026"/>
    <w:rsid w:val="001B20E0"/>
    <w:rsid w:val="001B215A"/>
    <w:rsid w:val="001B21A9"/>
    <w:rsid w:val="001B228C"/>
    <w:rsid w:val="001B22B2"/>
    <w:rsid w:val="001B2362"/>
    <w:rsid w:val="001B23CF"/>
    <w:rsid w:val="001B240A"/>
    <w:rsid w:val="001B242F"/>
    <w:rsid w:val="001B250F"/>
    <w:rsid w:val="001B26CA"/>
    <w:rsid w:val="001B26CF"/>
    <w:rsid w:val="001B2703"/>
    <w:rsid w:val="001B2709"/>
    <w:rsid w:val="001B2745"/>
    <w:rsid w:val="001B2831"/>
    <w:rsid w:val="001B284E"/>
    <w:rsid w:val="001B291C"/>
    <w:rsid w:val="001B2989"/>
    <w:rsid w:val="001B2A08"/>
    <w:rsid w:val="001B2B07"/>
    <w:rsid w:val="001B2C66"/>
    <w:rsid w:val="001B2CB3"/>
    <w:rsid w:val="001B2D0C"/>
    <w:rsid w:val="001B2D96"/>
    <w:rsid w:val="001B2DB5"/>
    <w:rsid w:val="001B2DB6"/>
    <w:rsid w:val="001B2E08"/>
    <w:rsid w:val="001B2E0D"/>
    <w:rsid w:val="001B2EC7"/>
    <w:rsid w:val="001B2F5E"/>
    <w:rsid w:val="001B3014"/>
    <w:rsid w:val="001B301D"/>
    <w:rsid w:val="001B3025"/>
    <w:rsid w:val="001B30ED"/>
    <w:rsid w:val="001B314B"/>
    <w:rsid w:val="001B3197"/>
    <w:rsid w:val="001B3228"/>
    <w:rsid w:val="001B3267"/>
    <w:rsid w:val="001B32EA"/>
    <w:rsid w:val="001B3349"/>
    <w:rsid w:val="001B341C"/>
    <w:rsid w:val="001B3565"/>
    <w:rsid w:val="001B3591"/>
    <w:rsid w:val="001B35B8"/>
    <w:rsid w:val="001B3694"/>
    <w:rsid w:val="001B36B1"/>
    <w:rsid w:val="001B37C9"/>
    <w:rsid w:val="001B3800"/>
    <w:rsid w:val="001B3846"/>
    <w:rsid w:val="001B38B9"/>
    <w:rsid w:val="001B397D"/>
    <w:rsid w:val="001B39C5"/>
    <w:rsid w:val="001B39FA"/>
    <w:rsid w:val="001B3A3C"/>
    <w:rsid w:val="001B3A8A"/>
    <w:rsid w:val="001B3B1E"/>
    <w:rsid w:val="001B3BFE"/>
    <w:rsid w:val="001B3C65"/>
    <w:rsid w:val="001B3D21"/>
    <w:rsid w:val="001B3D38"/>
    <w:rsid w:val="001B3E10"/>
    <w:rsid w:val="001B3E65"/>
    <w:rsid w:val="001B3E96"/>
    <w:rsid w:val="001B3F29"/>
    <w:rsid w:val="001B3F2D"/>
    <w:rsid w:val="001B3F71"/>
    <w:rsid w:val="001B3FF8"/>
    <w:rsid w:val="001B4004"/>
    <w:rsid w:val="001B417D"/>
    <w:rsid w:val="001B422D"/>
    <w:rsid w:val="001B42F9"/>
    <w:rsid w:val="001B4376"/>
    <w:rsid w:val="001B43BA"/>
    <w:rsid w:val="001B43F7"/>
    <w:rsid w:val="001B4429"/>
    <w:rsid w:val="001B4486"/>
    <w:rsid w:val="001B4551"/>
    <w:rsid w:val="001B4575"/>
    <w:rsid w:val="001B469C"/>
    <w:rsid w:val="001B46FB"/>
    <w:rsid w:val="001B47B6"/>
    <w:rsid w:val="001B4837"/>
    <w:rsid w:val="001B489F"/>
    <w:rsid w:val="001B48F0"/>
    <w:rsid w:val="001B4A76"/>
    <w:rsid w:val="001B4AFD"/>
    <w:rsid w:val="001B4B61"/>
    <w:rsid w:val="001B4B7C"/>
    <w:rsid w:val="001B4BB0"/>
    <w:rsid w:val="001B4C01"/>
    <w:rsid w:val="001B4C27"/>
    <w:rsid w:val="001B4C78"/>
    <w:rsid w:val="001B4CB0"/>
    <w:rsid w:val="001B4D96"/>
    <w:rsid w:val="001B4D9C"/>
    <w:rsid w:val="001B4DAA"/>
    <w:rsid w:val="001B4E6F"/>
    <w:rsid w:val="001B4E71"/>
    <w:rsid w:val="001B5030"/>
    <w:rsid w:val="001B506C"/>
    <w:rsid w:val="001B5122"/>
    <w:rsid w:val="001B5153"/>
    <w:rsid w:val="001B5164"/>
    <w:rsid w:val="001B51AC"/>
    <w:rsid w:val="001B525C"/>
    <w:rsid w:val="001B52A1"/>
    <w:rsid w:val="001B532E"/>
    <w:rsid w:val="001B5353"/>
    <w:rsid w:val="001B536F"/>
    <w:rsid w:val="001B5378"/>
    <w:rsid w:val="001B53B1"/>
    <w:rsid w:val="001B5491"/>
    <w:rsid w:val="001B54E0"/>
    <w:rsid w:val="001B551E"/>
    <w:rsid w:val="001B5540"/>
    <w:rsid w:val="001B5614"/>
    <w:rsid w:val="001B5634"/>
    <w:rsid w:val="001B5664"/>
    <w:rsid w:val="001B56F2"/>
    <w:rsid w:val="001B5718"/>
    <w:rsid w:val="001B5752"/>
    <w:rsid w:val="001B57C6"/>
    <w:rsid w:val="001B57CD"/>
    <w:rsid w:val="001B584A"/>
    <w:rsid w:val="001B5886"/>
    <w:rsid w:val="001B5901"/>
    <w:rsid w:val="001B594A"/>
    <w:rsid w:val="001B5991"/>
    <w:rsid w:val="001B5A2F"/>
    <w:rsid w:val="001B5A76"/>
    <w:rsid w:val="001B5BAD"/>
    <w:rsid w:val="001B5C0F"/>
    <w:rsid w:val="001B5C4A"/>
    <w:rsid w:val="001B5C95"/>
    <w:rsid w:val="001B5CA4"/>
    <w:rsid w:val="001B5CDC"/>
    <w:rsid w:val="001B5D00"/>
    <w:rsid w:val="001B5D04"/>
    <w:rsid w:val="001B5DD6"/>
    <w:rsid w:val="001B5E9F"/>
    <w:rsid w:val="001B5F34"/>
    <w:rsid w:val="001B5F63"/>
    <w:rsid w:val="001B5FF3"/>
    <w:rsid w:val="001B60A6"/>
    <w:rsid w:val="001B60F2"/>
    <w:rsid w:val="001B6106"/>
    <w:rsid w:val="001B610C"/>
    <w:rsid w:val="001B612E"/>
    <w:rsid w:val="001B61A9"/>
    <w:rsid w:val="001B6206"/>
    <w:rsid w:val="001B629E"/>
    <w:rsid w:val="001B62C0"/>
    <w:rsid w:val="001B62E3"/>
    <w:rsid w:val="001B6323"/>
    <w:rsid w:val="001B6420"/>
    <w:rsid w:val="001B6536"/>
    <w:rsid w:val="001B660D"/>
    <w:rsid w:val="001B668C"/>
    <w:rsid w:val="001B66B3"/>
    <w:rsid w:val="001B66D4"/>
    <w:rsid w:val="001B6793"/>
    <w:rsid w:val="001B6882"/>
    <w:rsid w:val="001B689D"/>
    <w:rsid w:val="001B6948"/>
    <w:rsid w:val="001B6975"/>
    <w:rsid w:val="001B69CA"/>
    <w:rsid w:val="001B69D2"/>
    <w:rsid w:val="001B6AC7"/>
    <w:rsid w:val="001B6AFD"/>
    <w:rsid w:val="001B6B56"/>
    <w:rsid w:val="001B6BB6"/>
    <w:rsid w:val="001B6CB4"/>
    <w:rsid w:val="001B6D0D"/>
    <w:rsid w:val="001B6D38"/>
    <w:rsid w:val="001B6D46"/>
    <w:rsid w:val="001B6E6D"/>
    <w:rsid w:val="001B6F7B"/>
    <w:rsid w:val="001B6FDF"/>
    <w:rsid w:val="001B703F"/>
    <w:rsid w:val="001B70ED"/>
    <w:rsid w:val="001B725F"/>
    <w:rsid w:val="001B729D"/>
    <w:rsid w:val="001B72B6"/>
    <w:rsid w:val="001B7304"/>
    <w:rsid w:val="001B7308"/>
    <w:rsid w:val="001B7350"/>
    <w:rsid w:val="001B73E7"/>
    <w:rsid w:val="001B73E9"/>
    <w:rsid w:val="001B73ED"/>
    <w:rsid w:val="001B7411"/>
    <w:rsid w:val="001B7449"/>
    <w:rsid w:val="001B74B5"/>
    <w:rsid w:val="001B7523"/>
    <w:rsid w:val="001B7583"/>
    <w:rsid w:val="001B7585"/>
    <w:rsid w:val="001B75ED"/>
    <w:rsid w:val="001B7634"/>
    <w:rsid w:val="001B76AA"/>
    <w:rsid w:val="001B7745"/>
    <w:rsid w:val="001B777A"/>
    <w:rsid w:val="001B77CD"/>
    <w:rsid w:val="001B7919"/>
    <w:rsid w:val="001B796C"/>
    <w:rsid w:val="001B79B6"/>
    <w:rsid w:val="001B79EB"/>
    <w:rsid w:val="001B7A04"/>
    <w:rsid w:val="001B7A12"/>
    <w:rsid w:val="001B7A2F"/>
    <w:rsid w:val="001B7A81"/>
    <w:rsid w:val="001B7ABB"/>
    <w:rsid w:val="001B7AF2"/>
    <w:rsid w:val="001B7B24"/>
    <w:rsid w:val="001B7BA2"/>
    <w:rsid w:val="001B7BDA"/>
    <w:rsid w:val="001B7C07"/>
    <w:rsid w:val="001B7C0D"/>
    <w:rsid w:val="001B7C35"/>
    <w:rsid w:val="001B7D9C"/>
    <w:rsid w:val="001B7DA1"/>
    <w:rsid w:val="001B7E50"/>
    <w:rsid w:val="001B7E5A"/>
    <w:rsid w:val="001B7F01"/>
    <w:rsid w:val="001C01C0"/>
    <w:rsid w:val="001C03D5"/>
    <w:rsid w:val="001C048E"/>
    <w:rsid w:val="001C04CD"/>
    <w:rsid w:val="001C04EC"/>
    <w:rsid w:val="001C050F"/>
    <w:rsid w:val="001C0533"/>
    <w:rsid w:val="001C0546"/>
    <w:rsid w:val="001C078B"/>
    <w:rsid w:val="001C07FC"/>
    <w:rsid w:val="001C08EF"/>
    <w:rsid w:val="001C09B3"/>
    <w:rsid w:val="001C0A4A"/>
    <w:rsid w:val="001C0A88"/>
    <w:rsid w:val="001C0AE1"/>
    <w:rsid w:val="001C0CF3"/>
    <w:rsid w:val="001C0D00"/>
    <w:rsid w:val="001C0D8A"/>
    <w:rsid w:val="001C0DFC"/>
    <w:rsid w:val="001C0F71"/>
    <w:rsid w:val="001C0FD3"/>
    <w:rsid w:val="001C1041"/>
    <w:rsid w:val="001C10F0"/>
    <w:rsid w:val="001C1119"/>
    <w:rsid w:val="001C11A8"/>
    <w:rsid w:val="001C1285"/>
    <w:rsid w:val="001C13CC"/>
    <w:rsid w:val="001C1415"/>
    <w:rsid w:val="001C1439"/>
    <w:rsid w:val="001C1449"/>
    <w:rsid w:val="001C1459"/>
    <w:rsid w:val="001C147A"/>
    <w:rsid w:val="001C14EB"/>
    <w:rsid w:val="001C151D"/>
    <w:rsid w:val="001C15E0"/>
    <w:rsid w:val="001C15F8"/>
    <w:rsid w:val="001C166A"/>
    <w:rsid w:val="001C168C"/>
    <w:rsid w:val="001C172C"/>
    <w:rsid w:val="001C179A"/>
    <w:rsid w:val="001C1843"/>
    <w:rsid w:val="001C1878"/>
    <w:rsid w:val="001C1A47"/>
    <w:rsid w:val="001C1AA6"/>
    <w:rsid w:val="001C1AC7"/>
    <w:rsid w:val="001C1AD8"/>
    <w:rsid w:val="001C1B29"/>
    <w:rsid w:val="001C1B47"/>
    <w:rsid w:val="001C1B70"/>
    <w:rsid w:val="001C1BDA"/>
    <w:rsid w:val="001C1C25"/>
    <w:rsid w:val="001C1C46"/>
    <w:rsid w:val="001C1D1F"/>
    <w:rsid w:val="001C1DB9"/>
    <w:rsid w:val="001C1DD8"/>
    <w:rsid w:val="001C1E19"/>
    <w:rsid w:val="001C1E20"/>
    <w:rsid w:val="001C1E5E"/>
    <w:rsid w:val="001C1F13"/>
    <w:rsid w:val="001C1FEE"/>
    <w:rsid w:val="001C2016"/>
    <w:rsid w:val="001C201E"/>
    <w:rsid w:val="001C20F8"/>
    <w:rsid w:val="001C2120"/>
    <w:rsid w:val="001C215C"/>
    <w:rsid w:val="001C224B"/>
    <w:rsid w:val="001C227C"/>
    <w:rsid w:val="001C22BB"/>
    <w:rsid w:val="001C2370"/>
    <w:rsid w:val="001C237F"/>
    <w:rsid w:val="001C243F"/>
    <w:rsid w:val="001C259C"/>
    <w:rsid w:val="001C25A6"/>
    <w:rsid w:val="001C2684"/>
    <w:rsid w:val="001C26BD"/>
    <w:rsid w:val="001C276E"/>
    <w:rsid w:val="001C280F"/>
    <w:rsid w:val="001C281F"/>
    <w:rsid w:val="001C285C"/>
    <w:rsid w:val="001C28BA"/>
    <w:rsid w:val="001C28C6"/>
    <w:rsid w:val="001C2901"/>
    <w:rsid w:val="001C292B"/>
    <w:rsid w:val="001C2947"/>
    <w:rsid w:val="001C29AA"/>
    <w:rsid w:val="001C2A44"/>
    <w:rsid w:val="001C2A50"/>
    <w:rsid w:val="001C2AD5"/>
    <w:rsid w:val="001C2B7C"/>
    <w:rsid w:val="001C2BA0"/>
    <w:rsid w:val="001C2C3E"/>
    <w:rsid w:val="001C2C92"/>
    <w:rsid w:val="001C2CC3"/>
    <w:rsid w:val="001C2DBC"/>
    <w:rsid w:val="001C2DDF"/>
    <w:rsid w:val="001C2DE1"/>
    <w:rsid w:val="001C2E30"/>
    <w:rsid w:val="001C2E67"/>
    <w:rsid w:val="001C2E6A"/>
    <w:rsid w:val="001C2EEF"/>
    <w:rsid w:val="001C2F26"/>
    <w:rsid w:val="001C2FCB"/>
    <w:rsid w:val="001C3004"/>
    <w:rsid w:val="001C3061"/>
    <w:rsid w:val="001C3144"/>
    <w:rsid w:val="001C31D5"/>
    <w:rsid w:val="001C3210"/>
    <w:rsid w:val="001C347C"/>
    <w:rsid w:val="001C349D"/>
    <w:rsid w:val="001C3548"/>
    <w:rsid w:val="001C3595"/>
    <w:rsid w:val="001C3639"/>
    <w:rsid w:val="001C375A"/>
    <w:rsid w:val="001C37F4"/>
    <w:rsid w:val="001C3808"/>
    <w:rsid w:val="001C3813"/>
    <w:rsid w:val="001C390D"/>
    <w:rsid w:val="001C3974"/>
    <w:rsid w:val="001C39BB"/>
    <w:rsid w:val="001C3A6A"/>
    <w:rsid w:val="001C3AC3"/>
    <w:rsid w:val="001C3CA4"/>
    <w:rsid w:val="001C3D84"/>
    <w:rsid w:val="001C3E98"/>
    <w:rsid w:val="001C3F5A"/>
    <w:rsid w:val="001C3F6F"/>
    <w:rsid w:val="001C3FA9"/>
    <w:rsid w:val="001C3FB7"/>
    <w:rsid w:val="001C4034"/>
    <w:rsid w:val="001C4068"/>
    <w:rsid w:val="001C417F"/>
    <w:rsid w:val="001C41F2"/>
    <w:rsid w:val="001C41FE"/>
    <w:rsid w:val="001C4274"/>
    <w:rsid w:val="001C42FA"/>
    <w:rsid w:val="001C438B"/>
    <w:rsid w:val="001C4514"/>
    <w:rsid w:val="001C4573"/>
    <w:rsid w:val="001C45E0"/>
    <w:rsid w:val="001C460F"/>
    <w:rsid w:val="001C469E"/>
    <w:rsid w:val="001C46B1"/>
    <w:rsid w:val="001C479C"/>
    <w:rsid w:val="001C483E"/>
    <w:rsid w:val="001C4872"/>
    <w:rsid w:val="001C48AF"/>
    <w:rsid w:val="001C48C4"/>
    <w:rsid w:val="001C48DF"/>
    <w:rsid w:val="001C49F0"/>
    <w:rsid w:val="001C4B75"/>
    <w:rsid w:val="001C4BD6"/>
    <w:rsid w:val="001C4CAB"/>
    <w:rsid w:val="001C4D9A"/>
    <w:rsid w:val="001C4DF1"/>
    <w:rsid w:val="001C4E2A"/>
    <w:rsid w:val="001C4F70"/>
    <w:rsid w:val="001C4FAB"/>
    <w:rsid w:val="001C4FB9"/>
    <w:rsid w:val="001C509E"/>
    <w:rsid w:val="001C50CC"/>
    <w:rsid w:val="001C5194"/>
    <w:rsid w:val="001C51F6"/>
    <w:rsid w:val="001C523D"/>
    <w:rsid w:val="001C526C"/>
    <w:rsid w:val="001C534A"/>
    <w:rsid w:val="001C5395"/>
    <w:rsid w:val="001C53B7"/>
    <w:rsid w:val="001C54E1"/>
    <w:rsid w:val="001C5503"/>
    <w:rsid w:val="001C5506"/>
    <w:rsid w:val="001C55BD"/>
    <w:rsid w:val="001C5611"/>
    <w:rsid w:val="001C570B"/>
    <w:rsid w:val="001C5737"/>
    <w:rsid w:val="001C576B"/>
    <w:rsid w:val="001C57DB"/>
    <w:rsid w:val="001C580D"/>
    <w:rsid w:val="001C581B"/>
    <w:rsid w:val="001C5A75"/>
    <w:rsid w:val="001C5B2C"/>
    <w:rsid w:val="001C5B4D"/>
    <w:rsid w:val="001C5C34"/>
    <w:rsid w:val="001C5CB3"/>
    <w:rsid w:val="001C5CC2"/>
    <w:rsid w:val="001C5CC4"/>
    <w:rsid w:val="001C5D53"/>
    <w:rsid w:val="001C5DBF"/>
    <w:rsid w:val="001C5DEF"/>
    <w:rsid w:val="001C5ECC"/>
    <w:rsid w:val="001C5EF0"/>
    <w:rsid w:val="001C6038"/>
    <w:rsid w:val="001C6067"/>
    <w:rsid w:val="001C6219"/>
    <w:rsid w:val="001C63F9"/>
    <w:rsid w:val="001C6445"/>
    <w:rsid w:val="001C64A6"/>
    <w:rsid w:val="001C64DF"/>
    <w:rsid w:val="001C6598"/>
    <w:rsid w:val="001C65EE"/>
    <w:rsid w:val="001C662E"/>
    <w:rsid w:val="001C6708"/>
    <w:rsid w:val="001C675D"/>
    <w:rsid w:val="001C676D"/>
    <w:rsid w:val="001C67F3"/>
    <w:rsid w:val="001C6880"/>
    <w:rsid w:val="001C68E1"/>
    <w:rsid w:val="001C694F"/>
    <w:rsid w:val="001C69DF"/>
    <w:rsid w:val="001C69FE"/>
    <w:rsid w:val="001C6BB6"/>
    <w:rsid w:val="001C6C86"/>
    <w:rsid w:val="001C6D30"/>
    <w:rsid w:val="001C6D6B"/>
    <w:rsid w:val="001C6DBA"/>
    <w:rsid w:val="001C6DC7"/>
    <w:rsid w:val="001C6DD8"/>
    <w:rsid w:val="001C6E92"/>
    <w:rsid w:val="001C6E95"/>
    <w:rsid w:val="001C6ECC"/>
    <w:rsid w:val="001C6F80"/>
    <w:rsid w:val="001C6FF9"/>
    <w:rsid w:val="001C7098"/>
    <w:rsid w:val="001C70CA"/>
    <w:rsid w:val="001C70DB"/>
    <w:rsid w:val="001C70E2"/>
    <w:rsid w:val="001C7104"/>
    <w:rsid w:val="001C7175"/>
    <w:rsid w:val="001C72FE"/>
    <w:rsid w:val="001C731F"/>
    <w:rsid w:val="001C733D"/>
    <w:rsid w:val="001C74AC"/>
    <w:rsid w:val="001C74AF"/>
    <w:rsid w:val="001C7590"/>
    <w:rsid w:val="001C75C4"/>
    <w:rsid w:val="001C7647"/>
    <w:rsid w:val="001C785A"/>
    <w:rsid w:val="001C7867"/>
    <w:rsid w:val="001C7873"/>
    <w:rsid w:val="001C796F"/>
    <w:rsid w:val="001C79B7"/>
    <w:rsid w:val="001C79CA"/>
    <w:rsid w:val="001C79D6"/>
    <w:rsid w:val="001C79ED"/>
    <w:rsid w:val="001C79F5"/>
    <w:rsid w:val="001C7A31"/>
    <w:rsid w:val="001C7AA4"/>
    <w:rsid w:val="001C7BC7"/>
    <w:rsid w:val="001C7BD5"/>
    <w:rsid w:val="001C7CD0"/>
    <w:rsid w:val="001C7D73"/>
    <w:rsid w:val="001C7D83"/>
    <w:rsid w:val="001C7E11"/>
    <w:rsid w:val="001C7ED8"/>
    <w:rsid w:val="001C7FEA"/>
    <w:rsid w:val="001C7FED"/>
    <w:rsid w:val="001C7FEF"/>
    <w:rsid w:val="001D0020"/>
    <w:rsid w:val="001D00A0"/>
    <w:rsid w:val="001D00B7"/>
    <w:rsid w:val="001D00F1"/>
    <w:rsid w:val="001D0113"/>
    <w:rsid w:val="001D01B7"/>
    <w:rsid w:val="001D029E"/>
    <w:rsid w:val="001D02AD"/>
    <w:rsid w:val="001D02DD"/>
    <w:rsid w:val="001D030A"/>
    <w:rsid w:val="001D0389"/>
    <w:rsid w:val="001D03E4"/>
    <w:rsid w:val="001D04EB"/>
    <w:rsid w:val="001D0680"/>
    <w:rsid w:val="001D06AB"/>
    <w:rsid w:val="001D06C1"/>
    <w:rsid w:val="001D0720"/>
    <w:rsid w:val="001D0786"/>
    <w:rsid w:val="001D080E"/>
    <w:rsid w:val="001D0889"/>
    <w:rsid w:val="001D08DC"/>
    <w:rsid w:val="001D08E0"/>
    <w:rsid w:val="001D08F1"/>
    <w:rsid w:val="001D09C5"/>
    <w:rsid w:val="001D0A4C"/>
    <w:rsid w:val="001D0AC4"/>
    <w:rsid w:val="001D0B29"/>
    <w:rsid w:val="001D0B4A"/>
    <w:rsid w:val="001D0C0F"/>
    <w:rsid w:val="001D0C39"/>
    <w:rsid w:val="001D0D1B"/>
    <w:rsid w:val="001D0D52"/>
    <w:rsid w:val="001D0E95"/>
    <w:rsid w:val="001D0F3D"/>
    <w:rsid w:val="001D0F91"/>
    <w:rsid w:val="001D0F95"/>
    <w:rsid w:val="001D0F98"/>
    <w:rsid w:val="001D0FBB"/>
    <w:rsid w:val="001D101D"/>
    <w:rsid w:val="001D1121"/>
    <w:rsid w:val="001D1173"/>
    <w:rsid w:val="001D11E8"/>
    <w:rsid w:val="001D126B"/>
    <w:rsid w:val="001D12D0"/>
    <w:rsid w:val="001D1327"/>
    <w:rsid w:val="001D13A3"/>
    <w:rsid w:val="001D15D5"/>
    <w:rsid w:val="001D16BB"/>
    <w:rsid w:val="001D1958"/>
    <w:rsid w:val="001D1A00"/>
    <w:rsid w:val="001D1A69"/>
    <w:rsid w:val="001D1AB5"/>
    <w:rsid w:val="001D1B06"/>
    <w:rsid w:val="001D1B14"/>
    <w:rsid w:val="001D1B26"/>
    <w:rsid w:val="001D1B2E"/>
    <w:rsid w:val="001D1B6E"/>
    <w:rsid w:val="001D1BB6"/>
    <w:rsid w:val="001D1C5C"/>
    <w:rsid w:val="001D1C70"/>
    <w:rsid w:val="001D1C7C"/>
    <w:rsid w:val="001D1CD1"/>
    <w:rsid w:val="001D1D2C"/>
    <w:rsid w:val="001D1E78"/>
    <w:rsid w:val="001D1F2C"/>
    <w:rsid w:val="001D2071"/>
    <w:rsid w:val="001D208C"/>
    <w:rsid w:val="001D2119"/>
    <w:rsid w:val="001D2128"/>
    <w:rsid w:val="001D21E6"/>
    <w:rsid w:val="001D223D"/>
    <w:rsid w:val="001D224A"/>
    <w:rsid w:val="001D2265"/>
    <w:rsid w:val="001D2410"/>
    <w:rsid w:val="001D2411"/>
    <w:rsid w:val="001D2425"/>
    <w:rsid w:val="001D2461"/>
    <w:rsid w:val="001D248B"/>
    <w:rsid w:val="001D24D9"/>
    <w:rsid w:val="001D2551"/>
    <w:rsid w:val="001D25DE"/>
    <w:rsid w:val="001D25EC"/>
    <w:rsid w:val="001D26A3"/>
    <w:rsid w:val="001D26F1"/>
    <w:rsid w:val="001D271E"/>
    <w:rsid w:val="001D2751"/>
    <w:rsid w:val="001D2794"/>
    <w:rsid w:val="001D27DB"/>
    <w:rsid w:val="001D292E"/>
    <w:rsid w:val="001D2958"/>
    <w:rsid w:val="001D29FA"/>
    <w:rsid w:val="001D2A88"/>
    <w:rsid w:val="001D2BC3"/>
    <w:rsid w:val="001D2C53"/>
    <w:rsid w:val="001D2C6C"/>
    <w:rsid w:val="001D2C86"/>
    <w:rsid w:val="001D2C8E"/>
    <w:rsid w:val="001D2D3F"/>
    <w:rsid w:val="001D2D70"/>
    <w:rsid w:val="001D2D9A"/>
    <w:rsid w:val="001D2E52"/>
    <w:rsid w:val="001D2E9B"/>
    <w:rsid w:val="001D30DC"/>
    <w:rsid w:val="001D3218"/>
    <w:rsid w:val="001D3254"/>
    <w:rsid w:val="001D3379"/>
    <w:rsid w:val="001D33C2"/>
    <w:rsid w:val="001D341F"/>
    <w:rsid w:val="001D3479"/>
    <w:rsid w:val="001D354E"/>
    <w:rsid w:val="001D3575"/>
    <w:rsid w:val="001D3578"/>
    <w:rsid w:val="001D37A2"/>
    <w:rsid w:val="001D37A6"/>
    <w:rsid w:val="001D3881"/>
    <w:rsid w:val="001D39E2"/>
    <w:rsid w:val="001D39FE"/>
    <w:rsid w:val="001D3AEC"/>
    <w:rsid w:val="001D3BB6"/>
    <w:rsid w:val="001D3BDD"/>
    <w:rsid w:val="001D3C7D"/>
    <w:rsid w:val="001D3CF8"/>
    <w:rsid w:val="001D3D0A"/>
    <w:rsid w:val="001D3D88"/>
    <w:rsid w:val="001D3DB7"/>
    <w:rsid w:val="001D3DDF"/>
    <w:rsid w:val="001D3EB4"/>
    <w:rsid w:val="001D3F42"/>
    <w:rsid w:val="001D40A2"/>
    <w:rsid w:val="001D4117"/>
    <w:rsid w:val="001D41A6"/>
    <w:rsid w:val="001D41B2"/>
    <w:rsid w:val="001D4273"/>
    <w:rsid w:val="001D43A9"/>
    <w:rsid w:val="001D43CA"/>
    <w:rsid w:val="001D449A"/>
    <w:rsid w:val="001D44FE"/>
    <w:rsid w:val="001D4532"/>
    <w:rsid w:val="001D454B"/>
    <w:rsid w:val="001D45B0"/>
    <w:rsid w:val="001D4601"/>
    <w:rsid w:val="001D4648"/>
    <w:rsid w:val="001D4663"/>
    <w:rsid w:val="001D46C7"/>
    <w:rsid w:val="001D47C1"/>
    <w:rsid w:val="001D480C"/>
    <w:rsid w:val="001D4858"/>
    <w:rsid w:val="001D487F"/>
    <w:rsid w:val="001D48A3"/>
    <w:rsid w:val="001D4993"/>
    <w:rsid w:val="001D49A9"/>
    <w:rsid w:val="001D4A0D"/>
    <w:rsid w:val="001D4A3C"/>
    <w:rsid w:val="001D4C3D"/>
    <w:rsid w:val="001D4CEC"/>
    <w:rsid w:val="001D4D67"/>
    <w:rsid w:val="001D4E76"/>
    <w:rsid w:val="001D4E9D"/>
    <w:rsid w:val="001D4EC3"/>
    <w:rsid w:val="001D4ECA"/>
    <w:rsid w:val="001D4F25"/>
    <w:rsid w:val="001D5020"/>
    <w:rsid w:val="001D504A"/>
    <w:rsid w:val="001D50EC"/>
    <w:rsid w:val="001D50F5"/>
    <w:rsid w:val="001D5146"/>
    <w:rsid w:val="001D5209"/>
    <w:rsid w:val="001D52A5"/>
    <w:rsid w:val="001D5314"/>
    <w:rsid w:val="001D5338"/>
    <w:rsid w:val="001D54A8"/>
    <w:rsid w:val="001D556D"/>
    <w:rsid w:val="001D55B8"/>
    <w:rsid w:val="001D55C5"/>
    <w:rsid w:val="001D5637"/>
    <w:rsid w:val="001D579D"/>
    <w:rsid w:val="001D5895"/>
    <w:rsid w:val="001D5982"/>
    <w:rsid w:val="001D5990"/>
    <w:rsid w:val="001D5ACB"/>
    <w:rsid w:val="001D5B33"/>
    <w:rsid w:val="001D5B88"/>
    <w:rsid w:val="001D5BE5"/>
    <w:rsid w:val="001D5C06"/>
    <w:rsid w:val="001D5D45"/>
    <w:rsid w:val="001D5DFC"/>
    <w:rsid w:val="001D5E29"/>
    <w:rsid w:val="001D5E59"/>
    <w:rsid w:val="001D5F7E"/>
    <w:rsid w:val="001D5FC6"/>
    <w:rsid w:val="001D60AB"/>
    <w:rsid w:val="001D6176"/>
    <w:rsid w:val="001D622B"/>
    <w:rsid w:val="001D6285"/>
    <w:rsid w:val="001D64C1"/>
    <w:rsid w:val="001D654E"/>
    <w:rsid w:val="001D6553"/>
    <w:rsid w:val="001D656F"/>
    <w:rsid w:val="001D6679"/>
    <w:rsid w:val="001D6684"/>
    <w:rsid w:val="001D678E"/>
    <w:rsid w:val="001D679A"/>
    <w:rsid w:val="001D6809"/>
    <w:rsid w:val="001D683C"/>
    <w:rsid w:val="001D699F"/>
    <w:rsid w:val="001D6A7A"/>
    <w:rsid w:val="001D6AE4"/>
    <w:rsid w:val="001D6AFB"/>
    <w:rsid w:val="001D6C40"/>
    <w:rsid w:val="001D6DDE"/>
    <w:rsid w:val="001D6DF6"/>
    <w:rsid w:val="001D6E03"/>
    <w:rsid w:val="001D6E93"/>
    <w:rsid w:val="001D6EE6"/>
    <w:rsid w:val="001D6F2B"/>
    <w:rsid w:val="001D6F69"/>
    <w:rsid w:val="001D7007"/>
    <w:rsid w:val="001D703E"/>
    <w:rsid w:val="001D7083"/>
    <w:rsid w:val="001D70B7"/>
    <w:rsid w:val="001D7131"/>
    <w:rsid w:val="001D714C"/>
    <w:rsid w:val="001D7252"/>
    <w:rsid w:val="001D72D1"/>
    <w:rsid w:val="001D733C"/>
    <w:rsid w:val="001D73F7"/>
    <w:rsid w:val="001D7444"/>
    <w:rsid w:val="001D7455"/>
    <w:rsid w:val="001D75B0"/>
    <w:rsid w:val="001D764A"/>
    <w:rsid w:val="001D7754"/>
    <w:rsid w:val="001D7937"/>
    <w:rsid w:val="001D7A42"/>
    <w:rsid w:val="001D7A90"/>
    <w:rsid w:val="001D7C05"/>
    <w:rsid w:val="001D7C35"/>
    <w:rsid w:val="001D7C78"/>
    <w:rsid w:val="001D7CE1"/>
    <w:rsid w:val="001D7DEF"/>
    <w:rsid w:val="001D7E53"/>
    <w:rsid w:val="001D7E76"/>
    <w:rsid w:val="001D7EB5"/>
    <w:rsid w:val="001D7EEB"/>
    <w:rsid w:val="001D7F02"/>
    <w:rsid w:val="001DDAC8"/>
    <w:rsid w:val="001E00D6"/>
    <w:rsid w:val="001E00FC"/>
    <w:rsid w:val="001E017D"/>
    <w:rsid w:val="001E01AC"/>
    <w:rsid w:val="001E02B7"/>
    <w:rsid w:val="001E034B"/>
    <w:rsid w:val="001E034D"/>
    <w:rsid w:val="001E03C5"/>
    <w:rsid w:val="001E03E8"/>
    <w:rsid w:val="001E03EA"/>
    <w:rsid w:val="001E049D"/>
    <w:rsid w:val="001E04B4"/>
    <w:rsid w:val="001E04BE"/>
    <w:rsid w:val="001E05C1"/>
    <w:rsid w:val="001E05CB"/>
    <w:rsid w:val="001E0627"/>
    <w:rsid w:val="001E0676"/>
    <w:rsid w:val="001E0717"/>
    <w:rsid w:val="001E07DE"/>
    <w:rsid w:val="001E0891"/>
    <w:rsid w:val="001E090B"/>
    <w:rsid w:val="001E094B"/>
    <w:rsid w:val="001E0A07"/>
    <w:rsid w:val="001E0A09"/>
    <w:rsid w:val="001E0A36"/>
    <w:rsid w:val="001E0A41"/>
    <w:rsid w:val="001E0A7B"/>
    <w:rsid w:val="001E0A7E"/>
    <w:rsid w:val="001E0ACC"/>
    <w:rsid w:val="001E0B43"/>
    <w:rsid w:val="001E0BCB"/>
    <w:rsid w:val="001E0C46"/>
    <w:rsid w:val="001E0C72"/>
    <w:rsid w:val="001E0D27"/>
    <w:rsid w:val="001E0DF8"/>
    <w:rsid w:val="001E0E06"/>
    <w:rsid w:val="001E0F29"/>
    <w:rsid w:val="001E1078"/>
    <w:rsid w:val="001E11CC"/>
    <w:rsid w:val="001E11DB"/>
    <w:rsid w:val="001E129B"/>
    <w:rsid w:val="001E13C2"/>
    <w:rsid w:val="001E145E"/>
    <w:rsid w:val="001E1491"/>
    <w:rsid w:val="001E14CB"/>
    <w:rsid w:val="001E1573"/>
    <w:rsid w:val="001E158D"/>
    <w:rsid w:val="001E15A2"/>
    <w:rsid w:val="001E15CF"/>
    <w:rsid w:val="001E16EB"/>
    <w:rsid w:val="001E178E"/>
    <w:rsid w:val="001E1870"/>
    <w:rsid w:val="001E1871"/>
    <w:rsid w:val="001E1A4E"/>
    <w:rsid w:val="001E1A59"/>
    <w:rsid w:val="001E1AB8"/>
    <w:rsid w:val="001E1D05"/>
    <w:rsid w:val="001E1D7C"/>
    <w:rsid w:val="001E1EC1"/>
    <w:rsid w:val="001E1EDE"/>
    <w:rsid w:val="001E1F61"/>
    <w:rsid w:val="001E203F"/>
    <w:rsid w:val="001E2051"/>
    <w:rsid w:val="001E206A"/>
    <w:rsid w:val="001E208C"/>
    <w:rsid w:val="001E2133"/>
    <w:rsid w:val="001E2172"/>
    <w:rsid w:val="001E2259"/>
    <w:rsid w:val="001E2298"/>
    <w:rsid w:val="001E2321"/>
    <w:rsid w:val="001E24A6"/>
    <w:rsid w:val="001E24C1"/>
    <w:rsid w:val="001E26ED"/>
    <w:rsid w:val="001E27A4"/>
    <w:rsid w:val="001E27B7"/>
    <w:rsid w:val="001E2825"/>
    <w:rsid w:val="001E2862"/>
    <w:rsid w:val="001E2893"/>
    <w:rsid w:val="001E2914"/>
    <w:rsid w:val="001E2919"/>
    <w:rsid w:val="001E291F"/>
    <w:rsid w:val="001E2A5D"/>
    <w:rsid w:val="001E2AC0"/>
    <w:rsid w:val="001E2AE3"/>
    <w:rsid w:val="001E2B11"/>
    <w:rsid w:val="001E2B3B"/>
    <w:rsid w:val="001E2B46"/>
    <w:rsid w:val="001E2C05"/>
    <w:rsid w:val="001E2CF8"/>
    <w:rsid w:val="001E2D9C"/>
    <w:rsid w:val="001E2DD0"/>
    <w:rsid w:val="001E2DFC"/>
    <w:rsid w:val="001E2E23"/>
    <w:rsid w:val="001E2E3E"/>
    <w:rsid w:val="001E2E69"/>
    <w:rsid w:val="001E2EA4"/>
    <w:rsid w:val="001E2F4C"/>
    <w:rsid w:val="001E2F50"/>
    <w:rsid w:val="001E2F55"/>
    <w:rsid w:val="001E2F58"/>
    <w:rsid w:val="001E2F87"/>
    <w:rsid w:val="001E305C"/>
    <w:rsid w:val="001E314D"/>
    <w:rsid w:val="001E3174"/>
    <w:rsid w:val="001E317B"/>
    <w:rsid w:val="001E31D5"/>
    <w:rsid w:val="001E3202"/>
    <w:rsid w:val="001E3279"/>
    <w:rsid w:val="001E3286"/>
    <w:rsid w:val="001E3289"/>
    <w:rsid w:val="001E32FD"/>
    <w:rsid w:val="001E33FA"/>
    <w:rsid w:val="001E350E"/>
    <w:rsid w:val="001E3749"/>
    <w:rsid w:val="001E379E"/>
    <w:rsid w:val="001E37CE"/>
    <w:rsid w:val="001E38BE"/>
    <w:rsid w:val="001E39E3"/>
    <w:rsid w:val="001E3B17"/>
    <w:rsid w:val="001E3C07"/>
    <w:rsid w:val="001E3C2E"/>
    <w:rsid w:val="001E3C3B"/>
    <w:rsid w:val="001E3CA4"/>
    <w:rsid w:val="001E3CC0"/>
    <w:rsid w:val="001E3D53"/>
    <w:rsid w:val="001E3FBD"/>
    <w:rsid w:val="001E4054"/>
    <w:rsid w:val="001E405D"/>
    <w:rsid w:val="001E4079"/>
    <w:rsid w:val="001E40ED"/>
    <w:rsid w:val="001E41E0"/>
    <w:rsid w:val="001E41EB"/>
    <w:rsid w:val="001E42C8"/>
    <w:rsid w:val="001E4356"/>
    <w:rsid w:val="001E43F1"/>
    <w:rsid w:val="001E43FD"/>
    <w:rsid w:val="001E44A8"/>
    <w:rsid w:val="001E451E"/>
    <w:rsid w:val="001E4549"/>
    <w:rsid w:val="001E45BC"/>
    <w:rsid w:val="001E45D6"/>
    <w:rsid w:val="001E45FD"/>
    <w:rsid w:val="001E461A"/>
    <w:rsid w:val="001E4694"/>
    <w:rsid w:val="001E4705"/>
    <w:rsid w:val="001E47A2"/>
    <w:rsid w:val="001E484B"/>
    <w:rsid w:val="001E4912"/>
    <w:rsid w:val="001E4931"/>
    <w:rsid w:val="001E4A20"/>
    <w:rsid w:val="001E4AF9"/>
    <w:rsid w:val="001E4D84"/>
    <w:rsid w:val="001E4DA9"/>
    <w:rsid w:val="001E4E04"/>
    <w:rsid w:val="001E4E57"/>
    <w:rsid w:val="001E4EC9"/>
    <w:rsid w:val="001E4F48"/>
    <w:rsid w:val="001E4FC3"/>
    <w:rsid w:val="001E4FD0"/>
    <w:rsid w:val="001E500A"/>
    <w:rsid w:val="001E5085"/>
    <w:rsid w:val="001E5221"/>
    <w:rsid w:val="001E5275"/>
    <w:rsid w:val="001E533A"/>
    <w:rsid w:val="001E542F"/>
    <w:rsid w:val="001E5509"/>
    <w:rsid w:val="001E5689"/>
    <w:rsid w:val="001E5787"/>
    <w:rsid w:val="001E5798"/>
    <w:rsid w:val="001E57DD"/>
    <w:rsid w:val="001E58AA"/>
    <w:rsid w:val="001E58AB"/>
    <w:rsid w:val="001E58C2"/>
    <w:rsid w:val="001E5923"/>
    <w:rsid w:val="001E5967"/>
    <w:rsid w:val="001E5986"/>
    <w:rsid w:val="001E5A1F"/>
    <w:rsid w:val="001E5A36"/>
    <w:rsid w:val="001E5B10"/>
    <w:rsid w:val="001E5B37"/>
    <w:rsid w:val="001E5BD7"/>
    <w:rsid w:val="001E5C58"/>
    <w:rsid w:val="001E5D43"/>
    <w:rsid w:val="001E5D54"/>
    <w:rsid w:val="001E5E55"/>
    <w:rsid w:val="001E5EEB"/>
    <w:rsid w:val="001E5EFE"/>
    <w:rsid w:val="001E5FC3"/>
    <w:rsid w:val="001E6068"/>
    <w:rsid w:val="001E60E6"/>
    <w:rsid w:val="001E613B"/>
    <w:rsid w:val="001E61A6"/>
    <w:rsid w:val="001E61C3"/>
    <w:rsid w:val="001E621F"/>
    <w:rsid w:val="001E6254"/>
    <w:rsid w:val="001E62A6"/>
    <w:rsid w:val="001E63D4"/>
    <w:rsid w:val="001E63EB"/>
    <w:rsid w:val="001E6464"/>
    <w:rsid w:val="001E64F8"/>
    <w:rsid w:val="001E6538"/>
    <w:rsid w:val="001E653B"/>
    <w:rsid w:val="001E6640"/>
    <w:rsid w:val="001E6794"/>
    <w:rsid w:val="001E686D"/>
    <w:rsid w:val="001E68C4"/>
    <w:rsid w:val="001E68CD"/>
    <w:rsid w:val="001E68D3"/>
    <w:rsid w:val="001E6987"/>
    <w:rsid w:val="001E69D8"/>
    <w:rsid w:val="001E6A1F"/>
    <w:rsid w:val="001E6A8C"/>
    <w:rsid w:val="001E6B1F"/>
    <w:rsid w:val="001E6B6F"/>
    <w:rsid w:val="001E6BEC"/>
    <w:rsid w:val="001E6C28"/>
    <w:rsid w:val="001E6CE5"/>
    <w:rsid w:val="001E6D0E"/>
    <w:rsid w:val="001E6D76"/>
    <w:rsid w:val="001E6D86"/>
    <w:rsid w:val="001E6E59"/>
    <w:rsid w:val="001E6EF1"/>
    <w:rsid w:val="001E6F0F"/>
    <w:rsid w:val="001E6F36"/>
    <w:rsid w:val="001E6F74"/>
    <w:rsid w:val="001E7086"/>
    <w:rsid w:val="001E70B7"/>
    <w:rsid w:val="001E70D4"/>
    <w:rsid w:val="001E7205"/>
    <w:rsid w:val="001E7308"/>
    <w:rsid w:val="001E7309"/>
    <w:rsid w:val="001E735C"/>
    <w:rsid w:val="001E7376"/>
    <w:rsid w:val="001E738B"/>
    <w:rsid w:val="001E73E9"/>
    <w:rsid w:val="001E7415"/>
    <w:rsid w:val="001E7472"/>
    <w:rsid w:val="001E76BD"/>
    <w:rsid w:val="001E7703"/>
    <w:rsid w:val="001E779E"/>
    <w:rsid w:val="001E77F0"/>
    <w:rsid w:val="001E787B"/>
    <w:rsid w:val="001E78DE"/>
    <w:rsid w:val="001E7917"/>
    <w:rsid w:val="001E7985"/>
    <w:rsid w:val="001E7A22"/>
    <w:rsid w:val="001E7AF4"/>
    <w:rsid w:val="001E7B01"/>
    <w:rsid w:val="001E7B39"/>
    <w:rsid w:val="001E7B5B"/>
    <w:rsid w:val="001E7BD0"/>
    <w:rsid w:val="001E7C07"/>
    <w:rsid w:val="001E7D04"/>
    <w:rsid w:val="001E7D1A"/>
    <w:rsid w:val="001E7D3D"/>
    <w:rsid w:val="001E7D47"/>
    <w:rsid w:val="001E7EA5"/>
    <w:rsid w:val="001E7ED5"/>
    <w:rsid w:val="001E7F2F"/>
    <w:rsid w:val="001E7FF5"/>
    <w:rsid w:val="001E7FFA"/>
    <w:rsid w:val="001F0048"/>
    <w:rsid w:val="001F0098"/>
    <w:rsid w:val="001F00C1"/>
    <w:rsid w:val="001F014A"/>
    <w:rsid w:val="001F01AF"/>
    <w:rsid w:val="001F0206"/>
    <w:rsid w:val="001F021C"/>
    <w:rsid w:val="001F022E"/>
    <w:rsid w:val="001F023A"/>
    <w:rsid w:val="001F028C"/>
    <w:rsid w:val="001F02C9"/>
    <w:rsid w:val="001F0301"/>
    <w:rsid w:val="001F0472"/>
    <w:rsid w:val="001F0484"/>
    <w:rsid w:val="001F04BA"/>
    <w:rsid w:val="001F0529"/>
    <w:rsid w:val="001F059F"/>
    <w:rsid w:val="001F0681"/>
    <w:rsid w:val="001F06D3"/>
    <w:rsid w:val="001F06E6"/>
    <w:rsid w:val="001F0734"/>
    <w:rsid w:val="001F07C0"/>
    <w:rsid w:val="001F0810"/>
    <w:rsid w:val="001F0811"/>
    <w:rsid w:val="001F081F"/>
    <w:rsid w:val="001F0886"/>
    <w:rsid w:val="001F0889"/>
    <w:rsid w:val="001F08B5"/>
    <w:rsid w:val="001F0932"/>
    <w:rsid w:val="001F09A9"/>
    <w:rsid w:val="001F0A4A"/>
    <w:rsid w:val="001F0ADA"/>
    <w:rsid w:val="001F0B06"/>
    <w:rsid w:val="001F0B68"/>
    <w:rsid w:val="001F0B6B"/>
    <w:rsid w:val="001F0C76"/>
    <w:rsid w:val="001F0C80"/>
    <w:rsid w:val="001F0CEF"/>
    <w:rsid w:val="001F0CFC"/>
    <w:rsid w:val="001F0E2D"/>
    <w:rsid w:val="001F0E97"/>
    <w:rsid w:val="001F0EE7"/>
    <w:rsid w:val="001F0FFF"/>
    <w:rsid w:val="001F10BB"/>
    <w:rsid w:val="001F10C2"/>
    <w:rsid w:val="001F10C5"/>
    <w:rsid w:val="001F1132"/>
    <w:rsid w:val="001F11A6"/>
    <w:rsid w:val="001F11C7"/>
    <w:rsid w:val="001F12A0"/>
    <w:rsid w:val="001F1322"/>
    <w:rsid w:val="001F1327"/>
    <w:rsid w:val="001F13A5"/>
    <w:rsid w:val="001F13DF"/>
    <w:rsid w:val="001F1470"/>
    <w:rsid w:val="001F1498"/>
    <w:rsid w:val="001F14B4"/>
    <w:rsid w:val="001F14D5"/>
    <w:rsid w:val="001F156B"/>
    <w:rsid w:val="001F1574"/>
    <w:rsid w:val="001F157D"/>
    <w:rsid w:val="001F1601"/>
    <w:rsid w:val="001F1612"/>
    <w:rsid w:val="001F1704"/>
    <w:rsid w:val="001F17D0"/>
    <w:rsid w:val="001F17D2"/>
    <w:rsid w:val="001F1869"/>
    <w:rsid w:val="001F18F9"/>
    <w:rsid w:val="001F1905"/>
    <w:rsid w:val="001F1956"/>
    <w:rsid w:val="001F19E3"/>
    <w:rsid w:val="001F1A50"/>
    <w:rsid w:val="001F1A7D"/>
    <w:rsid w:val="001F1BA9"/>
    <w:rsid w:val="001F1BBE"/>
    <w:rsid w:val="001F1DCB"/>
    <w:rsid w:val="001F1FB2"/>
    <w:rsid w:val="001F1FCD"/>
    <w:rsid w:val="001F2043"/>
    <w:rsid w:val="001F20A3"/>
    <w:rsid w:val="001F20BA"/>
    <w:rsid w:val="001F20CC"/>
    <w:rsid w:val="001F20DE"/>
    <w:rsid w:val="001F2132"/>
    <w:rsid w:val="001F217E"/>
    <w:rsid w:val="001F227A"/>
    <w:rsid w:val="001F229B"/>
    <w:rsid w:val="001F22B1"/>
    <w:rsid w:val="001F2496"/>
    <w:rsid w:val="001F249F"/>
    <w:rsid w:val="001F255F"/>
    <w:rsid w:val="001F2601"/>
    <w:rsid w:val="001F2676"/>
    <w:rsid w:val="001F276C"/>
    <w:rsid w:val="001F2854"/>
    <w:rsid w:val="001F2932"/>
    <w:rsid w:val="001F294A"/>
    <w:rsid w:val="001F297D"/>
    <w:rsid w:val="001F29E0"/>
    <w:rsid w:val="001F2ABB"/>
    <w:rsid w:val="001F2B21"/>
    <w:rsid w:val="001F2C2A"/>
    <w:rsid w:val="001F2C9E"/>
    <w:rsid w:val="001F2E2E"/>
    <w:rsid w:val="001F2ED9"/>
    <w:rsid w:val="001F2F2E"/>
    <w:rsid w:val="001F30CB"/>
    <w:rsid w:val="001F30EC"/>
    <w:rsid w:val="001F3132"/>
    <w:rsid w:val="001F31A5"/>
    <w:rsid w:val="001F31CD"/>
    <w:rsid w:val="001F3294"/>
    <w:rsid w:val="001F3306"/>
    <w:rsid w:val="001F33A5"/>
    <w:rsid w:val="001F33BE"/>
    <w:rsid w:val="001F3568"/>
    <w:rsid w:val="001F3657"/>
    <w:rsid w:val="001F36BB"/>
    <w:rsid w:val="001F36E3"/>
    <w:rsid w:val="001F3710"/>
    <w:rsid w:val="001F375D"/>
    <w:rsid w:val="001F38A1"/>
    <w:rsid w:val="001F38F6"/>
    <w:rsid w:val="001F39DE"/>
    <w:rsid w:val="001F3A8B"/>
    <w:rsid w:val="001F3AF3"/>
    <w:rsid w:val="001F3B80"/>
    <w:rsid w:val="001F3B97"/>
    <w:rsid w:val="001F3BED"/>
    <w:rsid w:val="001F3C08"/>
    <w:rsid w:val="001F3C25"/>
    <w:rsid w:val="001F3CBF"/>
    <w:rsid w:val="001F3D7E"/>
    <w:rsid w:val="001F3DE8"/>
    <w:rsid w:val="001F3E55"/>
    <w:rsid w:val="001F3EB7"/>
    <w:rsid w:val="001F3F10"/>
    <w:rsid w:val="001F3F42"/>
    <w:rsid w:val="001F3F94"/>
    <w:rsid w:val="001F3F9E"/>
    <w:rsid w:val="001F400F"/>
    <w:rsid w:val="001F4018"/>
    <w:rsid w:val="001F4096"/>
    <w:rsid w:val="001F40A5"/>
    <w:rsid w:val="001F4221"/>
    <w:rsid w:val="001F4265"/>
    <w:rsid w:val="001F4283"/>
    <w:rsid w:val="001F4285"/>
    <w:rsid w:val="001F42C1"/>
    <w:rsid w:val="001F4302"/>
    <w:rsid w:val="001F430C"/>
    <w:rsid w:val="001F43E6"/>
    <w:rsid w:val="001F445A"/>
    <w:rsid w:val="001F44FA"/>
    <w:rsid w:val="001F450F"/>
    <w:rsid w:val="001F45A4"/>
    <w:rsid w:val="001F465C"/>
    <w:rsid w:val="001F4734"/>
    <w:rsid w:val="001F4842"/>
    <w:rsid w:val="001F4871"/>
    <w:rsid w:val="001F48D4"/>
    <w:rsid w:val="001F48DA"/>
    <w:rsid w:val="001F491E"/>
    <w:rsid w:val="001F4931"/>
    <w:rsid w:val="001F494D"/>
    <w:rsid w:val="001F4A46"/>
    <w:rsid w:val="001F4AE8"/>
    <w:rsid w:val="001F4BB9"/>
    <w:rsid w:val="001F4C3D"/>
    <w:rsid w:val="001F4C52"/>
    <w:rsid w:val="001F4E3D"/>
    <w:rsid w:val="001F4E4A"/>
    <w:rsid w:val="001F4F4E"/>
    <w:rsid w:val="001F5043"/>
    <w:rsid w:val="001F5090"/>
    <w:rsid w:val="001F5220"/>
    <w:rsid w:val="001F52E2"/>
    <w:rsid w:val="001F52EE"/>
    <w:rsid w:val="001F52F5"/>
    <w:rsid w:val="001F5321"/>
    <w:rsid w:val="001F5462"/>
    <w:rsid w:val="001F5496"/>
    <w:rsid w:val="001F5546"/>
    <w:rsid w:val="001F559C"/>
    <w:rsid w:val="001F5696"/>
    <w:rsid w:val="001F5704"/>
    <w:rsid w:val="001F572F"/>
    <w:rsid w:val="001F579D"/>
    <w:rsid w:val="001F5892"/>
    <w:rsid w:val="001F58B1"/>
    <w:rsid w:val="001F5962"/>
    <w:rsid w:val="001F59C5"/>
    <w:rsid w:val="001F5A2E"/>
    <w:rsid w:val="001F5ACE"/>
    <w:rsid w:val="001F5B01"/>
    <w:rsid w:val="001F5B4E"/>
    <w:rsid w:val="001F5C00"/>
    <w:rsid w:val="001F5D1A"/>
    <w:rsid w:val="001F5DBD"/>
    <w:rsid w:val="001F5DD4"/>
    <w:rsid w:val="001F5E05"/>
    <w:rsid w:val="001F5E58"/>
    <w:rsid w:val="001F5EE0"/>
    <w:rsid w:val="001F5F7F"/>
    <w:rsid w:val="001F605F"/>
    <w:rsid w:val="001F6122"/>
    <w:rsid w:val="001F61BF"/>
    <w:rsid w:val="001F61F8"/>
    <w:rsid w:val="001F625A"/>
    <w:rsid w:val="001F62B7"/>
    <w:rsid w:val="001F6312"/>
    <w:rsid w:val="001F631F"/>
    <w:rsid w:val="001F639D"/>
    <w:rsid w:val="001F63F0"/>
    <w:rsid w:val="001F63F9"/>
    <w:rsid w:val="001F643D"/>
    <w:rsid w:val="001F64AE"/>
    <w:rsid w:val="001F650F"/>
    <w:rsid w:val="001F6523"/>
    <w:rsid w:val="001F654B"/>
    <w:rsid w:val="001F6597"/>
    <w:rsid w:val="001F65AE"/>
    <w:rsid w:val="001F65D9"/>
    <w:rsid w:val="001F65DE"/>
    <w:rsid w:val="001F664C"/>
    <w:rsid w:val="001F6664"/>
    <w:rsid w:val="001F66C3"/>
    <w:rsid w:val="001F6721"/>
    <w:rsid w:val="001F6789"/>
    <w:rsid w:val="001F67D8"/>
    <w:rsid w:val="001F694A"/>
    <w:rsid w:val="001F6A54"/>
    <w:rsid w:val="001F6AA4"/>
    <w:rsid w:val="001F6B07"/>
    <w:rsid w:val="001F6BC1"/>
    <w:rsid w:val="001F6C46"/>
    <w:rsid w:val="001F6C72"/>
    <w:rsid w:val="001F6CA6"/>
    <w:rsid w:val="001F6CF5"/>
    <w:rsid w:val="001F6D4F"/>
    <w:rsid w:val="001F6DED"/>
    <w:rsid w:val="001F6E01"/>
    <w:rsid w:val="001F6F7D"/>
    <w:rsid w:val="001F6F93"/>
    <w:rsid w:val="001F6FAF"/>
    <w:rsid w:val="001F7145"/>
    <w:rsid w:val="001F7182"/>
    <w:rsid w:val="001F7199"/>
    <w:rsid w:val="001F71B0"/>
    <w:rsid w:val="001F71E4"/>
    <w:rsid w:val="001F7278"/>
    <w:rsid w:val="001F737A"/>
    <w:rsid w:val="001F73BA"/>
    <w:rsid w:val="001F73D0"/>
    <w:rsid w:val="001F73D4"/>
    <w:rsid w:val="001F73EF"/>
    <w:rsid w:val="001F7473"/>
    <w:rsid w:val="001F74B4"/>
    <w:rsid w:val="001F74C6"/>
    <w:rsid w:val="001F754F"/>
    <w:rsid w:val="001F75E2"/>
    <w:rsid w:val="001F76D2"/>
    <w:rsid w:val="001F76FB"/>
    <w:rsid w:val="001F77D0"/>
    <w:rsid w:val="001F77F5"/>
    <w:rsid w:val="001F7996"/>
    <w:rsid w:val="001F7A12"/>
    <w:rsid w:val="001F7A7B"/>
    <w:rsid w:val="001F7A96"/>
    <w:rsid w:val="001F7BF6"/>
    <w:rsid w:val="001F7C7D"/>
    <w:rsid w:val="001F7C83"/>
    <w:rsid w:val="001F7D7F"/>
    <w:rsid w:val="001F7DA6"/>
    <w:rsid w:val="001F7DD8"/>
    <w:rsid w:val="001F7E16"/>
    <w:rsid w:val="001F7E66"/>
    <w:rsid w:val="001F7F0D"/>
    <w:rsid w:val="001F7F12"/>
    <w:rsid w:val="001F7F1C"/>
    <w:rsid w:val="001F7FD1"/>
    <w:rsid w:val="001F7FF0"/>
    <w:rsid w:val="00200072"/>
    <w:rsid w:val="002000A3"/>
    <w:rsid w:val="002000E5"/>
    <w:rsid w:val="0020014C"/>
    <w:rsid w:val="002002F7"/>
    <w:rsid w:val="0020030F"/>
    <w:rsid w:val="002003EF"/>
    <w:rsid w:val="002003F0"/>
    <w:rsid w:val="00200437"/>
    <w:rsid w:val="00200470"/>
    <w:rsid w:val="0020048C"/>
    <w:rsid w:val="002004DF"/>
    <w:rsid w:val="002004F0"/>
    <w:rsid w:val="0020066E"/>
    <w:rsid w:val="0020069B"/>
    <w:rsid w:val="002006CA"/>
    <w:rsid w:val="0020081D"/>
    <w:rsid w:val="00200820"/>
    <w:rsid w:val="00200856"/>
    <w:rsid w:val="00200916"/>
    <w:rsid w:val="00200990"/>
    <w:rsid w:val="002009D5"/>
    <w:rsid w:val="00200A03"/>
    <w:rsid w:val="00200A3B"/>
    <w:rsid w:val="00200A6D"/>
    <w:rsid w:val="00200AF0"/>
    <w:rsid w:val="00200B34"/>
    <w:rsid w:val="00200B4B"/>
    <w:rsid w:val="00200BB1"/>
    <w:rsid w:val="00200BC4"/>
    <w:rsid w:val="00200BEA"/>
    <w:rsid w:val="00200CC1"/>
    <w:rsid w:val="00200CF1"/>
    <w:rsid w:val="00200D3B"/>
    <w:rsid w:val="00200E39"/>
    <w:rsid w:val="00200E4B"/>
    <w:rsid w:val="00200EEA"/>
    <w:rsid w:val="00200F38"/>
    <w:rsid w:val="00200F40"/>
    <w:rsid w:val="00200F54"/>
    <w:rsid w:val="00200F57"/>
    <w:rsid w:val="0020101E"/>
    <w:rsid w:val="0020109C"/>
    <w:rsid w:val="002010BF"/>
    <w:rsid w:val="002010D1"/>
    <w:rsid w:val="0020111C"/>
    <w:rsid w:val="00201158"/>
    <w:rsid w:val="00201189"/>
    <w:rsid w:val="002011BC"/>
    <w:rsid w:val="0020120D"/>
    <w:rsid w:val="00201326"/>
    <w:rsid w:val="00201365"/>
    <w:rsid w:val="002013AA"/>
    <w:rsid w:val="002013BC"/>
    <w:rsid w:val="002013F1"/>
    <w:rsid w:val="002014D2"/>
    <w:rsid w:val="002014DA"/>
    <w:rsid w:val="0020160D"/>
    <w:rsid w:val="00201676"/>
    <w:rsid w:val="002016A3"/>
    <w:rsid w:val="00201705"/>
    <w:rsid w:val="00201739"/>
    <w:rsid w:val="0020174B"/>
    <w:rsid w:val="00201813"/>
    <w:rsid w:val="0020188A"/>
    <w:rsid w:val="002019A0"/>
    <w:rsid w:val="002019BE"/>
    <w:rsid w:val="00201A2D"/>
    <w:rsid w:val="00201A3C"/>
    <w:rsid w:val="00201AD2"/>
    <w:rsid w:val="00201AD3"/>
    <w:rsid w:val="00201ADB"/>
    <w:rsid w:val="00201B47"/>
    <w:rsid w:val="00201B97"/>
    <w:rsid w:val="00201BE4"/>
    <w:rsid w:val="00201C1B"/>
    <w:rsid w:val="00201C3E"/>
    <w:rsid w:val="00201CB0"/>
    <w:rsid w:val="00201CC5"/>
    <w:rsid w:val="00201F25"/>
    <w:rsid w:val="00201F3F"/>
    <w:rsid w:val="00201F53"/>
    <w:rsid w:val="00202028"/>
    <w:rsid w:val="002022BC"/>
    <w:rsid w:val="002022E8"/>
    <w:rsid w:val="00202319"/>
    <w:rsid w:val="00202498"/>
    <w:rsid w:val="002024AB"/>
    <w:rsid w:val="002024CF"/>
    <w:rsid w:val="002024FB"/>
    <w:rsid w:val="00202509"/>
    <w:rsid w:val="002026AB"/>
    <w:rsid w:val="00202859"/>
    <w:rsid w:val="00202A32"/>
    <w:rsid w:val="00202A43"/>
    <w:rsid w:val="00202A7F"/>
    <w:rsid w:val="00202C80"/>
    <w:rsid w:val="00202CCD"/>
    <w:rsid w:val="00202D2D"/>
    <w:rsid w:val="00202D7C"/>
    <w:rsid w:val="00202DD2"/>
    <w:rsid w:val="00202E32"/>
    <w:rsid w:val="00202E8A"/>
    <w:rsid w:val="00202ECD"/>
    <w:rsid w:val="00202FA9"/>
    <w:rsid w:val="00203071"/>
    <w:rsid w:val="00203094"/>
    <w:rsid w:val="002030A1"/>
    <w:rsid w:val="002030EB"/>
    <w:rsid w:val="0020312B"/>
    <w:rsid w:val="00203171"/>
    <w:rsid w:val="00203242"/>
    <w:rsid w:val="0020327D"/>
    <w:rsid w:val="00203281"/>
    <w:rsid w:val="0020329D"/>
    <w:rsid w:val="002032B2"/>
    <w:rsid w:val="002032CE"/>
    <w:rsid w:val="00203430"/>
    <w:rsid w:val="00203484"/>
    <w:rsid w:val="00203542"/>
    <w:rsid w:val="00203569"/>
    <w:rsid w:val="002035B4"/>
    <w:rsid w:val="002036DD"/>
    <w:rsid w:val="00203846"/>
    <w:rsid w:val="002038E5"/>
    <w:rsid w:val="0020392E"/>
    <w:rsid w:val="00203A61"/>
    <w:rsid w:val="00203A74"/>
    <w:rsid w:val="00203C6C"/>
    <w:rsid w:val="00203CF2"/>
    <w:rsid w:val="00203DD1"/>
    <w:rsid w:val="00203DE0"/>
    <w:rsid w:val="00203E6D"/>
    <w:rsid w:val="00203F68"/>
    <w:rsid w:val="00203FBB"/>
    <w:rsid w:val="0020400F"/>
    <w:rsid w:val="0020405E"/>
    <w:rsid w:val="00204092"/>
    <w:rsid w:val="002040AB"/>
    <w:rsid w:val="002040D9"/>
    <w:rsid w:val="00204117"/>
    <w:rsid w:val="002041B0"/>
    <w:rsid w:val="0020420F"/>
    <w:rsid w:val="00204228"/>
    <w:rsid w:val="0020423E"/>
    <w:rsid w:val="0020431E"/>
    <w:rsid w:val="00204420"/>
    <w:rsid w:val="00204454"/>
    <w:rsid w:val="0020446C"/>
    <w:rsid w:val="0020448D"/>
    <w:rsid w:val="002044D8"/>
    <w:rsid w:val="002044F8"/>
    <w:rsid w:val="002045E2"/>
    <w:rsid w:val="002045FF"/>
    <w:rsid w:val="002046D5"/>
    <w:rsid w:val="0020473B"/>
    <w:rsid w:val="00204793"/>
    <w:rsid w:val="00204883"/>
    <w:rsid w:val="00204A07"/>
    <w:rsid w:val="00204AD0"/>
    <w:rsid w:val="00204AF1"/>
    <w:rsid w:val="00204B88"/>
    <w:rsid w:val="00204BA3"/>
    <w:rsid w:val="00204C9D"/>
    <w:rsid w:val="00204CB2"/>
    <w:rsid w:val="00204CB6"/>
    <w:rsid w:val="00204CB7"/>
    <w:rsid w:val="00204D8F"/>
    <w:rsid w:val="00204DCB"/>
    <w:rsid w:val="00204DDE"/>
    <w:rsid w:val="00204F72"/>
    <w:rsid w:val="0020501F"/>
    <w:rsid w:val="00205032"/>
    <w:rsid w:val="00205167"/>
    <w:rsid w:val="00205284"/>
    <w:rsid w:val="002052A8"/>
    <w:rsid w:val="00205341"/>
    <w:rsid w:val="0020534B"/>
    <w:rsid w:val="00205379"/>
    <w:rsid w:val="0020540C"/>
    <w:rsid w:val="0020555B"/>
    <w:rsid w:val="002055E2"/>
    <w:rsid w:val="0020566E"/>
    <w:rsid w:val="00205692"/>
    <w:rsid w:val="0020572D"/>
    <w:rsid w:val="00205789"/>
    <w:rsid w:val="002057CD"/>
    <w:rsid w:val="002057E0"/>
    <w:rsid w:val="00205908"/>
    <w:rsid w:val="002059AB"/>
    <w:rsid w:val="002059C0"/>
    <w:rsid w:val="00205ABE"/>
    <w:rsid w:val="00205B8E"/>
    <w:rsid w:val="00205C22"/>
    <w:rsid w:val="00205C80"/>
    <w:rsid w:val="00205C86"/>
    <w:rsid w:val="00205EE3"/>
    <w:rsid w:val="00205F2D"/>
    <w:rsid w:val="00205F91"/>
    <w:rsid w:val="002060DA"/>
    <w:rsid w:val="00206118"/>
    <w:rsid w:val="00206161"/>
    <w:rsid w:val="002061C5"/>
    <w:rsid w:val="002062D0"/>
    <w:rsid w:val="002062D1"/>
    <w:rsid w:val="002062FE"/>
    <w:rsid w:val="002063FE"/>
    <w:rsid w:val="002064BD"/>
    <w:rsid w:val="002064CE"/>
    <w:rsid w:val="002064DF"/>
    <w:rsid w:val="002065AD"/>
    <w:rsid w:val="002065BD"/>
    <w:rsid w:val="002066A4"/>
    <w:rsid w:val="002066DC"/>
    <w:rsid w:val="00206755"/>
    <w:rsid w:val="00206839"/>
    <w:rsid w:val="002068C8"/>
    <w:rsid w:val="00206959"/>
    <w:rsid w:val="00206A22"/>
    <w:rsid w:val="00206A7A"/>
    <w:rsid w:val="00206B2C"/>
    <w:rsid w:val="00206CD0"/>
    <w:rsid w:val="00206D88"/>
    <w:rsid w:val="00206EFC"/>
    <w:rsid w:val="00206F58"/>
    <w:rsid w:val="00206FAC"/>
    <w:rsid w:val="00207020"/>
    <w:rsid w:val="002070C4"/>
    <w:rsid w:val="00207153"/>
    <w:rsid w:val="002071A2"/>
    <w:rsid w:val="002072FB"/>
    <w:rsid w:val="00207344"/>
    <w:rsid w:val="00207359"/>
    <w:rsid w:val="00207565"/>
    <w:rsid w:val="0020766C"/>
    <w:rsid w:val="002076D2"/>
    <w:rsid w:val="002077E7"/>
    <w:rsid w:val="00207854"/>
    <w:rsid w:val="002079A3"/>
    <w:rsid w:val="002079C6"/>
    <w:rsid w:val="00207B63"/>
    <w:rsid w:val="00207C1B"/>
    <w:rsid w:val="00207C6A"/>
    <w:rsid w:val="00207C95"/>
    <w:rsid w:val="00207D0A"/>
    <w:rsid w:val="00207D24"/>
    <w:rsid w:val="00207D2A"/>
    <w:rsid w:val="00207D8B"/>
    <w:rsid w:val="00207DED"/>
    <w:rsid w:val="00207E10"/>
    <w:rsid w:val="00207E48"/>
    <w:rsid w:val="00207F12"/>
    <w:rsid w:val="00207FB9"/>
    <w:rsid w:val="00210024"/>
    <w:rsid w:val="00210092"/>
    <w:rsid w:val="002100DD"/>
    <w:rsid w:val="002100F9"/>
    <w:rsid w:val="002101AA"/>
    <w:rsid w:val="002102B1"/>
    <w:rsid w:val="002102E8"/>
    <w:rsid w:val="002102FC"/>
    <w:rsid w:val="00210315"/>
    <w:rsid w:val="0021039B"/>
    <w:rsid w:val="002103C2"/>
    <w:rsid w:val="002104EE"/>
    <w:rsid w:val="002105E3"/>
    <w:rsid w:val="00210629"/>
    <w:rsid w:val="00210676"/>
    <w:rsid w:val="002106CC"/>
    <w:rsid w:val="002106F6"/>
    <w:rsid w:val="002106FF"/>
    <w:rsid w:val="0021074B"/>
    <w:rsid w:val="00210767"/>
    <w:rsid w:val="00210787"/>
    <w:rsid w:val="0021092D"/>
    <w:rsid w:val="002109A3"/>
    <w:rsid w:val="002109D3"/>
    <w:rsid w:val="00210A8F"/>
    <w:rsid w:val="00210A99"/>
    <w:rsid w:val="00210AE6"/>
    <w:rsid w:val="00210D85"/>
    <w:rsid w:val="00210E82"/>
    <w:rsid w:val="00210E93"/>
    <w:rsid w:val="00210E9A"/>
    <w:rsid w:val="00210EA9"/>
    <w:rsid w:val="00210F10"/>
    <w:rsid w:val="00211009"/>
    <w:rsid w:val="0021109C"/>
    <w:rsid w:val="00211172"/>
    <w:rsid w:val="00211197"/>
    <w:rsid w:val="002111B8"/>
    <w:rsid w:val="002113AC"/>
    <w:rsid w:val="002113D0"/>
    <w:rsid w:val="002113E2"/>
    <w:rsid w:val="002114C6"/>
    <w:rsid w:val="00211528"/>
    <w:rsid w:val="002115A4"/>
    <w:rsid w:val="00211646"/>
    <w:rsid w:val="002116B6"/>
    <w:rsid w:val="0021175D"/>
    <w:rsid w:val="00211806"/>
    <w:rsid w:val="00211953"/>
    <w:rsid w:val="0021197F"/>
    <w:rsid w:val="00211988"/>
    <w:rsid w:val="00211A0E"/>
    <w:rsid w:val="00211A44"/>
    <w:rsid w:val="00211A64"/>
    <w:rsid w:val="00211B8D"/>
    <w:rsid w:val="00211B91"/>
    <w:rsid w:val="00211BB2"/>
    <w:rsid w:val="00211BDA"/>
    <w:rsid w:val="00211C35"/>
    <w:rsid w:val="00211D16"/>
    <w:rsid w:val="00211D86"/>
    <w:rsid w:val="00211D94"/>
    <w:rsid w:val="00211DDD"/>
    <w:rsid w:val="00211F13"/>
    <w:rsid w:val="00211F7F"/>
    <w:rsid w:val="00211F84"/>
    <w:rsid w:val="00211F89"/>
    <w:rsid w:val="00211FE3"/>
    <w:rsid w:val="00212072"/>
    <w:rsid w:val="00212190"/>
    <w:rsid w:val="002121C8"/>
    <w:rsid w:val="002121CF"/>
    <w:rsid w:val="002123FB"/>
    <w:rsid w:val="00212416"/>
    <w:rsid w:val="00212464"/>
    <w:rsid w:val="002124D6"/>
    <w:rsid w:val="002124E6"/>
    <w:rsid w:val="00212507"/>
    <w:rsid w:val="002125E5"/>
    <w:rsid w:val="002125FE"/>
    <w:rsid w:val="00212735"/>
    <w:rsid w:val="0021273C"/>
    <w:rsid w:val="00212782"/>
    <w:rsid w:val="00212808"/>
    <w:rsid w:val="00212816"/>
    <w:rsid w:val="00212915"/>
    <w:rsid w:val="00212A90"/>
    <w:rsid w:val="00212AAE"/>
    <w:rsid w:val="00212AFA"/>
    <w:rsid w:val="00212B72"/>
    <w:rsid w:val="00212BA9"/>
    <w:rsid w:val="00212C37"/>
    <w:rsid w:val="00212CEC"/>
    <w:rsid w:val="00212DE8"/>
    <w:rsid w:val="00212E88"/>
    <w:rsid w:val="00212F0A"/>
    <w:rsid w:val="00213011"/>
    <w:rsid w:val="002130CE"/>
    <w:rsid w:val="00213131"/>
    <w:rsid w:val="002131E6"/>
    <w:rsid w:val="0021320C"/>
    <w:rsid w:val="0021321D"/>
    <w:rsid w:val="002132B2"/>
    <w:rsid w:val="002132CF"/>
    <w:rsid w:val="002133B0"/>
    <w:rsid w:val="002133F2"/>
    <w:rsid w:val="002134BE"/>
    <w:rsid w:val="002134F1"/>
    <w:rsid w:val="002135DD"/>
    <w:rsid w:val="00213780"/>
    <w:rsid w:val="002137DB"/>
    <w:rsid w:val="00213854"/>
    <w:rsid w:val="0021390F"/>
    <w:rsid w:val="00213A0C"/>
    <w:rsid w:val="00213A2D"/>
    <w:rsid w:val="00213A2F"/>
    <w:rsid w:val="00213AB5"/>
    <w:rsid w:val="00213B0C"/>
    <w:rsid w:val="00213B1F"/>
    <w:rsid w:val="00213C33"/>
    <w:rsid w:val="00213C6B"/>
    <w:rsid w:val="00213D01"/>
    <w:rsid w:val="00213D4D"/>
    <w:rsid w:val="00213DB3"/>
    <w:rsid w:val="00213E1C"/>
    <w:rsid w:val="00213EC9"/>
    <w:rsid w:val="00213EED"/>
    <w:rsid w:val="0021405C"/>
    <w:rsid w:val="002140DB"/>
    <w:rsid w:val="00214176"/>
    <w:rsid w:val="002141C7"/>
    <w:rsid w:val="00214256"/>
    <w:rsid w:val="002142DA"/>
    <w:rsid w:val="002142FC"/>
    <w:rsid w:val="0021435C"/>
    <w:rsid w:val="002143CD"/>
    <w:rsid w:val="002143FC"/>
    <w:rsid w:val="00214516"/>
    <w:rsid w:val="00214611"/>
    <w:rsid w:val="0021467E"/>
    <w:rsid w:val="002147D1"/>
    <w:rsid w:val="0021494F"/>
    <w:rsid w:val="00214A12"/>
    <w:rsid w:val="00214A75"/>
    <w:rsid w:val="00214B00"/>
    <w:rsid w:val="00214B15"/>
    <w:rsid w:val="00214B6D"/>
    <w:rsid w:val="00214BBF"/>
    <w:rsid w:val="00214BC3"/>
    <w:rsid w:val="00214C97"/>
    <w:rsid w:val="00214CDE"/>
    <w:rsid w:val="00214CFB"/>
    <w:rsid w:val="00214D79"/>
    <w:rsid w:val="00214E74"/>
    <w:rsid w:val="00214F16"/>
    <w:rsid w:val="00214F56"/>
    <w:rsid w:val="00214F96"/>
    <w:rsid w:val="00214FCB"/>
    <w:rsid w:val="00215022"/>
    <w:rsid w:val="00215191"/>
    <w:rsid w:val="00215305"/>
    <w:rsid w:val="00215386"/>
    <w:rsid w:val="00215534"/>
    <w:rsid w:val="00215562"/>
    <w:rsid w:val="00215582"/>
    <w:rsid w:val="00215597"/>
    <w:rsid w:val="002155AE"/>
    <w:rsid w:val="00215631"/>
    <w:rsid w:val="002156FE"/>
    <w:rsid w:val="00215824"/>
    <w:rsid w:val="0021583A"/>
    <w:rsid w:val="00215877"/>
    <w:rsid w:val="0021587F"/>
    <w:rsid w:val="0021596B"/>
    <w:rsid w:val="00215A53"/>
    <w:rsid w:val="00215A73"/>
    <w:rsid w:val="00215AA5"/>
    <w:rsid w:val="00215CC8"/>
    <w:rsid w:val="00215D1F"/>
    <w:rsid w:val="00215D23"/>
    <w:rsid w:val="00215DFE"/>
    <w:rsid w:val="00215F16"/>
    <w:rsid w:val="00215F6F"/>
    <w:rsid w:val="00215FB1"/>
    <w:rsid w:val="00216209"/>
    <w:rsid w:val="0021628C"/>
    <w:rsid w:val="002163D4"/>
    <w:rsid w:val="00216416"/>
    <w:rsid w:val="00216495"/>
    <w:rsid w:val="00216547"/>
    <w:rsid w:val="0021655A"/>
    <w:rsid w:val="00216631"/>
    <w:rsid w:val="002167BE"/>
    <w:rsid w:val="002167F3"/>
    <w:rsid w:val="0021682B"/>
    <w:rsid w:val="00216856"/>
    <w:rsid w:val="002168BE"/>
    <w:rsid w:val="002168DB"/>
    <w:rsid w:val="0021694A"/>
    <w:rsid w:val="00216BD2"/>
    <w:rsid w:val="00216BF8"/>
    <w:rsid w:val="00216C7E"/>
    <w:rsid w:val="00216C82"/>
    <w:rsid w:val="00216CE4"/>
    <w:rsid w:val="00216CE5"/>
    <w:rsid w:val="00216D1B"/>
    <w:rsid w:val="00216D65"/>
    <w:rsid w:val="00216F4A"/>
    <w:rsid w:val="00216FD4"/>
    <w:rsid w:val="002171A8"/>
    <w:rsid w:val="00217211"/>
    <w:rsid w:val="002172D1"/>
    <w:rsid w:val="0021731E"/>
    <w:rsid w:val="00217495"/>
    <w:rsid w:val="002174F6"/>
    <w:rsid w:val="00217528"/>
    <w:rsid w:val="002175C1"/>
    <w:rsid w:val="0021772A"/>
    <w:rsid w:val="0021778E"/>
    <w:rsid w:val="002177A3"/>
    <w:rsid w:val="00217859"/>
    <w:rsid w:val="002178BD"/>
    <w:rsid w:val="002178FB"/>
    <w:rsid w:val="00217905"/>
    <w:rsid w:val="0021794B"/>
    <w:rsid w:val="0021797F"/>
    <w:rsid w:val="00217989"/>
    <w:rsid w:val="00217AC1"/>
    <w:rsid w:val="00217AC9"/>
    <w:rsid w:val="00217B51"/>
    <w:rsid w:val="00217B9A"/>
    <w:rsid w:val="00217CED"/>
    <w:rsid w:val="00217D24"/>
    <w:rsid w:val="00217EB1"/>
    <w:rsid w:val="00217FE6"/>
    <w:rsid w:val="00220021"/>
    <w:rsid w:val="00220064"/>
    <w:rsid w:val="00220153"/>
    <w:rsid w:val="0022015A"/>
    <w:rsid w:val="002203B1"/>
    <w:rsid w:val="002203E5"/>
    <w:rsid w:val="0022045D"/>
    <w:rsid w:val="00220562"/>
    <w:rsid w:val="0022066D"/>
    <w:rsid w:val="002206E0"/>
    <w:rsid w:val="00220728"/>
    <w:rsid w:val="0022076E"/>
    <w:rsid w:val="002207C1"/>
    <w:rsid w:val="002207EF"/>
    <w:rsid w:val="00220874"/>
    <w:rsid w:val="0022087A"/>
    <w:rsid w:val="002208D2"/>
    <w:rsid w:val="00220973"/>
    <w:rsid w:val="00220B6C"/>
    <w:rsid w:val="00220BD4"/>
    <w:rsid w:val="00220C4E"/>
    <w:rsid w:val="00220CBD"/>
    <w:rsid w:val="00220CE5"/>
    <w:rsid w:val="00220D9F"/>
    <w:rsid w:val="00220DA9"/>
    <w:rsid w:val="00220DEA"/>
    <w:rsid w:val="00220DFB"/>
    <w:rsid w:val="00220E17"/>
    <w:rsid w:val="00220F50"/>
    <w:rsid w:val="00221140"/>
    <w:rsid w:val="00221160"/>
    <w:rsid w:val="00221293"/>
    <w:rsid w:val="00221338"/>
    <w:rsid w:val="002213FD"/>
    <w:rsid w:val="00221450"/>
    <w:rsid w:val="0022148C"/>
    <w:rsid w:val="0022148F"/>
    <w:rsid w:val="002215FB"/>
    <w:rsid w:val="002216A6"/>
    <w:rsid w:val="002216D1"/>
    <w:rsid w:val="002216D9"/>
    <w:rsid w:val="002216E1"/>
    <w:rsid w:val="00221705"/>
    <w:rsid w:val="0022197A"/>
    <w:rsid w:val="002219D0"/>
    <w:rsid w:val="00221A4D"/>
    <w:rsid w:val="00221AF4"/>
    <w:rsid w:val="00221B8B"/>
    <w:rsid w:val="00221BB6"/>
    <w:rsid w:val="00221BD0"/>
    <w:rsid w:val="00221C63"/>
    <w:rsid w:val="00221CD4"/>
    <w:rsid w:val="00221CD7"/>
    <w:rsid w:val="00221D26"/>
    <w:rsid w:val="00221E47"/>
    <w:rsid w:val="00221E74"/>
    <w:rsid w:val="00221E7F"/>
    <w:rsid w:val="00221EAD"/>
    <w:rsid w:val="00222029"/>
    <w:rsid w:val="0022216A"/>
    <w:rsid w:val="00222171"/>
    <w:rsid w:val="00222179"/>
    <w:rsid w:val="002221A4"/>
    <w:rsid w:val="002222BF"/>
    <w:rsid w:val="002222EE"/>
    <w:rsid w:val="002223F8"/>
    <w:rsid w:val="00222482"/>
    <w:rsid w:val="0022249D"/>
    <w:rsid w:val="00222542"/>
    <w:rsid w:val="002225D9"/>
    <w:rsid w:val="002225DA"/>
    <w:rsid w:val="0022265B"/>
    <w:rsid w:val="00222670"/>
    <w:rsid w:val="0022269D"/>
    <w:rsid w:val="002226C0"/>
    <w:rsid w:val="002226F9"/>
    <w:rsid w:val="00222736"/>
    <w:rsid w:val="002227ED"/>
    <w:rsid w:val="00222811"/>
    <w:rsid w:val="0022282F"/>
    <w:rsid w:val="0022288F"/>
    <w:rsid w:val="002228C8"/>
    <w:rsid w:val="00222920"/>
    <w:rsid w:val="002229C2"/>
    <w:rsid w:val="002229F0"/>
    <w:rsid w:val="00222AC1"/>
    <w:rsid w:val="00222AEE"/>
    <w:rsid w:val="00222B32"/>
    <w:rsid w:val="00222B49"/>
    <w:rsid w:val="00222B70"/>
    <w:rsid w:val="00222B98"/>
    <w:rsid w:val="00222BCC"/>
    <w:rsid w:val="00222BE9"/>
    <w:rsid w:val="00222D2B"/>
    <w:rsid w:val="00222D9C"/>
    <w:rsid w:val="00222DB4"/>
    <w:rsid w:val="00222DF7"/>
    <w:rsid w:val="00222DFE"/>
    <w:rsid w:val="00222E63"/>
    <w:rsid w:val="00222EB7"/>
    <w:rsid w:val="00222F06"/>
    <w:rsid w:val="00222F75"/>
    <w:rsid w:val="00222F86"/>
    <w:rsid w:val="00222FEB"/>
    <w:rsid w:val="00223062"/>
    <w:rsid w:val="002230EB"/>
    <w:rsid w:val="00223137"/>
    <w:rsid w:val="00223143"/>
    <w:rsid w:val="002231C8"/>
    <w:rsid w:val="002231FC"/>
    <w:rsid w:val="00223211"/>
    <w:rsid w:val="0022321D"/>
    <w:rsid w:val="00223269"/>
    <w:rsid w:val="00223281"/>
    <w:rsid w:val="002233A7"/>
    <w:rsid w:val="00223506"/>
    <w:rsid w:val="0022351F"/>
    <w:rsid w:val="00223528"/>
    <w:rsid w:val="00223642"/>
    <w:rsid w:val="002237F1"/>
    <w:rsid w:val="002238B6"/>
    <w:rsid w:val="002238C6"/>
    <w:rsid w:val="002238D3"/>
    <w:rsid w:val="002239A6"/>
    <w:rsid w:val="00223A7B"/>
    <w:rsid w:val="00223AE1"/>
    <w:rsid w:val="00223AF6"/>
    <w:rsid w:val="00223B2D"/>
    <w:rsid w:val="00223B81"/>
    <w:rsid w:val="00223BD8"/>
    <w:rsid w:val="00223BE0"/>
    <w:rsid w:val="00223D15"/>
    <w:rsid w:val="00223D48"/>
    <w:rsid w:val="00223D5B"/>
    <w:rsid w:val="00223DFB"/>
    <w:rsid w:val="00223E6B"/>
    <w:rsid w:val="00223E8F"/>
    <w:rsid w:val="00223E95"/>
    <w:rsid w:val="00223F07"/>
    <w:rsid w:val="002240C8"/>
    <w:rsid w:val="002240F2"/>
    <w:rsid w:val="00224155"/>
    <w:rsid w:val="002241B4"/>
    <w:rsid w:val="00224224"/>
    <w:rsid w:val="00224240"/>
    <w:rsid w:val="0022426E"/>
    <w:rsid w:val="0022428E"/>
    <w:rsid w:val="002242C7"/>
    <w:rsid w:val="00224315"/>
    <w:rsid w:val="00224360"/>
    <w:rsid w:val="00224546"/>
    <w:rsid w:val="00224586"/>
    <w:rsid w:val="002245FB"/>
    <w:rsid w:val="0022464D"/>
    <w:rsid w:val="0022467A"/>
    <w:rsid w:val="002246AB"/>
    <w:rsid w:val="002246B0"/>
    <w:rsid w:val="002248A9"/>
    <w:rsid w:val="002248C2"/>
    <w:rsid w:val="002248E0"/>
    <w:rsid w:val="0022495A"/>
    <w:rsid w:val="00224A10"/>
    <w:rsid w:val="00224ABD"/>
    <w:rsid w:val="00224AFD"/>
    <w:rsid w:val="00224B1D"/>
    <w:rsid w:val="00224BDF"/>
    <w:rsid w:val="00224CDC"/>
    <w:rsid w:val="00224CF8"/>
    <w:rsid w:val="00224DAC"/>
    <w:rsid w:val="00224E92"/>
    <w:rsid w:val="00224EB7"/>
    <w:rsid w:val="00224EC7"/>
    <w:rsid w:val="00224EDB"/>
    <w:rsid w:val="00224EE9"/>
    <w:rsid w:val="00224F2E"/>
    <w:rsid w:val="00224F6C"/>
    <w:rsid w:val="00224FA1"/>
    <w:rsid w:val="00224FB4"/>
    <w:rsid w:val="00224FE6"/>
    <w:rsid w:val="00225021"/>
    <w:rsid w:val="0022510D"/>
    <w:rsid w:val="00225132"/>
    <w:rsid w:val="002251BD"/>
    <w:rsid w:val="002251CC"/>
    <w:rsid w:val="00225237"/>
    <w:rsid w:val="0022526C"/>
    <w:rsid w:val="002252F9"/>
    <w:rsid w:val="0022532E"/>
    <w:rsid w:val="0022544B"/>
    <w:rsid w:val="002254DE"/>
    <w:rsid w:val="002254E4"/>
    <w:rsid w:val="002254EB"/>
    <w:rsid w:val="00225512"/>
    <w:rsid w:val="0022558B"/>
    <w:rsid w:val="002255D1"/>
    <w:rsid w:val="00225612"/>
    <w:rsid w:val="0022570C"/>
    <w:rsid w:val="002257D3"/>
    <w:rsid w:val="002258E0"/>
    <w:rsid w:val="0022595D"/>
    <w:rsid w:val="00225984"/>
    <w:rsid w:val="00225A52"/>
    <w:rsid w:val="00225AA5"/>
    <w:rsid w:val="00225AAD"/>
    <w:rsid w:val="00225B03"/>
    <w:rsid w:val="00225B68"/>
    <w:rsid w:val="00225C5C"/>
    <w:rsid w:val="00225C9B"/>
    <w:rsid w:val="00225CE1"/>
    <w:rsid w:val="00225D1B"/>
    <w:rsid w:val="00225D22"/>
    <w:rsid w:val="00225D50"/>
    <w:rsid w:val="00225E36"/>
    <w:rsid w:val="00225ED9"/>
    <w:rsid w:val="00225EF8"/>
    <w:rsid w:val="00225F24"/>
    <w:rsid w:val="00225F35"/>
    <w:rsid w:val="00225FC3"/>
    <w:rsid w:val="0022602D"/>
    <w:rsid w:val="002260A0"/>
    <w:rsid w:val="002260E0"/>
    <w:rsid w:val="002261A3"/>
    <w:rsid w:val="002261A8"/>
    <w:rsid w:val="002261AA"/>
    <w:rsid w:val="002261AE"/>
    <w:rsid w:val="002261C9"/>
    <w:rsid w:val="0022623A"/>
    <w:rsid w:val="0022625E"/>
    <w:rsid w:val="00226287"/>
    <w:rsid w:val="0022642D"/>
    <w:rsid w:val="0022649D"/>
    <w:rsid w:val="0022653F"/>
    <w:rsid w:val="002265B5"/>
    <w:rsid w:val="00226656"/>
    <w:rsid w:val="002266D3"/>
    <w:rsid w:val="00226787"/>
    <w:rsid w:val="002267A3"/>
    <w:rsid w:val="002267ED"/>
    <w:rsid w:val="002269AC"/>
    <w:rsid w:val="00226AF1"/>
    <w:rsid w:val="00226B0C"/>
    <w:rsid w:val="00226C08"/>
    <w:rsid w:val="00226DF3"/>
    <w:rsid w:val="00226EC9"/>
    <w:rsid w:val="00226FB4"/>
    <w:rsid w:val="002270F9"/>
    <w:rsid w:val="0022719E"/>
    <w:rsid w:val="002271D9"/>
    <w:rsid w:val="00227215"/>
    <w:rsid w:val="00227247"/>
    <w:rsid w:val="002272A1"/>
    <w:rsid w:val="002273F2"/>
    <w:rsid w:val="002274A4"/>
    <w:rsid w:val="00227503"/>
    <w:rsid w:val="00227536"/>
    <w:rsid w:val="00227686"/>
    <w:rsid w:val="00227758"/>
    <w:rsid w:val="00227809"/>
    <w:rsid w:val="0022787C"/>
    <w:rsid w:val="002278D3"/>
    <w:rsid w:val="002278DA"/>
    <w:rsid w:val="002278FD"/>
    <w:rsid w:val="00227989"/>
    <w:rsid w:val="0022799E"/>
    <w:rsid w:val="00227A2E"/>
    <w:rsid w:val="00227A98"/>
    <w:rsid w:val="00227C08"/>
    <w:rsid w:val="00227C83"/>
    <w:rsid w:val="00227C8E"/>
    <w:rsid w:val="00227CB1"/>
    <w:rsid w:val="00227CCF"/>
    <w:rsid w:val="00227D35"/>
    <w:rsid w:val="00227D51"/>
    <w:rsid w:val="00227D93"/>
    <w:rsid w:val="00227DD0"/>
    <w:rsid w:val="00227E77"/>
    <w:rsid w:val="00227F03"/>
    <w:rsid w:val="00227FA8"/>
    <w:rsid w:val="00227FDC"/>
    <w:rsid w:val="00230051"/>
    <w:rsid w:val="002300D0"/>
    <w:rsid w:val="00230128"/>
    <w:rsid w:val="00230184"/>
    <w:rsid w:val="0023018F"/>
    <w:rsid w:val="00230201"/>
    <w:rsid w:val="00230230"/>
    <w:rsid w:val="00230355"/>
    <w:rsid w:val="002303B8"/>
    <w:rsid w:val="00230609"/>
    <w:rsid w:val="0023066A"/>
    <w:rsid w:val="00230678"/>
    <w:rsid w:val="0023067A"/>
    <w:rsid w:val="002307CB"/>
    <w:rsid w:val="002307EA"/>
    <w:rsid w:val="00230811"/>
    <w:rsid w:val="00230890"/>
    <w:rsid w:val="002308FB"/>
    <w:rsid w:val="00230A70"/>
    <w:rsid w:val="00230B78"/>
    <w:rsid w:val="00230BB0"/>
    <w:rsid w:val="00230C2D"/>
    <w:rsid w:val="00230CB1"/>
    <w:rsid w:val="00230D08"/>
    <w:rsid w:val="00230D0A"/>
    <w:rsid w:val="00230E13"/>
    <w:rsid w:val="00230E6A"/>
    <w:rsid w:val="00230E92"/>
    <w:rsid w:val="00230EAA"/>
    <w:rsid w:val="00230EBF"/>
    <w:rsid w:val="00230F07"/>
    <w:rsid w:val="00230F08"/>
    <w:rsid w:val="002310FD"/>
    <w:rsid w:val="00231128"/>
    <w:rsid w:val="0023115D"/>
    <w:rsid w:val="002311E3"/>
    <w:rsid w:val="0023134F"/>
    <w:rsid w:val="00231391"/>
    <w:rsid w:val="00231400"/>
    <w:rsid w:val="00231484"/>
    <w:rsid w:val="002314E6"/>
    <w:rsid w:val="00231570"/>
    <w:rsid w:val="002315EC"/>
    <w:rsid w:val="002316B7"/>
    <w:rsid w:val="002317EA"/>
    <w:rsid w:val="00231827"/>
    <w:rsid w:val="002318A6"/>
    <w:rsid w:val="002318C0"/>
    <w:rsid w:val="00231977"/>
    <w:rsid w:val="00231AA9"/>
    <w:rsid w:val="00231ADC"/>
    <w:rsid w:val="00231B5D"/>
    <w:rsid w:val="00231BA8"/>
    <w:rsid w:val="00231CA5"/>
    <w:rsid w:val="00231CA7"/>
    <w:rsid w:val="00231CA9"/>
    <w:rsid w:val="00231D9C"/>
    <w:rsid w:val="00231F69"/>
    <w:rsid w:val="00231F85"/>
    <w:rsid w:val="00231FE2"/>
    <w:rsid w:val="0023205D"/>
    <w:rsid w:val="0023217C"/>
    <w:rsid w:val="0023228E"/>
    <w:rsid w:val="0023239D"/>
    <w:rsid w:val="00232457"/>
    <w:rsid w:val="0023258E"/>
    <w:rsid w:val="002326AB"/>
    <w:rsid w:val="00232719"/>
    <w:rsid w:val="00232771"/>
    <w:rsid w:val="00232779"/>
    <w:rsid w:val="00232789"/>
    <w:rsid w:val="002328BC"/>
    <w:rsid w:val="002328E6"/>
    <w:rsid w:val="002328EF"/>
    <w:rsid w:val="00232A2A"/>
    <w:rsid w:val="00232B7A"/>
    <w:rsid w:val="00232C3B"/>
    <w:rsid w:val="00232C6C"/>
    <w:rsid w:val="00232C85"/>
    <w:rsid w:val="00232D60"/>
    <w:rsid w:val="00232DCA"/>
    <w:rsid w:val="00232E47"/>
    <w:rsid w:val="00232E8D"/>
    <w:rsid w:val="00232FC4"/>
    <w:rsid w:val="0023309E"/>
    <w:rsid w:val="00233186"/>
    <w:rsid w:val="0023319F"/>
    <w:rsid w:val="002331AF"/>
    <w:rsid w:val="002331E2"/>
    <w:rsid w:val="00233204"/>
    <w:rsid w:val="002332EF"/>
    <w:rsid w:val="00233419"/>
    <w:rsid w:val="00233463"/>
    <w:rsid w:val="00233491"/>
    <w:rsid w:val="0023351B"/>
    <w:rsid w:val="0023355E"/>
    <w:rsid w:val="002335B0"/>
    <w:rsid w:val="002335DA"/>
    <w:rsid w:val="002335E0"/>
    <w:rsid w:val="00233727"/>
    <w:rsid w:val="00233744"/>
    <w:rsid w:val="0023374F"/>
    <w:rsid w:val="0023375D"/>
    <w:rsid w:val="002337A1"/>
    <w:rsid w:val="002337F3"/>
    <w:rsid w:val="0023382A"/>
    <w:rsid w:val="0023391D"/>
    <w:rsid w:val="00233932"/>
    <w:rsid w:val="002339BA"/>
    <w:rsid w:val="00233B27"/>
    <w:rsid w:val="00233C22"/>
    <w:rsid w:val="00233C6F"/>
    <w:rsid w:val="00233C9E"/>
    <w:rsid w:val="00233CE6"/>
    <w:rsid w:val="00233DA7"/>
    <w:rsid w:val="00233DC7"/>
    <w:rsid w:val="00233E22"/>
    <w:rsid w:val="00233F7F"/>
    <w:rsid w:val="00233F88"/>
    <w:rsid w:val="00233F96"/>
    <w:rsid w:val="0023407A"/>
    <w:rsid w:val="00234115"/>
    <w:rsid w:val="00234122"/>
    <w:rsid w:val="002341AE"/>
    <w:rsid w:val="00234212"/>
    <w:rsid w:val="0023425A"/>
    <w:rsid w:val="002343FC"/>
    <w:rsid w:val="00234422"/>
    <w:rsid w:val="0023444D"/>
    <w:rsid w:val="00234455"/>
    <w:rsid w:val="00234468"/>
    <w:rsid w:val="002344B7"/>
    <w:rsid w:val="002344E0"/>
    <w:rsid w:val="0023451E"/>
    <w:rsid w:val="00234530"/>
    <w:rsid w:val="002345D4"/>
    <w:rsid w:val="002346AA"/>
    <w:rsid w:val="00234794"/>
    <w:rsid w:val="002347E9"/>
    <w:rsid w:val="002348B1"/>
    <w:rsid w:val="0023497F"/>
    <w:rsid w:val="002349D1"/>
    <w:rsid w:val="002349DC"/>
    <w:rsid w:val="002349FD"/>
    <w:rsid w:val="00234A81"/>
    <w:rsid w:val="00234A9E"/>
    <w:rsid w:val="00234AC1"/>
    <w:rsid w:val="00234B9C"/>
    <w:rsid w:val="00234C71"/>
    <w:rsid w:val="00234CD8"/>
    <w:rsid w:val="00234E7E"/>
    <w:rsid w:val="00234EAC"/>
    <w:rsid w:val="00234EBC"/>
    <w:rsid w:val="00234ECB"/>
    <w:rsid w:val="00234F04"/>
    <w:rsid w:val="00234F0B"/>
    <w:rsid w:val="00234F2D"/>
    <w:rsid w:val="00234F84"/>
    <w:rsid w:val="00234FA4"/>
    <w:rsid w:val="00234FDB"/>
    <w:rsid w:val="002350A6"/>
    <w:rsid w:val="002350F0"/>
    <w:rsid w:val="0023515E"/>
    <w:rsid w:val="00235162"/>
    <w:rsid w:val="0023527A"/>
    <w:rsid w:val="00235371"/>
    <w:rsid w:val="0023537B"/>
    <w:rsid w:val="002353B1"/>
    <w:rsid w:val="00235402"/>
    <w:rsid w:val="00235436"/>
    <w:rsid w:val="00235492"/>
    <w:rsid w:val="00235625"/>
    <w:rsid w:val="002356C2"/>
    <w:rsid w:val="0023570D"/>
    <w:rsid w:val="00235710"/>
    <w:rsid w:val="00235753"/>
    <w:rsid w:val="00235768"/>
    <w:rsid w:val="00235775"/>
    <w:rsid w:val="0023582A"/>
    <w:rsid w:val="00235A3A"/>
    <w:rsid w:val="00235ABA"/>
    <w:rsid w:val="00235B2E"/>
    <w:rsid w:val="00235BA0"/>
    <w:rsid w:val="00235D78"/>
    <w:rsid w:val="00235E16"/>
    <w:rsid w:val="00235E38"/>
    <w:rsid w:val="00235F80"/>
    <w:rsid w:val="00235FD9"/>
    <w:rsid w:val="00235FDE"/>
    <w:rsid w:val="002360DA"/>
    <w:rsid w:val="00236284"/>
    <w:rsid w:val="0023636A"/>
    <w:rsid w:val="0023639A"/>
    <w:rsid w:val="00236404"/>
    <w:rsid w:val="00236456"/>
    <w:rsid w:val="0023650C"/>
    <w:rsid w:val="00236592"/>
    <w:rsid w:val="002365E4"/>
    <w:rsid w:val="002366A6"/>
    <w:rsid w:val="00236719"/>
    <w:rsid w:val="00236834"/>
    <w:rsid w:val="002368AF"/>
    <w:rsid w:val="0023691A"/>
    <w:rsid w:val="00236994"/>
    <w:rsid w:val="002369AF"/>
    <w:rsid w:val="002369B3"/>
    <w:rsid w:val="002369B5"/>
    <w:rsid w:val="002369B8"/>
    <w:rsid w:val="002369DD"/>
    <w:rsid w:val="00236A6C"/>
    <w:rsid w:val="00236AC2"/>
    <w:rsid w:val="00236B28"/>
    <w:rsid w:val="00236B30"/>
    <w:rsid w:val="00236B92"/>
    <w:rsid w:val="00236BF4"/>
    <w:rsid w:val="00236C21"/>
    <w:rsid w:val="00236C5D"/>
    <w:rsid w:val="00236C73"/>
    <w:rsid w:val="00236CA8"/>
    <w:rsid w:val="00236D5B"/>
    <w:rsid w:val="00236DD7"/>
    <w:rsid w:val="00236F52"/>
    <w:rsid w:val="00236F95"/>
    <w:rsid w:val="00236FB4"/>
    <w:rsid w:val="0023705C"/>
    <w:rsid w:val="00237070"/>
    <w:rsid w:val="002370BB"/>
    <w:rsid w:val="002370C8"/>
    <w:rsid w:val="00237185"/>
    <w:rsid w:val="0023721C"/>
    <w:rsid w:val="00237317"/>
    <w:rsid w:val="00237359"/>
    <w:rsid w:val="002373AC"/>
    <w:rsid w:val="0023741A"/>
    <w:rsid w:val="002374BD"/>
    <w:rsid w:val="00237525"/>
    <w:rsid w:val="00237540"/>
    <w:rsid w:val="00237556"/>
    <w:rsid w:val="0023755B"/>
    <w:rsid w:val="00237698"/>
    <w:rsid w:val="002376B6"/>
    <w:rsid w:val="002376BB"/>
    <w:rsid w:val="0023774B"/>
    <w:rsid w:val="002377EC"/>
    <w:rsid w:val="0023783F"/>
    <w:rsid w:val="00237882"/>
    <w:rsid w:val="002378AB"/>
    <w:rsid w:val="002379CC"/>
    <w:rsid w:val="00237A2E"/>
    <w:rsid w:val="00237A78"/>
    <w:rsid w:val="00237AF7"/>
    <w:rsid w:val="00237B25"/>
    <w:rsid w:val="00237B50"/>
    <w:rsid w:val="00237C5B"/>
    <w:rsid w:val="00237CF7"/>
    <w:rsid w:val="00237D35"/>
    <w:rsid w:val="00237D4C"/>
    <w:rsid w:val="00237DCB"/>
    <w:rsid w:val="00237DEF"/>
    <w:rsid w:val="00237ECA"/>
    <w:rsid w:val="00237F76"/>
    <w:rsid w:val="00237FD0"/>
    <w:rsid w:val="0024003D"/>
    <w:rsid w:val="00240100"/>
    <w:rsid w:val="00240114"/>
    <w:rsid w:val="0024012E"/>
    <w:rsid w:val="00240157"/>
    <w:rsid w:val="0024018F"/>
    <w:rsid w:val="0024019D"/>
    <w:rsid w:val="00240201"/>
    <w:rsid w:val="002403CE"/>
    <w:rsid w:val="002404CF"/>
    <w:rsid w:val="0024052B"/>
    <w:rsid w:val="002405CF"/>
    <w:rsid w:val="002405E5"/>
    <w:rsid w:val="00240727"/>
    <w:rsid w:val="0024076D"/>
    <w:rsid w:val="002407F6"/>
    <w:rsid w:val="00240806"/>
    <w:rsid w:val="00240838"/>
    <w:rsid w:val="00240878"/>
    <w:rsid w:val="002408D3"/>
    <w:rsid w:val="00240946"/>
    <w:rsid w:val="00240A6C"/>
    <w:rsid w:val="00240B94"/>
    <w:rsid w:val="00240C49"/>
    <w:rsid w:val="00240C5B"/>
    <w:rsid w:val="00240E85"/>
    <w:rsid w:val="00240EC8"/>
    <w:rsid w:val="00240F26"/>
    <w:rsid w:val="00240F48"/>
    <w:rsid w:val="00240F79"/>
    <w:rsid w:val="00241027"/>
    <w:rsid w:val="0024105C"/>
    <w:rsid w:val="002410C0"/>
    <w:rsid w:val="00241126"/>
    <w:rsid w:val="00241147"/>
    <w:rsid w:val="002411BD"/>
    <w:rsid w:val="0024121F"/>
    <w:rsid w:val="00241280"/>
    <w:rsid w:val="002412C5"/>
    <w:rsid w:val="002412EB"/>
    <w:rsid w:val="00241329"/>
    <w:rsid w:val="002413EF"/>
    <w:rsid w:val="00241410"/>
    <w:rsid w:val="0024141F"/>
    <w:rsid w:val="00241447"/>
    <w:rsid w:val="002414F6"/>
    <w:rsid w:val="0024159A"/>
    <w:rsid w:val="00241621"/>
    <w:rsid w:val="0024165A"/>
    <w:rsid w:val="00241668"/>
    <w:rsid w:val="00241685"/>
    <w:rsid w:val="002416D5"/>
    <w:rsid w:val="0024185F"/>
    <w:rsid w:val="00241944"/>
    <w:rsid w:val="00241AF9"/>
    <w:rsid w:val="00241B5E"/>
    <w:rsid w:val="00241B6C"/>
    <w:rsid w:val="00241C1C"/>
    <w:rsid w:val="00241C64"/>
    <w:rsid w:val="00241E57"/>
    <w:rsid w:val="00241EBA"/>
    <w:rsid w:val="00241F0C"/>
    <w:rsid w:val="00241F6C"/>
    <w:rsid w:val="00241FAD"/>
    <w:rsid w:val="00241FB7"/>
    <w:rsid w:val="002420BF"/>
    <w:rsid w:val="0024218F"/>
    <w:rsid w:val="00242209"/>
    <w:rsid w:val="00242287"/>
    <w:rsid w:val="002422AD"/>
    <w:rsid w:val="002422E6"/>
    <w:rsid w:val="00242397"/>
    <w:rsid w:val="0024243C"/>
    <w:rsid w:val="0024247B"/>
    <w:rsid w:val="00242539"/>
    <w:rsid w:val="00242679"/>
    <w:rsid w:val="00242724"/>
    <w:rsid w:val="002428C0"/>
    <w:rsid w:val="0024292D"/>
    <w:rsid w:val="0024298D"/>
    <w:rsid w:val="002429BC"/>
    <w:rsid w:val="002429F3"/>
    <w:rsid w:val="002429FE"/>
    <w:rsid w:val="00242BE7"/>
    <w:rsid w:val="00242BE9"/>
    <w:rsid w:val="00242D2D"/>
    <w:rsid w:val="00242DFC"/>
    <w:rsid w:val="00242E1C"/>
    <w:rsid w:val="00242E65"/>
    <w:rsid w:val="00242F06"/>
    <w:rsid w:val="00242F3B"/>
    <w:rsid w:val="00242F7D"/>
    <w:rsid w:val="0024301E"/>
    <w:rsid w:val="0024307C"/>
    <w:rsid w:val="002430FD"/>
    <w:rsid w:val="002431B5"/>
    <w:rsid w:val="002431B9"/>
    <w:rsid w:val="002431C1"/>
    <w:rsid w:val="002431FE"/>
    <w:rsid w:val="00243302"/>
    <w:rsid w:val="00243310"/>
    <w:rsid w:val="00243349"/>
    <w:rsid w:val="00243378"/>
    <w:rsid w:val="00243388"/>
    <w:rsid w:val="002433CC"/>
    <w:rsid w:val="002433E7"/>
    <w:rsid w:val="002434AE"/>
    <w:rsid w:val="002434F0"/>
    <w:rsid w:val="00243505"/>
    <w:rsid w:val="00243546"/>
    <w:rsid w:val="0024354B"/>
    <w:rsid w:val="00243561"/>
    <w:rsid w:val="00243582"/>
    <w:rsid w:val="00243677"/>
    <w:rsid w:val="0024369C"/>
    <w:rsid w:val="00243713"/>
    <w:rsid w:val="00243731"/>
    <w:rsid w:val="00243755"/>
    <w:rsid w:val="002437B5"/>
    <w:rsid w:val="002438AD"/>
    <w:rsid w:val="002439AE"/>
    <w:rsid w:val="002439B3"/>
    <w:rsid w:val="002439C8"/>
    <w:rsid w:val="002439E0"/>
    <w:rsid w:val="002439F0"/>
    <w:rsid w:val="002439F2"/>
    <w:rsid w:val="00243A9A"/>
    <w:rsid w:val="00243AFF"/>
    <w:rsid w:val="00243B17"/>
    <w:rsid w:val="00243BA3"/>
    <w:rsid w:val="00243E14"/>
    <w:rsid w:val="00243F5E"/>
    <w:rsid w:val="00243F67"/>
    <w:rsid w:val="002440DF"/>
    <w:rsid w:val="002441AE"/>
    <w:rsid w:val="00244251"/>
    <w:rsid w:val="002442C0"/>
    <w:rsid w:val="002443E7"/>
    <w:rsid w:val="002443EA"/>
    <w:rsid w:val="00244425"/>
    <w:rsid w:val="00244494"/>
    <w:rsid w:val="0024449B"/>
    <w:rsid w:val="00244558"/>
    <w:rsid w:val="00244561"/>
    <w:rsid w:val="0024460C"/>
    <w:rsid w:val="00244615"/>
    <w:rsid w:val="00244778"/>
    <w:rsid w:val="0024483A"/>
    <w:rsid w:val="0024494B"/>
    <w:rsid w:val="002449E9"/>
    <w:rsid w:val="00244A0C"/>
    <w:rsid w:val="00244ABE"/>
    <w:rsid w:val="00244AD6"/>
    <w:rsid w:val="00244B56"/>
    <w:rsid w:val="00244B8F"/>
    <w:rsid w:val="00244BCE"/>
    <w:rsid w:val="00244BE0"/>
    <w:rsid w:val="00244CA2"/>
    <w:rsid w:val="00244E44"/>
    <w:rsid w:val="00244EB0"/>
    <w:rsid w:val="00244EFA"/>
    <w:rsid w:val="00244F19"/>
    <w:rsid w:val="00244F81"/>
    <w:rsid w:val="00244FCF"/>
    <w:rsid w:val="00245030"/>
    <w:rsid w:val="0024518E"/>
    <w:rsid w:val="002451AC"/>
    <w:rsid w:val="002452C8"/>
    <w:rsid w:val="002452F3"/>
    <w:rsid w:val="002452F6"/>
    <w:rsid w:val="00245367"/>
    <w:rsid w:val="002453A6"/>
    <w:rsid w:val="0024549F"/>
    <w:rsid w:val="0024550D"/>
    <w:rsid w:val="00245651"/>
    <w:rsid w:val="00245685"/>
    <w:rsid w:val="002456B2"/>
    <w:rsid w:val="002459F8"/>
    <w:rsid w:val="00245A99"/>
    <w:rsid w:val="00245B6F"/>
    <w:rsid w:val="00245B75"/>
    <w:rsid w:val="00245C29"/>
    <w:rsid w:val="00245E9E"/>
    <w:rsid w:val="00245F01"/>
    <w:rsid w:val="00245F65"/>
    <w:rsid w:val="00245F6E"/>
    <w:rsid w:val="00246068"/>
    <w:rsid w:val="002460B7"/>
    <w:rsid w:val="00246182"/>
    <w:rsid w:val="0024621B"/>
    <w:rsid w:val="00246278"/>
    <w:rsid w:val="002463A6"/>
    <w:rsid w:val="00246410"/>
    <w:rsid w:val="00246469"/>
    <w:rsid w:val="0024650F"/>
    <w:rsid w:val="00246608"/>
    <w:rsid w:val="002466E3"/>
    <w:rsid w:val="0024670B"/>
    <w:rsid w:val="002467C0"/>
    <w:rsid w:val="002467D3"/>
    <w:rsid w:val="0024689D"/>
    <w:rsid w:val="002468CD"/>
    <w:rsid w:val="002468E4"/>
    <w:rsid w:val="00246974"/>
    <w:rsid w:val="002469A7"/>
    <w:rsid w:val="00246A2B"/>
    <w:rsid w:val="00246A4B"/>
    <w:rsid w:val="00246B41"/>
    <w:rsid w:val="00246DE6"/>
    <w:rsid w:val="00246DFD"/>
    <w:rsid w:val="00246E74"/>
    <w:rsid w:val="00246E8D"/>
    <w:rsid w:val="00246EA3"/>
    <w:rsid w:val="00246ECA"/>
    <w:rsid w:val="00246F21"/>
    <w:rsid w:val="00246F56"/>
    <w:rsid w:val="00246F9D"/>
    <w:rsid w:val="00247064"/>
    <w:rsid w:val="00247092"/>
    <w:rsid w:val="002470F9"/>
    <w:rsid w:val="002471C2"/>
    <w:rsid w:val="0024720D"/>
    <w:rsid w:val="00247239"/>
    <w:rsid w:val="00247267"/>
    <w:rsid w:val="002472B1"/>
    <w:rsid w:val="002472B8"/>
    <w:rsid w:val="002472C6"/>
    <w:rsid w:val="002472E0"/>
    <w:rsid w:val="002472F7"/>
    <w:rsid w:val="002472FE"/>
    <w:rsid w:val="0024730A"/>
    <w:rsid w:val="00247392"/>
    <w:rsid w:val="002473CB"/>
    <w:rsid w:val="0024742A"/>
    <w:rsid w:val="002474D7"/>
    <w:rsid w:val="00247528"/>
    <w:rsid w:val="0024752D"/>
    <w:rsid w:val="0024759C"/>
    <w:rsid w:val="0024761B"/>
    <w:rsid w:val="0024763A"/>
    <w:rsid w:val="0024764C"/>
    <w:rsid w:val="0024766C"/>
    <w:rsid w:val="0024768E"/>
    <w:rsid w:val="00247721"/>
    <w:rsid w:val="00247779"/>
    <w:rsid w:val="002477D4"/>
    <w:rsid w:val="002478BB"/>
    <w:rsid w:val="0024794E"/>
    <w:rsid w:val="0024797E"/>
    <w:rsid w:val="00247A74"/>
    <w:rsid w:val="00247C4E"/>
    <w:rsid w:val="00247C69"/>
    <w:rsid w:val="00247CAA"/>
    <w:rsid w:val="00247D36"/>
    <w:rsid w:val="00247D5A"/>
    <w:rsid w:val="00247E0B"/>
    <w:rsid w:val="00247E35"/>
    <w:rsid w:val="00247E36"/>
    <w:rsid w:val="00247E9D"/>
    <w:rsid w:val="00247EF5"/>
    <w:rsid w:val="00247F6C"/>
    <w:rsid w:val="00247F6D"/>
    <w:rsid w:val="00247F8F"/>
    <w:rsid w:val="00247F91"/>
    <w:rsid w:val="00247FA2"/>
    <w:rsid w:val="002500FF"/>
    <w:rsid w:val="00250184"/>
    <w:rsid w:val="002501DE"/>
    <w:rsid w:val="00250295"/>
    <w:rsid w:val="002502D8"/>
    <w:rsid w:val="00250349"/>
    <w:rsid w:val="00250409"/>
    <w:rsid w:val="00250434"/>
    <w:rsid w:val="00250514"/>
    <w:rsid w:val="00250527"/>
    <w:rsid w:val="002505F1"/>
    <w:rsid w:val="00250604"/>
    <w:rsid w:val="00250629"/>
    <w:rsid w:val="002506BE"/>
    <w:rsid w:val="00250777"/>
    <w:rsid w:val="002507CA"/>
    <w:rsid w:val="00250831"/>
    <w:rsid w:val="002508A2"/>
    <w:rsid w:val="00250903"/>
    <w:rsid w:val="0025094B"/>
    <w:rsid w:val="00250971"/>
    <w:rsid w:val="00250AF1"/>
    <w:rsid w:val="00250C7F"/>
    <w:rsid w:val="00250CE4"/>
    <w:rsid w:val="00250DA0"/>
    <w:rsid w:val="00250DA9"/>
    <w:rsid w:val="00250DF2"/>
    <w:rsid w:val="00250DF6"/>
    <w:rsid w:val="00250E92"/>
    <w:rsid w:val="00250F0B"/>
    <w:rsid w:val="00250F5F"/>
    <w:rsid w:val="00250FBF"/>
    <w:rsid w:val="00251001"/>
    <w:rsid w:val="00251095"/>
    <w:rsid w:val="002510A2"/>
    <w:rsid w:val="002510D3"/>
    <w:rsid w:val="002511E0"/>
    <w:rsid w:val="002511F7"/>
    <w:rsid w:val="00251262"/>
    <w:rsid w:val="00251264"/>
    <w:rsid w:val="002512A6"/>
    <w:rsid w:val="0025135C"/>
    <w:rsid w:val="0025138D"/>
    <w:rsid w:val="002513C9"/>
    <w:rsid w:val="002513E4"/>
    <w:rsid w:val="002514CE"/>
    <w:rsid w:val="00251525"/>
    <w:rsid w:val="00251542"/>
    <w:rsid w:val="00251551"/>
    <w:rsid w:val="00251558"/>
    <w:rsid w:val="002515B5"/>
    <w:rsid w:val="00251616"/>
    <w:rsid w:val="0025177F"/>
    <w:rsid w:val="002517AE"/>
    <w:rsid w:val="0025182E"/>
    <w:rsid w:val="00251862"/>
    <w:rsid w:val="0025189C"/>
    <w:rsid w:val="0025190B"/>
    <w:rsid w:val="00251957"/>
    <w:rsid w:val="00251979"/>
    <w:rsid w:val="002519B6"/>
    <w:rsid w:val="002519CE"/>
    <w:rsid w:val="00251A35"/>
    <w:rsid w:val="00251AB8"/>
    <w:rsid w:val="00251B42"/>
    <w:rsid w:val="00251B93"/>
    <w:rsid w:val="00251B9B"/>
    <w:rsid w:val="00251BCE"/>
    <w:rsid w:val="00251C3F"/>
    <w:rsid w:val="00251CC3"/>
    <w:rsid w:val="00251CD1"/>
    <w:rsid w:val="00251D0D"/>
    <w:rsid w:val="00251D71"/>
    <w:rsid w:val="00251E4A"/>
    <w:rsid w:val="00251F6C"/>
    <w:rsid w:val="00251FD6"/>
    <w:rsid w:val="002520C6"/>
    <w:rsid w:val="0025211A"/>
    <w:rsid w:val="0025212D"/>
    <w:rsid w:val="002521F5"/>
    <w:rsid w:val="00252233"/>
    <w:rsid w:val="00252245"/>
    <w:rsid w:val="00252306"/>
    <w:rsid w:val="00252371"/>
    <w:rsid w:val="0025249A"/>
    <w:rsid w:val="0025250C"/>
    <w:rsid w:val="002526F1"/>
    <w:rsid w:val="0025271A"/>
    <w:rsid w:val="0025272D"/>
    <w:rsid w:val="002527C9"/>
    <w:rsid w:val="00252815"/>
    <w:rsid w:val="002528F7"/>
    <w:rsid w:val="002529A0"/>
    <w:rsid w:val="002529F9"/>
    <w:rsid w:val="00252AFB"/>
    <w:rsid w:val="00252B7F"/>
    <w:rsid w:val="00252BBE"/>
    <w:rsid w:val="00252BD2"/>
    <w:rsid w:val="00252CD8"/>
    <w:rsid w:val="00252D18"/>
    <w:rsid w:val="00252D2E"/>
    <w:rsid w:val="00252DC6"/>
    <w:rsid w:val="00252DF3"/>
    <w:rsid w:val="00252E67"/>
    <w:rsid w:val="00252E6E"/>
    <w:rsid w:val="00252E84"/>
    <w:rsid w:val="00252FDF"/>
    <w:rsid w:val="0025303E"/>
    <w:rsid w:val="00253055"/>
    <w:rsid w:val="002530D5"/>
    <w:rsid w:val="00253103"/>
    <w:rsid w:val="00253193"/>
    <w:rsid w:val="002531B3"/>
    <w:rsid w:val="00253264"/>
    <w:rsid w:val="002532A8"/>
    <w:rsid w:val="002532F5"/>
    <w:rsid w:val="0025333E"/>
    <w:rsid w:val="00253384"/>
    <w:rsid w:val="002533FC"/>
    <w:rsid w:val="0025349C"/>
    <w:rsid w:val="00253610"/>
    <w:rsid w:val="00253677"/>
    <w:rsid w:val="002536AA"/>
    <w:rsid w:val="0025371F"/>
    <w:rsid w:val="0025396D"/>
    <w:rsid w:val="00253B21"/>
    <w:rsid w:val="00253B63"/>
    <w:rsid w:val="00253C01"/>
    <w:rsid w:val="00253C42"/>
    <w:rsid w:val="00253C5E"/>
    <w:rsid w:val="00253C8A"/>
    <w:rsid w:val="00253C93"/>
    <w:rsid w:val="00253CDF"/>
    <w:rsid w:val="00253E4C"/>
    <w:rsid w:val="00253EF2"/>
    <w:rsid w:val="00253FCA"/>
    <w:rsid w:val="002540B3"/>
    <w:rsid w:val="002540C5"/>
    <w:rsid w:val="00254120"/>
    <w:rsid w:val="00254160"/>
    <w:rsid w:val="00254226"/>
    <w:rsid w:val="002542F9"/>
    <w:rsid w:val="00254364"/>
    <w:rsid w:val="00254522"/>
    <w:rsid w:val="00254562"/>
    <w:rsid w:val="00254730"/>
    <w:rsid w:val="00254740"/>
    <w:rsid w:val="00254775"/>
    <w:rsid w:val="00254895"/>
    <w:rsid w:val="0025495F"/>
    <w:rsid w:val="002549E9"/>
    <w:rsid w:val="00254B1B"/>
    <w:rsid w:val="00254BDC"/>
    <w:rsid w:val="00254C69"/>
    <w:rsid w:val="00254D63"/>
    <w:rsid w:val="00254D8C"/>
    <w:rsid w:val="00254DDE"/>
    <w:rsid w:val="00254DF4"/>
    <w:rsid w:val="00254E6D"/>
    <w:rsid w:val="00254E8A"/>
    <w:rsid w:val="00255022"/>
    <w:rsid w:val="0025506A"/>
    <w:rsid w:val="0025515D"/>
    <w:rsid w:val="00255202"/>
    <w:rsid w:val="00255407"/>
    <w:rsid w:val="00255452"/>
    <w:rsid w:val="00255480"/>
    <w:rsid w:val="00255481"/>
    <w:rsid w:val="00255488"/>
    <w:rsid w:val="002554C5"/>
    <w:rsid w:val="00255548"/>
    <w:rsid w:val="00255580"/>
    <w:rsid w:val="002555B9"/>
    <w:rsid w:val="00255603"/>
    <w:rsid w:val="00255702"/>
    <w:rsid w:val="00255705"/>
    <w:rsid w:val="00255771"/>
    <w:rsid w:val="002557A5"/>
    <w:rsid w:val="002557EE"/>
    <w:rsid w:val="002558BD"/>
    <w:rsid w:val="0025590C"/>
    <w:rsid w:val="0025597E"/>
    <w:rsid w:val="00255A0C"/>
    <w:rsid w:val="00255A75"/>
    <w:rsid w:val="00255A7D"/>
    <w:rsid w:val="00255BBC"/>
    <w:rsid w:val="00255BCA"/>
    <w:rsid w:val="00255C4C"/>
    <w:rsid w:val="00255C51"/>
    <w:rsid w:val="00255CB4"/>
    <w:rsid w:val="00255CD3"/>
    <w:rsid w:val="00255CDC"/>
    <w:rsid w:val="00255D1C"/>
    <w:rsid w:val="00255DA8"/>
    <w:rsid w:val="00255DC4"/>
    <w:rsid w:val="00255EE2"/>
    <w:rsid w:val="00255F80"/>
    <w:rsid w:val="0025611E"/>
    <w:rsid w:val="00256139"/>
    <w:rsid w:val="00256150"/>
    <w:rsid w:val="002562A9"/>
    <w:rsid w:val="002562D3"/>
    <w:rsid w:val="00256351"/>
    <w:rsid w:val="002564AA"/>
    <w:rsid w:val="002564C4"/>
    <w:rsid w:val="00256549"/>
    <w:rsid w:val="0025654B"/>
    <w:rsid w:val="00256683"/>
    <w:rsid w:val="002566D0"/>
    <w:rsid w:val="002566FB"/>
    <w:rsid w:val="002566FC"/>
    <w:rsid w:val="00256783"/>
    <w:rsid w:val="00256869"/>
    <w:rsid w:val="002569C3"/>
    <w:rsid w:val="002569F0"/>
    <w:rsid w:val="00256BEF"/>
    <w:rsid w:val="00256C9A"/>
    <w:rsid w:val="00256CE9"/>
    <w:rsid w:val="00256DAD"/>
    <w:rsid w:val="00256E22"/>
    <w:rsid w:val="00256E99"/>
    <w:rsid w:val="00256F22"/>
    <w:rsid w:val="00256F6A"/>
    <w:rsid w:val="0025701C"/>
    <w:rsid w:val="00257026"/>
    <w:rsid w:val="0025706A"/>
    <w:rsid w:val="00257124"/>
    <w:rsid w:val="00257163"/>
    <w:rsid w:val="002571AD"/>
    <w:rsid w:val="00257290"/>
    <w:rsid w:val="002572AA"/>
    <w:rsid w:val="002572B7"/>
    <w:rsid w:val="0025731F"/>
    <w:rsid w:val="002573C9"/>
    <w:rsid w:val="002573D7"/>
    <w:rsid w:val="002573F2"/>
    <w:rsid w:val="002574F7"/>
    <w:rsid w:val="00257650"/>
    <w:rsid w:val="002576DE"/>
    <w:rsid w:val="0025772E"/>
    <w:rsid w:val="00257798"/>
    <w:rsid w:val="0025779A"/>
    <w:rsid w:val="002577C3"/>
    <w:rsid w:val="002577CF"/>
    <w:rsid w:val="002579A4"/>
    <w:rsid w:val="002579CC"/>
    <w:rsid w:val="002579F6"/>
    <w:rsid w:val="00257B02"/>
    <w:rsid w:val="00257B04"/>
    <w:rsid w:val="00257B5B"/>
    <w:rsid w:val="00257B72"/>
    <w:rsid w:val="00257BD9"/>
    <w:rsid w:val="00257C32"/>
    <w:rsid w:val="00257C3C"/>
    <w:rsid w:val="00257C44"/>
    <w:rsid w:val="00257EC1"/>
    <w:rsid w:val="00257F14"/>
    <w:rsid w:val="00260059"/>
    <w:rsid w:val="00260097"/>
    <w:rsid w:val="002600FD"/>
    <w:rsid w:val="00260129"/>
    <w:rsid w:val="0026012A"/>
    <w:rsid w:val="00260132"/>
    <w:rsid w:val="00260140"/>
    <w:rsid w:val="00260152"/>
    <w:rsid w:val="00260159"/>
    <w:rsid w:val="002601E3"/>
    <w:rsid w:val="0026021A"/>
    <w:rsid w:val="00260388"/>
    <w:rsid w:val="00260389"/>
    <w:rsid w:val="00260423"/>
    <w:rsid w:val="00260445"/>
    <w:rsid w:val="00260458"/>
    <w:rsid w:val="002606B3"/>
    <w:rsid w:val="00260786"/>
    <w:rsid w:val="00260831"/>
    <w:rsid w:val="00260919"/>
    <w:rsid w:val="00260958"/>
    <w:rsid w:val="002609D3"/>
    <w:rsid w:val="00260A0A"/>
    <w:rsid w:val="00260A31"/>
    <w:rsid w:val="00260A84"/>
    <w:rsid w:val="00260B17"/>
    <w:rsid w:val="00260C34"/>
    <w:rsid w:val="00260D20"/>
    <w:rsid w:val="00260E8E"/>
    <w:rsid w:val="00260EC0"/>
    <w:rsid w:val="00260F26"/>
    <w:rsid w:val="00260F93"/>
    <w:rsid w:val="00260FE0"/>
    <w:rsid w:val="00261057"/>
    <w:rsid w:val="00261060"/>
    <w:rsid w:val="00261066"/>
    <w:rsid w:val="00261100"/>
    <w:rsid w:val="00261182"/>
    <w:rsid w:val="002611E9"/>
    <w:rsid w:val="0026121F"/>
    <w:rsid w:val="00261269"/>
    <w:rsid w:val="0026129B"/>
    <w:rsid w:val="002612A6"/>
    <w:rsid w:val="002612F3"/>
    <w:rsid w:val="0026134B"/>
    <w:rsid w:val="0026137F"/>
    <w:rsid w:val="0026146D"/>
    <w:rsid w:val="00261493"/>
    <w:rsid w:val="002614B0"/>
    <w:rsid w:val="002614B7"/>
    <w:rsid w:val="00261500"/>
    <w:rsid w:val="0026160D"/>
    <w:rsid w:val="00261686"/>
    <w:rsid w:val="002616B8"/>
    <w:rsid w:val="002616CC"/>
    <w:rsid w:val="002617C5"/>
    <w:rsid w:val="002617FD"/>
    <w:rsid w:val="00261822"/>
    <w:rsid w:val="002618BF"/>
    <w:rsid w:val="00261953"/>
    <w:rsid w:val="00261A22"/>
    <w:rsid w:val="00261A58"/>
    <w:rsid w:val="00261A6C"/>
    <w:rsid w:val="00261A8C"/>
    <w:rsid w:val="00261AEC"/>
    <w:rsid w:val="00261B47"/>
    <w:rsid w:val="00261C1F"/>
    <w:rsid w:val="00261CA1"/>
    <w:rsid w:val="00261CB9"/>
    <w:rsid w:val="00261D4E"/>
    <w:rsid w:val="00261D85"/>
    <w:rsid w:val="00261DF7"/>
    <w:rsid w:val="00261DF8"/>
    <w:rsid w:val="00261E09"/>
    <w:rsid w:val="00261E18"/>
    <w:rsid w:val="00261EE8"/>
    <w:rsid w:val="00261FCE"/>
    <w:rsid w:val="00262030"/>
    <w:rsid w:val="00262034"/>
    <w:rsid w:val="002621E5"/>
    <w:rsid w:val="0026226B"/>
    <w:rsid w:val="0026226C"/>
    <w:rsid w:val="002622E0"/>
    <w:rsid w:val="0026234D"/>
    <w:rsid w:val="002623EB"/>
    <w:rsid w:val="00262419"/>
    <w:rsid w:val="0026249E"/>
    <w:rsid w:val="0026256D"/>
    <w:rsid w:val="002625CA"/>
    <w:rsid w:val="002625ED"/>
    <w:rsid w:val="0026265A"/>
    <w:rsid w:val="0026266E"/>
    <w:rsid w:val="00262743"/>
    <w:rsid w:val="002627CD"/>
    <w:rsid w:val="002628FC"/>
    <w:rsid w:val="00262904"/>
    <w:rsid w:val="0026290B"/>
    <w:rsid w:val="00262951"/>
    <w:rsid w:val="00262A0C"/>
    <w:rsid w:val="00262A13"/>
    <w:rsid w:val="00262A5A"/>
    <w:rsid w:val="00262A9A"/>
    <w:rsid w:val="00262AB1"/>
    <w:rsid w:val="00262B3D"/>
    <w:rsid w:val="00262B4D"/>
    <w:rsid w:val="00262BF7"/>
    <w:rsid w:val="00262C49"/>
    <w:rsid w:val="00262E18"/>
    <w:rsid w:val="00262E4A"/>
    <w:rsid w:val="00262FC4"/>
    <w:rsid w:val="00263010"/>
    <w:rsid w:val="00263106"/>
    <w:rsid w:val="0026312E"/>
    <w:rsid w:val="0026315A"/>
    <w:rsid w:val="0026315C"/>
    <w:rsid w:val="0026315F"/>
    <w:rsid w:val="00263240"/>
    <w:rsid w:val="0026326E"/>
    <w:rsid w:val="002632B7"/>
    <w:rsid w:val="00263311"/>
    <w:rsid w:val="002633E1"/>
    <w:rsid w:val="0026343A"/>
    <w:rsid w:val="00263480"/>
    <w:rsid w:val="002634F8"/>
    <w:rsid w:val="0026357D"/>
    <w:rsid w:val="002635AF"/>
    <w:rsid w:val="002635CD"/>
    <w:rsid w:val="002635DF"/>
    <w:rsid w:val="0026360E"/>
    <w:rsid w:val="00263718"/>
    <w:rsid w:val="00263728"/>
    <w:rsid w:val="002638CE"/>
    <w:rsid w:val="002638F7"/>
    <w:rsid w:val="0026397F"/>
    <w:rsid w:val="00263B11"/>
    <w:rsid w:val="00263B26"/>
    <w:rsid w:val="00263BF4"/>
    <w:rsid w:val="00263C98"/>
    <w:rsid w:val="00263D63"/>
    <w:rsid w:val="00263D66"/>
    <w:rsid w:val="00263EE5"/>
    <w:rsid w:val="00263FC0"/>
    <w:rsid w:val="00264001"/>
    <w:rsid w:val="00264048"/>
    <w:rsid w:val="00264112"/>
    <w:rsid w:val="00264230"/>
    <w:rsid w:val="00264244"/>
    <w:rsid w:val="0026429D"/>
    <w:rsid w:val="0026431B"/>
    <w:rsid w:val="0026446A"/>
    <w:rsid w:val="00264516"/>
    <w:rsid w:val="00264634"/>
    <w:rsid w:val="00264692"/>
    <w:rsid w:val="00264711"/>
    <w:rsid w:val="0026471D"/>
    <w:rsid w:val="002647C4"/>
    <w:rsid w:val="0026481E"/>
    <w:rsid w:val="00264825"/>
    <w:rsid w:val="0026499C"/>
    <w:rsid w:val="002649B0"/>
    <w:rsid w:val="002649EA"/>
    <w:rsid w:val="00264A78"/>
    <w:rsid w:val="00264AE4"/>
    <w:rsid w:val="00264C14"/>
    <w:rsid w:val="00264C6C"/>
    <w:rsid w:val="00264CCF"/>
    <w:rsid w:val="00264DCB"/>
    <w:rsid w:val="00264E05"/>
    <w:rsid w:val="00264EAA"/>
    <w:rsid w:val="00264FB9"/>
    <w:rsid w:val="0026515D"/>
    <w:rsid w:val="002651E1"/>
    <w:rsid w:val="0026525B"/>
    <w:rsid w:val="002652C7"/>
    <w:rsid w:val="00265393"/>
    <w:rsid w:val="002653C6"/>
    <w:rsid w:val="002653CE"/>
    <w:rsid w:val="0026543E"/>
    <w:rsid w:val="00265446"/>
    <w:rsid w:val="00265495"/>
    <w:rsid w:val="002655DC"/>
    <w:rsid w:val="002655EE"/>
    <w:rsid w:val="00265621"/>
    <w:rsid w:val="00265652"/>
    <w:rsid w:val="002656AC"/>
    <w:rsid w:val="002656F0"/>
    <w:rsid w:val="00265776"/>
    <w:rsid w:val="002657CD"/>
    <w:rsid w:val="002657E4"/>
    <w:rsid w:val="002657E5"/>
    <w:rsid w:val="0026598A"/>
    <w:rsid w:val="00265A85"/>
    <w:rsid w:val="00265AAB"/>
    <w:rsid w:val="00265AC7"/>
    <w:rsid w:val="00265C1B"/>
    <w:rsid w:val="00265C61"/>
    <w:rsid w:val="00265C6D"/>
    <w:rsid w:val="00265C7C"/>
    <w:rsid w:val="00265C9D"/>
    <w:rsid w:val="00265CA3"/>
    <w:rsid w:val="00265DFF"/>
    <w:rsid w:val="00265EDB"/>
    <w:rsid w:val="00265EFC"/>
    <w:rsid w:val="00265FA1"/>
    <w:rsid w:val="0026609A"/>
    <w:rsid w:val="002660CA"/>
    <w:rsid w:val="002660E9"/>
    <w:rsid w:val="0026617C"/>
    <w:rsid w:val="0026622A"/>
    <w:rsid w:val="00266232"/>
    <w:rsid w:val="002662E7"/>
    <w:rsid w:val="002662F6"/>
    <w:rsid w:val="00266436"/>
    <w:rsid w:val="00266546"/>
    <w:rsid w:val="002665F8"/>
    <w:rsid w:val="00266616"/>
    <w:rsid w:val="0026661F"/>
    <w:rsid w:val="002667AA"/>
    <w:rsid w:val="0026687E"/>
    <w:rsid w:val="00266896"/>
    <w:rsid w:val="002668C7"/>
    <w:rsid w:val="002668D9"/>
    <w:rsid w:val="00266A35"/>
    <w:rsid w:val="00266BF5"/>
    <w:rsid w:val="00266C91"/>
    <w:rsid w:val="00266CB9"/>
    <w:rsid w:val="00266CBE"/>
    <w:rsid w:val="00266CCC"/>
    <w:rsid w:val="00266CFB"/>
    <w:rsid w:val="00266CFC"/>
    <w:rsid w:val="00266D36"/>
    <w:rsid w:val="00266DD7"/>
    <w:rsid w:val="00266DE9"/>
    <w:rsid w:val="00266DED"/>
    <w:rsid w:val="00266E94"/>
    <w:rsid w:val="00267076"/>
    <w:rsid w:val="0026714A"/>
    <w:rsid w:val="00267162"/>
    <w:rsid w:val="00267188"/>
    <w:rsid w:val="002672A3"/>
    <w:rsid w:val="00267310"/>
    <w:rsid w:val="002673E3"/>
    <w:rsid w:val="00267484"/>
    <w:rsid w:val="002674CD"/>
    <w:rsid w:val="00267521"/>
    <w:rsid w:val="002676F4"/>
    <w:rsid w:val="0026778B"/>
    <w:rsid w:val="0026784F"/>
    <w:rsid w:val="002678C0"/>
    <w:rsid w:val="00267917"/>
    <w:rsid w:val="00267926"/>
    <w:rsid w:val="00267958"/>
    <w:rsid w:val="002679FD"/>
    <w:rsid w:val="00267A86"/>
    <w:rsid w:val="00267AA2"/>
    <w:rsid w:val="00267AE3"/>
    <w:rsid w:val="00267B76"/>
    <w:rsid w:val="00267BA0"/>
    <w:rsid w:val="00267C0E"/>
    <w:rsid w:val="00267C1F"/>
    <w:rsid w:val="00267C9F"/>
    <w:rsid w:val="00267CB2"/>
    <w:rsid w:val="00267CD7"/>
    <w:rsid w:val="00267DB0"/>
    <w:rsid w:val="00267DC1"/>
    <w:rsid w:val="00267E8F"/>
    <w:rsid w:val="00267EE7"/>
    <w:rsid w:val="00267F3C"/>
    <w:rsid w:val="00270099"/>
    <w:rsid w:val="002700CE"/>
    <w:rsid w:val="0027013B"/>
    <w:rsid w:val="0027021F"/>
    <w:rsid w:val="0027026C"/>
    <w:rsid w:val="002702B4"/>
    <w:rsid w:val="00270325"/>
    <w:rsid w:val="002703C2"/>
    <w:rsid w:val="002704C6"/>
    <w:rsid w:val="002704F0"/>
    <w:rsid w:val="002704F9"/>
    <w:rsid w:val="00270536"/>
    <w:rsid w:val="0027056E"/>
    <w:rsid w:val="0027057A"/>
    <w:rsid w:val="002705D1"/>
    <w:rsid w:val="00270626"/>
    <w:rsid w:val="0027062B"/>
    <w:rsid w:val="00270688"/>
    <w:rsid w:val="00270709"/>
    <w:rsid w:val="00270731"/>
    <w:rsid w:val="0027079D"/>
    <w:rsid w:val="002707D8"/>
    <w:rsid w:val="002707E6"/>
    <w:rsid w:val="00270832"/>
    <w:rsid w:val="002708D8"/>
    <w:rsid w:val="00270935"/>
    <w:rsid w:val="00270945"/>
    <w:rsid w:val="00270A1D"/>
    <w:rsid w:val="00270A23"/>
    <w:rsid w:val="00270A7E"/>
    <w:rsid w:val="00270BC0"/>
    <w:rsid w:val="00270BC2"/>
    <w:rsid w:val="00270C25"/>
    <w:rsid w:val="00270CB8"/>
    <w:rsid w:val="00270D39"/>
    <w:rsid w:val="00270E37"/>
    <w:rsid w:val="00270E8C"/>
    <w:rsid w:val="00270EF1"/>
    <w:rsid w:val="00270F26"/>
    <w:rsid w:val="00270F7C"/>
    <w:rsid w:val="00271033"/>
    <w:rsid w:val="002710BA"/>
    <w:rsid w:val="00271172"/>
    <w:rsid w:val="002711B2"/>
    <w:rsid w:val="002711D1"/>
    <w:rsid w:val="002711E0"/>
    <w:rsid w:val="00271203"/>
    <w:rsid w:val="0027121E"/>
    <w:rsid w:val="00271302"/>
    <w:rsid w:val="0027131E"/>
    <w:rsid w:val="0027132F"/>
    <w:rsid w:val="002713BA"/>
    <w:rsid w:val="00271425"/>
    <w:rsid w:val="002714A0"/>
    <w:rsid w:val="002714BE"/>
    <w:rsid w:val="002714F9"/>
    <w:rsid w:val="0027156C"/>
    <w:rsid w:val="00271609"/>
    <w:rsid w:val="00271644"/>
    <w:rsid w:val="00271662"/>
    <w:rsid w:val="00271722"/>
    <w:rsid w:val="00271743"/>
    <w:rsid w:val="002718A6"/>
    <w:rsid w:val="00271965"/>
    <w:rsid w:val="002719B9"/>
    <w:rsid w:val="002719FB"/>
    <w:rsid w:val="00271A22"/>
    <w:rsid w:val="00271A39"/>
    <w:rsid w:val="00271A3F"/>
    <w:rsid w:val="00271A5B"/>
    <w:rsid w:val="00271AC1"/>
    <w:rsid w:val="00271AE4"/>
    <w:rsid w:val="00271B25"/>
    <w:rsid w:val="00271B84"/>
    <w:rsid w:val="00271BAF"/>
    <w:rsid w:val="00271BE9"/>
    <w:rsid w:val="00271C4C"/>
    <w:rsid w:val="00271D87"/>
    <w:rsid w:val="00271DAA"/>
    <w:rsid w:val="00271E6F"/>
    <w:rsid w:val="00271F39"/>
    <w:rsid w:val="00271F69"/>
    <w:rsid w:val="00271FBB"/>
    <w:rsid w:val="00271FE9"/>
    <w:rsid w:val="00272053"/>
    <w:rsid w:val="002720CC"/>
    <w:rsid w:val="002720E6"/>
    <w:rsid w:val="002721B4"/>
    <w:rsid w:val="002721C8"/>
    <w:rsid w:val="002721D4"/>
    <w:rsid w:val="002721DB"/>
    <w:rsid w:val="0027226D"/>
    <w:rsid w:val="00272472"/>
    <w:rsid w:val="002724B0"/>
    <w:rsid w:val="00272565"/>
    <w:rsid w:val="002725EB"/>
    <w:rsid w:val="00272777"/>
    <w:rsid w:val="00272790"/>
    <w:rsid w:val="002727C0"/>
    <w:rsid w:val="002727D9"/>
    <w:rsid w:val="002727F1"/>
    <w:rsid w:val="0027283C"/>
    <w:rsid w:val="00272878"/>
    <w:rsid w:val="0027288A"/>
    <w:rsid w:val="002729DA"/>
    <w:rsid w:val="00272AA7"/>
    <w:rsid w:val="00272B16"/>
    <w:rsid w:val="00272B49"/>
    <w:rsid w:val="00272C72"/>
    <w:rsid w:val="00272CEE"/>
    <w:rsid w:val="00272D0D"/>
    <w:rsid w:val="00272DA3"/>
    <w:rsid w:val="00272DD2"/>
    <w:rsid w:val="00272E6B"/>
    <w:rsid w:val="00272F05"/>
    <w:rsid w:val="00272F3F"/>
    <w:rsid w:val="00272FD9"/>
    <w:rsid w:val="00272FE0"/>
    <w:rsid w:val="0027304D"/>
    <w:rsid w:val="002730B8"/>
    <w:rsid w:val="002730CB"/>
    <w:rsid w:val="00273153"/>
    <w:rsid w:val="002731CC"/>
    <w:rsid w:val="0027326A"/>
    <w:rsid w:val="002732C1"/>
    <w:rsid w:val="00273360"/>
    <w:rsid w:val="00273369"/>
    <w:rsid w:val="0027339C"/>
    <w:rsid w:val="0027342E"/>
    <w:rsid w:val="00273496"/>
    <w:rsid w:val="00273589"/>
    <w:rsid w:val="00273597"/>
    <w:rsid w:val="0027364A"/>
    <w:rsid w:val="00273717"/>
    <w:rsid w:val="00273762"/>
    <w:rsid w:val="002737DB"/>
    <w:rsid w:val="0027386B"/>
    <w:rsid w:val="0027386E"/>
    <w:rsid w:val="002738EB"/>
    <w:rsid w:val="00273996"/>
    <w:rsid w:val="00273998"/>
    <w:rsid w:val="002739B8"/>
    <w:rsid w:val="002739BE"/>
    <w:rsid w:val="00273A0A"/>
    <w:rsid w:val="00273AD8"/>
    <w:rsid w:val="00273B37"/>
    <w:rsid w:val="00273C05"/>
    <w:rsid w:val="00273C18"/>
    <w:rsid w:val="00273CDE"/>
    <w:rsid w:val="00273D6E"/>
    <w:rsid w:val="00273D93"/>
    <w:rsid w:val="00273DB9"/>
    <w:rsid w:val="00273E39"/>
    <w:rsid w:val="00273F47"/>
    <w:rsid w:val="00273F72"/>
    <w:rsid w:val="00273FD6"/>
    <w:rsid w:val="00273FDC"/>
    <w:rsid w:val="00274042"/>
    <w:rsid w:val="00274080"/>
    <w:rsid w:val="0027409A"/>
    <w:rsid w:val="002740FA"/>
    <w:rsid w:val="002740FE"/>
    <w:rsid w:val="00274139"/>
    <w:rsid w:val="002743E6"/>
    <w:rsid w:val="002744A7"/>
    <w:rsid w:val="00274557"/>
    <w:rsid w:val="00274622"/>
    <w:rsid w:val="00274666"/>
    <w:rsid w:val="002746C3"/>
    <w:rsid w:val="002746E1"/>
    <w:rsid w:val="002746ED"/>
    <w:rsid w:val="002747CA"/>
    <w:rsid w:val="00274836"/>
    <w:rsid w:val="00274844"/>
    <w:rsid w:val="00274882"/>
    <w:rsid w:val="00274936"/>
    <w:rsid w:val="00274987"/>
    <w:rsid w:val="00274A81"/>
    <w:rsid w:val="00274B78"/>
    <w:rsid w:val="00274B8A"/>
    <w:rsid w:val="00274BAA"/>
    <w:rsid w:val="00274BB8"/>
    <w:rsid w:val="00274D03"/>
    <w:rsid w:val="00274D14"/>
    <w:rsid w:val="00274D18"/>
    <w:rsid w:val="00274D70"/>
    <w:rsid w:val="00274DB4"/>
    <w:rsid w:val="00274DB7"/>
    <w:rsid w:val="00274DE4"/>
    <w:rsid w:val="00274DFE"/>
    <w:rsid w:val="00274E0C"/>
    <w:rsid w:val="00274E43"/>
    <w:rsid w:val="00274EB5"/>
    <w:rsid w:val="00274ECD"/>
    <w:rsid w:val="00274EF3"/>
    <w:rsid w:val="00274F73"/>
    <w:rsid w:val="00274FD1"/>
    <w:rsid w:val="00274FE5"/>
    <w:rsid w:val="00275086"/>
    <w:rsid w:val="00275089"/>
    <w:rsid w:val="0027509E"/>
    <w:rsid w:val="002751B3"/>
    <w:rsid w:val="002753E1"/>
    <w:rsid w:val="00275453"/>
    <w:rsid w:val="00275560"/>
    <w:rsid w:val="002755B2"/>
    <w:rsid w:val="00275613"/>
    <w:rsid w:val="0027565B"/>
    <w:rsid w:val="0027575D"/>
    <w:rsid w:val="00275815"/>
    <w:rsid w:val="00275823"/>
    <w:rsid w:val="0027590D"/>
    <w:rsid w:val="0027591E"/>
    <w:rsid w:val="0027594E"/>
    <w:rsid w:val="00275B09"/>
    <w:rsid w:val="00275B37"/>
    <w:rsid w:val="00275B4C"/>
    <w:rsid w:val="00275CD4"/>
    <w:rsid w:val="00275D73"/>
    <w:rsid w:val="00275E02"/>
    <w:rsid w:val="00275F75"/>
    <w:rsid w:val="00275F9C"/>
    <w:rsid w:val="00275FBA"/>
    <w:rsid w:val="002760A9"/>
    <w:rsid w:val="002760DC"/>
    <w:rsid w:val="00276108"/>
    <w:rsid w:val="0027615D"/>
    <w:rsid w:val="0027619D"/>
    <w:rsid w:val="002762D8"/>
    <w:rsid w:val="00276316"/>
    <w:rsid w:val="00276359"/>
    <w:rsid w:val="00276382"/>
    <w:rsid w:val="002763AA"/>
    <w:rsid w:val="002763C5"/>
    <w:rsid w:val="0027646A"/>
    <w:rsid w:val="0027662D"/>
    <w:rsid w:val="0027667F"/>
    <w:rsid w:val="002766C2"/>
    <w:rsid w:val="0027671A"/>
    <w:rsid w:val="00276771"/>
    <w:rsid w:val="0027678A"/>
    <w:rsid w:val="00276793"/>
    <w:rsid w:val="002767E2"/>
    <w:rsid w:val="002768A3"/>
    <w:rsid w:val="00276AB0"/>
    <w:rsid w:val="00276AC7"/>
    <w:rsid w:val="00276AEC"/>
    <w:rsid w:val="00276B7E"/>
    <w:rsid w:val="00276BC0"/>
    <w:rsid w:val="00276C11"/>
    <w:rsid w:val="00276C17"/>
    <w:rsid w:val="00276C48"/>
    <w:rsid w:val="00276CA4"/>
    <w:rsid w:val="00276CD6"/>
    <w:rsid w:val="00276CE1"/>
    <w:rsid w:val="00276CE7"/>
    <w:rsid w:val="00276DE9"/>
    <w:rsid w:val="00276E6A"/>
    <w:rsid w:val="00276E8B"/>
    <w:rsid w:val="00276EE1"/>
    <w:rsid w:val="00276FD8"/>
    <w:rsid w:val="00277074"/>
    <w:rsid w:val="002770F1"/>
    <w:rsid w:val="00277248"/>
    <w:rsid w:val="00277318"/>
    <w:rsid w:val="0027734B"/>
    <w:rsid w:val="002773C2"/>
    <w:rsid w:val="0027740A"/>
    <w:rsid w:val="0027748F"/>
    <w:rsid w:val="00277533"/>
    <w:rsid w:val="00277534"/>
    <w:rsid w:val="00277537"/>
    <w:rsid w:val="002775E8"/>
    <w:rsid w:val="00277667"/>
    <w:rsid w:val="002776A4"/>
    <w:rsid w:val="002776AC"/>
    <w:rsid w:val="002776DE"/>
    <w:rsid w:val="00277756"/>
    <w:rsid w:val="002777AE"/>
    <w:rsid w:val="00277857"/>
    <w:rsid w:val="002778DE"/>
    <w:rsid w:val="002778EE"/>
    <w:rsid w:val="00277927"/>
    <w:rsid w:val="002779F7"/>
    <w:rsid w:val="00277A21"/>
    <w:rsid w:val="00277ADE"/>
    <w:rsid w:val="00277E95"/>
    <w:rsid w:val="00277EE0"/>
    <w:rsid w:val="00277FC8"/>
    <w:rsid w:val="00277FFC"/>
    <w:rsid w:val="0028008A"/>
    <w:rsid w:val="00280096"/>
    <w:rsid w:val="00280203"/>
    <w:rsid w:val="00280379"/>
    <w:rsid w:val="0028038B"/>
    <w:rsid w:val="002803C5"/>
    <w:rsid w:val="00280434"/>
    <w:rsid w:val="00280468"/>
    <w:rsid w:val="0028046E"/>
    <w:rsid w:val="002804E2"/>
    <w:rsid w:val="0028057D"/>
    <w:rsid w:val="00280580"/>
    <w:rsid w:val="00280581"/>
    <w:rsid w:val="00280618"/>
    <w:rsid w:val="00280697"/>
    <w:rsid w:val="002806B0"/>
    <w:rsid w:val="002806B6"/>
    <w:rsid w:val="002806C9"/>
    <w:rsid w:val="002806CA"/>
    <w:rsid w:val="002806DF"/>
    <w:rsid w:val="002806FB"/>
    <w:rsid w:val="00280727"/>
    <w:rsid w:val="0028076A"/>
    <w:rsid w:val="002807EB"/>
    <w:rsid w:val="002807EC"/>
    <w:rsid w:val="0028082A"/>
    <w:rsid w:val="00280833"/>
    <w:rsid w:val="00280929"/>
    <w:rsid w:val="0028097D"/>
    <w:rsid w:val="002809B1"/>
    <w:rsid w:val="002809D5"/>
    <w:rsid w:val="00280A46"/>
    <w:rsid w:val="00280B48"/>
    <w:rsid w:val="00280B59"/>
    <w:rsid w:val="00280BE2"/>
    <w:rsid w:val="00280BF7"/>
    <w:rsid w:val="00280C64"/>
    <w:rsid w:val="00280C9B"/>
    <w:rsid w:val="00280EDF"/>
    <w:rsid w:val="00280EF8"/>
    <w:rsid w:val="002810BF"/>
    <w:rsid w:val="002811EB"/>
    <w:rsid w:val="00281210"/>
    <w:rsid w:val="002812AF"/>
    <w:rsid w:val="002812B7"/>
    <w:rsid w:val="00281359"/>
    <w:rsid w:val="0028136E"/>
    <w:rsid w:val="00281432"/>
    <w:rsid w:val="00281467"/>
    <w:rsid w:val="00281605"/>
    <w:rsid w:val="002816D3"/>
    <w:rsid w:val="00281744"/>
    <w:rsid w:val="00281795"/>
    <w:rsid w:val="002817E5"/>
    <w:rsid w:val="002819C9"/>
    <w:rsid w:val="00281A12"/>
    <w:rsid w:val="00281A50"/>
    <w:rsid w:val="00281A54"/>
    <w:rsid w:val="00281A5E"/>
    <w:rsid w:val="00281A7C"/>
    <w:rsid w:val="00281AC9"/>
    <w:rsid w:val="00281AEA"/>
    <w:rsid w:val="00281B19"/>
    <w:rsid w:val="00281B2C"/>
    <w:rsid w:val="00281B31"/>
    <w:rsid w:val="00281B39"/>
    <w:rsid w:val="00281BB2"/>
    <w:rsid w:val="00281C43"/>
    <w:rsid w:val="00281CFB"/>
    <w:rsid w:val="00281D83"/>
    <w:rsid w:val="00281DC2"/>
    <w:rsid w:val="00281E57"/>
    <w:rsid w:val="00281F00"/>
    <w:rsid w:val="00281F67"/>
    <w:rsid w:val="00281F70"/>
    <w:rsid w:val="00281F86"/>
    <w:rsid w:val="0028212D"/>
    <w:rsid w:val="0028213D"/>
    <w:rsid w:val="00282164"/>
    <w:rsid w:val="002821FC"/>
    <w:rsid w:val="00282266"/>
    <w:rsid w:val="0028227C"/>
    <w:rsid w:val="00282360"/>
    <w:rsid w:val="002823B3"/>
    <w:rsid w:val="00282470"/>
    <w:rsid w:val="00282477"/>
    <w:rsid w:val="0028250A"/>
    <w:rsid w:val="00282572"/>
    <w:rsid w:val="002825DE"/>
    <w:rsid w:val="002826D0"/>
    <w:rsid w:val="002826D7"/>
    <w:rsid w:val="002826F7"/>
    <w:rsid w:val="00282758"/>
    <w:rsid w:val="002827D3"/>
    <w:rsid w:val="00282803"/>
    <w:rsid w:val="00282870"/>
    <w:rsid w:val="002828D5"/>
    <w:rsid w:val="00282A71"/>
    <w:rsid w:val="00282AD9"/>
    <w:rsid w:val="00282B50"/>
    <w:rsid w:val="00282BE9"/>
    <w:rsid w:val="00282C1E"/>
    <w:rsid w:val="00282C65"/>
    <w:rsid w:val="00282CB8"/>
    <w:rsid w:val="00282D79"/>
    <w:rsid w:val="00282D7E"/>
    <w:rsid w:val="00282DAF"/>
    <w:rsid w:val="00282E38"/>
    <w:rsid w:val="00282E84"/>
    <w:rsid w:val="00282E8D"/>
    <w:rsid w:val="00282FDF"/>
    <w:rsid w:val="00282FE6"/>
    <w:rsid w:val="00283036"/>
    <w:rsid w:val="00283077"/>
    <w:rsid w:val="00283096"/>
    <w:rsid w:val="00283302"/>
    <w:rsid w:val="00283341"/>
    <w:rsid w:val="00283430"/>
    <w:rsid w:val="0028349E"/>
    <w:rsid w:val="00283585"/>
    <w:rsid w:val="00283593"/>
    <w:rsid w:val="0028359D"/>
    <w:rsid w:val="002835D0"/>
    <w:rsid w:val="0028361E"/>
    <w:rsid w:val="002837B4"/>
    <w:rsid w:val="002837F7"/>
    <w:rsid w:val="0028380E"/>
    <w:rsid w:val="0028386D"/>
    <w:rsid w:val="002839CE"/>
    <w:rsid w:val="00283A02"/>
    <w:rsid w:val="00283A62"/>
    <w:rsid w:val="00283ADD"/>
    <w:rsid w:val="00283B5B"/>
    <w:rsid w:val="00283B87"/>
    <w:rsid w:val="00283BE5"/>
    <w:rsid w:val="00283C4B"/>
    <w:rsid w:val="00283C96"/>
    <w:rsid w:val="00283CA0"/>
    <w:rsid w:val="00283CEC"/>
    <w:rsid w:val="00283D64"/>
    <w:rsid w:val="00283DCF"/>
    <w:rsid w:val="00283F78"/>
    <w:rsid w:val="00283F8C"/>
    <w:rsid w:val="00283F99"/>
    <w:rsid w:val="00284063"/>
    <w:rsid w:val="002841B7"/>
    <w:rsid w:val="00284214"/>
    <w:rsid w:val="002843BD"/>
    <w:rsid w:val="002843ED"/>
    <w:rsid w:val="00284454"/>
    <w:rsid w:val="002844C7"/>
    <w:rsid w:val="00284575"/>
    <w:rsid w:val="0028458B"/>
    <w:rsid w:val="00284623"/>
    <w:rsid w:val="0028470C"/>
    <w:rsid w:val="00284747"/>
    <w:rsid w:val="0028478D"/>
    <w:rsid w:val="00284A23"/>
    <w:rsid w:val="00284A4C"/>
    <w:rsid w:val="00284AD4"/>
    <w:rsid w:val="00284AEC"/>
    <w:rsid w:val="00284B84"/>
    <w:rsid w:val="00284B88"/>
    <w:rsid w:val="00284C25"/>
    <w:rsid w:val="00284DB8"/>
    <w:rsid w:val="00284DF7"/>
    <w:rsid w:val="00284DFF"/>
    <w:rsid w:val="00284F27"/>
    <w:rsid w:val="00284FDA"/>
    <w:rsid w:val="00284FEC"/>
    <w:rsid w:val="00285004"/>
    <w:rsid w:val="0028501B"/>
    <w:rsid w:val="00285089"/>
    <w:rsid w:val="0028517B"/>
    <w:rsid w:val="002851ED"/>
    <w:rsid w:val="00285224"/>
    <w:rsid w:val="00285230"/>
    <w:rsid w:val="0028525E"/>
    <w:rsid w:val="00285279"/>
    <w:rsid w:val="002852BE"/>
    <w:rsid w:val="002852F1"/>
    <w:rsid w:val="0028537A"/>
    <w:rsid w:val="002854CE"/>
    <w:rsid w:val="00285509"/>
    <w:rsid w:val="00285589"/>
    <w:rsid w:val="00285683"/>
    <w:rsid w:val="00285696"/>
    <w:rsid w:val="0028569F"/>
    <w:rsid w:val="002856A5"/>
    <w:rsid w:val="002856B6"/>
    <w:rsid w:val="0028571E"/>
    <w:rsid w:val="0028576A"/>
    <w:rsid w:val="00285788"/>
    <w:rsid w:val="0028582E"/>
    <w:rsid w:val="00285856"/>
    <w:rsid w:val="0028589B"/>
    <w:rsid w:val="00285994"/>
    <w:rsid w:val="00285BAA"/>
    <w:rsid w:val="00285BEE"/>
    <w:rsid w:val="00285BFC"/>
    <w:rsid w:val="00285C02"/>
    <w:rsid w:val="00285D5F"/>
    <w:rsid w:val="00285DB3"/>
    <w:rsid w:val="00285E0D"/>
    <w:rsid w:val="00285E48"/>
    <w:rsid w:val="00285ED3"/>
    <w:rsid w:val="00285FDA"/>
    <w:rsid w:val="00286013"/>
    <w:rsid w:val="00286090"/>
    <w:rsid w:val="0028610C"/>
    <w:rsid w:val="0028610D"/>
    <w:rsid w:val="00286139"/>
    <w:rsid w:val="00286146"/>
    <w:rsid w:val="0028614A"/>
    <w:rsid w:val="0028614E"/>
    <w:rsid w:val="0028615D"/>
    <w:rsid w:val="002861D9"/>
    <w:rsid w:val="0028622C"/>
    <w:rsid w:val="002862CD"/>
    <w:rsid w:val="0028632F"/>
    <w:rsid w:val="0028637D"/>
    <w:rsid w:val="00286390"/>
    <w:rsid w:val="002863C1"/>
    <w:rsid w:val="002863F6"/>
    <w:rsid w:val="00286498"/>
    <w:rsid w:val="00286655"/>
    <w:rsid w:val="0028675D"/>
    <w:rsid w:val="002867C1"/>
    <w:rsid w:val="00286837"/>
    <w:rsid w:val="00286A12"/>
    <w:rsid w:val="00286A73"/>
    <w:rsid w:val="00286C9F"/>
    <w:rsid w:val="00286D40"/>
    <w:rsid w:val="00286EAE"/>
    <w:rsid w:val="00286F41"/>
    <w:rsid w:val="00286F5F"/>
    <w:rsid w:val="00286FBC"/>
    <w:rsid w:val="00286FD0"/>
    <w:rsid w:val="00287007"/>
    <w:rsid w:val="00287017"/>
    <w:rsid w:val="002870F7"/>
    <w:rsid w:val="002872F1"/>
    <w:rsid w:val="00287351"/>
    <w:rsid w:val="0028735F"/>
    <w:rsid w:val="0028736E"/>
    <w:rsid w:val="002873D0"/>
    <w:rsid w:val="002873D6"/>
    <w:rsid w:val="0028747F"/>
    <w:rsid w:val="00287505"/>
    <w:rsid w:val="00287511"/>
    <w:rsid w:val="00287524"/>
    <w:rsid w:val="0028753B"/>
    <w:rsid w:val="002875E9"/>
    <w:rsid w:val="002876F4"/>
    <w:rsid w:val="00287771"/>
    <w:rsid w:val="002877F3"/>
    <w:rsid w:val="002877F8"/>
    <w:rsid w:val="002877FA"/>
    <w:rsid w:val="0028782E"/>
    <w:rsid w:val="00287839"/>
    <w:rsid w:val="00287931"/>
    <w:rsid w:val="00287A6D"/>
    <w:rsid w:val="00287AD0"/>
    <w:rsid w:val="00287C2D"/>
    <w:rsid w:val="00287C2E"/>
    <w:rsid w:val="00287C78"/>
    <w:rsid w:val="00287CD4"/>
    <w:rsid w:val="00287D68"/>
    <w:rsid w:val="00287E41"/>
    <w:rsid w:val="00287E99"/>
    <w:rsid w:val="00287F4F"/>
    <w:rsid w:val="00287F52"/>
    <w:rsid w:val="00287F71"/>
    <w:rsid w:val="00290034"/>
    <w:rsid w:val="0029003A"/>
    <w:rsid w:val="002900A0"/>
    <w:rsid w:val="00290242"/>
    <w:rsid w:val="00290284"/>
    <w:rsid w:val="00290395"/>
    <w:rsid w:val="002903FC"/>
    <w:rsid w:val="00290414"/>
    <w:rsid w:val="00290428"/>
    <w:rsid w:val="002904BC"/>
    <w:rsid w:val="002905E0"/>
    <w:rsid w:val="00290626"/>
    <w:rsid w:val="00290657"/>
    <w:rsid w:val="002906BD"/>
    <w:rsid w:val="002906C0"/>
    <w:rsid w:val="002906C2"/>
    <w:rsid w:val="002906C7"/>
    <w:rsid w:val="002906DD"/>
    <w:rsid w:val="00290757"/>
    <w:rsid w:val="002907B8"/>
    <w:rsid w:val="00290885"/>
    <w:rsid w:val="00290955"/>
    <w:rsid w:val="00290A82"/>
    <w:rsid w:val="00290A9F"/>
    <w:rsid w:val="00290BEB"/>
    <w:rsid w:val="00290C5A"/>
    <w:rsid w:val="00290C83"/>
    <w:rsid w:val="00290D19"/>
    <w:rsid w:val="00290D25"/>
    <w:rsid w:val="00290D2E"/>
    <w:rsid w:val="00290DB3"/>
    <w:rsid w:val="00290E08"/>
    <w:rsid w:val="00290E48"/>
    <w:rsid w:val="00290E6E"/>
    <w:rsid w:val="00290F44"/>
    <w:rsid w:val="00290FAB"/>
    <w:rsid w:val="00291005"/>
    <w:rsid w:val="00291036"/>
    <w:rsid w:val="0029108F"/>
    <w:rsid w:val="00291174"/>
    <w:rsid w:val="002912EB"/>
    <w:rsid w:val="0029148D"/>
    <w:rsid w:val="002914C1"/>
    <w:rsid w:val="002915E9"/>
    <w:rsid w:val="002915F0"/>
    <w:rsid w:val="0029162C"/>
    <w:rsid w:val="00291643"/>
    <w:rsid w:val="00291684"/>
    <w:rsid w:val="00291689"/>
    <w:rsid w:val="002916AE"/>
    <w:rsid w:val="002916CB"/>
    <w:rsid w:val="00291775"/>
    <w:rsid w:val="00291794"/>
    <w:rsid w:val="00291840"/>
    <w:rsid w:val="002918FC"/>
    <w:rsid w:val="00291911"/>
    <w:rsid w:val="00291948"/>
    <w:rsid w:val="002919A6"/>
    <w:rsid w:val="002919BC"/>
    <w:rsid w:val="00291AA2"/>
    <w:rsid w:val="00291AFC"/>
    <w:rsid w:val="00291D52"/>
    <w:rsid w:val="00291D78"/>
    <w:rsid w:val="00291DB1"/>
    <w:rsid w:val="00291DF9"/>
    <w:rsid w:val="00291E49"/>
    <w:rsid w:val="00291F0D"/>
    <w:rsid w:val="00291F65"/>
    <w:rsid w:val="002920CD"/>
    <w:rsid w:val="0029210E"/>
    <w:rsid w:val="0029215E"/>
    <w:rsid w:val="002921FA"/>
    <w:rsid w:val="0029221F"/>
    <w:rsid w:val="0029227F"/>
    <w:rsid w:val="002922FC"/>
    <w:rsid w:val="0029230B"/>
    <w:rsid w:val="00292338"/>
    <w:rsid w:val="00292347"/>
    <w:rsid w:val="00292454"/>
    <w:rsid w:val="00292630"/>
    <w:rsid w:val="002926C5"/>
    <w:rsid w:val="002926CA"/>
    <w:rsid w:val="0029288E"/>
    <w:rsid w:val="0029290C"/>
    <w:rsid w:val="002929B8"/>
    <w:rsid w:val="00292AF7"/>
    <w:rsid w:val="00292B25"/>
    <w:rsid w:val="00292B7F"/>
    <w:rsid w:val="00292C48"/>
    <w:rsid w:val="00292CE8"/>
    <w:rsid w:val="00292D6C"/>
    <w:rsid w:val="00292D71"/>
    <w:rsid w:val="00292ECC"/>
    <w:rsid w:val="00292FEF"/>
    <w:rsid w:val="00292FF6"/>
    <w:rsid w:val="002930E4"/>
    <w:rsid w:val="002931E1"/>
    <w:rsid w:val="002931EE"/>
    <w:rsid w:val="0029334A"/>
    <w:rsid w:val="0029334F"/>
    <w:rsid w:val="002933F2"/>
    <w:rsid w:val="002934C3"/>
    <w:rsid w:val="0029351A"/>
    <w:rsid w:val="0029354C"/>
    <w:rsid w:val="0029371D"/>
    <w:rsid w:val="002938DE"/>
    <w:rsid w:val="002938FB"/>
    <w:rsid w:val="002939BF"/>
    <w:rsid w:val="00293A49"/>
    <w:rsid w:val="00293A7B"/>
    <w:rsid w:val="00293ABA"/>
    <w:rsid w:val="00293B12"/>
    <w:rsid w:val="00293B3C"/>
    <w:rsid w:val="00293B9E"/>
    <w:rsid w:val="00293BA0"/>
    <w:rsid w:val="00293C61"/>
    <w:rsid w:val="00293D98"/>
    <w:rsid w:val="00293EDE"/>
    <w:rsid w:val="00293F02"/>
    <w:rsid w:val="00293F6E"/>
    <w:rsid w:val="00294062"/>
    <w:rsid w:val="00294286"/>
    <w:rsid w:val="002942B5"/>
    <w:rsid w:val="002942BF"/>
    <w:rsid w:val="0029430B"/>
    <w:rsid w:val="002943F0"/>
    <w:rsid w:val="0029442A"/>
    <w:rsid w:val="00294473"/>
    <w:rsid w:val="0029447F"/>
    <w:rsid w:val="00294484"/>
    <w:rsid w:val="002945E2"/>
    <w:rsid w:val="0029462E"/>
    <w:rsid w:val="0029472C"/>
    <w:rsid w:val="00294747"/>
    <w:rsid w:val="002947F8"/>
    <w:rsid w:val="0029481F"/>
    <w:rsid w:val="002949C3"/>
    <w:rsid w:val="00294A5B"/>
    <w:rsid w:val="00294A7C"/>
    <w:rsid w:val="00294B61"/>
    <w:rsid w:val="00294BA4"/>
    <w:rsid w:val="00294BF0"/>
    <w:rsid w:val="00294C24"/>
    <w:rsid w:val="00294CAA"/>
    <w:rsid w:val="00294CE2"/>
    <w:rsid w:val="00294D0F"/>
    <w:rsid w:val="00294D34"/>
    <w:rsid w:val="00294D69"/>
    <w:rsid w:val="00294D93"/>
    <w:rsid w:val="00294E8C"/>
    <w:rsid w:val="00294EDF"/>
    <w:rsid w:val="00294F73"/>
    <w:rsid w:val="002950BF"/>
    <w:rsid w:val="00295139"/>
    <w:rsid w:val="00295197"/>
    <w:rsid w:val="002952EE"/>
    <w:rsid w:val="0029533F"/>
    <w:rsid w:val="002953E4"/>
    <w:rsid w:val="0029541F"/>
    <w:rsid w:val="00295449"/>
    <w:rsid w:val="002954C4"/>
    <w:rsid w:val="00295550"/>
    <w:rsid w:val="0029567F"/>
    <w:rsid w:val="0029568B"/>
    <w:rsid w:val="002957CC"/>
    <w:rsid w:val="00295872"/>
    <w:rsid w:val="0029587F"/>
    <w:rsid w:val="002958A1"/>
    <w:rsid w:val="00295915"/>
    <w:rsid w:val="00295950"/>
    <w:rsid w:val="00295A0A"/>
    <w:rsid w:val="00295BBA"/>
    <w:rsid w:val="00295BBC"/>
    <w:rsid w:val="00295CD9"/>
    <w:rsid w:val="00295D08"/>
    <w:rsid w:val="00295D3D"/>
    <w:rsid w:val="00295DAD"/>
    <w:rsid w:val="00295E0F"/>
    <w:rsid w:val="00295E51"/>
    <w:rsid w:val="00295E80"/>
    <w:rsid w:val="00295F3A"/>
    <w:rsid w:val="00295F4A"/>
    <w:rsid w:val="00295FAE"/>
    <w:rsid w:val="00295FE6"/>
    <w:rsid w:val="00296073"/>
    <w:rsid w:val="00296117"/>
    <w:rsid w:val="00296157"/>
    <w:rsid w:val="0029615E"/>
    <w:rsid w:val="002962CE"/>
    <w:rsid w:val="00296471"/>
    <w:rsid w:val="0029659D"/>
    <w:rsid w:val="002965C1"/>
    <w:rsid w:val="00296631"/>
    <w:rsid w:val="00296650"/>
    <w:rsid w:val="00296651"/>
    <w:rsid w:val="0029676D"/>
    <w:rsid w:val="002968C8"/>
    <w:rsid w:val="00296A3F"/>
    <w:rsid w:val="00296AEA"/>
    <w:rsid w:val="00296AFD"/>
    <w:rsid w:val="00296BA1"/>
    <w:rsid w:val="00296BE1"/>
    <w:rsid w:val="00296C2C"/>
    <w:rsid w:val="00296C5E"/>
    <w:rsid w:val="00296D36"/>
    <w:rsid w:val="00296D6A"/>
    <w:rsid w:val="00296ECA"/>
    <w:rsid w:val="00296F57"/>
    <w:rsid w:val="00296FAA"/>
    <w:rsid w:val="00296FD2"/>
    <w:rsid w:val="00296FE0"/>
    <w:rsid w:val="002970A9"/>
    <w:rsid w:val="00297158"/>
    <w:rsid w:val="0029719E"/>
    <w:rsid w:val="0029725E"/>
    <w:rsid w:val="00297262"/>
    <w:rsid w:val="00297306"/>
    <w:rsid w:val="00297467"/>
    <w:rsid w:val="0029747A"/>
    <w:rsid w:val="00297550"/>
    <w:rsid w:val="00297569"/>
    <w:rsid w:val="002975D9"/>
    <w:rsid w:val="0029762C"/>
    <w:rsid w:val="0029765D"/>
    <w:rsid w:val="002976F4"/>
    <w:rsid w:val="00297765"/>
    <w:rsid w:val="00297782"/>
    <w:rsid w:val="002977FD"/>
    <w:rsid w:val="00297902"/>
    <w:rsid w:val="00297960"/>
    <w:rsid w:val="002979B0"/>
    <w:rsid w:val="002979DF"/>
    <w:rsid w:val="00297BC9"/>
    <w:rsid w:val="00297C1E"/>
    <w:rsid w:val="00297CFD"/>
    <w:rsid w:val="00297D7B"/>
    <w:rsid w:val="00297DAE"/>
    <w:rsid w:val="00297E1E"/>
    <w:rsid w:val="00297E65"/>
    <w:rsid w:val="00297EB2"/>
    <w:rsid w:val="00297F72"/>
    <w:rsid w:val="00297FCD"/>
    <w:rsid w:val="00297FF2"/>
    <w:rsid w:val="002A0082"/>
    <w:rsid w:val="002A009E"/>
    <w:rsid w:val="002A0133"/>
    <w:rsid w:val="002A018D"/>
    <w:rsid w:val="002A01CA"/>
    <w:rsid w:val="002A01D9"/>
    <w:rsid w:val="002A023D"/>
    <w:rsid w:val="002A02CE"/>
    <w:rsid w:val="002A0342"/>
    <w:rsid w:val="002A039A"/>
    <w:rsid w:val="002A0478"/>
    <w:rsid w:val="002A0552"/>
    <w:rsid w:val="002A0614"/>
    <w:rsid w:val="002A0621"/>
    <w:rsid w:val="002A062E"/>
    <w:rsid w:val="002A0632"/>
    <w:rsid w:val="002A072B"/>
    <w:rsid w:val="002A07A4"/>
    <w:rsid w:val="002A07FF"/>
    <w:rsid w:val="002A0857"/>
    <w:rsid w:val="002A0897"/>
    <w:rsid w:val="002A0994"/>
    <w:rsid w:val="002A09C2"/>
    <w:rsid w:val="002A09EA"/>
    <w:rsid w:val="002A09ED"/>
    <w:rsid w:val="002A09FF"/>
    <w:rsid w:val="002A0A1C"/>
    <w:rsid w:val="002A0AB6"/>
    <w:rsid w:val="002A0BA3"/>
    <w:rsid w:val="002A0BBA"/>
    <w:rsid w:val="002A0BEB"/>
    <w:rsid w:val="002A0C0F"/>
    <w:rsid w:val="002A0C38"/>
    <w:rsid w:val="002A0C89"/>
    <w:rsid w:val="002A0E55"/>
    <w:rsid w:val="002A0E72"/>
    <w:rsid w:val="002A0ED3"/>
    <w:rsid w:val="002A0FBD"/>
    <w:rsid w:val="002A1085"/>
    <w:rsid w:val="002A10F1"/>
    <w:rsid w:val="002A114B"/>
    <w:rsid w:val="002A119A"/>
    <w:rsid w:val="002A1307"/>
    <w:rsid w:val="002A1463"/>
    <w:rsid w:val="002A153D"/>
    <w:rsid w:val="002A1549"/>
    <w:rsid w:val="002A1629"/>
    <w:rsid w:val="002A1644"/>
    <w:rsid w:val="002A1656"/>
    <w:rsid w:val="002A16A8"/>
    <w:rsid w:val="002A1800"/>
    <w:rsid w:val="002A183D"/>
    <w:rsid w:val="002A18A9"/>
    <w:rsid w:val="002A1960"/>
    <w:rsid w:val="002A19DA"/>
    <w:rsid w:val="002A1A17"/>
    <w:rsid w:val="002A1B22"/>
    <w:rsid w:val="002A1B91"/>
    <w:rsid w:val="002A1BCA"/>
    <w:rsid w:val="002A1C12"/>
    <w:rsid w:val="002A1C1B"/>
    <w:rsid w:val="002A1C1E"/>
    <w:rsid w:val="002A1D26"/>
    <w:rsid w:val="002A1D5B"/>
    <w:rsid w:val="002A1D5E"/>
    <w:rsid w:val="002A1D7D"/>
    <w:rsid w:val="002A1DAC"/>
    <w:rsid w:val="002A1E30"/>
    <w:rsid w:val="002A1FB9"/>
    <w:rsid w:val="002A1FDA"/>
    <w:rsid w:val="002A2011"/>
    <w:rsid w:val="002A2015"/>
    <w:rsid w:val="002A2095"/>
    <w:rsid w:val="002A20E6"/>
    <w:rsid w:val="002A212C"/>
    <w:rsid w:val="002A2165"/>
    <w:rsid w:val="002A224F"/>
    <w:rsid w:val="002A22E1"/>
    <w:rsid w:val="002A23F2"/>
    <w:rsid w:val="002A240C"/>
    <w:rsid w:val="002A24DD"/>
    <w:rsid w:val="002A2547"/>
    <w:rsid w:val="002A255A"/>
    <w:rsid w:val="002A25B2"/>
    <w:rsid w:val="002A26C2"/>
    <w:rsid w:val="002A2729"/>
    <w:rsid w:val="002A2789"/>
    <w:rsid w:val="002A27CF"/>
    <w:rsid w:val="002A288B"/>
    <w:rsid w:val="002A28AE"/>
    <w:rsid w:val="002A28B7"/>
    <w:rsid w:val="002A2989"/>
    <w:rsid w:val="002A2A42"/>
    <w:rsid w:val="002A2A8B"/>
    <w:rsid w:val="002A2A8D"/>
    <w:rsid w:val="002A2B72"/>
    <w:rsid w:val="002A2C2B"/>
    <w:rsid w:val="002A2C2D"/>
    <w:rsid w:val="002A2C76"/>
    <w:rsid w:val="002A2D25"/>
    <w:rsid w:val="002A2D8E"/>
    <w:rsid w:val="002A2E09"/>
    <w:rsid w:val="002A2E3D"/>
    <w:rsid w:val="002A2E78"/>
    <w:rsid w:val="002A2E96"/>
    <w:rsid w:val="002A2EBF"/>
    <w:rsid w:val="002A2F28"/>
    <w:rsid w:val="002A307F"/>
    <w:rsid w:val="002A310D"/>
    <w:rsid w:val="002A314C"/>
    <w:rsid w:val="002A31DD"/>
    <w:rsid w:val="002A31F2"/>
    <w:rsid w:val="002A32ED"/>
    <w:rsid w:val="002A333D"/>
    <w:rsid w:val="002A33DD"/>
    <w:rsid w:val="002A3488"/>
    <w:rsid w:val="002A34BB"/>
    <w:rsid w:val="002A3595"/>
    <w:rsid w:val="002A3598"/>
    <w:rsid w:val="002A35B0"/>
    <w:rsid w:val="002A36AE"/>
    <w:rsid w:val="002A36D4"/>
    <w:rsid w:val="002A3791"/>
    <w:rsid w:val="002A37E0"/>
    <w:rsid w:val="002A3840"/>
    <w:rsid w:val="002A3846"/>
    <w:rsid w:val="002A38B1"/>
    <w:rsid w:val="002A39C4"/>
    <w:rsid w:val="002A3A46"/>
    <w:rsid w:val="002A3ADD"/>
    <w:rsid w:val="002A3B95"/>
    <w:rsid w:val="002A3D76"/>
    <w:rsid w:val="002A3D9F"/>
    <w:rsid w:val="002A3DDF"/>
    <w:rsid w:val="002A3E10"/>
    <w:rsid w:val="002A3E26"/>
    <w:rsid w:val="002A3E84"/>
    <w:rsid w:val="002A3F29"/>
    <w:rsid w:val="002A3F78"/>
    <w:rsid w:val="002A4050"/>
    <w:rsid w:val="002A419F"/>
    <w:rsid w:val="002A41B2"/>
    <w:rsid w:val="002A41B9"/>
    <w:rsid w:val="002A4210"/>
    <w:rsid w:val="002A42EF"/>
    <w:rsid w:val="002A4320"/>
    <w:rsid w:val="002A4338"/>
    <w:rsid w:val="002A4406"/>
    <w:rsid w:val="002A441B"/>
    <w:rsid w:val="002A447F"/>
    <w:rsid w:val="002A44D3"/>
    <w:rsid w:val="002A44EC"/>
    <w:rsid w:val="002A45E1"/>
    <w:rsid w:val="002A4694"/>
    <w:rsid w:val="002A4784"/>
    <w:rsid w:val="002A47E8"/>
    <w:rsid w:val="002A4898"/>
    <w:rsid w:val="002A48E0"/>
    <w:rsid w:val="002A48F9"/>
    <w:rsid w:val="002A493C"/>
    <w:rsid w:val="002A4989"/>
    <w:rsid w:val="002A499A"/>
    <w:rsid w:val="002A49F4"/>
    <w:rsid w:val="002A4A60"/>
    <w:rsid w:val="002A4E91"/>
    <w:rsid w:val="002A4F03"/>
    <w:rsid w:val="002A500F"/>
    <w:rsid w:val="002A515B"/>
    <w:rsid w:val="002A515E"/>
    <w:rsid w:val="002A52F1"/>
    <w:rsid w:val="002A5317"/>
    <w:rsid w:val="002A53D0"/>
    <w:rsid w:val="002A53D2"/>
    <w:rsid w:val="002A553E"/>
    <w:rsid w:val="002A554D"/>
    <w:rsid w:val="002A55D0"/>
    <w:rsid w:val="002A55EB"/>
    <w:rsid w:val="002A5614"/>
    <w:rsid w:val="002A568F"/>
    <w:rsid w:val="002A5704"/>
    <w:rsid w:val="002A574F"/>
    <w:rsid w:val="002A598E"/>
    <w:rsid w:val="002A5A76"/>
    <w:rsid w:val="002A5B8D"/>
    <w:rsid w:val="002A5BE5"/>
    <w:rsid w:val="002A5BFD"/>
    <w:rsid w:val="002A5C36"/>
    <w:rsid w:val="002A5C94"/>
    <w:rsid w:val="002A5D28"/>
    <w:rsid w:val="002A5DE1"/>
    <w:rsid w:val="002A5E28"/>
    <w:rsid w:val="002A5F02"/>
    <w:rsid w:val="002A5F1B"/>
    <w:rsid w:val="002A60B5"/>
    <w:rsid w:val="002A6116"/>
    <w:rsid w:val="002A61D1"/>
    <w:rsid w:val="002A623F"/>
    <w:rsid w:val="002A6276"/>
    <w:rsid w:val="002A628C"/>
    <w:rsid w:val="002A6343"/>
    <w:rsid w:val="002A6348"/>
    <w:rsid w:val="002A6530"/>
    <w:rsid w:val="002A6549"/>
    <w:rsid w:val="002A65D4"/>
    <w:rsid w:val="002A6656"/>
    <w:rsid w:val="002A6720"/>
    <w:rsid w:val="002A67D3"/>
    <w:rsid w:val="002A68C4"/>
    <w:rsid w:val="002A68F5"/>
    <w:rsid w:val="002A6920"/>
    <w:rsid w:val="002A692A"/>
    <w:rsid w:val="002A696A"/>
    <w:rsid w:val="002A6A45"/>
    <w:rsid w:val="002A6AD3"/>
    <w:rsid w:val="002A6B27"/>
    <w:rsid w:val="002A6B2F"/>
    <w:rsid w:val="002A6B81"/>
    <w:rsid w:val="002A6B8C"/>
    <w:rsid w:val="002A6C04"/>
    <w:rsid w:val="002A6C06"/>
    <w:rsid w:val="002A6D18"/>
    <w:rsid w:val="002A6D36"/>
    <w:rsid w:val="002A6D68"/>
    <w:rsid w:val="002A6DEF"/>
    <w:rsid w:val="002A6E13"/>
    <w:rsid w:val="002A6EE7"/>
    <w:rsid w:val="002A6F28"/>
    <w:rsid w:val="002A6F63"/>
    <w:rsid w:val="002A6FC7"/>
    <w:rsid w:val="002A70A4"/>
    <w:rsid w:val="002A713D"/>
    <w:rsid w:val="002A717C"/>
    <w:rsid w:val="002A71D3"/>
    <w:rsid w:val="002A7203"/>
    <w:rsid w:val="002A7217"/>
    <w:rsid w:val="002A722D"/>
    <w:rsid w:val="002A723F"/>
    <w:rsid w:val="002A72F2"/>
    <w:rsid w:val="002A7342"/>
    <w:rsid w:val="002A7386"/>
    <w:rsid w:val="002A7481"/>
    <w:rsid w:val="002A74FD"/>
    <w:rsid w:val="002A7504"/>
    <w:rsid w:val="002A7697"/>
    <w:rsid w:val="002A774E"/>
    <w:rsid w:val="002A77B9"/>
    <w:rsid w:val="002A77E0"/>
    <w:rsid w:val="002A784A"/>
    <w:rsid w:val="002A7895"/>
    <w:rsid w:val="002A7AB9"/>
    <w:rsid w:val="002A7AE6"/>
    <w:rsid w:val="002A7AFA"/>
    <w:rsid w:val="002A7B54"/>
    <w:rsid w:val="002A7BF1"/>
    <w:rsid w:val="002A7C6B"/>
    <w:rsid w:val="002A7CB8"/>
    <w:rsid w:val="002A7DAE"/>
    <w:rsid w:val="002A7DD8"/>
    <w:rsid w:val="002A7FC0"/>
    <w:rsid w:val="002A7FCC"/>
    <w:rsid w:val="002A7FD0"/>
    <w:rsid w:val="002B004A"/>
    <w:rsid w:val="002B0065"/>
    <w:rsid w:val="002B00B7"/>
    <w:rsid w:val="002B00FF"/>
    <w:rsid w:val="002B0157"/>
    <w:rsid w:val="002B0244"/>
    <w:rsid w:val="002B0248"/>
    <w:rsid w:val="002B02B1"/>
    <w:rsid w:val="002B02EF"/>
    <w:rsid w:val="002B040A"/>
    <w:rsid w:val="002B041F"/>
    <w:rsid w:val="002B0432"/>
    <w:rsid w:val="002B04D8"/>
    <w:rsid w:val="002B05FA"/>
    <w:rsid w:val="002B0608"/>
    <w:rsid w:val="002B0630"/>
    <w:rsid w:val="002B06DF"/>
    <w:rsid w:val="002B0715"/>
    <w:rsid w:val="002B07B0"/>
    <w:rsid w:val="002B0848"/>
    <w:rsid w:val="002B0894"/>
    <w:rsid w:val="002B0916"/>
    <w:rsid w:val="002B09E3"/>
    <w:rsid w:val="002B0A42"/>
    <w:rsid w:val="002B0A98"/>
    <w:rsid w:val="002B0BCC"/>
    <w:rsid w:val="002B0E33"/>
    <w:rsid w:val="002B0F38"/>
    <w:rsid w:val="002B0FF7"/>
    <w:rsid w:val="002B113D"/>
    <w:rsid w:val="002B1192"/>
    <w:rsid w:val="002B1208"/>
    <w:rsid w:val="002B125C"/>
    <w:rsid w:val="002B137F"/>
    <w:rsid w:val="002B13E5"/>
    <w:rsid w:val="002B13E7"/>
    <w:rsid w:val="002B1555"/>
    <w:rsid w:val="002B16E7"/>
    <w:rsid w:val="002B181D"/>
    <w:rsid w:val="002B1844"/>
    <w:rsid w:val="002B18B2"/>
    <w:rsid w:val="002B1958"/>
    <w:rsid w:val="002B19B1"/>
    <w:rsid w:val="002B19D8"/>
    <w:rsid w:val="002B1A22"/>
    <w:rsid w:val="002B1AA9"/>
    <w:rsid w:val="002B1AE2"/>
    <w:rsid w:val="002B1AF5"/>
    <w:rsid w:val="002B1AFB"/>
    <w:rsid w:val="002B1B0A"/>
    <w:rsid w:val="002B1B2F"/>
    <w:rsid w:val="002B1B83"/>
    <w:rsid w:val="002B1BB4"/>
    <w:rsid w:val="002B1BC7"/>
    <w:rsid w:val="002B1D0D"/>
    <w:rsid w:val="002B1D79"/>
    <w:rsid w:val="002B1DCC"/>
    <w:rsid w:val="002B1E78"/>
    <w:rsid w:val="002B1F2F"/>
    <w:rsid w:val="002B1F37"/>
    <w:rsid w:val="002B2057"/>
    <w:rsid w:val="002B207A"/>
    <w:rsid w:val="002B20B2"/>
    <w:rsid w:val="002B20FC"/>
    <w:rsid w:val="002B2279"/>
    <w:rsid w:val="002B2292"/>
    <w:rsid w:val="002B22DC"/>
    <w:rsid w:val="002B22F1"/>
    <w:rsid w:val="002B2396"/>
    <w:rsid w:val="002B23BF"/>
    <w:rsid w:val="002B23D4"/>
    <w:rsid w:val="002B2528"/>
    <w:rsid w:val="002B2659"/>
    <w:rsid w:val="002B2733"/>
    <w:rsid w:val="002B2762"/>
    <w:rsid w:val="002B277F"/>
    <w:rsid w:val="002B27AC"/>
    <w:rsid w:val="002B27EF"/>
    <w:rsid w:val="002B285C"/>
    <w:rsid w:val="002B2916"/>
    <w:rsid w:val="002B2979"/>
    <w:rsid w:val="002B2A55"/>
    <w:rsid w:val="002B2A8C"/>
    <w:rsid w:val="002B2B0A"/>
    <w:rsid w:val="002B2B87"/>
    <w:rsid w:val="002B2CB7"/>
    <w:rsid w:val="002B2CFA"/>
    <w:rsid w:val="002B2DD5"/>
    <w:rsid w:val="002B2E39"/>
    <w:rsid w:val="002B2EB7"/>
    <w:rsid w:val="002B2EC5"/>
    <w:rsid w:val="002B2F3B"/>
    <w:rsid w:val="002B302C"/>
    <w:rsid w:val="002B3037"/>
    <w:rsid w:val="002B306E"/>
    <w:rsid w:val="002B30AF"/>
    <w:rsid w:val="002B311C"/>
    <w:rsid w:val="002B32AE"/>
    <w:rsid w:val="002B3310"/>
    <w:rsid w:val="002B3372"/>
    <w:rsid w:val="002B3375"/>
    <w:rsid w:val="002B34F5"/>
    <w:rsid w:val="002B3514"/>
    <w:rsid w:val="002B353B"/>
    <w:rsid w:val="002B356F"/>
    <w:rsid w:val="002B35BA"/>
    <w:rsid w:val="002B368D"/>
    <w:rsid w:val="002B37CD"/>
    <w:rsid w:val="002B37ED"/>
    <w:rsid w:val="002B3877"/>
    <w:rsid w:val="002B3893"/>
    <w:rsid w:val="002B39EA"/>
    <w:rsid w:val="002B3C4F"/>
    <w:rsid w:val="002B3DAC"/>
    <w:rsid w:val="002B3DD5"/>
    <w:rsid w:val="002B3DE4"/>
    <w:rsid w:val="002B3E90"/>
    <w:rsid w:val="002B3EF1"/>
    <w:rsid w:val="002B3FE9"/>
    <w:rsid w:val="002B4011"/>
    <w:rsid w:val="002B4030"/>
    <w:rsid w:val="002B40CA"/>
    <w:rsid w:val="002B416F"/>
    <w:rsid w:val="002B4202"/>
    <w:rsid w:val="002B4347"/>
    <w:rsid w:val="002B4355"/>
    <w:rsid w:val="002B44A1"/>
    <w:rsid w:val="002B44C5"/>
    <w:rsid w:val="002B4519"/>
    <w:rsid w:val="002B4545"/>
    <w:rsid w:val="002B45F1"/>
    <w:rsid w:val="002B4619"/>
    <w:rsid w:val="002B462D"/>
    <w:rsid w:val="002B4696"/>
    <w:rsid w:val="002B4748"/>
    <w:rsid w:val="002B482A"/>
    <w:rsid w:val="002B4916"/>
    <w:rsid w:val="002B4924"/>
    <w:rsid w:val="002B4941"/>
    <w:rsid w:val="002B49A5"/>
    <w:rsid w:val="002B4A6B"/>
    <w:rsid w:val="002B4A72"/>
    <w:rsid w:val="002B4A9A"/>
    <w:rsid w:val="002B4C0E"/>
    <w:rsid w:val="002B4C5C"/>
    <w:rsid w:val="002B4D0D"/>
    <w:rsid w:val="002B4D0F"/>
    <w:rsid w:val="002B4DAF"/>
    <w:rsid w:val="002B4F3D"/>
    <w:rsid w:val="002B4F89"/>
    <w:rsid w:val="002B4F8B"/>
    <w:rsid w:val="002B506E"/>
    <w:rsid w:val="002B5102"/>
    <w:rsid w:val="002B5147"/>
    <w:rsid w:val="002B51C2"/>
    <w:rsid w:val="002B5233"/>
    <w:rsid w:val="002B5267"/>
    <w:rsid w:val="002B5282"/>
    <w:rsid w:val="002B5354"/>
    <w:rsid w:val="002B539F"/>
    <w:rsid w:val="002B5401"/>
    <w:rsid w:val="002B547D"/>
    <w:rsid w:val="002B54C2"/>
    <w:rsid w:val="002B54D9"/>
    <w:rsid w:val="002B5777"/>
    <w:rsid w:val="002B57D6"/>
    <w:rsid w:val="002B58C4"/>
    <w:rsid w:val="002B58C6"/>
    <w:rsid w:val="002B59DA"/>
    <w:rsid w:val="002B59F5"/>
    <w:rsid w:val="002B5A47"/>
    <w:rsid w:val="002B5A65"/>
    <w:rsid w:val="002B5AA9"/>
    <w:rsid w:val="002B5AD9"/>
    <w:rsid w:val="002B5B60"/>
    <w:rsid w:val="002B5C83"/>
    <w:rsid w:val="002B5CAF"/>
    <w:rsid w:val="002B5F7A"/>
    <w:rsid w:val="002B5FBA"/>
    <w:rsid w:val="002B613B"/>
    <w:rsid w:val="002B6167"/>
    <w:rsid w:val="002B61C3"/>
    <w:rsid w:val="002B621D"/>
    <w:rsid w:val="002B6451"/>
    <w:rsid w:val="002B65EE"/>
    <w:rsid w:val="002B6601"/>
    <w:rsid w:val="002B6666"/>
    <w:rsid w:val="002B66AF"/>
    <w:rsid w:val="002B66CB"/>
    <w:rsid w:val="002B66CC"/>
    <w:rsid w:val="002B66E6"/>
    <w:rsid w:val="002B675A"/>
    <w:rsid w:val="002B67FE"/>
    <w:rsid w:val="002B6904"/>
    <w:rsid w:val="002B698A"/>
    <w:rsid w:val="002B6AC8"/>
    <w:rsid w:val="002B6B01"/>
    <w:rsid w:val="002B6C53"/>
    <w:rsid w:val="002B6C7A"/>
    <w:rsid w:val="002B6D0D"/>
    <w:rsid w:val="002B6D62"/>
    <w:rsid w:val="002B6EC8"/>
    <w:rsid w:val="002B6EE2"/>
    <w:rsid w:val="002B6F0B"/>
    <w:rsid w:val="002B7130"/>
    <w:rsid w:val="002B7155"/>
    <w:rsid w:val="002B717E"/>
    <w:rsid w:val="002B719D"/>
    <w:rsid w:val="002B71BB"/>
    <w:rsid w:val="002B7233"/>
    <w:rsid w:val="002B72A4"/>
    <w:rsid w:val="002B72B8"/>
    <w:rsid w:val="002B72C2"/>
    <w:rsid w:val="002B734F"/>
    <w:rsid w:val="002B7363"/>
    <w:rsid w:val="002B73AD"/>
    <w:rsid w:val="002B760A"/>
    <w:rsid w:val="002B763A"/>
    <w:rsid w:val="002B76F7"/>
    <w:rsid w:val="002B7792"/>
    <w:rsid w:val="002B780E"/>
    <w:rsid w:val="002B78BA"/>
    <w:rsid w:val="002B7917"/>
    <w:rsid w:val="002B7949"/>
    <w:rsid w:val="002B7AAE"/>
    <w:rsid w:val="002B7AD9"/>
    <w:rsid w:val="002B7B25"/>
    <w:rsid w:val="002B7BD3"/>
    <w:rsid w:val="002B7CAF"/>
    <w:rsid w:val="002B7D63"/>
    <w:rsid w:val="002B7E1D"/>
    <w:rsid w:val="002B7E4B"/>
    <w:rsid w:val="002B7F55"/>
    <w:rsid w:val="002B7F84"/>
    <w:rsid w:val="002B7FEA"/>
    <w:rsid w:val="002C0042"/>
    <w:rsid w:val="002C006F"/>
    <w:rsid w:val="002C00E4"/>
    <w:rsid w:val="002C02A4"/>
    <w:rsid w:val="002C032E"/>
    <w:rsid w:val="002C033C"/>
    <w:rsid w:val="002C0347"/>
    <w:rsid w:val="002C044E"/>
    <w:rsid w:val="002C04C6"/>
    <w:rsid w:val="002C0546"/>
    <w:rsid w:val="002C05AD"/>
    <w:rsid w:val="002C05C0"/>
    <w:rsid w:val="002C06F4"/>
    <w:rsid w:val="002C077D"/>
    <w:rsid w:val="002C07AD"/>
    <w:rsid w:val="002C0871"/>
    <w:rsid w:val="002C089D"/>
    <w:rsid w:val="002C08E9"/>
    <w:rsid w:val="002C0909"/>
    <w:rsid w:val="002C093D"/>
    <w:rsid w:val="002C097D"/>
    <w:rsid w:val="002C09CA"/>
    <w:rsid w:val="002C0AD5"/>
    <w:rsid w:val="002C0ADE"/>
    <w:rsid w:val="002C0AF2"/>
    <w:rsid w:val="002C0C1C"/>
    <w:rsid w:val="002C0C29"/>
    <w:rsid w:val="002C0CBE"/>
    <w:rsid w:val="002C0CBF"/>
    <w:rsid w:val="002C0CE7"/>
    <w:rsid w:val="002C0CF9"/>
    <w:rsid w:val="002C0D76"/>
    <w:rsid w:val="002C0DA3"/>
    <w:rsid w:val="002C0FD6"/>
    <w:rsid w:val="002C1088"/>
    <w:rsid w:val="002C1095"/>
    <w:rsid w:val="002C120F"/>
    <w:rsid w:val="002C124B"/>
    <w:rsid w:val="002C1252"/>
    <w:rsid w:val="002C1519"/>
    <w:rsid w:val="002C153F"/>
    <w:rsid w:val="002C15C6"/>
    <w:rsid w:val="002C1658"/>
    <w:rsid w:val="002C16BC"/>
    <w:rsid w:val="002C172F"/>
    <w:rsid w:val="002C17E7"/>
    <w:rsid w:val="002C1834"/>
    <w:rsid w:val="002C18C7"/>
    <w:rsid w:val="002C1935"/>
    <w:rsid w:val="002C1981"/>
    <w:rsid w:val="002C19BC"/>
    <w:rsid w:val="002C1A73"/>
    <w:rsid w:val="002C1AA4"/>
    <w:rsid w:val="002C1AA6"/>
    <w:rsid w:val="002C1B37"/>
    <w:rsid w:val="002C1C06"/>
    <w:rsid w:val="002C1C33"/>
    <w:rsid w:val="002C1C41"/>
    <w:rsid w:val="002C1D75"/>
    <w:rsid w:val="002C1D7A"/>
    <w:rsid w:val="002C1E19"/>
    <w:rsid w:val="002C1E49"/>
    <w:rsid w:val="002C1E85"/>
    <w:rsid w:val="002C1E87"/>
    <w:rsid w:val="002C1EE8"/>
    <w:rsid w:val="002C1F0F"/>
    <w:rsid w:val="002C1F19"/>
    <w:rsid w:val="002C1F83"/>
    <w:rsid w:val="002C2015"/>
    <w:rsid w:val="002C204F"/>
    <w:rsid w:val="002C208F"/>
    <w:rsid w:val="002C2095"/>
    <w:rsid w:val="002C21DF"/>
    <w:rsid w:val="002C242D"/>
    <w:rsid w:val="002C243B"/>
    <w:rsid w:val="002C2442"/>
    <w:rsid w:val="002C2580"/>
    <w:rsid w:val="002C25B2"/>
    <w:rsid w:val="002C2615"/>
    <w:rsid w:val="002C261A"/>
    <w:rsid w:val="002C2668"/>
    <w:rsid w:val="002C267C"/>
    <w:rsid w:val="002C2711"/>
    <w:rsid w:val="002C2738"/>
    <w:rsid w:val="002C274C"/>
    <w:rsid w:val="002C27D4"/>
    <w:rsid w:val="002C2844"/>
    <w:rsid w:val="002C28F0"/>
    <w:rsid w:val="002C2904"/>
    <w:rsid w:val="002C294D"/>
    <w:rsid w:val="002C2975"/>
    <w:rsid w:val="002C29A6"/>
    <w:rsid w:val="002C29F5"/>
    <w:rsid w:val="002C2AAE"/>
    <w:rsid w:val="002C2B53"/>
    <w:rsid w:val="002C2B59"/>
    <w:rsid w:val="002C2BD2"/>
    <w:rsid w:val="002C2C05"/>
    <w:rsid w:val="002C2E03"/>
    <w:rsid w:val="002C2EAE"/>
    <w:rsid w:val="002C3001"/>
    <w:rsid w:val="002C3085"/>
    <w:rsid w:val="002C30A8"/>
    <w:rsid w:val="002C30B3"/>
    <w:rsid w:val="002C32C3"/>
    <w:rsid w:val="002C331B"/>
    <w:rsid w:val="002C33AA"/>
    <w:rsid w:val="002C34F5"/>
    <w:rsid w:val="002C3552"/>
    <w:rsid w:val="002C35A2"/>
    <w:rsid w:val="002C36A5"/>
    <w:rsid w:val="002C376F"/>
    <w:rsid w:val="002C380A"/>
    <w:rsid w:val="002C386C"/>
    <w:rsid w:val="002C38C0"/>
    <w:rsid w:val="002C3980"/>
    <w:rsid w:val="002C3997"/>
    <w:rsid w:val="002C39DB"/>
    <w:rsid w:val="002C3A65"/>
    <w:rsid w:val="002C3B7B"/>
    <w:rsid w:val="002C3BED"/>
    <w:rsid w:val="002C3C4B"/>
    <w:rsid w:val="002C3C62"/>
    <w:rsid w:val="002C3D13"/>
    <w:rsid w:val="002C3D2F"/>
    <w:rsid w:val="002C3D44"/>
    <w:rsid w:val="002C3DC1"/>
    <w:rsid w:val="002C3E64"/>
    <w:rsid w:val="002C3F65"/>
    <w:rsid w:val="002C3F81"/>
    <w:rsid w:val="002C404C"/>
    <w:rsid w:val="002C4097"/>
    <w:rsid w:val="002C40A1"/>
    <w:rsid w:val="002C415B"/>
    <w:rsid w:val="002C4186"/>
    <w:rsid w:val="002C4287"/>
    <w:rsid w:val="002C4297"/>
    <w:rsid w:val="002C4380"/>
    <w:rsid w:val="002C449B"/>
    <w:rsid w:val="002C44E6"/>
    <w:rsid w:val="002C456C"/>
    <w:rsid w:val="002C4639"/>
    <w:rsid w:val="002C47D7"/>
    <w:rsid w:val="002C47E3"/>
    <w:rsid w:val="002C481F"/>
    <w:rsid w:val="002C48EC"/>
    <w:rsid w:val="002C4920"/>
    <w:rsid w:val="002C4A53"/>
    <w:rsid w:val="002C4AC7"/>
    <w:rsid w:val="002C4AFE"/>
    <w:rsid w:val="002C4B68"/>
    <w:rsid w:val="002C4BA7"/>
    <w:rsid w:val="002C4BCB"/>
    <w:rsid w:val="002C4C4F"/>
    <w:rsid w:val="002C4CB1"/>
    <w:rsid w:val="002C4D87"/>
    <w:rsid w:val="002C4E55"/>
    <w:rsid w:val="002C4E76"/>
    <w:rsid w:val="002C4EB4"/>
    <w:rsid w:val="002C4FAA"/>
    <w:rsid w:val="002C5082"/>
    <w:rsid w:val="002C5126"/>
    <w:rsid w:val="002C517D"/>
    <w:rsid w:val="002C52EE"/>
    <w:rsid w:val="002C52FD"/>
    <w:rsid w:val="002C5328"/>
    <w:rsid w:val="002C5360"/>
    <w:rsid w:val="002C5365"/>
    <w:rsid w:val="002C54BA"/>
    <w:rsid w:val="002C5549"/>
    <w:rsid w:val="002C56D5"/>
    <w:rsid w:val="002C58E1"/>
    <w:rsid w:val="002C5986"/>
    <w:rsid w:val="002C59B3"/>
    <w:rsid w:val="002C59D1"/>
    <w:rsid w:val="002C5BC2"/>
    <w:rsid w:val="002C5BDD"/>
    <w:rsid w:val="002C5C18"/>
    <w:rsid w:val="002C5C34"/>
    <w:rsid w:val="002C5C98"/>
    <w:rsid w:val="002C5CDC"/>
    <w:rsid w:val="002C5D13"/>
    <w:rsid w:val="002C5D42"/>
    <w:rsid w:val="002C5D9E"/>
    <w:rsid w:val="002C5DD4"/>
    <w:rsid w:val="002C5EE5"/>
    <w:rsid w:val="002C5F1C"/>
    <w:rsid w:val="002C5F3F"/>
    <w:rsid w:val="002C5F63"/>
    <w:rsid w:val="002C5F75"/>
    <w:rsid w:val="002C5F90"/>
    <w:rsid w:val="002C60B4"/>
    <w:rsid w:val="002C613C"/>
    <w:rsid w:val="002C61CE"/>
    <w:rsid w:val="002C61E9"/>
    <w:rsid w:val="002C628C"/>
    <w:rsid w:val="002C639F"/>
    <w:rsid w:val="002C63BA"/>
    <w:rsid w:val="002C6451"/>
    <w:rsid w:val="002C64F5"/>
    <w:rsid w:val="002C6507"/>
    <w:rsid w:val="002C65B9"/>
    <w:rsid w:val="002C65C3"/>
    <w:rsid w:val="002C6658"/>
    <w:rsid w:val="002C66E0"/>
    <w:rsid w:val="002C66F1"/>
    <w:rsid w:val="002C66FC"/>
    <w:rsid w:val="002C6766"/>
    <w:rsid w:val="002C6E70"/>
    <w:rsid w:val="002C6E9C"/>
    <w:rsid w:val="002C6F1F"/>
    <w:rsid w:val="002C6F52"/>
    <w:rsid w:val="002C6FA0"/>
    <w:rsid w:val="002C7014"/>
    <w:rsid w:val="002C705C"/>
    <w:rsid w:val="002C70BC"/>
    <w:rsid w:val="002C713F"/>
    <w:rsid w:val="002C7148"/>
    <w:rsid w:val="002C7189"/>
    <w:rsid w:val="002C719E"/>
    <w:rsid w:val="002C72E5"/>
    <w:rsid w:val="002C739A"/>
    <w:rsid w:val="002C741B"/>
    <w:rsid w:val="002C748E"/>
    <w:rsid w:val="002C7616"/>
    <w:rsid w:val="002C772B"/>
    <w:rsid w:val="002C7731"/>
    <w:rsid w:val="002C781F"/>
    <w:rsid w:val="002C78D2"/>
    <w:rsid w:val="002C7934"/>
    <w:rsid w:val="002C7A21"/>
    <w:rsid w:val="002C7AD8"/>
    <w:rsid w:val="002C7AE5"/>
    <w:rsid w:val="002C7B37"/>
    <w:rsid w:val="002C7BFB"/>
    <w:rsid w:val="002C7CF5"/>
    <w:rsid w:val="002C7E03"/>
    <w:rsid w:val="002C7F16"/>
    <w:rsid w:val="002D00FB"/>
    <w:rsid w:val="002D018C"/>
    <w:rsid w:val="002D0289"/>
    <w:rsid w:val="002D037B"/>
    <w:rsid w:val="002D0418"/>
    <w:rsid w:val="002D041F"/>
    <w:rsid w:val="002D0430"/>
    <w:rsid w:val="002D0447"/>
    <w:rsid w:val="002D0478"/>
    <w:rsid w:val="002D0485"/>
    <w:rsid w:val="002D04BA"/>
    <w:rsid w:val="002D077F"/>
    <w:rsid w:val="002D07E5"/>
    <w:rsid w:val="002D0806"/>
    <w:rsid w:val="002D084C"/>
    <w:rsid w:val="002D0861"/>
    <w:rsid w:val="002D0866"/>
    <w:rsid w:val="002D0880"/>
    <w:rsid w:val="002D0913"/>
    <w:rsid w:val="002D0A90"/>
    <w:rsid w:val="002D0AE2"/>
    <w:rsid w:val="002D0B0D"/>
    <w:rsid w:val="002D0B73"/>
    <w:rsid w:val="002D0CFD"/>
    <w:rsid w:val="002D0D08"/>
    <w:rsid w:val="002D0D41"/>
    <w:rsid w:val="002D0D9A"/>
    <w:rsid w:val="002D0DFB"/>
    <w:rsid w:val="002D0E26"/>
    <w:rsid w:val="002D0E41"/>
    <w:rsid w:val="002D0EA3"/>
    <w:rsid w:val="002D0EA8"/>
    <w:rsid w:val="002D0EC5"/>
    <w:rsid w:val="002D0F4C"/>
    <w:rsid w:val="002D0F57"/>
    <w:rsid w:val="002D1040"/>
    <w:rsid w:val="002D10A0"/>
    <w:rsid w:val="002D10AD"/>
    <w:rsid w:val="002D10AF"/>
    <w:rsid w:val="002D10D4"/>
    <w:rsid w:val="002D10E8"/>
    <w:rsid w:val="002D127A"/>
    <w:rsid w:val="002D1315"/>
    <w:rsid w:val="002D1334"/>
    <w:rsid w:val="002D1382"/>
    <w:rsid w:val="002D139A"/>
    <w:rsid w:val="002D1400"/>
    <w:rsid w:val="002D14E6"/>
    <w:rsid w:val="002D15D9"/>
    <w:rsid w:val="002D162B"/>
    <w:rsid w:val="002D1637"/>
    <w:rsid w:val="002D1640"/>
    <w:rsid w:val="002D1697"/>
    <w:rsid w:val="002D16B3"/>
    <w:rsid w:val="002D16B9"/>
    <w:rsid w:val="002D1789"/>
    <w:rsid w:val="002D17FF"/>
    <w:rsid w:val="002D1849"/>
    <w:rsid w:val="002D1909"/>
    <w:rsid w:val="002D19A2"/>
    <w:rsid w:val="002D19D1"/>
    <w:rsid w:val="002D1A9E"/>
    <w:rsid w:val="002D1AF6"/>
    <w:rsid w:val="002D1AF8"/>
    <w:rsid w:val="002D1B58"/>
    <w:rsid w:val="002D1BCD"/>
    <w:rsid w:val="002D1BED"/>
    <w:rsid w:val="002D1CC6"/>
    <w:rsid w:val="002D1CFC"/>
    <w:rsid w:val="002D1ED3"/>
    <w:rsid w:val="002D1F16"/>
    <w:rsid w:val="002D1F2D"/>
    <w:rsid w:val="002D1FA5"/>
    <w:rsid w:val="002D2019"/>
    <w:rsid w:val="002D2224"/>
    <w:rsid w:val="002D2277"/>
    <w:rsid w:val="002D238E"/>
    <w:rsid w:val="002D23E3"/>
    <w:rsid w:val="002D23FD"/>
    <w:rsid w:val="002D2633"/>
    <w:rsid w:val="002D2641"/>
    <w:rsid w:val="002D267B"/>
    <w:rsid w:val="002D26B3"/>
    <w:rsid w:val="002D2875"/>
    <w:rsid w:val="002D2AB1"/>
    <w:rsid w:val="002D2AD0"/>
    <w:rsid w:val="002D2AEA"/>
    <w:rsid w:val="002D2B18"/>
    <w:rsid w:val="002D2B76"/>
    <w:rsid w:val="002D2D69"/>
    <w:rsid w:val="002D2D83"/>
    <w:rsid w:val="002D2DFA"/>
    <w:rsid w:val="002D2DFC"/>
    <w:rsid w:val="002D2E2A"/>
    <w:rsid w:val="002D2EC2"/>
    <w:rsid w:val="002D2F57"/>
    <w:rsid w:val="002D3066"/>
    <w:rsid w:val="002D30CD"/>
    <w:rsid w:val="002D3196"/>
    <w:rsid w:val="002D31B0"/>
    <w:rsid w:val="002D33A5"/>
    <w:rsid w:val="002D33E2"/>
    <w:rsid w:val="002D343E"/>
    <w:rsid w:val="002D349C"/>
    <w:rsid w:val="002D34D0"/>
    <w:rsid w:val="002D3528"/>
    <w:rsid w:val="002D35B2"/>
    <w:rsid w:val="002D366F"/>
    <w:rsid w:val="002D3672"/>
    <w:rsid w:val="002D3692"/>
    <w:rsid w:val="002D36BA"/>
    <w:rsid w:val="002D3705"/>
    <w:rsid w:val="002D3723"/>
    <w:rsid w:val="002D37CB"/>
    <w:rsid w:val="002D39EF"/>
    <w:rsid w:val="002D3A1E"/>
    <w:rsid w:val="002D3ABF"/>
    <w:rsid w:val="002D3C54"/>
    <w:rsid w:val="002D3D54"/>
    <w:rsid w:val="002D3DD1"/>
    <w:rsid w:val="002D3E38"/>
    <w:rsid w:val="002D3E9A"/>
    <w:rsid w:val="002D4059"/>
    <w:rsid w:val="002D4157"/>
    <w:rsid w:val="002D418F"/>
    <w:rsid w:val="002D428A"/>
    <w:rsid w:val="002D4305"/>
    <w:rsid w:val="002D439B"/>
    <w:rsid w:val="002D456B"/>
    <w:rsid w:val="002D4594"/>
    <w:rsid w:val="002D45A8"/>
    <w:rsid w:val="002D475B"/>
    <w:rsid w:val="002D476C"/>
    <w:rsid w:val="002D4775"/>
    <w:rsid w:val="002D47DD"/>
    <w:rsid w:val="002D48E2"/>
    <w:rsid w:val="002D48F2"/>
    <w:rsid w:val="002D49AD"/>
    <w:rsid w:val="002D49D1"/>
    <w:rsid w:val="002D49E6"/>
    <w:rsid w:val="002D4A2E"/>
    <w:rsid w:val="002D4AD4"/>
    <w:rsid w:val="002D4B1F"/>
    <w:rsid w:val="002D4BA8"/>
    <w:rsid w:val="002D4BD7"/>
    <w:rsid w:val="002D4C34"/>
    <w:rsid w:val="002D4CFB"/>
    <w:rsid w:val="002D4D40"/>
    <w:rsid w:val="002D4DDD"/>
    <w:rsid w:val="002D4E49"/>
    <w:rsid w:val="002D4F33"/>
    <w:rsid w:val="002D4F87"/>
    <w:rsid w:val="002D5036"/>
    <w:rsid w:val="002D505D"/>
    <w:rsid w:val="002D50D3"/>
    <w:rsid w:val="002D5116"/>
    <w:rsid w:val="002D5190"/>
    <w:rsid w:val="002D5358"/>
    <w:rsid w:val="002D5372"/>
    <w:rsid w:val="002D537D"/>
    <w:rsid w:val="002D5381"/>
    <w:rsid w:val="002D53F5"/>
    <w:rsid w:val="002D5492"/>
    <w:rsid w:val="002D553F"/>
    <w:rsid w:val="002D560A"/>
    <w:rsid w:val="002D5610"/>
    <w:rsid w:val="002D5615"/>
    <w:rsid w:val="002D5649"/>
    <w:rsid w:val="002D577E"/>
    <w:rsid w:val="002D5804"/>
    <w:rsid w:val="002D580D"/>
    <w:rsid w:val="002D58D4"/>
    <w:rsid w:val="002D5925"/>
    <w:rsid w:val="002D592A"/>
    <w:rsid w:val="002D5976"/>
    <w:rsid w:val="002D5ABD"/>
    <w:rsid w:val="002D5AF2"/>
    <w:rsid w:val="002D5CC1"/>
    <w:rsid w:val="002D5D03"/>
    <w:rsid w:val="002D5E10"/>
    <w:rsid w:val="002D5E45"/>
    <w:rsid w:val="002D5EAC"/>
    <w:rsid w:val="002D5EB9"/>
    <w:rsid w:val="002D5EFE"/>
    <w:rsid w:val="002D5F29"/>
    <w:rsid w:val="002D606E"/>
    <w:rsid w:val="002D60E0"/>
    <w:rsid w:val="002D612E"/>
    <w:rsid w:val="002D61AB"/>
    <w:rsid w:val="002D62F4"/>
    <w:rsid w:val="002D6367"/>
    <w:rsid w:val="002D63E1"/>
    <w:rsid w:val="002D6432"/>
    <w:rsid w:val="002D64E8"/>
    <w:rsid w:val="002D6537"/>
    <w:rsid w:val="002D6563"/>
    <w:rsid w:val="002D66C4"/>
    <w:rsid w:val="002D6852"/>
    <w:rsid w:val="002D6891"/>
    <w:rsid w:val="002D6895"/>
    <w:rsid w:val="002D68FD"/>
    <w:rsid w:val="002D690F"/>
    <w:rsid w:val="002D693B"/>
    <w:rsid w:val="002D6993"/>
    <w:rsid w:val="002D6996"/>
    <w:rsid w:val="002D6A71"/>
    <w:rsid w:val="002D6AB3"/>
    <w:rsid w:val="002D6AF1"/>
    <w:rsid w:val="002D6AFA"/>
    <w:rsid w:val="002D6D2F"/>
    <w:rsid w:val="002D6DA5"/>
    <w:rsid w:val="002D6DC7"/>
    <w:rsid w:val="002D6EBE"/>
    <w:rsid w:val="002D6F18"/>
    <w:rsid w:val="002D6F59"/>
    <w:rsid w:val="002D70AF"/>
    <w:rsid w:val="002D7108"/>
    <w:rsid w:val="002D7218"/>
    <w:rsid w:val="002D72A0"/>
    <w:rsid w:val="002D72CA"/>
    <w:rsid w:val="002D72FB"/>
    <w:rsid w:val="002D7332"/>
    <w:rsid w:val="002D739D"/>
    <w:rsid w:val="002D73BC"/>
    <w:rsid w:val="002D73F8"/>
    <w:rsid w:val="002D74ED"/>
    <w:rsid w:val="002D754E"/>
    <w:rsid w:val="002D7573"/>
    <w:rsid w:val="002D774E"/>
    <w:rsid w:val="002D78EF"/>
    <w:rsid w:val="002D792D"/>
    <w:rsid w:val="002D79B5"/>
    <w:rsid w:val="002D7A69"/>
    <w:rsid w:val="002D7AFA"/>
    <w:rsid w:val="002D7B55"/>
    <w:rsid w:val="002D7C5C"/>
    <w:rsid w:val="002D7C9C"/>
    <w:rsid w:val="002D7CDB"/>
    <w:rsid w:val="002D7DEE"/>
    <w:rsid w:val="002D7E3A"/>
    <w:rsid w:val="002D7EA8"/>
    <w:rsid w:val="002D7EC4"/>
    <w:rsid w:val="002D7ED7"/>
    <w:rsid w:val="002D7FCD"/>
    <w:rsid w:val="002E0043"/>
    <w:rsid w:val="002E00BA"/>
    <w:rsid w:val="002E00EB"/>
    <w:rsid w:val="002E0191"/>
    <w:rsid w:val="002E0233"/>
    <w:rsid w:val="002E0235"/>
    <w:rsid w:val="002E0246"/>
    <w:rsid w:val="002E030A"/>
    <w:rsid w:val="002E0335"/>
    <w:rsid w:val="002E0411"/>
    <w:rsid w:val="002E04C1"/>
    <w:rsid w:val="002E06C0"/>
    <w:rsid w:val="002E0867"/>
    <w:rsid w:val="002E086C"/>
    <w:rsid w:val="002E095F"/>
    <w:rsid w:val="002E09CB"/>
    <w:rsid w:val="002E09FC"/>
    <w:rsid w:val="002E0A7A"/>
    <w:rsid w:val="002E0B50"/>
    <w:rsid w:val="002E0B9D"/>
    <w:rsid w:val="002E0CDB"/>
    <w:rsid w:val="002E0D20"/>
    <w:rsid w:val="002E0D69"/>
    <w:rsid w:val="002E0E29"/>
    <w:rsid w:val="002E0E38"/>
    <w:rsid w:val="002E0ED5"/>
    <w:rsid w:val="002E0F61"/>
    <w:rsid w:val="002E0F63"/>
    <w:rsid w:val="002E1078"/>
    <w:rsid w:val="002E10A4"/>
    <w:rsid w:val="002E10F5"/>
    <w:rsid w:val="002E111B"/>
    <w:rsid w:val="002E1143"/>
    <w:rsid w:val="002E116E"/>
    <w:rsid w:val="002E1309"/>
    <w:rsid w:val="002E1330"/>
    <w:rsid w:val="002E13A7"/>
    <w:rsid w:val="002E1456"/>
    <w:rsid w:val="002E14A3"/>
    <w:rsid w:val="002E14AE"/>
    <w:rsid w:val="002E15E3"/>
    <w:rsid w:val="002E1662"/>
    <w:rsid w:val="002E168A"/>
    <w:rsid w:val="002E16D7"/>
    <w:rsid w:val="002E1735"/>
    <w:rsid w:val="002E1757"/>
    <w:rsid w:val="002E178B"/>
    <w:rsid w:val="002E186B"/>
    <w:rsid w:val="002E18FB"/>
    <w:rsid w:val="002E1A09"/>
    <w:rsid w:val="002E1A2B"/>
    <w:rsid w:val="002E1A56"/>
    <w:rsid w:val="002E1B84"/>
    <w:rsid w:val="002E1C10"/>
    <w:rsid w:val="002E1C77"/>
    <w:rsid w:val="002E1CC9"/>
    <w:rsid w:val="002E1CF4"/>
    <w:rsid w:val="002E1D0D"/>
    <w:rsid w:val="002E1DAA"/>
    <w:rsid w:val="002E1DEA"/>
    <w:rsid w:val="002E1E72"/>
    <w:rsid w:val="002E1EC5"/>
    <w:rsid w:val="002E1FAD"/>
    <w:rsid w:val="002E20BA"/>
    <w:rsid w:val="002E212A"/>
    <w:rsid w:val="002E21AA"/>
    <w:rsid w:val="002E22F2"/>
    <w:rsid w:val="002E2316"/>
    <w:rsid w:val="002E2350"/>
    <w:rsid w:val="002E235C"/>
    <w:rsid w:val="002E2374"/>
    <w:rsid w:val="002E2392"/>
    <w:rsid w:val="002E24BF"/>
    <w:rsid w:val="002E250C"/>
    <w:rsid w:val="002E2566"/>
    <w:rsid w:val="002E261B"/>
    <w:rsid w:val="002E2712"/>
    <w:rsid w:val="002E2791"/>
    <w:rsid w:val="002E28F4"/>
    <w:rsid w:val="002E299D"/>
    <w:rsid w:val="002E29BB"/>
    <w:rsid w:val="002E2B46"/>
    <w:rsid w:val="002E2B4A"/>
    <w:rsid w:val="002E2B75"/>
    <w:rsid w:val="002E2CCF"/>
    <w:rsid w:val="002E2D1E"/>
    <w:rsid w:val="002E2DD8"/>
    <w:rsid w:val="002E2EE4"/>
    <w:rsid w:val="002E2F8E"/>
    <w:rsid w:val="002E2FC8"/>
    <w:rsid w:val="002E3058"/>
    <w:rsid w:val="002E307F"/>
    <w:rsid w:val="002E30E0"/>
    <w:rsid w:val="002E30F4"/>
    <w:rsid w:val="002E310A"/>
    <w:rsid w:val="002E319E"/>
    <w:rsid w:val="002E321F"/>
    <w:rsid w:val="002E324C"/>
    <w:rsid w:val="002E332A"/>
    <w:rsid w:val="002E33D5"/>
    <w:rsid w:val="002E34A2"/>
    <w:rsid w:val="002E3516"/>
    <w:rsid w:val="002E3525"/>
    <w:rsid w:val="002E3562"/>
    <w:rsid w:val="002E35DA"/>
    <w:rsid w:val="002E365A"/>
    <w:rsid w:val="002E3763"/>
    <w:rsid w:val="002E3841"/>
    <w:rsid w:val="002E3852"/>
    <w:rsid w:val="002E3892"/>
    <w:rsid w:val="002E3A75"/>
    <w:rsid w:val="002E3A81"/>
    <w:rsid w:val="002E3C56"/>
    <w:rsid w:val="002E3D88"/>
    <w:rsid w:val="002E3EA8"/>
    <w:rsid w:val="002E3F02"/>
    <w:rsid w:val="002E3F50"/>
    <w:rsid w:val="002E3FF6"/>
    <w:rsid w:val="002E4127"/>
    <w:rsid w:val="002E4178"/>
    <w:rsid w:val="002E41BD"/>
    <w:rsid w:val="002E41C5"/>
    <w:rsid w:val="002E41C7"/>
    <w:rsid w:val="002E41C8"/>
    <w:rsid w:val="002E420E"/>
    <w:rsid w:val="002E4333"/>
    <w:rsid w:val="002E435A"/>
    <w:rsid w:val="002E4392"/>
    <w:rsid w:val="002E43EC"/>
    <w:rsid w:val="002E4412"/>
    <w:rsid w:val="002E4469"/>
    <w:rsid w:val="002E44E3"/>
    <w:rsid w:val="002E44FD"/>
    <w:rsid w:val="002E4560"/>
    <w:rsid w:val="002E4605"/>
    <w:rsid w:val="002E4650"/>
    <w:rsid w:val="002E46C5"/>
    <w:rsid w:val="002E46F5"/>
    <w:rsid w:val="002E4711"/>
    <w:rsid w:val="002E4722"/>
    <w:rsid w:val="002E472B"/>
    <w:rsid w:val="002E4742"/>
    <w:rsid w:val="002E480E"/>
    <w:rsid w:val="002E482B"/>
    <w:rsid w:val="002E488B"/>
    <w:rsid w:val="002E49E1"/>
    <w:rsid w:val="002E49E8"/>
    <w:rsid w:val="002E4A2E"/>
    <w:rsid w:val="002E4A36"/>
    <w:rsid w:val="002E4A65"/>
    <w:rsid w:val="002E4A9C"/>
    <w:rsid w:val="002E4ABF"/>
    <w:rsid w:val="002E4AFD"/>
    <w:rsid w:val="002E4B09"/>
    <w:rsid w:val="002E4B0C"/>
    <w:rsid w:val="002E4B5A"/>
    <w:rsid w:val="002E4BB6"/>
    <w:rsid w:val="002E4BD4"/>
    <w:rsid w:val="002E4C20"/>
    <w:rsid w:val="002E4D7B"/>
    <w:rsid w:val="002E4D7F"/>
    <w:rsid w:val="002E4E68"/>
    <w:rsid w:val="002E4E94"/>
    <w:rsid w:val="002E4EA2"/>
    <w:rsid w:val="002E4EC7"/>
    <w:rsid w:val="002E4F52"/>
    <w:rsid w:val="002E4F8F"/>
    <w:rsid w:val="002E5091"/>
    <w:rsid w:val="002E510F"/>
    <w:rsid w:val="002E51ED"/>
    <w:rsid w:val="002E524E"/>
    <w:rsid w:val="002E527E"/>
    <w:rsid w:val="002E52DC"/>
    <w:rsid w:val="002E52E3"/>
    <w:rsid w:val="002E52E9"/>
    <w:rsid w:val="002E539B"/>
    <w:rsid w:val="002E5401"/>
    <w:rsid w:val="002E5474"/>
    <w:rsid w:val="002E549F"/>
    <w:rsid w:val="002E5569"/>
    <w:rsid w:val="002E5619"/>
    <w:rsid w:val="002E56A6"/>
    <w:rsid w:val="002E5846"/>
    <w:rsid w:val="002E588D"/>
    <w:rsid w:val="002E58AB"/>
    <w:rsid w:val="002E58AC"/>
    <w:rsid w:val="002E58EB"/>
    <w:rsid w:val="002E5901"/>
    <w:rsid w:val="002E5979"/>
    <w:rsid w:val="002E59F5"/>
    <w:rsid w:val="002E5A31"/>
    <w:rsid w:val="002E5A35"/>
    <w:rsid w:val="002E5A50"/>
    <w:rsid w:val="002E5B28"/>
    <w:rsid w:val="002E5B37"/>
    <w:rsid w:val="002E5C89"/>
    <w:rsid w:val="002E5C94"/>
    <w:rsid w:val="002E5C9D"/>
    <w:rsid w:val="002E5EE0"/>
    <w:rsid w:val="002E5F56"/>
    <w:rsid w:val="002E5F5D"/>
    <w:rsid w:val="002E5F6F"/>
    <w:rsid w:val="002E5FCF"/>
    <w:rsid w:val="002E6140"/>
    <w:rsid w:val="002E6144"/>
    <w:rsid w:val="002E6170"/>
    <w:rsid w:val="002E618F"/>
    <w:rsid w:val="002E61A1"/>
    <w:rsid w:val="002E61B0"/>
    <w:rsid w:val="002E6280"/>
    <w:rsid w:val="002E62DC"/>
    <w:rsid w:val="002E632C"/>
    <w:rsid w:val="002E63F2"/>
    <w:rsid w:val="002E645A"/>
    <w:rsid w:val="002E650C"/>
    <w:rsid w:val="002E65ED"/>
    <w:rsid w:val="002E6695"/>
    <w:rsid w:val="002E6793"/>
    <w:rsid w:val="002E67AF"/>
    <w:rsid w:val="002E67EE"/>
    <w:rsid w:val="002E6856"/>
    <w:rsid w:val="002E6951"/>
    <w:rsid w:val="002E6ACA"/>
    <w:rsid w:val="002E6AD9"/>
    <w:rsid w:val="002E6B47"/>
    <w:rsid w:val="002E6B7D"/>
    <w:rsid w:val="002E6BA2"/>
    <w:rsid w:val="002E6C71"/>
    <w:rsid w:val="002E6C77"/>
    <w:rsid w:val="002E6E04"/>
    <w:rsid w:val="002E6E8D"/>
    <w:rsid w:val="002E6F27"/>
    <w:rsid w:val="002E6F4C"/>
    <w:rsid w:val="002E6FBA"/>
    <w:rsid w:val="002E6FDB"/>
    <w:rsid w:val="002E7089"/>
    <w:rsid w:val="002E7151"/>
    <w:rsid w:val="002E72C9"/>
    <w:rsid w:val="002E741F"/>
    <w:rsid w:val="002E747F"/>
    <w:rsid w:val="002E762E"/>
    <w:rsid w:val="002E76DE"/>
    <w:rsid w:val="002E7709"/>
    <w:rsid w:val="002E7799"/>
    <w:rsid w:val="002E78AC"/>
    <w:rsid w:val="002E78C1"/>
    <w:rsid w:val="002E7936"/>
    <w:rsid w:val="002E79F8"/>
    <w:rsid w:val="002E7A79"/>
    <w:rsid w:val="002E7A9F"/>
    <w:rsid w:val="002E7B26"/>
    <w:rsid w:val="002E7BFA"/>
    <w:rsid w:val="002E7C76"/>
    <w:rsid w:val="002E7CBA"/>
    <w:rsid w:val="002E7D92"/>
    <w:rsid w:val="002E7DCC"/>
    <w:rsid w:val="002E7E2E"/>
    <w:rsid w:val="002E7E4B"/>
    <w:rsid w:val="002E7F6B"/>
    <w:rsid w:val="002E7F8C"/>
    <w:rsid w:val="002E7FC5"/>
    <w:rsid w:val="002E7FEF"/>
    <w:rsid w:val="002F002E"/>
    <w:rsid w:val="002F0071"/>
    <w:rsid w:val="002F00A3"/>
    <w:rsid w:val="002F00C5"/>
    <w:rsid w:val="002F00DB"/>
    <w:rsid w:val="002F0152"/>
    <w:rsid w:val="002F01C3"/>
    <w:rsid w:val="002F01C8"/>
    <w:rsid w:val="002F01D5"/>
    <w:rsid w:val="002F01E8"/>
    <w:rsid w:val="002F0227"/>
    <w:rsid w:val="002F02B7"/>
    <w:rsid w:val="002F0331"/>
    <w:rsid w:val="002F036D"/>
    <w:rsid w:val="002F039C"/>
    <w:rsid w:val="002F03E2"/>
    <w:rsid w:val="002F03EF"/>
    <w:rsid w:val="002F03F4"/>
    <w:rsid w:val="002F0463"/>
    <w:rsid w:val="002F047A"/>
    <w:rsid w:val="002F0529"/>
    <w:rsid w:val="002F05A0"/>
    <w:rsid w:val="002F069D"/>
    <w:rsid w:val="002F0711"/>
    <w:rsid w:val="002F0740"/>
    <w:rsid w:val="002F079D"/>
    <w:rsid w:val="002F0848"/>
    <w:rsid w:val="002F0896"/>
    <w:rsid w:val="002F08F8"/>
    <w:rsid w:val="002F0927"/>
    <w:rsid w:val="002F093D"/>
    <w:rsid w:val="002F0B30"/>
    <w:rsid w:val="002F0B93"/>
    <w:rsid w:val="002F0BFF"/>
    <w:rsid w:val="002F0C53"/>
    <w:rsid w:val="002F0C54"/>
    <w:rsid w:val="002F0D0A"/>
    <w:rsid w:val="002F0D17"/>
    <w:rsid w:val="002F0DEA"/>
    <w:rsid w:val="002F0E1B"/>
    <w:rsid w:val="002F0E5E"/>
    <w:rsid w:val="002F0FD2"/>
    <w:rsid w:val="002F1107"/>
    <w:rsid w:val="002F11AB"/>
    <w:rsid w:val="002F1292"/>
    <w:rsid w:val="002F1399"/>
    <w:rsid w:val="002F14EE"/>
    <w:rsid w:val="002F14F2"/>
    <w:rsid w:val="002F152E"/>
    <w:rsid w:val="002F16C8"/>
    <w:rsid w:val="002F170B"/>
    <w:rsid w:val="002F17C6"/>
    <w:rsid w:val="002F183B"/>
    <w:rsid w:val="002F184C"/>
    <w:rsid w:val="002F1924"/>
    <w:rsid w:val="002F19BF"/>
    <w:rsid w:val="002F19ED"/>
    <w:rsid w:val="002F1AFD"/>
    <w:rsid w:val="002F1B07"/>
    <w:rsid w:val="002F1B0F"/>
    <w:rsid w:val="002F1B2F"/>
    <w:rsid w:val="002F1B5F"/>
    <w:rsid w:val="002F1B86"/>
    <w:rsid w:val="002F1BCB"/>
    <w:rsid w:val="002F1BE2"/>
    <w:rsid w:val="002F1BF0"/>
    <w:rsid w:val="002F1C50"/>
    <w:rsid w:val="002F1D6D"/>
    <w:rsid w:val="002F1E4C"/>
    <w:rsid w:val="002F1F20"/>
    <w:rsid w:val="002F1FFA"/>
    <w:rsid w:val="002F2022"/>
    <w:rsid w:val="002F20DE"/>
    <w:rsid w:val="002F20E4"/>
    <w:rsid w:val="002F211D"/>
    <w:rsid w:val="002F2187"/>
    <w:rsid w:val="002F218A"/>
    <w:rsid w:val="002F2221"/>
    <w:rsid w:val="002F224D"/>
    <w:rsid w:val="002F23DB"/>
    <w:rsid w:val="002F23E3"/>
    <w:rsid w:val="002F23EE"/>
    <w:rsid w:val="002F2400"/>
    <w:rsid w:val="002F2434"/>
    <w:rsid w:val="002F2458"/>
    <w:rsid w:val="002F2466"/>
    <w:rsid w:val="002F2563"/>
    <w:rsid w:val="002F2572"/>
    <w:rsid w:val="002F2591"/>
    <w:rsid w:val="002F26A4"/>
    <w:rsid w:val="002F26AF"/>
    <w:rsid w:val="002F2A82"/>
    <w:rsid w:val="002F2B05"/>
    <w:rsid w:val="002F2B87"/>
    <w:rsid w:val="002F2BD5"/>
    <w:rsid w:val="002F2C09"/>
    <w:rsid w:val="002F2C28"/>
    <w:rsid w:val="002F2D39"/>
    <w:rsid w:val="002F2D7C"/>
    <w:rsid w:val="002F2DAA"/>
    <w:rsid w:val="002F2E31"/>
    <w:rsid w:val="002F2E46"/>
    <w:rsid w:val="002F2EEC"/>
    <w:rsid w:val="002F2EFE"/>
    <w:rsid w:val="002F2FC2"/>
    <w:rsid w:val="002F2FFD"/>
    <w:rsid w:val="002F3051"/>
    <w:rsid w:val="002F30D4"/>
    <w:rsid w:val="002F3227"/>
    <w:rsid w:val="002F322D"/>
    <w:rsid w:val="002F33B1"/>
    <w:rsid w:val="002F33D9"/>
    <w:rsid w:val="002F3438"/>
    <w:rsid w:val="002F3472"/>
    <w:rsid w:val="002F34C3"/>
    <w:rsid w:val="002F34D3"/>
    <w:rsid w:val="002F3555"/>
    <w:rsid w:val="002F35A8"/>
    <w:rsid w:val="002F3634"/>
    <w:rsid w:val="002F36CB"/>
    <w:rsid w:val="002F36E0"/>
    <w:rsid w:val="002F370F"/>
    <w:rsid w:val="002F3782"/>
    <w:rsid w:val="002F378E"/>
    <w:rsid w:val="002F37C1"/>
    <w:rsid w:val="002F380B"/>
    <w:rsid w:val="002F38C1"/>
    <w:rsid w:val="002F390E"/>
    <w:rsid w:val="002F3966"/>
    <w:rsid w:val="002F39B0"/>
    <w:rsid w:val="002F39B9"/>
    <w:rsid w:val="002F3A58"/>
    <w:rsid w:val="002F3BBB"/>
    <w:rsid w:val="002F3C5D"/>
    <w:rsid w:val="002F3C91"/>
    <w:rsid w:val="002F3CF2"/>
    <w:rsid w:val="002F3D6A"/>
    <w:rsid w:val="002F3DC8"/>
    <w:rsid w:val="002F3E7A"/>
    <w:rsid w:val="002F3EF7"/>
    <w:rsid w:val="002F3F58"/>
    <w:rsid w:val="002F40CA"/>
    <w:rsid w:val="002F410C"/>
    <w:rsid w:val="002F4156"/>
    <w:rsid w:val="002F428C"/>
    <w:rsid w:val="002F43AC"/>
    <w:rsid w:val="002F43E5"/>
    <w:rsid w:val="002F43F4"/>
    <w:rsid w:val="002F440F"/>
    <w:rsid w:val="002F444C"/>
    <w:rsid w:val="002F44AE"/>
    <w:rsid w:val="002F44E7"/>
    <w:rsid w:val="002F4620"/>
    <w:rsid w:val="002F46FB"/>
    <w:rsid w:val="002F46FD"/>
    <w:rsid w:val="002F471B"/>
    <w:rsid w:val="002F472D"/>
    <w:rsid w:val="002F4796"/>
    <w:rsid w:val="002F47D5"/>
    <w:rsid w:val="002F4802"/>
    <w:rsid w:val="002F48D9"/>
    <w:rsid w:val="002F492B"/>
    <w:rsid w:val="002F49EF"/>
    <w:rsid w:val="002F4A4C"/>
    <w:rsid w:val="002F4B09"/>
    <w:rsid w:val="002F4C1F"/>
    <w:rsid w:val="002F4C3D"/>
    <w:rsid w:val="002F4C67"/>
    <w:rsid w:val="002F4E69"/>
    <w:rsid w:val="002F4E7D"/>
    <w:rsid w:val="002F4EB3"/>
    <w:rsid w:val="002F4F56"/>
    <w:rsid w:val="002F4F7E"/>
    <w:rsid w:val="002F5021"/>
    <w:rsid w:val="002F5086"/>
    <w:rsid w:val="002F50D0"/>
    <w:rsid w:val="002F510E"/>
    <w:rsid w:val="002F51A9"/>
    <w:rsid w:val="002F51FD"/>
    <w:rsid w:val="002F521F"/>
    <w:rsid w:val="002F5257"/>
    <w:rsid w:val="002F5412"/>
    <w:rsid w:val="002F541E"/>
    <w:rsid w:val="002F542E"/>
    <w:rsid w:val="002F5456"/>
    <w:rsid w:val="002F5465"/>
    <w:rsid w:val="002F5475"/>
    <w:rsid w:val="002F54D8"/>
    <w:rsid w:val="002F551F"/>
    <w:rsid w:val="002F557F"/>
    <w:rsid w:val="002F55BE"/>
    <w:rsid w:val="002F55D0"/>
    <w:rsid w:val="002F5676"/>
    <w:rsid w:val="002F56A1"/>
    <w:rsid w:val="002F574E"/>
    <w:rsid w:val="002F5795"/>
    <w:rsid w:val="002F5809"/>
    <w:rsid w:val="002F58B6"/>
    <w:rsid w:val="002F58DF"/>
    <w:rsid w:val="002F5A48"/>
    <w:rsid w:val="002F5B29"/>
    <w:rsid w:val="002F5B40"/>
    <w:rsid w:val="002F5B50"/>
    <w:rsid w:val="002F5BA0"/>
    <w:rsid w:val="002F5DDF"/>
    <w:rsid w:val="002F5EA1"/>
    <w:rsid w:val="002F5EC2"/>
    <w:rsid w:val="002F5EF5"/>
    <w:rsid w:val="002F5F20"/>
    <w:rsid w:val="002F5F76"/>
    <w:rsid w:val="002F60DA"/>
    <w:rsid w:val="002F6153"/>
    <w:rsid w:val="002F617D"/>
    <w:rsid w:val="002F61FA"/>
    <w:rsid w:val="002F6266"/>
    <w:rsid w:val="002F628B"/>
    <w:rsid w:val="002F62DA"/>
    <w:rsid w:val="002F6460"/>
    <w:rsid w:val="002F6597"/>
    <w:rsid w:val="002F65EA"/>
    <w:rsid w:val="002F65FE"/>
    <w:rsid w:val="002F6642"/>
    <w:rsid w:val="002F6646"/>
    <w:rsid w:val="002F66A5"/>
    <w:rsid w:val="002F66BA"/>
    <w:rsid w:val="002F66BC"/>
    <w:rsid w:val="002F6752"/>
    <w:rsid w:val="002F6756"/>
    <w:rsid w:val="002F67F9"/>
    <w:rsid w:val="002F6868"/>
    <w:rsid w:val="002F6888"/>
    <w:rsid w:val="002F68A8"/>
    <w:rsid w:val="002F68FB"/>
    <w:rsid w:val="002F6B54"/>
    <w:rsid w:val="002F6B5A"/>
    <w:rsid w:val="002F6DA9"/>
    <w:rsid w:val="002F6DEB"/>
    <w:rsid w:val="002F6E81"/>
    <w:rsid w:val="002F70C5"/>
    <w:rsid w:val="002F70CD"/>
    <w:rsid w:val="002F70E2"/>
    <w:rsid w:val="002F712F"/>
    <w:rsid w:val="002F717F"/>
    <w:rsid w:val="002F7203"/>
    <w:rsid w:val="002F7213"/>
    <w:rsid w:val="002F7258"/>
    <w:rsid w:val="002F72A5"/>
    <w:rsid w:val="002F72FF"/>
    <w:rsid w:val="002F7399"/>
    <w:rsid w:val="002F739D"/>
    <w:rsid w:val="002F745C"/>
    <w:rsid w:val="002F7460"/>
    <w:rsid w:val="002F7556"/>
    <w:rsid w:val="002F75F3"/>
    <w:rsid w:val="002F767C"/>
    <w:rsid w:val="002F769C"/>
    <w:rsid w:val="002F7716"/>
    <w:rsid w:val="002F771B"/>
    <w:rsid w:val="002F7762"/>
    <w:rsid w:val="002F7812"/>
    <w:rsid w:val="002F782D"/>
    <w:rsid w:val="002F78CD"/>
    <w:rsid w:val="002F79E0"/>
    <w:rsid w:val="002F7A21"/>
    <w:rsid w:val="002F7A6C"/>
    <w:rsid w:val="002F7A6F"/>
    <w:rsid w:val="002F7A77"/>
    <w:rsid w:val="002F7A9B"/>
    <w:rsid w:val="002F7B0D"/>
    <w:rsid w:val="002F7B43"/>
    <w:rsid w:val="002F7BB5"/>
    <w:rsid w:val="002F7C9E"/>
    <w:rsid w:val="002F7CBF"/>
    <w:rsid w:val="002F7D00"/>
    <w:rsid w:val="002F7D2C"/>
    <w:rsid w:val="002F7D63"/>
    <w:rsid w:val="002F7E1B"/>
    <w:rsid w:val="002F7E66"/>
    <w:rsid w:val="002F7E7A"/>
    <w:rsid w:val="002F7EB3"/>
    <w:rsid w:val="002F7F12"/>
    <w:rsid w:val="002F7F40"/>
    <w:rsid w:val="002F7FBF"/>
    <w:rsid w:val="002F7FC2"/>
    <w:rsid w:val="0030010A"/>
    <w:rsid w:val="00300185"/>
    <w:rsid w:val="003001CB"/>
    <w:rsid w:val="0030026A"/>
    <w:rsid w:val="003002D1"/>
    <w:rsid w:val="0030044B"/>
    <w:rsid w:val="00300488"/>
    <w:rsid w:val="0030048F"/>
    <w:rsid w:val="003004C5"/>
    <w:rsid w:val="003004D7"/>
    <w:rsid w:val="003004E1"/>
    <w:rsid w:val="003004E3"/>
    <w:rsid w:val="00300541"/>
    <w:rsid w:val="00300567"/>
    <w:rsid w:val="00300588"/>
    <w:rsid w:val="00300592"/>
    <w:rsid w:val="003005BD"/>
    <w:rsid w:val="00300613"/>
    <w:rsid w:val="003006BE"/>
    <w:rsid w:val="0030077A"/>
    <w:rsid w:val="003007EA"/>
    <w:rsid w:val="00300826"/>
    <w:rsid w:val="0030089F"/>
    <w:rsid w:val="00300993"/>
    <w:rsid w:val="00300A0A"/>
    <w:rsid w:val="00300A8A"/>
    <w:rsid w:val="00300B20"/>
    <w:rsid w:val="00300B44"/>
    <w:rsid w:val="00300C0A"/>
    <w:rsid w:val="00300C1D"/>
    <w:rsid w:val="00300C86"/>
    <w:rsid w:val="00300CE5"/>
    <w:rsid w:val="00300D09"/>
    <w:rsid w:val="00300D29"/>
    <w:rsid w:val="00300E07"/>
    <w:rsid w:val="00300F76"/>
    <w:rsid w:val="0030119E"/>
    <w:rsid w:val="003011E0"/>
    <w:rsid w:val="003011EC"/>
    <w:rsid w:val="00301206"/>
    <w:rsid w:val="00301333"/>
    <w:rsid w:val="00301393"/>
    <w:rsid w:val="0030154D"/>
    <w:rsid w:val="003015B7"/>
    <w:rsid w:val="00301614"/>
    <w:rsid w:val="00301657"/>
    <w:rsid w:val="0030185C"/>
    <w:rsid w:val="003018FC"/>
    <w:rsid w:val="00301965"/>
    <w:rsid w:val="00301975"/>
    <w:rsid w:val="00301A85"/>
    <w:rsid w:val="00301AF8"/>
    <w:rsid w:val="00301B54"/>
    <w:rsid w:val="00301B7E"/>
    <w:rsid w:val="00301B98"/>
    <w:rsid w:val="00301CE9"/>
    <w:rsid w:val="00301D63"/>
    <w:rsid w:val="00301DF3"/>
    <w:rsid w:val="00301DFD"/>
    <w:rsid w:val="00301E08"/>
    <w:rsid w:val="00301E2B"/>
    <w:rsid w:val="00301F1C"/>
    <w:rsid w:val="00301F2A"/>
    <w:rsid w:val="00301F69"/>
    <w:rsid w:val="00301F7C"/>
    <w:rsid w:val="00301FF4"/>
    <w:rsid w:val="00302011"/>
    <w:rsid w:val="0030205A"/>
    <w:rsid w:val="003020DB"/>
    <w:rsid w:val="0030231B"/>
    <w:rsid w:val="00302471"/>
    <w:rsid w:val="003024F0"/>
    <w:rsid w:val="00302550"/>
    <w:rsid w:val="0030256F"/>
    <w:rsid w:val="00302814"/>
    <w:rsid w:val="00302853"/>
    <w:rsid w:val="0030285D"/>
    <w:rsid w:val="00302936"/>
    <w:rsid w:val="0030299F"/>
    <w:rsid w:val="00302A29"/>
    <w:rsid w:val="00302A40"/>
    <w:rsid w:val="00302AA4"/>
    <w:rsid w:val="00302B42"/>
    <w:rsid w:val="00302BB3"/>
    <w:rsid w:val="00302BD3"/>
    <w:rsid w:val="00302CBD"/>
    <w:rsid w:val="00302CC5"/>
    <w:rsid w:val="00302CF1"/>
    <w:rsid w:val="00302D62"/>
    <w:rsid w:val="00302D9A"/>
    <w:rsid w:val="00302DDA"/>
    <w:rsid w:val="00302E08"/>
    <w:rsid w:val="00302E74"/>
    <w:rsid w:val="00302F76"/>
    <w:rsid w:val="00302FBE"/>
    <w:rsid w:val="00302FEA"/>
    <w:rsid w:val="0030312E"/>
    <w:rsid w:val="003031B8"/>
    <w:rsid w:val="003031D9"/>
    <w:rsid w:val="0030324C"/>
    <w:rsid w:val="003032E6"/>
    <w:rsid w:val="003032FE"/>
    <w:rsid w:val="0030331C"/>
    <w:rsid w:val="00303354"/>
    <w:rsid w:val="00303578"/>
    <w:rsid w:val="003035D5"/>
    <w:rsid w:val="00303687"/>
    <w:rsid w:val="00303778"/>
    <w:rsid w:val="00303785"/>
    <w:rsid w:val="003037A1"/>
    <w:rsid w:val="00303805"/>
    <w:rsid w:val="00303813"/>
    <w:rsid w:val="003038D7"/>
    <w:rsid w:val="003038FB"/>
    <w:rsid w:val="00303A75"/>
    <w:rsid w:val="00303A81"/>
    <w:rsid w:val="00303A9F"/>
    <w:rsid w:val="00303AB6"/>
    <w:rsid w:val="00303ABF"/>
    <w:rsid w:val="00303B01"/>
    <w:rsid w:val="00303B31"/>
    <w:rsid w:val="00303B54"/>
    <w:rsid w:val="00303B7E"/>
    <w:rsid w:val="00303B86"/>
    <w:rsid w:val="00303BCD"/>
    <w:rsid w:val="00303BD3"/>
    <w:rsid w:val="00303D7D"/>
    <w:rsid w:val="00303E7E"/>
    <w:rsid w:val="00303F2F"/>
    <w:rsid w:val="0030403A"/>
    <w:rsid w:val="00304122"/>
    <w:rsid w:val="003041F1"/>
    <w:rsid w:val="00304202"/>
    <w:rsid w:val="00304251"/>
    <w:rsid w:val="0030432E"/>
    <w:rsid w:val="00304346"/>
    <w:rsid w:val="0030437A"/>
    <w:rsid w:val="0030437D"/>
    <w:rsid w:val="003043B4"/>
    <w:rsid w:val="003043C1"/>
    <w:rsid w:val="003044AF"/>
    <w:rsid w:val="00304557"/>
    <w:rsid w:val="00304570"/>
    <w:rsid w:val="003045CD"/>
    <w:rsid w:val="00304658"/>
    <w:rsid w:val="003046DD"/>
    <w:rsid w:val="003046E9"/>
    <w:rsid w:val="00304721"/>
    <w:rsid w:val="00304780"/>
    <w:rsid w:val="0030484C"/>
    <w:rsid w:val="003048F4"/>
    <w:rsid w:val="00304922"/>
    <w:rsid w:val="00304983"/>
    <w:rsid w:val="0030498D"/>
    <w:rsid w:val="00304B7D"/>
    <w:rsid w:val="00304C0F"/>
    <w:rsid w:val="00304C4F"/>
    <w:rsid w:val="00304C73"/>
    <w:rsid w:val="00304D5E"/>
    <w:rsid w:val="00304D8D"/>
    <w:rsid w:val="00304DE1"/>
    <w:rsid w:val="00304DE5"/>
    <w:rsid w:val="00304DF4"/>
    <w:rsid w:val="00304E62"/>
    <w:rsid w:val="00304F2A"/>
    <w:rsid w:val="00305186"/>
    <w:rsid w:val="003051BB"/>
    <w:rsid w:val="0030528A"/>
    <w:rsid w:val="003052F7"/>
    <w:rsid w:val="0030536F"/>
    <w:rsid w:val="00305391"/>
    <w:rsid w:val="003053F3"/>
    <w:rsid w:val="00305421"/>
    <w:rsid w:val="00305442"/>
    <w:rsid w:val="00305444"/>
    <w:rsid w:val="00305445"/>
    <w:rsid w:val="00305486"/>
    <w:rsid w:val="00305522"/>
    <w:rsid w:val="00305614"/>
    <w:rsid w:val="00305913"/>
    <w:rsid w:val="00305967"/>
    <w:rsid w:val="0030598A"/>
    <w:rsid w:val="003059AE"/>
    <w:rsid w:val="003059FB"/>
    <w:rsid w:val="00305A25"/>
    <w:rsid w:val="00305A37"/>
    <w:rsid w:val="00305AC3"/>
    <w:rsid w:val="00305AE6"/>
    <w:rsid w:val="00305B14"/>
    <w:rsid w:val="00305B40"/>
    <w:rsid w:val="00305B58"/>
    <w:rsid w:val="00305B76"/>
    <w:rsid w:val="00305BAD"/>
    <w:rsid w:val="00305C0D"/>
    <w:rsid w:val="00305D41"/>
    <w:rsid w:val="00305D45"/>
    <w:rsid w:val="00305D6B"/>
    <w:rsid w:val="00305D95"/>
    <w:rsid w:val="00305E5D"/>
    <w:rsid w:val="00305E82"/>
    <w:rsid w:val="00305E92"/>
    <w:rsid w:val="00305F08"/>
    <w:rsid w:val="00305F92"/>
    <w:rsid w:val="00306069"/>
    <w:rsid w:val="0030607E"/>
    <w:rsid w:val="003060C7"/>
    <w:rsid w:val="003061EF"/>
    <w:rsid w:val="0030621A"/>
    <w:rsid w:val="003062DE"/>
    <w:rsid w:val="00306483"/>
    <w:rsid w:val="003064A3"/>
    <w:rsid w:val="003064DC"/>
    <w:rsid w:val="003064E2"/>
    <w:rsid w:val="0030650D"/>
    <w:rsid w:val="0030656B"/>
    <w:rsid w:val="003065B2"/>
    <w:rsid w:val="003066A7"/>
    <w:rsid w:val="003066D1"/>
    <w:rsid w:val="00306707"/>
    <w:rsid w:val="00306814"/>
    <w:rsid w:val="003068C6"/>
    <w:rsid w:val="00306908"/>
    <w:rsid w:val="0030696B"/>
    <w:rsid w:val="0030698E"/>
    <w:rsid w:val="003069C6"/>
    <w:rsid w:val="003069EB"/>
    <w:rsid w:val="00306ABA"/>
    <w:rsid w:val="00306C40"/>
    <w:rsid w:val="00306C9A"/>
    <w:rsid w:val="00306CF0"/>
    <w:rsid w:val="00306DCB"/>
    <w:rsid w:val="00306E1D"/>
    <w:rsid w:val="00306EAD"/>
    <w:rsid w:val="00306F1D"/>
    <w:rsid w:val="00307001"/>
    <w:rsid w:val="00307029"/>
    <w:rsid w:val="003070C5"/>
    <w:rsid w:val="0030716C"/>
    <w:rsid w:val="00307189"/>
    <w:rsid w:val="00307278"/>
    <w:rsid w:val="003073F4"/>
    <w:rsid w:val="003074BE"/>
    <w:rsid w:val="0030750C"/>
    <w:rsid w:val="00307543"/>
    <w:rsid w:val="0030754D"/>
    <w:rsid w:val="00307585"/>
    <w:rsid w:val="00307644"/>
    <w:rsid w:val="003076A2"/>
    <w:rsid w:val="00307725"/>
    <w:rsid w:val="00307750"/>
    <w:rsid w:val="00307794"/>
    <w:rsid w:val="003077CA"/>
    <w:rsid w:val="00307838"/>
    <w:rsid w:val="003078CA"/>
    <w:rsid w:val="00307A27"/>
    <w:rsid w:val="00307A7D"/>
    <w:rsid w:val="00307ADB"/>
    <w:rsid w:val="00307ADF"/>
    <w:rsid w:val="00307B6A"/>
    <w:rsid w:val="00307B9E"/>
    <w:rsid w:val="00307BC5"/>
    <w:rsid w:val="00307C1D"/>
    <w:rsid w:val="00307C2B"/>
    <w:rsid w:val="00307CB9"/>
    <w:rsid w:val="00307CF2"/>
    <w:rsid w:val="00307DAB"/>
    <w:rsid w:val="00307DD7"/>
    <w:rsid w:val="00307EE2"/>
    <w:rsid w:val="00307F4D"/>
    <w:rsid w:val="00307F92"/>
    <w:rsid w:val="00307FBA"/>
    <w:rsid w:val="00310047"/>
    <w:rsid w:val="003100DD"/>
    <w:rsid w:val="00310153"/>
    <w:rsid w:val="003101E4"/>
    <w:rsid w:val="00310295"/>
    <w:rsid w:val="00310303"/>
    <w:rsid w:val="00310322"/>
    <w:rsid w:val="003103F1"/>
    <w:rsid w:val="0031043B"/>
    <w:rsid w:val="00310473"/>
    <w:rsid w:val="0031051B"/>
    <w:rsid w:val="00310578"/>
    <w:rsid w:val="0031060C"/>
    <w:rsid w:val="00310646"/>
    <w:rsid w:val="00310655"/>
    <w:rsid w:val="0031078B"/>
    <w:rsid w:val="00310886"/>
    <w:rsid w:val="00310901"/>
    <w:rsid w:val="0031090C"/>
    <w:rsid w:val="0031094A"/>
    <w:rsid w:val="0031094D"/>
    <w:rsid w:val="0031099A"/>
    <w:rsid w:val="003109B3"/>
    <w:rsid w:val="00310AC6"/>
    <w:rsid w:val="00310B18"/>
    <w:rsid w:val="00310B80"/>
    <w:rsid w:val="00310BF0"/>
    <w:rsid w:val="00310C56"/>
    <w:rsid w:val="00310D18"/>
    <w:rsid w:val="00310E12"/>
    <w:rsid w:val="00310ECA"/>
    <w:rsid w:val="00310F52"/>
    <w:rsid w:val="0031108E"/>
    <w:rsid w:val="00311095"/>
    <w:rsid w:val="0031113A"/>
    <w:rsid w:val="00311201"/>
    <w:rsid w:val="00311248"/>
    <w:rsid w:val="00311373"/>
    <w:rsid w:val="00311392"/>
    <w:rsid w:val="003114CC"/>
    <w:rsid w:val="003114ED"/>
    <w:rsid w:val="0031152E"/>
    <w:rsid w:val="00311539"/>
    <w:rsid w:val="00311703"/>
    <w:rsid w:val="00311780"/>
    <w:rsid w:val="003118CB"/>
    <w:rsid w:val="003118EE"/>
    <w:rsid w:val="003119F0"/>
    <w:rsid w:val="00311B73"/>
    <w:rsid w:val="00311C16"/>
    <w:rsid w:val="00311CD6"/>
    <w:rsid w:val="00312055"/>
    <w:rsid w:val="0031210F"/>
    <w:rsid w:val="003121C4"/>
    <w:rsid w:val="003121F0"/>
    <w:rsid w:val="0031224C"/>
    <w:rsid w:val="0031226B"/>
    <w:rsid w:val="00312368"/>
    <w:rsid w:val="00312378"/>
    <w:rsid w:val="0031238A"/>
    <w:rsid w:val="00312432"/>
    <w:rsid w:val="00312470"/>
    <w:rsid w:val="0031248F"/>
    <w:rsid w:val="003126AE"/>
    <w:rsid w:val="003126F7"/>
    <w:rsid w:val="00312700"/>
    <w:rsid w:val="0031273B"/>
    <w:rsid w:val="00312748"/>
    <w:rsid w:val="0031289B"/>
    <w:rsid w:val="003129D5"/>
    <w:rsid w:val="00312A14"/>
    <w:rsid w:val="00312A65"/>
    <w:rsid w:val="00312AC6"/>
    <w:rsid w:val="00312B36"/>
    <w:rsid w:val="00312B9A"/>
    <w:rsid w:val="00312C11"/>
    <w:rsid w:val="00312C62"/>
    <w:rsid w:val="00312CA6"/>
    <w:rsid w:val="00312DBA"/>
    <w:rsid w:val="00312DC0"/>
    <w:rsid w:val="00312DC4"/>
    <w:rsid w:val="00312E2C"/>
    <w:rsid w:val="00312E72"/>
    <w:rsid w:val="00312EFD"/>
    <w:rsid w:val="00312F1E"/>
    <w:rsid w:val="00312F66"/>
    <w:rsid w:val="003130ED"/>
    <w:rsid w:val="00313185"/>
    <w:rsid w:val="003131A0"/>
    <w:rsid w:val="003131C6"/>
    <w:rsid w:val="003131EF"/>
    <w:rsid w:val="00313219"/>
    <w:rsid w:val="0031345C"/>
    <w:rsid w:val="00313583"/>
    <w:rsid w:val="003135A6"/>
    <w:rsid w:val="003135C8"/>
    <w:rsid w:val="0031362E"/>
    <w:rsid w:val="00313656"/>
    <w:rsid w:val="003136CB"/>
    <w:rsid w:val="0031371A"/>
    <w:rsid w:val="00313725"/>
    <w:rsid w:val="00313735"/>
    <w:rsid w:val="0031380A"/>
    <w:rsid w:val="00313A3D"/>
    <w:rsid w:val="00313AD0"/>
    <w:rsid w:val="00313AF5"/>
    <w:rsid w:val="00313B36"/>
    <w:rsid w:val="00313BDA"/>
    <w:rsid w:val="00313C56"/>
    <w:rsid w:val="00313CA2"/>
    <w:rsid w:val="00313CC0"/>
    <w:rsid w:val="00313CDF"/>
    <w:rsid w:val="00313CF9"/>
    <w:rsid w:val="00313DD4"/>
    <w:rsid w:val="00313DED"/>
    <w:rsid w:val="00313EF4"/>
    <w:rsid w:val="00313F61"/>
    <w:rsid w:val="00314087"/>
    <w:rsid w:val="00314127"/>
    <w:rsid w:val="00314134"/>
    <w:rsid w:val="003141C4"/>
    <w:rsid w:val="00314263"/>
    <w:rsid w:val="0031432E"/>
    <w:rsid w:val="0031439C"/>
    <w:rsid w:val="003143CE"/>
    <w:rsid w:val="0031448A"/>
    <w:rsid w:val="003144BF"/>
    <w:rsid w:val="0031453C"/>
    <w:rsid w:val="003145A7"/>
    <w:rsid w:val="00314622"/>
    <w:rsid w:val="003146F6"/>
    <w:rsid w:val="0031475C"/>
    <w:rsid w:val="00314780"/>
    <w:rsid w:val="003147F8"/>
    <w:rsid w:val="0031494D"/>
    <w:rsid w:val="003149BF"/>
    <w:rsid w:val="00314A04"/>
    <w:rsid w:val="00314A2F"/>
    <w:rsid w:val="00314A70"/>
    <w:rsid w:val="00314A81"/>
    <w:rsid w:val="00314B74"/>
    <w:rsid w:val="00314B76"/>
    <w:rsid w:val="00314BC8"/>
    <w:rsid w:val="00314BEB"/>
    <w:rsid w:val="00314C06"/>
    <w:rsid w:val="00314C07"/>
    <w:rsid w:val="00314CC8"/>
    <w:rsid w:val="00314CC9"/>
    <w:rsid w:val="00314CDA"/>
    <w:rsid w:val="00314D55"/>
    <w:rsid w:val="00314D87"/>
    <w:rsid w:val="00314E08"/>
    <w:rsid w:val="00314E74"/>
    <w:rsid w:val="00314EC0"/>
    <w:rsid w:val="00314EC2"/>
    <w:rsid w:val="00314F5F"/>
    <w:rsid w:val="00314F88"/>
    <w:rsid w:val="00314FD5"/>
    <w:rsid w:val="003150C9"/>
    <w:rsid w:val="0031517F"/>
    <w:rsid w:val="003151FC"/>
    <w:rsid w:val="00315261"/>
    <w:rsid w:val="00315275"/>
    <w:rsid w:val="00315389"/>
    <w:rsid w:val="003153AE"/>
    <w:rsid w:val="003153AF"/>
    <w:rsid w:val="0031549E"/>
    <w:rsid w:val="003155B1"/>
    <w:rsid w:val="003156F8"/>
    <w:rsid w:val="003157D1"/>
    <w:rsid w:val="003157F9"/>
    <w:rsid w:val="00315981"/>
    <w:rsid w:val="00315990"/>
    <w:rsid w:val="00315A9C"/>
    <w:rsid w:val="00315B3D"/>
    <w:rsid w:val="00315CAF"/>
    <w:rsid w:val="00315D77"/>
    <w:rsid w:val="00315E42"/>
    <w:rsid w:val="00315F66"/>
    <w:rsid w:val="0031600D"/>
    <w:rsid w:val="0031612F"/>
    <w:rsid w:val="00316275"/>
    <w:rsid w:val="00316287"/>
    <w:rsid w:val="003162BE"/>
    <w:rsid w:val="003162F6"/>
    <w:rsid w:val="00316310"/>
    <w:rsid w:val="00316356"/>
    <w:rsid w:val="003163FE"/>
    <w:rsid w:val="00316471"/>
    <w:rsid w:val="00316481"/>
    <w:rsid w:val="00316494"/>
    <w:rsid w:val="003164BF"/>
    <w:rsid w:val="003164CA"/>
    <w:rsid w:val="00316661"/>
    <w:rsid w:val="0031667F"/>
    <w:rsid w:val="003166A7"/>
    <w:rsid w:val="003166C3"/>
    <w:rsid w:val="003166D9"/>
    <w:rsid w:val="003166FD"/>
    <w:rsid w:val="00316770"/>
    <w:rsid w:val="003167DF"/>
    <w:rsid w:val="00316818"/>
    <w:rsid w:val="00316912"/>
    <w:rsid w:val="00316915"/>
    <w:rsid w:val="00316921"/>
    <w:rsid w:val="00316A07"/>
    <w:rsid w:val="00316AF1"/>
    <w:rsid w:val="00316AFF"/>
    <w:rsid w:val="00316B84"/>
    <w:rsid w:val="00316B98"/>
    <w:rsid w:val="00316CBA"/>
    <w:rsid w:val="00316D4F"/>
    <w:rsid w:val="00316D65"/>
    <w:rsid w:val="00316E43"/>
    <w:rsid w:val="00316E89"/>
    <w:rsid w:val="00316F1B"/>
    <w:rsid w:val="00316F57"/>
    <w:rsid w:val="00316FC2"/>
    <w:rsid w:val="00316FF2"/>
    <w:rsid w:val="0031709B"/>
    <w:rsid w:val="003170B4"/>
    <w:rsid w:val="00317129"/>
    <w:rsid w:val="00317135"/>
    <w:rsid w:val="00317149"/>
    <w:rsid w:val="00317151"/>
    <w:rsid w:val="003171FA"/>
    <w:rsid w:val="0031722C"/>
    <w:rsid w:val="0031723B"/>
    <w:rsid w:val="003172E7"/>
    <w:rsid w:val="00317426"/>
    <w:rsid w:val="0031744B"/>
    <w:rsid w:val="003174B5"/>
    <w:rsid w:val="003174FB"/>
    <w:rsid w:val="00317540"/>
    <w:rsid w:val="003175F5"/>
    <w:rsid w:val="0031763E"/>
    <w:rsid w:val="0031770B"/>
    <w:rsid w:val="0031778F"/>
    <w:rsid w:val="003177D9"/>
    <w:rsid w:val="00317811"/>
    <w:rsid w:val="003178E7"/>
    <w:rsid w:val="003178F6"/>
    <w:rsid w:val="0031792B"/>
    <w:rsid w:val="003179B1"/>
    <w:rsid w:val="003179BC"/>
    <w:rsid w:val="00317A30"/>
    <w:rsid w:val="00317AA5"/>
    <w:rsid w:val="00317AB4"/>
    <w:rsid w:val="00317AE7"/>
    <w:rsid w:val="00317B37"/>
    <w:rsid w:val="00317B7F"/>
    <w:rsid w:val="00317B91"/>
    <w:rsid w:val="00317B9F"/>
    <w:rsid w:val="00317BB7"/>
    <w:rsid w:val="00317BF3"/>
    <w:rsid w:val="00317CE0"/>
    <w:rsid w:val="00320079"/>
    <w:rsid w:val="003200BE"/>
    <w:rsid w:val="00320150"/>
    <w:rsid w:val="0032016F"/>
    <w:rsid w:val="0032017F"/>
    <w:rsid w:val="003201A1"/>
    <w:rsid w:val="0032023B"/>
    <w:rsid w:val="00320256"/>
    <w:rsid w:val="003202EA"/>
    <w:rsid w:val="00320381"/>
    <w:rsid w:val="00320515"/>
    <w:rsid w:val="00320723"/>
    <w:rsid w:val="00320793"/>
    <w:rsid w:val="00320838"/>
    <w:rsid w:val="003208E1"/>
    <w:rsid w:val="003209FC"/>
    <w:rsid w:val="00320A70"/>
    <w:rsid w:val="00320A8F"/>
    <w:rsid w:val="00320A90"/>
    <w:rsid w:val="00320ADC"/>
    <w:rsid w:val="00320AFB"/>
    <w:rsid w:val="00320B18"/>
    <w:rsid w:val="00320B87"/>
    <w:rsid w:val="00320D9A"/>
    <w:rsid w:val="00320DA6"/>
    <w:rsid w:val="00320E27"/>
    <w:rsid w:val="00320EB6"/>
    <w:rsid w:val="0032117D"/>
    <w:rsid w:val="003211A6"/>
    <w:rsid w:val="0032120E"/>
    <w:rsid w:val="00321221"/>
    <w:rsid w:val="00321238"/>
    <w:rsid w:val="00321248"/>
    <w:rsid w:val="00321477"/>
    <w:rsid w:val="0032149C"/>
    <w:rsid w:val="003214C3"/>
    <w:rsid w:val="0032155F"/>
    <w:rsid w:val="0032159B"/>
    <w:rsid w:val="003215A6"/>
    <w:rsid w:val="003215B5"/>
    <w:rsid w:val="0032194F"/>
    <w:rsid w:val="0032198E"/>
    <w:rsid w:val="00321A03"/>
    <w:rsid w:val="00321AE2"/>
    <w:rsid w:val="00321B46"/>
    <w:rsid w:val="00321B78"/>
    <w:rsid w:val="00321BA7"/>
    <w:rsid w:val="00321D82"/>
    <w:rsid w:val="00321E82"/>
    <w:rsid w:val="00321EDB"/>
    <w:rsid w:val="00321FEE"/>
    <w:rsid w:val="0032209A"/>
    <w:rsid w:val="00322189"/>
    <w:rsid w:val="003221BA"/>
    <w:rsid w:val="003221CF"/>
    <w:rsid w:val="0032232D"/>
    <w:rsid w:val="00322333"/>
    <w:rsid w:val="0032233B"/>
    <w:rsid w:val="00322399"/>
    <w:rsid w:val="003223B1"/>
    <w:rsid w:val="003223B8"/>
    <w:rsid w:val="003223C0"/>
    <w:rsid w:val="0032240A"/>
    <w:rsid w:val="0032245C"/>
    <w:rsid w:val="00322541"/>
    <w:rsid w:val="003225DF"/>
    <w:rsid w:val="003225E4"/>
    <w:rsid w:val="00322632"/>
    <w:rsid w:val="003226F6"/>
    <w:rsid w:val="003228BA"/>
    <w:rsid w:val="003228ED"/>
    <w:rsid w:val="00322A4F"/>
    <w:rsid w:val="00322B17"/>
    <w:rsid w:val="00322B9C"/>
    <w:rsid w:val="00322C71"/>
    <w:rsid w:val="00322D61"/>
    <w:rsid w:val="00322D62"/>
    <w:rsid w:val="00322D9A"/>
    <w:rsid w:val="00322DC3"/>
    <w:rsid w:val="00322DCF"/>
    <w:rsid w:val="00322E12"/>
    <w:rsid w:val="00322E20"/>
    <w:rsid w:val="00322E30"/>
    <w:rsid w:val="00322E8A"/>
    <w:rsid w:val="00322F28"/>
    <w:rsid w:val="00322F7E"/>
    <w:rsid w:val="003230CD"/>
    <w:rsid w:val="003230DF"/>
    <w:rsid w:val="00323101"/>
    <w:rsid w:val="00323155"/>
    <w:rsid w:val="0032316F"/>
    <w:rsid w:val="0032325E"/>
    <w:rsid w:val="00323277"/>
    <w:rsid w:val="00323279"/>
    <w:rsid w:val="003232C5"/>
    <w:rsid w:val="003233AB"/>
    <w:rsid w:val="0032343C"/>
    <w:rsid w:val="00323524"/>
    <w:rsid w:val="00323573"/>
    <w:rsid w:val="00323642"/>
    <w:rsid w:val="003236E5"/>
    <w:rsid w:val="003238CA"/>
    <w:rsid w:val="0032394D"/>
    <w:rsid w:val="003239AB"/>
    <w:rsid w:val="00323A41"/>
    <w:rsid w:val="00323AC9"/>
    <w:rsid w:val="00323D19"/>
    <w:rsid w:val="00323D9D"/>
    <w:rsid w:val="00323DAE"/>
    <w:rsid w:val="00323EB6"/>
    <w:rsid w:val="00323F0A"/>
    <w:rsid w:val="00324041"/>
    <w:rsid w:val="0032409C"/>
    <w:rsid w:val="003240A2"/>
    <w:rsid w:val="003241A2"/>
    <w:rsid w:val="003241B2"/>
    <w:rsid w:val="00324209"/>
    <w:rsid w:val="00324236"/>
    <w:rsid w:val="00324261"/>
    <w:rsid w:val="003242AA"/>
    <w:rsid w:val="0032430F"/>
    <w:rsid w:val="003245A4"/>
    <w:rsid w:val="003245B5"/>
    <w:rsid w:val="00324637"/>
    <w:rsid w:val="003246A4"/>
    <w:rsid w:val="00324761"/>
    <w:rsid w:val="0032484D"/>
    <w:rsid w:val="00324895"/>
    <w:rsid w:val="003248AF"/>
    <w:rsid w:val="003248CF"/>
    <w:rsid w:val="0032494C"/>
    <w:rsid w:val="00324984"/>
    <w:rsid w:val="00324A31"/>
    <w:rsid w:val="00324A7E"/>
    <w:rsid w:val="00324AAB"/>
    <w:rsid w:val="00324B19"/>
    <w:rsid w:val="00324BE6"/>
    <w:rsid w:val="00324C73"/>
    <w:rsid w:val="00324CBC"/>
    <w:rsid w:val="00324DAD"/>
    <w:rsid w:val="00324E12"/>
    <w:rsid w:val="00324EAF"/>
    <w:rsid w:val="00324EE1"/>
    <w:rsid w:val="00324F3B"/>
    <w:rsid w:val="00324F8E"/>
    <w:rsid w:val="00325015"/>
    <w:rsid w:val="0032505B"/>
    <w:rsid w:val="0032505D"/>
    <w:rsid w:val="00325099"/>
    <w:rsid w:val="003250CC"/>
    <w:rsid w:val="003250F3"/>
    <w:rsid w:val="003251B1"/>
    <w:rsid w:val="003251FE"/>
    <w:rsid w:val="00325289"/>
    <w:rsid w:val="00325379"/>
    <w:rsid w:val="003253AA"/>
    <w:rsid w:val="0032550C"/>
    <w:rsid w:val="00325514"/>
    <w:rsid w:val="003255D2"/>
    <w:rsid w:val="003255E5"/>
    <w:rsid w:val="0032564E"/>
    <w:rsid w:val="003256C8"/>
    <w:rsid w:val="00325717"/>
    <w:rsid w:val="0032578A"/>
    <w:rsid w:val="00325799"/>
    <w:rsid w:val="0032585B"/>
    <w:rsid w:val="003258F4"/>
    <w:rsid w:val="0032590B"/>
    <w:rsid w:val="00325940"/>
    <w:rsid w:val="00325950"/>
    <w:rsid w:val="00325A3D"/>
    <w:rsid w:val="00325A54"/>
    <w:rsid w:val="00325A6B"/>
    <w:rsid w:val="00325ADC"/>
    <w:rsid w:val="00325AE7"/>
    <w:rsid w:val="00325BB3"/>
    <w:rsid w:val="00325BEE"/>
    <w:rsid w:val="00325C67"/>
    <w:rsid w:val="00325C72"/>
    <w:rsid w:val="00325E24"/>
    <w:rsid w:val="00325E3C"/>
    <w:rsid w:val="00325EC3"/>
    <w:rsid w:val="00325EE4"/>
    <w:rsid w:val="00325F51"/>
    <w:rsid w:val="00325F5E"/>
    <w:rsid w:val="00325F62"/>
    <w:rsid w:val="0032601D"/>
    <w:rsid w:val="0032602A"/>
    <w:rsid w:val="0032602D"/>
    <w:rsid w:val="0032607B"/>
    <w:rsid w:val="00326199"/>
    <w:rsid w:val="003261C7"/>
    <w:rsid w:val="00326207"/>
    <w:rsid w:val="0032620B"/>
    <w:rsid w:val="003262BF"/>
    <w:rsid w:val="00326393"/>
    <w:rsid w:val="003263FB"/>
    <w:rsid w:val="0032640C"/>
    <w:rsid w:val="0032643E"/>
    <w:rsid w:val="0032647A"/>
    <w:rsid w:val="003264F6"/>
    <w:rsid w:val="0032650C"/>
    <w:rsid w:val="00326635"/>
    <w:rsid w:val="003266C6"/>
    <w:rsid w:val="003266D8"/>
    <w:rsid w:val="003267FF"/>
    <w:rsid w:val="00326812"/>
    <w:rsid w:val="003268A8"/>
    <w:rsid w:val="003268AA"/>
    <w:rsid w:val="0032694D"/>
    <w:rsid w:val="00326BC6"/>
    <w:rsid w:val="00326C13"/>
    <w:rsid w:val="00326C84"/>
    <w:rsid w:val="00326C8F"/>
    <w:rsid w:val="00326CFD"/>
    <w:rsid w:val="00326D20"/>
    <w:rsid w:val="00326D76"/>
    <w:rsid w:val="00326E06"/>
    <w:rsid w:val="00326FC8"/>
    <w:rsid w:val="003270BE"/>
    <w:rsid w:val="003270EE"/>
    <w:rsid w:val="003270FD"/>
    <w:rsid w:val="00327269"/>
    <w:rsid w:val="00327283"/>
    <w:rsid w:val="003272BE"/>
    <w:rsid w:val="00327322"/>
    <w:rsid w:val="0032734C"/>
    <w:rsid w:val="00327371"/>
    <w:rsid w:val="003273B6"/>
    <w:rsid w:val="003273C9"/>
    <w:rsid w:val="003273E7"/>
    <w:rsid w:val="003273FD"/>
    <w:rsid w:val="0032743E"/>
    <w:rsid w:val="0032758D"/>
    <w:rsid w:val="00327665"/>
    <w:rsid w:val="0032780A"/>
    <w:rsid w:val="00327813"/>
    <w:rsid w:val="0032792A"/>
    <w:rsid w:val="0032795C"/>
    <w:rsid w:val="00327B30"/>
    <w:rsid w:val="00327CE7"/>
    <w:rsid w:val="00327D0C"/>
    <w:rsid w:val="00327D5C"/>
    <w:rsid w:val="00327DEE"/>
    <w:rsid w:val="00327E7F"/>
    <w:rsid w:val="00327F78"/>
    <w:rsid w:val="00327FDE"/>
    <w:rsid w:val="00330326"/>
    <w:rsid w:val="0033035B"/>
    <w:rsid w:val="0033035D"/>
    <w:rsid w:val="0033036E"/>
    <w:rsid w:val="003303BC"/>
    <w:rsid w:val="00330440"/>
    <w:rsid w:val="00330595"/>
    <w:rsid w:val="00330674"/>
    <w:rsid w:val="00330692"/>
    <w:rsid w:val="003306C0"/>
    <w:rsid w:val="003306CD"/>
    <w:rsid w:val="00330795"/>
    <w:rsid w:val="003307B2"/>
    <w:rsid w:val="00330855"/>
    <w:rsid w:val="00330985"/>
    <w:rsid w:val="00330A10"/>
    <w:rsid w:val="00330B46"/>
    <w:rsid w:val="00330B94"/>
    <w:rsid w:val="00330BCE"/>
    <w:rsid w:val="00330C77"/>
    <w:rsid w:val="00330C79"/>
    <w:rsid w:val="00330CB5"/>
    <w:rsid w:val="00330DE1"/>
    <w:rsid w:val="00330E0C"/>
    <w:rsid w:val="00330F16"/>
    <w:rsid w:val="00330F62"/>
    <w:rsid w:val="0033109D"/>
    <w:rsid w:val="00331108"/>
    <w:rsid w:val="00331133"/>
    <w:rsid w:val="00331208"/>
    <w:rsid w:val="00331242"/>
    <w:rsid w:val="00331274"/>
    <w:rsid w:val="00331381"/>
    <w:rsid w:val="00331403"/>
    <w:rsid w:val="00331418"/>
    <w:rsid w:val="0033146B"/>
    <w:rsid w:val="00331558"/>
    <w:rsid w:val="00331579"/>
    <w:rsid w:val="00331689"/>
    <w:rsid w:val="003316EB"/>
    <w:rsid w:val="00331715"/>
    <w:rsid w:val="00331819"/>
    <w:rsid w:val="00331828"/>
    <w:rsid w:val="00331860"/>
    <w:rsid w:val="00331941"/>
    <w:rsid w:val="0033194C"/>
    <w:rsid w:val="00331A4E"/>
    <w:rsid w:val="00331B40"/>
    <w:rsid w:val="00331B9B"/>
    <w:rsid w:val="00331C64"/>
    <w:rsid w:val="00331D2D"/>
    <w:rsid w:val="00331DE4"/>
    <w:rsid w:val="00331E88"/>
    <w:rsid w:val="00331EC7"/>
    <w:rsid w:val="00331EFF"/>
    <w:rsid w:val="00331F13"/>
    <w:rsid w:val="00331F6D"/>
    <w:rsid w:val="00331FA1"/>
    <w:rsid w:val="00331FAC"/>
    <w:rsid w:val="00331FDC"/>
    <w:rsid w:val="00332003"/>
    <w:rsid w:val="0033206A"/>
    <w:rsid w:val="0033226B"/>
    <w:rsid w:val="00332270"/>
    <w:rsid w:val="00332277"/>
    <w:rsid w:val="0033229F"/>
    <w:rsid w:val="003322AB"/>
    <w:rsid w:val="003322AF"/>
    <w:rsid w:val="003323DA"/>
    <w:rsid w:val="0033241B"/>
    <w:rsid w:val="0033241F"/>
    <w:rsid w:val="0033242A"/>
    <w:rsid w:val="003324DA"/>
    <w:rsid w:val="003324FF"/>
    <w:rsid w:val="00332525"/>
    <w:rsid w:val="0033252B"/>
    <w:rsid w:val="00332542"/>
    <w:rsid w:val="00332621"/>
    <w:rsid w:val="00332655"/>
    <w:rsid w:val="003328BF"/>
    <w:rsid w:val="003328E8"/>
    <w:rsid w:val="00332B7F"/>
    <w:rsid w:val="00332C3E"/>
    <w:rsid w:val="00332CB2"/>
    <w:rsid w:val="00332D73"/>
    <w:rsid w:val="00332DA5"/>
    <w:rsid w:val="00332EC1"/>
    <w:rsid w:val="00332F2D"/>
    <w:rsid w:val="00333017"/>
    <w:rsid w:val="00333024"/>
    <w:rsid w:val="00333062"/>
    <w:rsid w:val="003330CB"/>
    <w:rsid w:val="0033313E"/>
    <w:rsid w:val="0033318F"/>
    <w:rsid w:val="003331FE"/>
    <w:rsid w:val="00333201"/>
    <w:rsid w:val="00333212"/>
    <w:rsid w:val="00333278"/>
    <w:rsid w:val="003332A4"/>
    <w:rsid w:val="003332BA"/>
    <w:rsid w:val="003332D2"/>
    <w:rsid w:val="0033332F"/>
    <w:rsid w:val="00333403"/>
    <w:rsid w:val="0033341C"/>
    <w:rsid w:val="0033344A"/>
    <w:rsid w:val="00333465"/>
    <w:rsid w:val="0033349F"/>
    <w:rsid w:val="003334BC"/>
    <w:rsid w:val="003334F0"/>
    <w:rsid w:val="00333539"/>
    <w:rsid w:val="00333551"/>
    <w:rsid w:val="0033359B"/>
    <w:rsid w:val="003335A7"/>
    <w:rsid w:val="00333725"/>
    <w:rsid w:val="0033374B"/>
    <w:rsid w:val="00333779"/>
    <w:rsid w:val="00333803"/>
    <w:rsid w:val="0033381E"/>
    <w:rsid w:val="003338C1"/>
    <w:rsid w:val="00333915"/>
    <w:rsid w:val="00333926"/>
    <w:rsid w:val="00333949"/>
    <w:rsid w:val="0033394D"/>
    <w:rsid w:val="00333957"/>
    <w:rsid w:val="003339B5"/>
    <w:rsid w:val="003339C3"/>
    <w:rsid w:val="00333A5E"/>
    <w:rsid w:val="00333A8D"/>
    <w:rsid w:val="00333B22"/>
    <w:rsid w:val="00333BEA"/>
    <w:rsid w:val="00333CCC"/>
    <w:rsid w:val="00333D70"/>
    <w:rsid w:val="00333DFE"/>
    <w:rsid w:val="00333EB2"/>
    <w:rsid w:val="00333EBC"/>
    <w:rsid w:val="00333F51"/>
    <w:rsid w:val="0033407E"/>
    <w:rsid w:val="00334144"/>
    <w:rsid w:val="00334156"/>
    <w:rsid w:val="00334192"/>
    <w:rsid w:val="0033420F"/>
    <w:rsid w:val="0033429A"/>
    <w:rsid w:val="003343F2"/>
    <w:rsid w:val="00334458"/>
    <w:rsid w:val="003344DB"/>
    <w:rsid w:val="00334538"/>
    <w:rsid w:val="00334564"/>
    <w:rsid w:val="00334573"/>
    <w:rsid w:val="003345AD"/>
    <w:rsid w:val="003345C6"/>
    <w:rsid w:val="00334622"/>
    <w:rsid w:val="00334677"/>
    <w:rsid w:val="003346C5"/>
    <w:rsid w:val="00334725"/>
    <w:rsid w:val="00334899"/>
    <w:rsid w:val="00334A05"/>
    <w:rsid w:val="00334A0D"/>
    <w:rsid w:val="00334AEA"/>
    <w:rsid w:val="00334B68"/>
    <w:rsid w:val="00334C13"/>
    <w:rsid w:val="00334C53"/>
    <w:rsid w:val="00334C88"/>
    <w:rsid w:val="00334C9E"/>
    <w:rsid w:val="00334CB7"/>
    <w:rsid w:val="00334CEE"/>
    <w:rsid w:val="00334CFE"/>
    <w:rsid w:val="00334DAC"/>
    <w:rsid w:val="00334E69"/>
    <w:rsid w:val="00334ECD"/>
    <w:rsid w:val="00334F28"/>
    <w:rsid w:val="00334FEA"/>
    <w:rsid w:val="003350BB"/>
    <w:rsid w:val="003350FE"/>
    <w:rsid w:val="00335109"/>
    <w:rsid w:val="003351D9"/>
    <w:rsid w:val="00335254"/>
    <w:rsid w:val="003352A3"/>
    <w:rsid w:val="003352BC"/>
    <w:rsid w:val="00335358"/>
    <w:rsid w:val="003353CD"/>
    <w:rsid w:val="003353DB"/>
    <w:rsid w:val="003354E9"/>
    <w:rsid w:val="00335542"/>
    <w:rsid w:val="00335614"/>
    <w:rsid w:val="003356FB"/>
    <w:rsid w:val="0033575A"/>
    <w:rsid w:val="003357B1"/>
    <w:rsid w:val="003357B8"/>
    <w:rsid w:val="00335895"/>
    <w:rsid w:val="003358F2"/>
    <w:rsid w:val="00335920"/>
    <w:rsid w:val="00335952"/>
    <w:rsid w:val="003359B1"/>
    <w:rsid w:val="003359F4"/>
    <w:rsid w:val="00335A22"/>
    <w:rsid w:val="00335A6D"/>
    <w:rsid w:val="00335B57"/>
    <w:rsid w:val="00335B7C"/>
    <w:rsid w:val="00335B96"/>
    <w:rsid w:val="00335CAD"/>
    <w:rsid w:val="00335CB4"/>
    <w:rsid w:val="00335CE7"/>
    <w:rsid w:val="00335D0B"/>
    <w:rsid w:val="00335D4E"/>
    <w:rsid w:val="00335D54"/>
    <w:rsid w:val="00335DAB"/>
    <w:rsid w:val="00335E29"/>
    <w:rsid w:val="00335EE6"/>
    <w:rsid w:val="00335EF0"/>
    <w:rsid w:val="00336022"/>
    <w:rsid w:val="003361EC"/>
    <w:rsid w:val="003361FB"/>
    <w:rsid w:val="00336268"/>
    <w:rsid w:val="003362E3"/>
    <w:rsid w:val="0033637F"/>
    <w:rsid w:val="00336385"/>
    <w:rsid w:val="00336398"/>
    <w:rsid w:val="003364AD"/>
    <w:rsid w:val="003364D4"/>
    <w:rsid w:val="0033659D"/>
    <w:rsid w:val="003365FC"/>
    <w:rsid w:val="00336625"/>
    <w:rsid w:val="0033679F"/>
    <w:rsid w:val="00336926"/>
    <w:rsid w:val="0033695A"/>
    <w:rsid w:val="00336B1E"/>
    <w:rsid w:val="00336B59"/>
    <w:rsid w:val="00336D09"/>
    <w:rsid w:val="00336DA8"/>
    <w:rsid w:val="00336E2B"/>
    <w:rsid w:val="00336F32"/>
    <w:rsid w:val="003370C9"/>
    <w:rsid w:val="00337157"/>
    <w:rsid w:val="0033717D"/>
    <w:rsid w:val="003371EE"/>
    <w:rsid w:val="003372A9"/>
    <w:rsid w:val="003373C0"/>
    <w:rsid w:val="003373C2"/>
    <w:rsid w:val="00337437"/>
    <w:rsid w:val="0033748D"/>
    <w:rsid w:val="00337567"/>
    <w:rsid w:val="00337630"/>
    <w:rsid w:val="00337707"/>
    <w:rsid w:val="0033779A"/>
    <w:rsid w:val="003377BD"/>
    <w:rsid w:val="003377C1"/>
    <w:rsid w:val="00337964"/>
    <w:rsid w:val="00337982"/>
    <w:rsid w:val="00337986"/>
    <w:rsid w:val="003379D1"/>
    <w:rsid w:val="003379F4"/>
    <w:rsid w:val="003379FC"/>
    <w:rsid w:val="00337A05"/>
    <w:rsid w:val="00337AD5"/>
    <w:rsid w:val="00337B91"/>
    <w:rsid w:val="00337CAD"/>
    <w:rsid w:val="00337CE3"/>
    <w:rsid w:val="00337E26"/>
    <w:rsid w:val="00337E39"/>
    <w:rsid w:val="00337E67"/>
    <w:rsid w:val="00337E80"/>
    <w:rsid w:val="00340091"/>
    <w:rsid w:val="003400F6"/>
    <w:rsid w:val="00340102"/>
    <w:rsid w:val="003401A7"/>
    <w:rsid w:val="003401C8"/>
    <w:rsid w:val="00340439"/>
    <w:rsid w:val="0034045A"/>
    <w:rsid w:val="0034045F"/>
    <w:rsid w:val="003404D3"/>
    <w:rsid w:val="0034051A"/>
    <w:rsid w:val="00340594"/>
    <w:rsid w:val="003405F1"/>
    <w:rsid w:val="00340645"/>
    <w:rsid w:val="0034064A"/>
    <w:rsid w:val="00340676"/>
    <w:rsid w:val="00340699"/>
    <w:rsid w:val="003406B2"/>
    <w:rsid w:val="003406CF"/>
    <w:rsid w:val="003406FA"/>
    <w:rsid w:val="00340799"/>
    <w:rsid w:val="003409AD"/>
    <w:rsid w:val="00340A2E"/>
    <w:rsid w:val="00340B21"/>
    <w:rsid w:val="00340B60"/>
    <w:rsid w:val="00340BFD"/>
    <w:rsid w:val="00340C1E"/>
    <w:rsid w:val="00340CB0"/>
    <w:rsid w:val="00340D2A"/>
    <w:rsid w:val="00340E26"/>
    <w:rsid w:val="00340E2A"/>
    <w:rsid w:val="00340E33"/>
    <w:rsid w:val="00340E36"/>
    <w:rsid w:val="00340EB1"/>
    <w:rsid w:val="00340FDF"/>
    <w:rsid w:val="00341015"/>
    <w:rsid w:val="00341048"/>
    <w:rsid w:val="0034112E"/>
    <w:rsid w:val="00341183"/>
    <w:rsid w:val="0034118A"/>
    <w:rsid w:val="0034118E"/>
    <w:rsid w:val="003411AB"/>
    <w:rsid w:val="003411E4"/>
    <w:rsid w:val="00341259"/>
    <w:rsid w:val="00341297"/>
    <w:rsid w:val="003412E4"/>
    <w:rsid w:val="00341528"/>
    <w:rsid w:val="00341582"/>
    <w:rsid w:val="00341606"/>
    <w:rsid w:val="00341727"/>
    <w:rsid w:val="00341773"/>
    <w:rsid w:val="0034181E"/>
    <w:rsid w:val="00341849"/>
    <w:rsid w:val="00341871"/>
    <w:rsid w:val="00341889"/>
    <w:rsid w:val="003418B8"/>
    <w:rsid w:val="003418E4"/>
    <w:rsid w:val="00341908"/>
    <w:rsid w:val="003419F0"/>
    <w:rsid w:val="00341AA6"/>
    <w:rsid w:val="00341B11"/>
    <w:rsid w:val="00341B55"/>
    <w:rsid w:val="00341BA0"/>
    <w:rsid w:val="00341C9A"/>
    <w:rsid w:val="00341CAB"/>
    <w:rsid w:val="00341CDC"/>
    <w:rsid w:val="00341CE4"/>
    <w:rsid w:val="00341CFD"/>
    <w:rsid w:val="00341EB2"/>
    <w:rsid w:val="00341ECD"/>
    <w:rsid w:val="00341ED2"/>
    <w:rsid w:val="00341ED6"/>
    <w:rsid w:val="00341F76"/>
    <w:rsid w:val="00341F8A"/>
    <w:rsid w:val="00342065"/>
    <w:rsid w:val="0034206C"/>
    <w:rsid w:val="00342081"/>
    <w:rsid w:val="00342103"/>
    <w:rsid w:val="0034217C"/>
    <w:rsid w:val="00342347"/>
    <w:rsid w:val="003423AE"/>
    <w:rsid w:val="003423BC"/>
    <w:rsid w:val="00342492"/>
    <w:rsid w:val="003424A1"/>
    <w:rsid w:val="0034252B"/>
    <w:rsid w:val="0034254E"/>
    <w:rsid w:val="00342573"/>
    <w:rsid w:val="003425E0"/>
    <w:rsid w:val="00342684"/>
    <w:rsid w:val="00342822"/>
    <w:rsid w:val="0034286A"/>
    <w:rsid w:val="003428AF"/>
    <w:rsid w:val="0034290A"/>
    <w:rsid w:val="00342952"/>
    <w:rsid w:val="00342B10"/>
    <w:rsid w:val="00342B47"/>
    <w:rsid w:val="00342B67"/>
    <w:rsid w:val="00342B6F"/>
    <w:rsid w:val="00342BCC"/>
    <w:rsid w:val="00342BDA"/>
    <w:rsid w:val="00342CA7"/>
    <w:rsid w:val="00342CAA"/>
    <w:rsid w:val="00342CF1"/>
    <w:rsid w:val="00342E02"/>
    <w:rsid w:val="00342FAB"/>
    <w:rsid w:val="00343039"/>
    <w:rsid w:val="00343171"/>
    <w:rsid w:val="0034321A"/>
    <w:rsid w:val="00343296"/>
    <w:rsid w:val="003432D6"/>
    <w:rsid w:val="0034339B"/>
    <w:rsid w:val="003433BE"/>
    <w:rsid w:val="003433C4"/>
    <w:rsid w:val="0034359D"/>
    <w:rsid w:val="00343667"/>
    <w:rsid w:val="00343693"/>
    <w:rsid w:val="003436A5"/>
    <w:rsid w:val="003436DF"/>
    <w:rsid w:val="00343752"/>
    <w:rsid w:val="003437A9"/>
    <w:rsid w:val="003437AA"/>
    <w:rsid w:val="003437D4"/>
    <w:rsid w:val="003438E4"/>
    <w:rsid w:val="00343904"/>
    <w:rsid w:val="0034390C"/>
    <w:rsid w:val="003439DF"/>
    <w:rsid w:val="00343A0B"/>
    <w:rsid w:val="00343BAC"/>
    <w:rsid w:val="00343C5C"/>
    <w:rsid w:val="00343D4A"/>
    <w:rsid w:val="00343D6B"/>
    <w:rsid w:val="00343DD1"/>
    <w:rsid w:val="00343E3F"/>
    <w:rsid w:val="00343EF2"/>
    <w:rsid w:val="00343FB7"/>
    <w:rsid w:val="0034405D"/>
    <w:rsid w:val="003440DF"/>
    <w:rsid w:val="0034410E"/>
    <w:rsid w:val="0034413E"/>
    <w:rsid w:val="00344274"/>
    <w:rsid w:val="003442CD"/>
    <w:rsid w:val="0034430B"/>
    <w:rsid w:val="00344328"/>
    <w:rsid w:val="0034444E"/>
    <w:rsid w:val="00344457"/>
    <w:rsid w:val="00344494"/>
    <w:rsid w:val="00344521"/>
    <w:rsid w:val="0034458E"/>
    <w:rsid w:val="003445C2"/>
    <w:rsid w:val="003445EC"/>
    <w:rsid w:val="003445F2"/>
    <w:rsid w:val="00344805"/>
    <w:rsid w:val="00344890"/>
    <w:rsid w:val="003448E8"/>
    <w:rsid w:val="0034498B"/>
    <w:rsid w:val="003449CF"/>
    <w:rsid w:val="00344A10"/>
    <w:rsid w:val="00344A33"/>
    <w:rsid w:val="00344AC2"/>
    <w:rsid w:val="00344B6B"/>
    <w:rsid w:val="00344B7D"/>
    <w:rsid w:val="00344BA3"/>
    <w:rsid w:val="00344CAF"/>
    <w:rsid w:val="00344D96"/>
    <w:rsid w:val="00344E1A"/>
    <w:rsid w:val="00344E7F"/>
    <w:rsid w:val="00344F8E"/>
    <w:rsid w:val="00344FD1"/>
    <w:rsid w:val="00344FE8"/>
    <w:rsid w:val="00344FE9"/>
    <w:rsid w:val="00345006"/>
    <w:rsid w:val="00345062"/>
    <w:rsid w:val="00345170"/>
    <w:rsid w:val="00345192"/>
    <w:rsid w:val="00345238"/>
    <w:rsid w:val="0034525A"/>
    <w:rsid w:val="00345266"/>
    <w:rsid w:val="0034528C"/>
    <w:rsid w:val="003452A0"/>
    <w:rsid w:val="00345323"/>
    <w:rsid w:val="003454FF"/>
    <w:rsid w:val="003455BE"/>
    <w:rsid w:val="003455DD"/>
    <w:rsid w:val="00345611"/>
    <w:rsid w:val="0034564A"/>
    <w:rsid w:val="003456DF"/>
    <w:rsid w:val="00345709"/>
    <w:rsid w:val="00345804"/>
    <w:rsid w:val="0034580D"/>
    <w:rsid w:val="00345814"/>
    <w:rsid w:val="003458BB"/>
    <w:rsid w:val="003458CD"/>
    <w:rsid w:val="00345915"/>
    <w:rsid w:val="00345988"/>
    <w:rsid w:val="003459CF"/>
    <w:rsid w:val="003459E3"/>
    <w:rsid w:val="00345AC9"/>
    <w:rsid w:val="00345B2A"/>
    <w:rsid w:val="00345C47"/>
    <w:rsid w:val="00345C8D"/>
    <w:rsid w:val="00345E1A"/>
    <w:rsid w:val="00345E21"/>
    <w:rsid w:val="00345E5F"/>
    <w:rsid w:val="00345F8E"/>
    <w:rsid w:val="00345FA1"/>
    <w:rsid w:val="0034601B"/>
    <w:rsid w:val="003460E9"/>
    <w:rsid w:val="00346149"/>
    <w:rsid w:val="00346152"/>
    <w:rsid w:val="00346237"/>
    <w:rsid w:val="00346271"/>
    <w:rsid w:val="003462C7"/>
    <w:rsid w:val="003462D0"/>
    <w:rsid w:val="00346362"/>
    <w:rsid w:val="0034649B"/>
    <w:rsid w:val="003464D9"/>
    <w:rsid w:val="003465DE"/>
    <w:rsid w:val="00346683"/>
    <w:rsid w:val="003467A0"/>
    <w:rsid w:val="003467E8"/>
    <w:rsid w:val="0034680D"/>
    <w:rsid w:val="00346825"/>
    <w:rsid w:val="0034683C"/>
    <w:rsid w:val="003468E4"/>
    <w:rsid w:val="00346921"/>
    <w:rsid w:val="003469F5"/>
    <w:rsid w:val="00346A43"/>
    <w:rsid w:val="00346B84"/>
    <w:rsid w:val="00346BF1"/>
    <w:rsid w:val="00346C96"/>
    <w:rsid w:val="00346D60"/>
    <w:rsid w:val="00346D68"/>
    <w:rsid w:val="00346E40"/>
    <w:rsid w:val="00346FD8"/>
    <w:rsid w:val="00346FEB"/>
    <w:rsid w:val="0034705D"/>
    <w:rsid w:val="00347064"/>
    <w:rsid w:val="003470B8"/>
    <w:rsid w:val="00347102"/>
    <w:rsid w:val="00347106"/>
    <w:rsid w:val="003471D0"/>
    <w:rsid w:val="00347263"/>
    <w:rsid w:val="003472BE"/>
    <w:rsid w:val="00347354"/>
    <w:rsid w:val="003473EE"/>
    <w:rsid w:val="003474D2"/>
    <w:rsid w:val="0034762F"/>
    <w:rsid w:val="00347646"/>
    <w:rsid w:val="003476F3"/>
    <w:rsid w:val="0034776C"/>
    <w:rsid w:val="003477BC"/>
    <w:rsid w:val="003477EC"/>
    <w:rsid w:val="003478FD"/>
    <w:rsid w:val="0034791A"/>
    <w:rsid w:val="003479A7"/>
    <w:rsid w:val="003479B7"/>
    <w:rsid w:val="00347B2F"/>
    <w:rsid w:val="00347B44"/>
    <w:rsid w:val="00347BEF"/>
    <w:rsid w:val="00347C84"/>
    <w:rsid w:val="00347C8E"/>
    <w:rsid w:val="00347DC8"/>
    <w:rsid w:val="00350031"/>
    <w:rsid w:val="00350087"/>
    <w:rsid w:val="0035021F"/>
    <w:rsid w:val="0035026C"/>
    <w:rsid w:val="003502D5"/>
    <w:rsid w:val="0035034D"/>
    <w:rsid w:val="00350433"/>
    <w:rsid w:val="0035054F"/>
    <w:rsid w:val="00350570"/>
    <w:rsid w:val="003505CD"/>
    <w:rsid w:val="00350600"/>
    <w:rsid w:val="0035069A"/>
    <w:rsid w:val="003506FD"/>
    <w:rsid w:val="003507C1"/>
    <w:rsid w:val="00350849"/>
    <w:rsid w:val="00350897"/>
    <w:rsid w:val="00350937"/>
    <w:rsid w:val="00350996"/>
    <w:rsid w:val="003509C1"/>
    <w:rsid w:val="003509CB"/>
    <w:rsid w:val="003509E4"/>
    <w:rsid w:val="00350AE4"/>
    <w:rsid w:val="00350BEC"/>
    <w:rsid w:val="00350C03"/>
    <w:rsid w:val="00350C58"/>
    <w:rsid w:val="00350D1B"/>
    <w:rsid w:val="00350D32"/>
    <w:rsid w:val="00350D62"/>
    <w:rsid w:val="00350DB9"/>
    <w:rsid w:val="00350E9C"/>
    <w:rsid w:val="00350F88"/>
    <w:rsid w:val="00350F9E"/>
    <w:rsid w:val="00350FC2"/>
    <w:rsid w:val="0035104C"/>
    <w:rsid w:val="0035105B"/>
    <w:rsid w:val="00351082"/>
    <w:rsid w:val="003511B4"/>
    <w:rsid w:val="0035122A"/>
    <w:rsid w:val="003512B2"/>
    <w:rsid w:val="0035138C"/>
    <w:rsid w:val="003513C8"/>
    <w:rsid w:val="003513E8"/>
    <w:rsid w:val="00351423"/>
    <w:rsid w:val="00351468"/>
    <w:rsid w:val="003514B1"/>
    <w:rsid w:val="00351505"/>
    <w:rsid w:val="0035155A"/>
    <w:rsid w:val="0035159B"/>
    <w:rsid w:val="003515E7"/>
    <w:rsid w:val="003515FA"/>
    <w:rsid w:val="0035163F"/>
    <w:rsid w:val="00351645"/>
    <w:rsid w:val="003516DC"/>
    <w:rsid w:val="003516DF"/>
    <w:rsid w:val="003518F0"/>
    <w:rsid w:val="00351A09"/>
    <w:rsid w:val="00351AD2"/>
    <w:rsid w:val="00351B2C"/>
    <w:rsid w:val="00351B3E"/>
    <w:rsid w:val="00351BC5"/>
    <w:rsid w:val="00351C4C"/>
    <w:rsid w:val="00351CB5"/>
    <w:rsid w:val="00351DA1"/>
    <w:rsid w:val="00351E32"/>
    <w:rsid w:val="00351E5B"/>
    <w:rsid w:val="00351E89"/>
    <w:rsid w:val="00351EFB"/>
    <w:rsid w:val="00351F26"/>
    <w:rsid w:val="00351FA7"/>
    <w:rsid w:val="0035207D"/>
    <w:rsid w:val="0035220F"/>
    <w:rsid w:val="003522D1"/>
    <w:rsid w:val="003522D6"/>
    <w:rsid w:val="00352346"/>
    <w:rsid w:val="00352424"/>
    <w:rsid w:val="00352486"/>
    <w:rsid w:val="003524A9"/>
    <w:rsid w:val="0035262D"/>
    <w:rsid w:val="00352690"/>
    <w:rsid w:val="003526E4"/>
    <w:rsid w:val="00352733"/>
    <w:rsid w:val="00352827"/>
    <w:rsid w:val="00352894"/>
    <w:rsid w:val="00352913"/>
    <w:rsid w:val="0035291D"/>
    <w:rsid w:val="00352943"/>
    <w:rsid w:val="00352949"/>
    <w:rsid w:val="003529C6"/>
    <w:rsid w:val="00352A0F"/>
    <w:rsid w:val="00352A67"/>
    <w:rsid w:val="00352A8F"/>
    <w:rsid w:val="00352ABB"/>
    <w:rsid w:val="00352B4A"/>
    <w:rsid w:val="00352BA2"/>
    <w:rsid w:val="00352BE1"/>
    <w:rsid w:val="00352C32"/>
    <w:rsid w:val="00352C43"/>
    <w:rsid w:val="00352DE5"/>
    <w:rsid w:val="00352DFE"/>
    <w:rsid w:val="00352E16"/>
    <w:rsid w:val="00352EB2"/>
    <w:rsid w:val="00352F23"/>
    <w:rsid w:val="00352F72"/>
    <w:rsid w:val="00352F7C"/>
    <w:rsid w:val="00353054"/>
    <w:rsid w:val="003530DB"/>
    <w:rsid w:val="00353130"/>
    <w:rsid w:val="00353212"/>
    <w:rsid w:val="0035324C"/>
    <w:rsid w:val="003532AF"/>
    <w:rsid w:val="00353328"/>
    <w:rsid w:val="00353329"/>
    <w:rsid w:val="00353378"/>
    <w:rsid w:val="0035337C"/>
    <w:rsid w:val="003533C6"/>
    <w:rsid w:val="003533F7"/>
    <w:rsid w:val="0035341E"/>
    <w:rsid w:val="00353428"/>
    <w:rsid w:val="0035352F"/>
    <w:rsid w:val="00353535"/>
    <w:rsid w:val="00353551"/>
    <w:rsid w:val="0035363B"/>
    <w:rsid w:val="003536B2"/>
    <w:rsid w:val="0035373C"/>
    <w:rsid w:val="003537B5"/>
    <w:rsid w:val="003537E3"/>
    <w:rsid w:val="0035383F"/>
    <w:rsid w:val="0035392B"/>
    <w:rsid w:val="00353978"/>
    <w:rsid w:val="0035399E"/>
    <w:rsid w:val="003539A2"/>
    <w:rsid w:val="00353A02"/>
    <w:rsid w:val="00353B3C"/>
    <w:rsid w:val="00353B9A"/>
    <w:rsid w:val="00353C09"/>
    <w:rsid w:val="00353CB4"/>
    <w:rsid w:val="00353D60"/>
    <w:rsid w:val="00353E4E"/>
    <w:rsid w:val="00353EA7"/>
    <w:rsid w:val="00353ECD"/>
    <w:rsid w:val="00353F42"/>
    <w:rsid w:val="00353F67"/>
    <w:rsid w:val="00354008"/>
    <w:rsid w:val="00354025"/>
    <w:rsid w:val="00354029"/>
    <w:rsid w:val="00354047"/>
    <w:rsid w:val="00354112"/>
    <w:rsid w:val="00354155"/>
    <w:rsid w:val="0035422E"/>
    <w:rsid w:val="00354234"/>
    <w:rsid w:val="0035424E"/>
    <w:rsid w:val="0035426A"/>
    <w:rsid w:val="003542C1"/>
    <w:rsid w:val="0035433D"/>
    <w:rsid w:val="0035434B"/>
    <w:rsid w:val="0035436A"/>
    <w:rsid w:val="0035436B"/>
    <w:rsid w:val="0035440A"/>
    <w:rsid w:val="00354489"/>
    <w:rsid w:val="003544A1"/>
    <w:rsid w:val="003545AD"/>
    <w:rsid w:val="003545B5"/>
    <w:rsid w:val="003545C1"/>
    <w:rsid w:val="003546AD"/>
    <w:rsid w:val="0035471E"/>
    <w:rsid w:val="00354880"/>
    <w:rsid w:val="0035488A"/>
    <w:rsid w:val="003548B1"/>
    <w:rsid w:val="00354947"/>
    <w:rsid w:val="00354A18"/>
    <w:rsid w:val="00354AD3"/>
    <w:rsid w:val="00354C56"/>
    <w:rsid w:val="00354C6E"/>
    <w:rsid w:val="00354C8D"/>
    <w:rsid w:val="00354CA8"/>
    <w:rsid w:val="00354CE7"/>
    <w:rsid w:val="00354D62"/>
    <w:rsid w:val="00354DAD"/>
    <w:rsid w:val="00354E03"/>
    <w:rsid w:val="00354E75"/>
    <w:rsid w:val="00354EC2"/>
    <w:rsid w:val="00354F7F"/>
    <w:rsid w:val="00354FA0"/>
    <w:rsid w:val="00354FAF"/>
    <w:rsid w:val="00354FDA"/>
    <w:rsid w:val="00355014"/>
    <w:rsid w:val="00355033"/>
    <w:rsid w:val="0035505E"/>
    <w:rsid w:val="0035506C"/>
    <w:rsid w:val="00355110"/>
    <w:rsid w:val="00355113"/>
    <w:rsid w:val="00355198"/>
    <w:rsid w:val="00355371"/>
    <w:rsid w:val="00355551"/>
    <w:rsid w:val="00355652"/>
    <w:rsid w:val="00355680"/>
    <w:rsid w:val="003556A0"/>
    <w:rsid w:val="003556EC"/>
    <w:rsid w:val="00355791"/>
    <w:rsid w:val="003558C6"/>
    <w:rsid w:val="003558EC"/>
    <w:rsid w:val="0035598A"/>
    <w:rsid w:val="00355A05"/>
    <w:rsid w:val="00355ACF"/>
    <w:rsid w:val="00355BC7"/>
    <w:rsid w:val="00355C24"/>
    <w:rsid w:val="00355CDF"/>
    <w:rsid w:val="00355D64"/>
    <w:rsid w:val="00355D8E"/>
    <w:rsid w:val="00355D90"/>
    <w:rsid w:val="00355DD4"/>
    <w:rsid w:val="00355E64"/>
    <w:rsid w:val="00355F5A"/>
    <w:rsid w:val="0035602F"/>
    <w:rsid w:val="00356094"/>
    <w:rsid w:val="00356136"/>
    <w:rsid w:val="003561AC"/>
    <w:rsid w:val="0035623F"/>
    <w:rsid w:val="003562FC"/>
    <w:rsid w:val="00356357"/>
    <w:rsid w:val="003563C5"/>
    <w:rsid w:val="00356479"/>
    <w:rsid w:val="0035647A"/>
    <w:rsid w:val="003564A0"/>
    <w:rsid w:val="0035652D"/>
    <w:rsid w:val="003565E7"/>
    <w:rsid w:val="00356623"/>
    <w:rsid w:val="00356627"/>
    <w:rsid w:val="003566D5"/>
    <w:rsid w:val="0035670C"/>
    <w:rsid w:val="00356719"/>
    <w:rsid w:val="00356792"/>
    <w:rsid w:val="00356794"/>
    <w:rsid w:val="003567B5"/>
    <w:rsid w:val="0035696B"/>
    <w:rsid w:val="003569A8"/>
    <w:rsid w:val="003569C5"/>
    <w:rsid w:val="00356AB1"/>
    <w:rsid w:val="00356ACF"/>
    <w:rsid w:val="00356AE0"/>
    <w:rsid w:val="00356B50"/>
    <w:rsid w:val="00356CA0"/>
    <w:rsid w:val="00356CB9"/>
    <w:rsid w:val="00356CEE"/>
    <w:rsid w:val="00356D5A"/>
    <w:rsid w:val="00356D8C"/>
    <w:rsid w:val="00356E09"/>
    <w:rsid w:val="003570D5"/>
    <w:rsid w:val="0035716E"/>
    <w:rsid w:val="003571EC"/>
    <w:rsid w:val="00357319"/>
    <w:rsid w:val="0035733B"/>
    <w:rsid w:val="00357365"/>
    <w:rsid w:val="00357380"/>
    <w:rsid w:val="003573B2"/>
    <w:rsid w:val="0035747C"/>
    <w:rsid w:val="0035750E"/>
    <w:rsid w:val="0035760E"/>
    <w:rsid w:val="00357717"/>
    <w:rsid w:val="00357755"/>
    <w:rsid w:val="00357774"/>
    <w:rsid w:val="0035787B"/>
    <w:rsid w:val="003578CA"/>
    <w:rsid w:val="003579DF"/>
    <w:rsid w:val="00357A08"/>
    <w:rsid w:val="00357A30"/>
    <w:rsid w:val="00357A73"/>
    <w:rsid w:val="00357BC3"/>
    <w:rsid w:val="00357BFB"/>
    <w:rsid w:val="00357CA1"/>
    <w:rsid w:val="00357CEB"/>
    <w:rsid w:val="00357D07"/>
    <w:rsid w:val="00357E70"/>
    <w:rsid w:val="00357F1E"/>
    <w:rsid w:val="00357FA1"/>
    <w:rsid w:val="00357FA7"/>
    <w:rsid w:val="0036006D"/>
    <w:rsid w:val="0036017A"/>
    <w:rsid w:val="00360213"/>
    <w:rsid w:val="00360245"/>
    <w:rsid w:val="00360267"/>
    <w:rsid w:val="003602E6"/>
    <w:rsid w:val="003603C1"/>
    <w:rsid w:val="003603D2"/>
    <w:rsid w:val="003603DF"/>
    <w:rsid w:val="003604D9"/>
    <w:rsid w:val="00360518"/>
    <w:rsid w:val="00360528"/>
    <w:rsid w:val="00360558"/>
    <w:rsid w:val="003606B2"/>
    <w:rsid w:val="003606CD"/>
    <w:rsid w:val="0036074B"/>
    <w:rsid w:val="00360760"/>
    <w:rsid w:val="003607BD"/>
    <w:rsid w:val="003607F0"/>
    <w:rsid w:val="003608DC"/>
    <w:rsid w:val="003608F3"/>
    <w:rsid w:val="0036090F"/>
    <w:rsid w:val="003609D3"/>
    <w:rsid w:val="003609D5"/>
    <w:rsid w:val="00360A21"/>
    <w:rsid w:val="00360B22"/>
    <w:rsid w:val="00360C63"/>
    <w:rsid w:val="00360E1F"/>
    <w:rsid w:val="00360EE6"/>
    <w:rsid w:val="003610D6"/>
    <w:rsid w:val="003610EC"/>
    <w:rsid w:val="003610FD"/>
    <w:rsid w:val="00361145"/>
    <w:rsid w:val="00361153"/>
    <w:rsid w:val="0036119F"/>
    <w:rsid w:val="00361206"/>
    <w:rsid w:val="003612B0"/>
    <w:rsid w:val="003612C8"/>
    <w:rsid w:val="0036137C"/>
    <w:rsid w:val="003613EA"/>
    <w:rsid w:val="003613ED"/>
    <w:rsid w:val="003613EE"/>
    <w:rsid w:val="003614AF"/>
    <w:rsid w:val="003615EF"/>
    <w:rsid w:val="00361771"/>
    <w:rsid w:val="0036177D"/>
    <w:rsid w:val="00361917"/>
    <w:rsid w:val="003619D9"/>
    <w:rsid w:val="00361A87"/>
    <w:rsid w:val="00361A8F"/>
    <w:rsid w:val="00361B1D"/>
    <w:rsid w:val="00361B7A"/>
    <w:rsid w:val="00361BA4"/>
    <w:rsid w:val="00361BC8"/>
    <w:rsid w:val="00361BFF"/>
    <w:rsid w:val="00361C44"/>
    <w:rsid w:val="00361C7A"/>
    <w:rsid w:val="00361D13"/>
    <w:rsid w:val="00361D76"/>
    <w:rsid w:val="00361D91"/>
    <w:rsid w:val="00361DD8"/>
    <w:rsid w:val="00361DDD"/>
    <w:rsid w:val="00361DDF"/>
    <w:rsid w:val="00361E1B"/>
    <w:rsid w:val="00361E22"/>
    <w:rsid w:val="00361F36"/>
    <w:rsid w:val="00361F49"/>
    <w:rsid w:val="00361F58"/>
    <w:rsid w:val="00361FB2"/>
    <w:rsid w:val="00361FD9"/>
    <w:rsid w:val="003620CD"/>
    <w:rsid w:val="00362191"/>
    <w:rsid w:val="0036228C"/>
    <w:rsid w:val="003622E4"/>
    <w:rsid w:val="00362332"/>
    <w:rsid w:val="00362444"/>
    <w:rsid w:val="00362461"/>
    <w:rsid w:val="0036247F"/>
    <w:rsid w:val="003624F2"/>
    <w:rsid w:val="00362676"/>
    <w:rsid w:val="0036267B"/>
    <w:rsid w:val="003626AB"/>
    <w:rsid w:val="003626B0"/>
    <w:rsid w:val="00362768"/>
    <w:rsid w:val="00362890"/>
    <w:rsid w:val="003628C0"/>
    <w:rsid w:val="00362909"/>
    <w:rsid w:val="00362A33"/>
    <w:rsid w:val="00362BE3"/>
    <w:rsid w:val="00362C96"/>
    <w:rsid w:val="00362EBA"/>
    <w:rsid w:val="00362FCD"/>
    <w:rsid w:val="00362FE2"/>
    <w:rsid w:val="00363023"/>
    <w:rsid w:val="003630AD"/>
    <w:rsid w:val="003630EE"/>
    <w:rsid w:val="00363137"/>
    <w:rsid w:val="0036317B"/>
    <w:rsid w:val="003631B0"/>
    <w:rsid w:val="0036353C"/>
    <w:rsid w:val="00363552"/>
    <w:rsid w:val="0036356F"/>
    <w:rsid w:val="003635BB"/>
    <w:rsid w:val="003636EB"/>
    <w:rsid w:val="0036380F"/>
    <w:rsid w:val="0036383B"/>
    <w:rsid w:val="00363882"/>
    <w:rsid w:val="003638C9"/>
    <w:rsid w:val="003638F3"/>
    <w:rsid w:val="0036398B"/>
    <w:rsid w:val="003639D8"/>
    <w:rsid w:val="00363A3B"/>
    <w:rsid w:val="00363B73"/>
    <w:rsid w:val="00363BE0"/>
    <w:rsid w:val="00363D7B"/>
    <w:rsid w:val="00363D8F"/>
    <w:rsid w:val="00363E71"/>
    <w:rsid w:val="00363EA4"/>
    <w:rsid w:val="00363ED4"/>
    <w:rsid w:val="00363FDC"/>
    <w:rsid w:val="00363FDD"/>
    <w:rsid w:val="0036401E"/>
    <w:rsid w:val="0036404E"/>
    <w:rsid w:val="00364070"/>
    <w:rsid w:val="00364074"/>
    <w:rsid w:val="00364084"/>
    <w:rsid w:val="0036432B"/>
    <w:rsid w:val="00364350"/>
    <w:rsid w:val="00364376"/>
    <w:rsid w:val="003644BE"/>
    <w:rsid w:val="003644C7"/>
    <w:rsid w:val="003644D6"/>
    <w:rsid w:val="00364508"/>
    <w:rsid w:val="00364521"/>
    <w:rsid w:val="00364525"/>
    <w:rsid w:val="00364671"/>
    <w:rsid w:val="003646EF"/>
    <w:rsid w:val="00364708"/>
    <w:rsid w:val="00364731"/>
    <w:rsid w:val="003647C5"/>
    <w:rsid w:val="00364B40"/>
    <w:rsid w:val="00364BC2"/>
    <w:rsid w:val="00364C07"/>
    <w:rsid w:val="00364D42"/>
    <w:rsid w:val="00364D45"/>
    <w:rsid w:val="00364D8B"/>
    <w:rsid w:val="00364D9E"/>
    <w:rsid w:val="00364E0C"/>
    <w:rsid w:val="00364E8B"/>
    <w:rsid w:val="003650AB"/>
    <w:rsid w:val="003651E2"/>
    <w:rsid w:val="00365235"/>
    <w:rsid w:val="00365250"/>
    <w:rsid w:val="0036529A"/>
    <w:rsid w:val="003652EB"/>
    <w:rsid w:val="003652F7"/>
    <w:rsid w:val="003653D5"/>
    <w:rsid w:val="0036541E"/>
    <w:rsid w:val="0036543C"/>
    <w:rsid w:val="00365489"/>
    <w:rsid w:val="0036548E"/>
    <w:rsid w:val="003654AF"/>
    <w:rsid w:val="003654E9"/>
    <w:rsid w:val="00365520"/>
    <w:rsid w:val="00365527"/>
    <w:rsid w:val="0036552A"/>
    <w:rsid w:val="00365565"/>
    <w:rsid w:val="00365600"/>
    <w:rsid w:val="0036562D"/>
    <w:rsid w:val="003657E2"/>
    <w:rsid w:val="0036587D"/>
    <w:rsid w:val="003658B3"/>
    <w:rsid w:val="00365927"/>
    <w:rsid w:val="003659A8"/>
    <w:rsid w:val="00365A3B"/>
    <w:rsid w:val="00365B30"/>
    <w:rsid w:val="00365BAD"/>
    <w:rsid w:val="00365BD7"/>
    <w:rsid w:val="00365C2B"/>
    <w:rsid w:val="00365CA2"/>
    <w:rsid w:val="00365CCC"/>
    <w:rsid w:val="00365D12"/>
    <w:rsid w:val="00365D73"/>
    <w:rsid w:val="00365D8A"/>
    <w:rsid w:val="00365F62"/>
    <w:rsid w:val="00365FCD"/>
    <w:rsid w:val="00365FDC"/>
    <w:rsid w:val="0036610E"/>
    <w:rsid w:val="00366231"/>
    <w:rsid w:val="00366232"/>
    <w:rsid w:val="00366263"/>
    <w:rsid w:val="003663F0"/>
    <w:rsid w:val="0036640D"/>
    <w:rsid w:val="0036641A"/>
    <w:rsid w:val="003664E4"/>
    <w:rsid w:val="00366519"/>
    <w:rsid w:val="00366556"/>
    <w:rsid w:val="0036655F"/>
    <w:rsid w:val="003665A0"/>
    <w:rsid w:val="003665A7"/>
    <w:rsid w:val="003665D9"/>
    <w:rsid w:val="00366642"/>
    <w:rsid w:val="00366662"/>
    <w:rsid w:val="00366801"/>
    <w:rsid w:val="00366853"/>
    <w:rsid w:val="003668A0"/>
    <w:rsid w:val="00366901"/>
    <w:rsid w:val="00366904"/>
    <w:rsid w:val="00366A0C"/>
    <w:rsid w:val="00366A5D"/>
    <w:rsid w:val="00366AC4"/>
    <w:rsid w:val="00366ACB"/>
    <w:rsid w:val="00366B85"/>
    <w:rsid w:val="00366CF3"/>
    <w:rsid w:val="00366DC6"/>
    <w:rsid w:val="00366EE7"/>
    <w:rsid w:val="00366F17"/>
    <w:rsid w:val="00366F38"/>
    <w:rsid w:val="00366F71"/>
    <w:rsid w:val="00366F97"/>
    <w:rsid w:val="00366FCD"/>
    <w:rsid w:val="0036714A"/>
    <w:rsid w:val="0036717E"/>
    <w:rsid w:val="00367224"/>
    <w:rsid w:val="003672AD"/>
    <w:rsid w:val="003672CD"/>
    <w:rsid w:val="003672D8"/>
    <w:rsid w:val="003672E9"/>
    <w:rsid w:val="003675C2"/>
    <w:rsid w:val="00367633"/>
    <w:rsid w:val="00367646"/>
    <w:rsid w:val="00367781"/>
    <w:rsid w:val="003677BF"/>
    <w:rsid w:val="003677E5"/>
    <w:rsid w:val="00367858"/>
    <w:rsid w:val="003678CD"/>
    <w:rsid w:val="003678E0"/>
    <w:rsid w:val="003678E9"/>
    <w:rsid w:val="0036792A"/>
    <w:rsid w:val="003679BA"/>
    <w:rsid w:val="003679F2"/>
    <w:rsid w:val="00367A93"/>
    <w:rsid w:val="00367B08"/>
    <w:rsid w:val="00367B0D"/>
    <w:rsid w:val="00367BB3"/>
    <w:rsid w:val="00367C12"/>
    <w:rsid w:val="00367C2F"/>
    <w:rsid w:val="00367C4B"/>
    <w:rsid w:val="00367C8A"/>
    <w:rsid w:val="00367CBA"/>
    <w:rsid w:val="00367CDC"/>
    <w:rsid w:val="00367DEB"/>
    <w:rsid w:val="00367F33"/>
    <w:rsid w:val="00367F75"/>
    <w:rsid w:val="00370061"/>
    <w:rsid w:val="003700BB"/>
    <w:rsid w:val="0037011B"/>
    <w:rsid w:val="003701AC"/>
    <w:rsid w:val="00370294"/>
    <w:rsid w:val="0037029E"/>
    <w:rsid w:val="003702BE"/>
    <w:rsid w:val="003702EC"/>
    <w:rsid w:val="003703FF"/>
    <w:rsid w:val="0037041D"/>
    <w:rsid w:val="00370520"/>
    <w:rsid w:val="00370668"/>
    <w:rsid w:val="003706A5"/>
    <w:rsid w:val="00370734"/>
    <w:rsid w:val="003707A4"/>
    <w:rsid w:val="003707BD"/>
    <w:rsid w:val="003707EF"/>
    <w:rsid w:val="003708BE"/>
    <w:rsid w:val="00370944"/>
    <w:rsid w:val="00370967"/>
    <w:rsid w:val="003709FD"/>
    <w:rsid w:val="00370BB7"/>
    <w:rsid w:val="00370BF9"/>
    <w:rsid w:val="00370C74"/>
    <w:rsid w:val="00370C87"/>
    <w:rsid w:val="00370CBB"/>
    <w:rsid w:val="00370CE2"/>
    <w:rsid w:val="00370D75"/>
    <w:rsid w:val="00370E02"/>
    <w:rsid w:val="00370E60"/>
    <w:rsid w:val="00370E79"/>
    <w:rsid w:val="00370FEE"/>
    <w:rsid w:val="003711B6"/>
    <w:rsid w:val="00371245"/>
    <w:rsid w:val="0037125C"/>
    <w:rsid w:val="00371341"/>
    <w:rsid w:val="0037138B"/>
    <w:rsid w:val="00371554"/>
    <w:rsid w:val="00371582"/>
    <w:rsid w:val="003715F2"/>
    <w:rsid w:val="00371631"/>
    <w:rsid w:val="003716DC"/>
    <w:rsid w:val="00371719"/>
    <w:rsid w:val="00371729"/>
    <w:rsid w:val="00371852"/>
    <w:rsid w:val="003718EC"/>
    <w:rsid w:val="00371A0D"/>
    <w:rsid w:val="00371AFE"/>
    <w:rsid w:val="00371C93"/>
    <w:rsid w:val="00371DBD"/>
    <w:rsid w:val="00371DF2"/>
    <w:rsid w:val="00371EC8"/>
    <w:rsid w:val="00371EFB"/>
    <w:rsid w:val="00371F6E"/>
    <w:rsid w:val="00371FC9"/>
    <w:rsid w:val="00372019"/>
    <w:rsid w:val="0037202F"/>
    <w:rsid w:val="00372089"/>
    <w:rsid w:val="0037211C"/>
    <w:rsid w:val="00372206"/>
    <w:rsid w:val="003722A3"/>
    <w:rsid w:val="003722BA"/>
    <w:rsid w:val="0037230C"/>
    <w:rsid w:val="00372340"/>
    <w:rsid w:val="00372350"/>
    <w:rsid w:val="00372360"/>
    <w:rsid w:val="0037237D"/>
    <w:rsid w:val="0037239E"/>
    <w:rsid w:val="003723A2"/>
    <w:rsid w:val="003723EC"/>
    <w:rsid w:val="0037246B"/>
    <w:rsid w:val="00372487"/>
    <w:rsid w:val="0037251D"/>
    <w:rsid w:val="003726B2"/>
    <w:rsid w:val="003726E7"/>
    <w:rsid w:val="0037275C"/>
    <w:rsid w:val="00372789"/>
    <w:rsid w:val="0037279C"/>
    <w:rsid w:val="003727CA"/>
    <w:rsid w:val="003727FD"/>
    <w:rsid w:val="00372841"/>
    <w:rsid w:val="00372912"/>
    <w:rsid w:val="00372916"/>
    <w:rsid w:val="0037295A"/>
    <w:rsid w:val="0037297E"/>
    <w:rsid w:val="00372A19"/>
    <w:rsid w:val="00372B18"/>
    <w:rsid w:val="00372B8F"/>
    <w:rsid w:val="00372BE0"/>
    <w:rsid w:val="00372C37"/>
    <w:rsid w:val="00372C57"/>
    <w:rsid w:val="00372C5D"/>
    <w:rsid w:val="00372CA3"/>
    <w:rsid w:val="00372DF1"/>
    <w:rsid w:val="00372E23"/>
    <w:rsid w:val="00372E36"/>
    <w:rsid w:val="00372EC0"/>
    <w:rsid w:val="003730A4"/>
    <w:rsid w:val="003730AA"/>
    <w:rsid w:val="00373106"/>
    <w:rsid w:val="00373133"/>
    <w:rsid w:val="003731D3"/>
    <w:rsid w:val="0037330D"/>
    <w:rsid w:val="00373374"/>
    <w:rsid w:val="003734B3"/>
    <w:rsid w:val="003734E2"/>
    <w:rsid w:val="0037355C"/>
    <w:rsid w:val="00373567"/>
    <w:rsid w:val="003735CA"/>
    <w:rsid w:val="00373601"/>
    <w:rsid w:val="00373875"/>
    <w:rsid w:val="00373973"/>
    <w:rsid w:val="0037399A"/>
    <w:rsid w:val="00373A12"/>
    <w:rsid w:val="00373A4E"/>
    <w:rsid w:val="00373B55"/>
    <w:rsid w:val="00373C0B"/>
    <w:rsid w:val="00373CD1"/>
    <w:rsid w:val="00373CF4"/>
    <w:rsid w:val="00373D30"/>
    <w:rsid w:val="00373D73"/>
    <w:rsid w:val="00373D82"/>
    <w:rsid w:val="00373D8F"/>
    <w:rsid w:val="00373EE4"/>
    <w:rsid w:val="00373F29"/>
    <w:rsid w:val="0037403C"/>
    <w:rsid w:val="003740A1"/>
    <w:rsid w:val="003741A2"/>
    <w:rsid w:val="00374227"/>
    <w:rsid w:val="00374352"/>
    <w:rsid w:val="003743A8"/>
    <w:rsid w:val="00374426"/>
    <w:rsid w:val="00374665"/>
    <w:rsid w:val="0037466D"/>
    <w:rsid w:val="00374678"/>
    <w:rsid w:val="003746EE"/>
    <w:rsid w:val="00374722"/>
    <w:rsid w:val="00374780"/>
    <w:rsid w:val="003747AB"/>
    <w:rsid w:val="00374812"/>
    <w:rsid w:val="00374872"/>
    <w:rsid w:val="003748CC"/>
    <w:rsid w:val="00374957"/>
    <w:rsid w:val="003749AB"/>
    <w:rsid w:val="00374A37"/>
    <w:rsid w:val="00374A5F"/>
    <w:rsid w:val="00374B08"/>
    <w:rsid w:val="00374D3D"/>
    <w:rsid w:val="00374D88"/>
    <w:rsid w:val="00374DA1"/>
    <w:rsid w:val="00374DB0"/>
    <w:rsid w:val="00374E4B"/>
    <w:rsid w:val="00374EB5"/>
    <w:rsid w:val="00374ED0"/>
    <w:rsid w:val="00374F13"/>
    <w:rsid w:val="0037502D"/>
    <w:rsid w:val="003750AB"/>
    <w:rsid w:val="00375111"/>
    <w:rsid w:val="0037515D"/>
    <w:rsid w:val="0037520A"/>
    <w:rsid w:val="0037521B"/>
    <w:rsid w:val="00375257"/>
    <w:rsid w:val="00375338"/>
    <w:rsid w:val="0037533B"/>
    <w:rsid w:val="003753E1"/>
    <w:rsid w:val="0037546A"/>
    <w:rsid w:val="003754A1"/>
    <w:rsid w:val="003754AE"/>
    <w:rsid w:val="003754D0"/>
    <w:rsid w:val="003754EE"/>
    <w:rsid w:val="00375533"/>
    <w:rsid w:val="00375574"/>
    <w:rsid w:val="0037558E"/>
    <w:rsid w:val="003755AD"/>
    <w:rsid w:val="003755B2"/>
    <w:rsid w:val="003755B4"/>
    <w:rsid w:val="003755D5"/>
    <w:rsid w:val="00375617"/>
    <w:rsid w:val="0037565B"/>
    <w:rsid w:val="00375668"/>
    <w:rsid w:val="00375694"/>
    <w:rsid w:val="003756D3"/>
    <w:rsid w:val="0037571B"/>
    <w:rsid w:val="0037575E"/>
    <w:rsid w:val="00375797"/>
    <w:rsid w:val="0037583D"/>
    <w:rsid w:val="0037588A"/>
    <w:rsid w:val="003758C3"/>
    <w:rsid w:val="003758D9"/>
    <w:rsid w:val="00375990"/>
    <w:rsid w:val="003759DD"/>
    <w:rsid w:val="00375BDA"/>
    <w:rsid w:val="00375C7F"/>
    <w:rsid w:val="00375CB4"/>
    <w:rsid w:val="00375D8E"/>
    <w:rsid w:val="00375DF7"/>
    <w:rsid w:val="00375F01"/>
    <w:rsid w:val="00375F41"/>
    <w:rsid w:val="00375FA5"/>
    <w:rsid w:val="003760A4"/>
    <w:rsid w:val="0037613F"/>
    <w:rsid w:val="003761B8"/>
    <w:rsid w:val="00376214"/>
    <w:rsid w:val="003762AA"/>
    <w:rsid w:val="003762E1"/>
    <w:rsid w:val="00376364"/>
    <w:rsid w:val="003764E7"/>
    <w:rsid w:val="00376526"/>
    <w:rsid w:val="003765CC"/>
    <w:rsid w:val="0037664B"/>
    <w:rsid w:val="0037664E"/>
    <w:rsid w:val="00376765"/>
    <w:rsid w:val="003767C4"/>
    <w:rsid w:val="0037696F"/>
    <w:rsid w:val="00376984"/>
    <w:rsid w:val="00376A59"/>
    <w:rsid w:val="00376B31"/>
    <w:rsid w:val="00376D82"/>
    <w:rsid w:val="00376E46"/>
    <w:rsid w:val="00376EA8"/>
    <w:rsid w:val="00376F81"/>
    <w:rsid w:val="00376FA0"/>
    <w:rsid w:val="0037703E"/>
    <w:rsid w:val="0037709C"/>
    <w:rsid w:val="0037718D"/>
    <w:rsid w:val="003771E9"/>
    <w:rsid w:val="0037736B"/>
    <w:rsid w:val="0037739F"/>
    <w:rsid w:val="003774E3"/>
    <w:rsid w:val="003774F3"/>
    <w:rsid w:val="00377623"/>
    <w:rsid w:val="0037764C"/>
    <w:rsid w:val="0037765E"/>
    <w:rsid w:val="003776BA"/>
    <w:rsid w:val="003776E4"/>
    <w:rsid w:val="0037775C"/>
    <w:rsid w:val="003777F7"/>
    <w:rsid w:val="00377821"/>
    <w:rsid w:val="00377870"/>
    <w:rsid w:val="003778AB"/>
    <w:rsid w:val="003778B8"/>
    <w:rsid w:val="0037794B"/>
    <w:rsid w:val="003779C4"/>
    <w:rsid w:val="00377B60"/>
    <w:rsid w:val="00377BA3"/>
    <w:rsid w:val="00377C0A"/>
    <w:rsid w:val="00377D7D"/>
    <w:rsid w:val="00377E70"/>
    <w:rsid w:val="00377E8A"/>
    <w:rsid w:val="003800DD"/>
    <w:rsid w:val="003801EA"/>
    <w:rsid w:val="00380238"/>
    <w:rsid w:val="00380395"/>
    <w:rsid w:val="00380450"/>
    <w:rsid w:val="00380455"/>
    <w:rsid w:val="00380468"/>
    <w:rsid w:val="0038048B"/>
    <w:rsid w:val="00380521"/>
    <w:rsid w:val="00380523"/>
    <w:rsid w:val="0038056D"/>
    <w:rsid w:val="00380593"/>
    <w:rsid w:val="0038059B"/>
    <w:rsid w:val="00380640"/>
    <w:rsid w:val="0038065D"/>
    <w:rsid w:val="00380670"/>
    <w:rsid w:val="003806B8"/>
    <w:rsid w:val="00380763"/>
    <w:rsid w:val="00380792"/>
    <w:rsid w:val="003807AD"/>
    <w:rsid w:val="003807E2"/>
    <w:rsid w:val="003807F1"/>
    <w:rsid w:val="00380810"/>
    <w:rsid w:val="0038087F"/>
    <w:rsid w:val="003809FE"/>
    <w:rsid w:val="00380A19"/>
    <w:rsid w:val="00380A40"/>
    <w:rsid w:val="00380AA3"/>
    <w:rsid w:val="00380B4D"/>
    <w:rsid w:val="00380B75"/>
    <w:rsid w:val="00380BBF"/>
    <w:rsid w:val="00380C41"/>
    <w:rsid w:val="00380C4F"/>
    <w:rsid w:val="00380CAA"/>
    <w:rsid w:val="00380CFE"/>
    <w:rsid w:val="00380D8D"/>
    <w:rsid w:val="00380E14"/>
    <w:rsid w:val="00380E7F"/>
    <w:rsid w:val="00380F7B"/>
    <w:rsid w:val="00380FDF"/>
    <w:rsid w:val="00380FF9"/>
    <w:rsid w:val="00381035"/>
    <w:rsid w:val="0038107D"/>
    <w:rsid w:val="00381086"/>
    <w:rsid w:val="0038111A"/>
    <w:rsid w:val="00381132"/>
    <w:rsid w:val="0038117D"/>
    <w:rsid w:val="003811AB"/>
    <w:rsid w:val="00381254"/>
    <w:rsid w:val="00381280"/>
    <w:rsid w:val="003812F5"/>
    <w:rsid w:val="0038136A"/>
    <w:rsid w:val="0038138C"/>
    <w:rsid w:val="0038147A"/>
    <w:rsid w:val="003815DD"/>
    <w:rsid w:val="003816B6"/>
    <w:rsid w:val="003817B8"/>
    <w:rsid w:val="00381836"/>
    <w:rsid w:val="0038185D"/>
    <w:rsid w:val="00381874"/>
    <w:rsid w:val="003818D5"/>
    <w:rsid w:val="00381949"/>
    <w:rsid w:val="0038196D"/>
    <w:rsid w:val="00381A3E"/>
    <w:rsid w:val="00381A68"/>
    <w:rsid w:val="00381B1F"/>
    <w:rsid w:val="00381B70"/>
    <w:rsid w:val="00381C30"/>
    <w:rsid w:val="00381C43"/>
    <w:rsid w:val="00381C5E"/>
    <w:rsid w:val="00381C65"/>
    <w:rsid w:val="00381C83"/>
    <w:rsid w:val="00381D0E"/>
    <w:rsid w:val="00381D41"/>
    <w:rsid w:val="00381DF2"/>
    <w:rsid w:val="00381ECF"/>
    <w:rsid w:val="00381F54"/>
    <w:rsid w:val="00381FDE"/>
    <w:rsid w:val="00382026"/>
    <w:rsid w:val="0038205B"/>
    <w:rsid w:val="0038219B"/>
    <w:rsid w:val="0038219D"/>
    <w:rsid w:val="0038227F"/>
    <w:rsid w:val="0038229F"/>
    <w:rsid w:val="003822D4"/>
    <w:rsid w:val="00382388"/>
    <w:rsid w:val="003823D3"/>
    <w:rsid w:val="00382427"/>
    <w:rsid w:val="0038246B"/>
    <w:rsid w:val="00382519"/>
    <w:rsid w:val="0038256E"/>
    <w:rsid w:val="003825AA"/>
    <w:rsid w:val="00382706"/>
    <w:rsid w:val="00382768"/>
    <w:rsid w:val="0038276E"/>
    <w:rsid w:val="00382805"/>
    <w:rsid w:val="00382869"/>
    <w:rsid w:val="003828A9"/>
    <w:rsid w:val="00382992"/>
    <w:rsid w:val="00382AC6"/>
    <w:rsid w:val="00382B38"/>
    <w:rsid w:val="00382FB0"/>
    <w:rsid w:val="0038300A"/>
    <w:rsid w:val="0038300D"/>
    <w:rsid w:val="0038308D"/>
    <w:rsid w:val="0038315D"/>
    <w:rsid w:val="003831B8"/>
    <w:rsid w:val="003831FC"/>
    <w:rsid w:val="00383237"/>
    <w:rsid w:val="003832E0"/>
    <w:rsid w:val="0038333F"/>
    <w:rsid w:val="00383401"/>
    <w:rsid w:val="00383456"/>
    <w:rsid w:val="003834C6"/>
    <w:rsid w:val="0038353C"/>
    <w:rsid w:val="0038356D"/>
    <w:rsid w:val="00383622"/>
    <w:rsid w:val="003836F5"/>
    <w:rsid w:val="003837F6"/>
    <w:rsid w:val="00383802"/>
    <w:rsid w:val="00383815"/>
    <w:rsid w:val="003838A9"/>
    <w:rsid w:val="00383906"/>
    <w:rsid w:val="0038394D"/>
    <w:rsid w:val="00383AFA"/>
    <w:rsid w:val="00383B4D"/>
    <w:rsid w:val="00383BBB"/>
    <w:rsid w:val="00383C23"/>
    <w:rsid w:val="00383C7A"/>
    <w:rsid w:val="00383D1C"/>
    <w:rsid w:val="00383DE5"/>
    <w:rsid w:val="00383EE8"/>
    <w:rsid w:val="00383EED"/>
    <w:rsid w:val="00383F41"/>
    <w:rsid w:val="00383F88"/>
    <w:rsid w:val="00384100"/>
    <w:rsid w:val="003841BA"/>
    <w:rsid w:val="00384206"/>
    <w:rsid w:val="00384238"/>
    <w:rsid w:val="00384287"/>
    <w:rsid w:val="00384358"/>
    <w:rsid w:val="003843A6"/>
    <w:rsid w:val="00384453"/>
    <w:rsid w:val="00384457"/>
    <w:rsid w:val="003844EF"/>
    <w:rsid w:val="00384650"/>
    <w:rsid w:val="003846B3"/>
    <w:rsid w:val="0038471A"/>
    <w:rsid w:val="00384796"/>
    <w:rsid w:val="00384798"/>
    <w:rsid w:val="003847D3"/>
    <w:rsid w:val="00384805"/>
    <w:rsid w:val="00384886"/>
    <w:rsid w:val="0038488D"/>
    <w:rsid w:val="00384939"/>
    <w:rsid w:val="00384955"/>
    <w:rsid w:val="00384A14"/>
    <w:rsid w:val="00384B66"/>
    <w:rsid w:val="00384B91"/>
    <w:rsid w:val="00384C4E"/>
    <w:rsid w:val="00384D1E"/>
    <w:rsid w:val="00384D3E"/>
    <w:rsid w:val="00384DD9"/>
    <w:rsid w:val="00384E00"/>
    <w:rsid w:val="00384E8C"/>
    <w:rsid w:val="00384F3E"/>
    <w:rsid w:val="00384F55"/>
    <w:rsid w:val="00384FE4"/>
    <w:rsid w:val="00385063"/>
    <w:rsid w:val="003850FA"/>
    <w:rsid w:val="003851B3"/>
    <w:rsid w:val="003851BD"/>
    <w:rsid w:val="003851F6"/>
    <w:rsid w:val="0038524D"/>
    <w:rsid w:val="00385291"/>
    <w:rsid w:val="0038530C"/>
    <w:rsid w:val="00385327"/>
    <w:rsid w:val="0038534D"/>
    <w:rsid w:val="0038536C"/>
    <w:rsid w:val="0038536D"/>
    <w:rsid w:val="0038540B"/>
    <w:rsid w:val="003854D5"/>
    <w:rsid w:val="00385583"/>
    <w:rsid w:val="00385636"/>
    <w:rsid w:val="0038564D"/>
    <w:rsid w:val="00385742"/>
    <w:rsid w:val="003857DF"/>
    <w:rsid w:val="003858C6"/>
    <w:rsid w:val="00385996"/>
    <w:rsid w:val="003859A3"/>
    <w:rsid w:val="00385A9B"/>
    <w:rsid w:val="00385AF4"/>
    <w:rsid w:val="00385BA9"/>
    <w:rsid w:val="00385C86"/>
    <w:rsid w:val="00385D00"/>
    <w:rsid w:val="00385D3A"/>
    <w:rsid w:val="00385E5A"/>
    <w:rsid w:val="00385F1A"/>
    <w:rsid w:val="00386113"/>
    <w:rsid w:val="00386155"/>
    <w:rsid w:val="003861D0"/>
    <w:rsid w:val="003862C3"/>
    <w:rsid w:val="003862ED"/>
    <w:rsid w:val="003863EE"/>
    <w:rsid w:val="00386419"/>
    <w:rsid w:val="00386469"/>
    <w:rsid w:val="00386479"/>
    <w:rsid w:val="0038652C"/>
    <w:rsid w:val="00386536"/>
    <w:rsid w:val="003866B4"/>
    <w:rsid w:val="003866C6"/>
    <w:rsid w:val="00386735"/>
    <w:rsid w:val="0038675C"/>
    <w:rsid w:val="00386800"/>
    <w:rsid w:val="003868C0"/>
    <w:rsid w:val="003868CD"/>
    <w:rsid w:val="0038691F"/>
    <w:rsid w:val="003869BF"/>
    <w:rsid w:val="00386A15"/>
    <w:rsid w:val="00386A1B"/>
    <w:rsid w:val="00386A70"/>
    <w:rsid w:val="00386B50"/>
    <w:rsid w:val="00386C05"/>
    <w:rsid w:val="00386C59"/>
    <w:rsid w:val="00386CD0"/>
    <w:rsid w:val="00386D0B"/>
    <w:rsid w:val="00386E43"/>
    <w:rsid w:val="00386EAE"/>
    <w:rsid w:val="00387077"/>
    <w:rsid w:val="00387106"/>
    <w:rsid w:val="0038711B"/>
    <w:rsid w:val="003871F3"/>
    <w:rsid w:val="003871FB"/>
    <w:rsid w:val="00387208"/>
    <w:rsid w:val="00387273"/>
    <w:rsid w:val="003872D8"/>
    <w:rsid w:val="00387529"/>
    <w:rsid w:val="003875D4"/>
    <w:rsid w:val="003876CD"/>
    <w:rsid w:val="00387723"/>
    <w:rsid w:val="00387794"/>
    <w:rsid w:val="003877C4"/>
    <w:rsid w:val="0038781F"/>
    <w:rsid w:val="0038795D"/>
    <w:rsid w:val="00387A12"/>
    <w:rsid w:val="00387B11"/>
    <w:rsid w:val="00387C24"/>
    <w:rsid w:val="00387CE1"/>
    <w:rsid w:val="00387D06"/>
    <w:rsid w:val="00387D31"/>
    <w:rsid w:val="00387DAC"/>
    <w:rsid w:val="00387DD9"/>
    <w:rsid w:val="00387E1D"/>
    <w:rsid w:val="00387E86"/>
    <w:rsid w:val="0039003E"/>
    <w:rsid w:val="0039005F"/>
    <w:rsid w:val="00390075"/>
    <w:rsid w:val="003901BC"/>
    <w:rsid w:val="00390227"/>
    <w:rsid w:val="0039029E"/>
    <w:rsid w:val="0039035F"/>
    <w:rsid w:val="00390361"/>
    <w:rsid w:val="00390393"/>
    <w:rsid w:val="003903A5"/>
    <w:rsid w:val="00390401"/>
    <w:rsid w:val="00390438"/>
    <w:rsid w:val="003904B8"/>
    <w:rsid w:val="0039055B"/>
    <w:rsid w:val="003905BA"/>
    <w:rsid w:val="003905FE"/>
    <w:rsid w:val="0039068B"/>
    <w:rsid w:val="003906B5"/>
    <w:rsid w:val="00390888"/>
    <w:rsid w:val="0039092E"/>
    <w:rsid w:val="0039096F"/>
    <w:rsid w:val="00390977"/>
    <w:rsid w:val="003909D3"/>
    <w:rsid w:val="00390A87"/>
    <w:rsid w:val="00390A9A"/>
    <w:rsid w:val="00390AC1"/>
    <w:rsid w:val="00390BA2"/>
    <w:rsid w:val="00390BF5"/>
    <w:rsid w:val="00390C4F"/>
    <w:rsid w:val="00390CCC"/>
    <w:rsid w:val="00390D0B"/>
    <w:rsid w:val="00390D33"/>
    <w:rsid w:val="00390D4F"/>
    <w:rsid w:val="00390DEB"/>
    <w:rsid w:val="00390E2F"/>
    <w:rsid w:val="00390E4F"/>
    <w:rsid w:val="00390E51"/>
    <w:rsid w:val="00390EF2"/>
    <w:rsid w:val="00390F1F"/>
    <w:rsid w:val="00390F28"/>
    <w:rsid w:val="00390F9D"/>
    <w:rsid w:val="0039102D"/>
    <w:rsid w:val="00391040"/>
    <w:rsid w:val="00391098"/>
    <w:rsid w:val="00391124"/>
    <w:rsid w:val="00391192"/>
    <w:rsid w:val="00391258"/>
    <w:rsid w:val="0039135B"/>
    <w:rsid w:val="003913F3"/>
    <w:rsid w:val="00391439"/>
    <w:rsid w:val="00391467"/>
    <w:rsid w:val="00391530"/>
    <w:rsid w:val="00391592"/>
    <w:rsid w:val="0039159E"/>
    <w:rsid w:val="003915AB"/>
    <w:rsid w:val="00391619"/>
    <w:rsid w:val="003916D1"/>
    <w:rsid w:val="003916E1"/>
    <w:rsid w:val="0039176B"/>
    <w:rsid w:val="00391781"/>
    <w:rsid w:val="00391788"/>
    <w:rsid w:val="0039178F"/>
    <w:rsid w:val="00391876"/>
    <w:rsid w:val="0039193A"/>
    <w:rsid w:val="0039196F"/>
    <w:rsid w:val="00391A2A"/>
    <w:rsid w:val="00391B93"/>
    <w:rsid w:val="00391BEB"/>
    <w:rsid w:val="00391C03"/>
    <w:rsid w:val="00391D36"/>
    <w:rsid w:val="00391D84"/>
    <w:rsid w:val="00391D92"/>
    <w:rsid w:val="00391D93"/>
    <w:rsid w:val="00391E30"/>
    <w:rsid w:val="00391EEC"/>
    <w:rsid w:val="00391F78"/>
    <w:rsid w:val="00391FF8"/>
    <w:rsid w:val="00392022"/>
    <w:rsid w:val="00392143"/>
    <w:rsid w:val="003921D3"/>
    <w:rsid w:val="0039238A"/>
    <w:rsid w:val="003923A4"/>
    <w:rsid w:val="003923BB"/>
    <w:rsid w:val="00392413"/>
    <w:rsid w:val="00392444"/>
    <w:rsid w:val="00392517"/>
    <w:rsid w:val="00392576"/>
    <w:rsid w:val="00392579"/>
    <w:rsid w:val="00392588"/>
    <w:rsid w:val="0039276F"/>
    <w:rsid w:val="003927AE"/>
    <w:rsid w:val="003927C4"/>
    <w:rsid w:val="003927F4"/>
    <w:rsid w:val="00392936"/>
    <w:rsid w:val="003929CA"/>
    <w:rsid w:val="00392A20"/>
    <w:rsid w:val="00392A89"/>
    <w:rsid w:val="00392ABD"/>
    <w:rsid w:val="00392AF8"/>
    <w:rsid w:val="00392B14"/>
    <w:rsid w:val="00392B78"/>
    <w:rsid w:val="00392B7C"/>
    <w:rsid w:val="00392BCC"/>
    <w:rsid w:val="00392BF1"/>
    <w:rsid w:val="00392C17"/>
    <w:rsid w:val="00392C7E"/>
    <w:rsid w:val="00392DC8"/>
    <w:rsid w:val="00392E63"/>
    <w:rsid w:val="00392E89"/>
    <w:rsid w:val="00392EC7"/>
    <w:rsid w:val="00392F54"/>
    <w:rsid w:val="00392F84"/>
    <w:rsid w:val="00393075"/>
    <w:rsid w:val="003930E5"/>
    <w:rsid w:val="0039317A"/>
    <w:rsid w:val="0039329F"/>
    <w:rsid w:val="003932B3"/>
    <w:rsid w:val="0039332B"/>
    <w:rsid w:val="003933D8"/>
    <w:rsid w:val="0039341D"/>
    <w:rsid w:val="00393426"/>
    <w:rsid w:val="00393467"/>
    <w:rsid w:val="00393473"/>
    <w:rsid w:val="00393482"/>
    <w:rsid w:val="003934C1"/>
    <w:rsid w:val="0039358B"/>
    <w:rsid w:val="0039368E"/>
    <w:rsid w:val="0039371D"/>
    <w:rsid w:val="00393771"/>
    <w:rsid w:val="0039385B"/>
    <w:rsid w:val="0039386F"/>
    <w:rsid w:val="0039387D"/>
    <w:rsid w:val="0039398C"/>
    <w:rsid w:val="00393A04"/>
    <w:rsid w:val="00393AC8"/>
    <w:rsid w:val="00393B2D"/>
    <w:rsid w:val="00393B69"/>
    <w:rsid w:val="00393C5C"/>
    <w:rsid w:val="00393E82"/>
    <w:rsid w:val="00393EA6"/>
    <w:rsid w:val="00393EE8"/>
    <w:rsid w:val="00393F2B"/>
    <w:rsid w:val="00393F31"/>
    <w:rsid w:val="00393F54"/>
    <w:rsid w:val="00393F5B"/>
    <w:rsid w:val="00393F83"/>
    <w:rsid w:val="00393FD6"/>
    <w:rsid w:val="0039404F"/>
    <w:rsid w:val="0039407A"/>
    <w:rsid w:val="0039409E"/>
    <w:rsid w:val="00394107"/>
    <w:rsid w:val="00394161"/>
    <w:rsid w:val="0039437B"/>
    <w:rsid w:val="0039438A"/>
    <w:rsid w:val="00394425"/>
    <w:rsid w:val="003944A6"/>
    <w:rsid w:val="003944C3"/>
    <w:rsid w:val="0039450B"/>
    <w:rsid w:val="0039455E"/>
    <w:rsid w:val="0039461E"/>
    <w:rsid w:val="00394683"/>
    <w:rsid w:val="00394690"/>
    <w:rsid w:val="00394711"/>
    <w:rsid w:val="003947A3"/>
    <w:rsid w:val="003947F0"/>
    <w:rsid w:val="00394954"/>
    <w:rsid w:val="0039496A"/>
    <w:rsid w:val="003949FE"/>
    <w:rsid w:val="00394A15"/>
    <w:rsid w:val="00394A19"/>
    <w:rsid w:val="00394E50"/>
    <w:rsid w:val="00394F32"/>
    <w:rsid w:val="00394F43"/>
    <w:rsid w:val="00394F6F"/>
    <w:rsid w:val="00394FAB"/>
    <w:rsid w:val="00394FD4"/>
    <w:rsid w:val="0039516C"/>
    <w:rsid w:val="003951B2"/>
    <w:rsid w:val="00395221"/>
    <w:rsid w:val="00395275"/>
    <w:rsid w:val="00395309"/>
    <w:rsid w:val="0039531E"/>
    <w:rsid w:val="0039531F"/>
    <w:rsid w:val="0039548F"/>
    <w:rsid w:val="003954B4"/>
    <w:rsid w:val="003954CB"/>
    <w:rsid w:val="003955CD"/>
    <w:rsid w:val="00395610"/>
    <w:rsid w:val="003956DA"/>
    <w:rsid w:val="00395731"/>
    <w:rsid w:val="00395773"/>
    <w:rsid w:val="00395789"/>
    <w:rsid w:val="003957FD"/>
    <w:rsid w:val="003958A5"/>
    <w:rsid w:val="003958D8"/>
    <w:rsid w:val="003958E9"/>
    <w:rsid w:val="003959E3"/>
    <w:rsid w:val="00395A62"/>
    <w:rsid w:val="00395B7E"/>
    <w:rsid w:val="00395CF0"/>
    <w:rsid w:val="00395DBE"/>
    <w:rsid w:val="00395DD8"/>
    <w:rsid w:val="00395E7B"/>
    <w:rsid w:val="00395EBC"/>
    <w:rsid w:val="00395FC7"/>
    <w:rsid w:val="00395FDD"/>
    <w:rsid w:val="00395FF3"/>
    <w:rsid w:val="003960D8"/>
    <w:rsid w:val="003960FD"/>
    <w:rsid w:val="003961C9"/>
    <w:rsid w:val="003961CE"/>
    <w:rsid w:val="0039628B"/>
    <w:rsid w:val="003962CB"/>
    <w:rsid w:val="00396314"/>
    <w:rsid w:val="00396327"/>
    <w:rsid w:val="00396369"/>
    <w:rsid w:val="003963D0"/>
    <w:rsid w:val="0039641B"/>
    <w:rsid w:val="0039642E"/>
    <w:rsid w:val="00396434"/>
    <w:rsid w:val="00396618"/>
    <w:rsid w:val="00396791"/>
    <w:rsid w:val="00396871"/>
    <w:rsid w:val="00396963"/>
    <w:rsid w:val="00396973"/>
    <w:rsid w:val="0039697D"/>
    <w:rsid w:val="00396A69"/>
    <w:rsid w:val="00396BAF"/>
    <w:rsid w:val="00396BCA"/>
    <w:rsid w:val="00396BEF"/>
    <w:rsid w:val="00396C43"/>
    <w:rsid w:val="00396C61"/>
    <w:rsid w:val="00396C71"/>
    <w:rsid w:val="00396CA1"/>
    <w:rsid w:val="00396CCF"/>
    <w:rsid w:val="00396D3B"/>
    <w:rsid w:val="00396D6D"/>
    <w:rsid w:val="00396E02"/>
    <w:rsid w:val="00396E30"/>
    <w:rsid w:val="00396E66"/>
    <w:rsid w:val="00396F23"/>
    <w:rsid w:val="00396F80"/>
    <w:rsid w:val="00396F88"/>
    <w:rsid w:val="00397051"/>
    <w:rsid w:val="0039708B"/>
    <w:rsid w:val="0039708C"/>
    <w:rsid w:val="003970CD"/>
    <w:rsid w:val="0039710B"/>
    <w:rsid w:val="0039712C"/>
    <w:rsid w:val="003971A8"/>
    <w:rsid w:val="003971CD"/>
    <w:rsid w:val="00397247"/>
    <w:rsid w:val="0039728C"/>
    <w:rsid w:val="00397339"/>
    <w:rsid w:val="003974BE"/>
    <w:rsid w:val="003974CA"/>
    <w:rsid w:val="003975A7"/>
    <w:rsid w:val="0039768A"/>
    <w:rsid w:val="003976DB"/>
    <w:rsid w:val="003976ED"/>
    <w:rsid w:val="003977AD"/>
    <w:rsid w:val="003977F9"/>
    <w:rsid w:val="00397A97"/>
    <w:rsid w:val="00397AAD"/>
    <w:rsid w:val="00397B69"/>
    <w:rsid w:val="00397B95"/>
    <w:rsid w:val="00397CAD"/>
    <w:rsid w:val="00397D29"/>
    <w:rsid w:val="00397D42"/>
    <w:rsid w:val="00397D43"/>
    <w:rsid w:val="00397D70"/>
    <w:rsid w:val="00397E46"/>
    <w:rsid w:val="00397E7D"/>
    <w:rsid w:val="00397E92"/>
    <w:rsid w:val="00397E9C"/>
    <w:rsid w:val="00397FF3"/>
    <w:rsid w:val="003A002D"/>
    <w:rsid w:val="003A003F"/>
    <w:rsid w:val="003A00BE"/>
    <w:rsid w:val="003A00C2"/>
    <w:rsid w:val="003A00F9"/>
    <w:rsid w:val="003A01AE"/>
    <w:rsid w:val="003A01DF"/>
    <w:rsid w:val="003A0299"/>
    <w:rsid w:val="003A032C"/>
    <w:rsid w:val="003A0342"/>
    <w:rsid w:val="003A0415"/>
    <w:rsid w:val="003A0613"/>
    <w:rsid w:val="003A0624"/>
    <w:rsid w:val="003A0666"/>
    <w:rsid w:val="003A0678"/>
    <w:rsid w:val="003A06C6"/>
    <w:rsid w:val="003A0796"/>
    <w:rsid w:val="003A07AC"/>
    <w:rsid w:val="003A07C4"/>
    <w:rsid w:val="003A07F4"/>
    <w:rsid w:val="003A0863"/>
    <w:rsid w:val="003A0895"/>
    <w:rsid w:val="003A09BF"/>
    <w:rsid w:val="003A09DB"/>
    <w:rsid w:val="003A0A0C"/>
    <w:rsid w:val="003A0A25"/>
    <w:rsid w:val="003A0A7B"/>
    <w:rsid w:val="003A0C9E"/>
    <w:rsid w:val="003A0DA6"/>
    <w:rsid w:val="003A0E34"/>
    <w:rsid w:val="003A0EE7"/>
    <w:rsid w:val="003A0F53"/>
    <w:rsid w:val="003A0F98"/>
    <w:rsid w:val="003A0FF3"/>
    <w:rsid w:val="003A1099"/>
    <w:rsid w:val="003A117F"/>
    <w:rsid w:val="003A1284"/>
    <w:rsid w:val="003A12AC"/>
    <w:rsid w:val="003A12E1"/>
    <w:rsid w:val="003A1355"/>
    <w:rsid w:val="003A136E"/>
    <w:rsid w:val="003A1395"/>
    <w:rsid w:val="003A142E"/>
    <w:rsid w:val="003A1477"/>
    <w:rsid w:val="003A148A"/>
    <w:rsid w:val="003A14D8"/>
    <w:rsid w:val="003A17AA"/>
    <w:rsid w:val="003A17FD"/>
    <w:rsid w:val="003A1853"/>
    <w:rsid w:val="003A1876"/>
    <w:rsid w:val="003A190A"/>
    <w:rsid w:val="003A1911"/>
    <w:rsid w:val="003A1A52"/>
    <w:rsid w:val="003A1B4F"/>
    <w:rsid w:val="003A1BC6"/>
    <w:rsid w:val="003A1C7C"/>
    <w:rsid w:val="003A1D31"/>
    <w:rsid w:val="003A1DC7"/>
    <w:rsid w:val="003A1E8B"/>
    <w:rsid w:val="003A2031"/>
    <w:rsid w:val="003A2070"/>
    <w:rsid w:val="003A22D5"/>
    <w:rsid w:val="003A2329"/>
    <w:rsid w:val="003A232D"/>
    <w:rsid w:val="003A2352"/>
    <w:rsid w:val="003A2458"/>
    <w:rsid w:val="003A2484"/>
    <w:rsid w:val="003A24D9"/>
    <w:rsid w:val="003A2524"/>
    <w:rsid w:val="003A2658"/>
    <w:rsid w:val="003A2697"/>
    <w:rsid w:val="003A26AD"/>
    <w:rsid w:val="003A2727"/>
    <w:rsid w:val="003A2766"/>
    <w:rsid w:val="003A281C"/>
    <w:rsid w:val="003A2833"/>
    <w:rsid w:val="003A2887"/>
    <w:rsid w:val="003A28A3"/>
    <w:rsid w:val="003A28DC"/>
    <w:rsid w:val="003A28DE"/>
    <w:rsid w:val="003A2937"/>
    <w:rsid w:val="003A2A23"/>
    <w:rsid w:val="003A2A4B"/>
    <w:rsid w:val="003A2A75"/>
    <w:rsid w:val="003A2A86"/>
    <w:rsid w:val="003A2A97"/>
    <w:rsid w:val="003A2A9C"/>
    <w:rsid w:val="003A2B8C"/>
    <w:rsid w:val="003A2C17"/>
    <w:rsid w:val="003A2C3B"/>
    <w:rsid w:val="003A2CE9"/>
    <w:rsid w:val="003A2D27"/>
    <w:rsid w:val="003A2D87"/>
    <w:rsid w:val="003A2DAF"/>
    <w:rsid w:val="003A2DC3"/>
    <w:rsid w:val="003A2DC9"/>
    <w:rsid w:val="003A2E36"/>
    <w:rsid w:val="003A2F60"/>
    <w:rsid w:val="003A2FA1"/>
    <w:rsid w:val="003A305D"/>
    <w:rsid w:val="003A3130"/>
    <w:rsid w:val="003A322A"/>
    <w:rsid w:val="003A325E"/>
    <w:rsid w:val="003A32C2"/>
    <w:rsid w:val="003A32DC"/>
    <w:rsid w:val="003A3388"/>
    <w:rsid w:val="003A3410"/>
    <w:rsid w:val="003A3418"/>
    <w:rsid w:val="003A3441"/>
    <w:rsid w:val="003A3491"/>
    <w:rsid w:val="003A34BA"/>
    <w:rsid w:val="003A34C6"/>
    <w:rsid w:val="003A35C5"/>
    <w:rsid w:val="003A35F3"/>
    <w:rsid w:val="003A362E"/>
    <w:rsid w:val="003A3712"/>
    <w:rsid w:val="003A3830"/>
    <w:rsid w:val="003A387E"/>
    <w:rsid w:val="003A38FA"/>
    <w:rsid w:val="003A39FC"/>
    <w:rsid w:val="003A3A14"/>
    <w:rsid w:val="003A3B15"/>
    <w:rsid w:val="003A3B21"/>
    <w:rsid w:val="003A3B2E"/>
    <w:rsid w:val="003A3C15"/>
    <w:rsid w:val="003A3C48"/>
    <w:rsid w:val="003A3D35"/>
    <w:rsid w:val="003A3DBE"/>
    <w:rsid w:val="003A3EA7"/>
    <w:rsid w:val="003A3EC9"/>
    <w:rsid w:val="003A4057"/>
    <w:rsid w:val="003A4131"/>
    <w:rsid w:val="003A4236"/>
    <w:rsid w:val="003A4267"/>
    <w:rsid w:val="003A42A5"/>
    <w:rsid w:val="003A440A"/>
    <w:rsid w:val="003A445F"/>
    <w:rsid w:val="003A4473"/>
    <w:rsid w:val="003A4479"/>
    <w:rsid w:val="003A45A0"/>
    <w:rsid w:val="003A4737"/>
    <w:rsid w:val="003A47A7"/>
    <w:rsid w:val="003A4855"/>
    <w:rsid w:val="003A48E7"/>
    <w:rsid w:val="003A4A43"/>
    <w:rsid w:val="003A4A4C"/>
    <w:rsid w:val="003A4A8F"/>
    <w:rsid w:val="003A4B3F"/>
    <w:rsid w:val="003A4B5D"/>
    <w:rsid w:val="003A4BA4"/>
    <w:rsid w:val="003A4C1D"/>
    <w:rsid w:val="003A4C6A"/>
    <w:rsid w:val="003A4CD8"/>
    <w:rsid w:val="003A4CFD"/>
    <w:rsid w:val="003A4D1D"/>
    <w:rsid w:val="003A4D3F"/>
    <w:rsid w:val="003A4D58"/>
    <w:rsid w:val="003A4D6D"/>
    <w:rsid w:val="003A4D9D"/>
    <w:rsid w:val="003A4E0F"/>
    <w:rsid w:val="003A4E14"/>
    <w:rsid w:val="003A4EE7"/>
    <w:rsid w:val="003A4EFF"/>
    <w:rsid w:val="003A4F31"/>
    <w:rsid w:val="003A4F4D"/>
    <w:rsid w:val="003A4F6A"/>
    <w:rsid w:val="003A4FF1"/>
    <w:rsid w:val="003A50FF"/>
    <w:rsid w:val="003A5202"/>
    <w:rsid w:val="003A5362"/>
    <w:rsid w:val="003A5414"/>
    <w:rsid w:val="003A5424"/>
    <w:rsid w:val="003A5462"/>
    <w:rsid w:val="003A54E2"/>
    <w:rsid w:val="003A550C"/>
    <w:rsid w:val="003A550D"/>
    <w:rsid w:val="003A551A"/>
    <w:rsid w:val="003A5592"/>
    <w:rsid w:val="003A55F5"/>
    <w:rsid w:val="003A5675"/>
    <w:rsid w:val="003A56D5"/>
    <w:rsid w:val="003A57FA"/>
    <w:rsid w:val="003A585A"/>
    <w:rsid w:val="003A58C6"/>
    <w:rsid w:val="003A594D"/>
    <w:rsid w:val="003A59A2"/>
    <w:rsid w:val="003A59A7"/>
    <w:rsid w:val="003A5A29"/>
    <w:rsid w:val="003A5A79"/>
    <w:rsid w:val="003A5AA1"/>
    <w:rsid w:val="003A5ABB"/>
    <w:rsid w:val="003A5B5E"/>
    <w:rsid w:val="003A5BBC"/>
    <w:rsid w:val="003A5C5F"/>
    <w:rsid w:val="003A5C81"/>
    <w:rsid w:val="003A5D19"/>
    <w:rsid w:val="003A5D3E"/>
    <w:rsid w:val="003A5D8E"/>
    <w:rsid w:val="003A5E0D"/>
    <w:rsid w:val="003A5EE6"/>
    <w:rsid w:val="003A5EFD"/>
    <w:rsid w:val="003A5FB0"/>
    <w:rsid w:val="003A6053"/>
    <w:rsid w:val="003A605E"/>
    <w:rsid w:val="003A607C"/>
    <w:rsid w:val="003A60F7"/>
    <w:rsid w:val="003A614B"/>
    <w:rsid w:val="003A6156"/>
    <w:rsid w:val="003A61C9"/>
    <w:rsid w:val="003A6273"/>
    <w:rsid w:val="003A62A9"/>
    <w:rsid w:val="003A62FA"/>
    <w:rsid w:val="003A6462"/>
    <w:rsid w:val="003A64DC"/>
    <w:rsid w:val="003A64E1"/>
    <w:rsid w:val="003A652B"/>
    <w:rsid w:val="003A6577"/>
    <w:rsid w:val="003A65EB"/>
    <w:rsid w:val="003A660C"/>
    <w:rsid w:val="003A6683"/>
    <w:rsid w:val="003A6694"/>
    <w:rsid w:val="003A673A"/>
    <w:rsid w:val="003A6767"/>
    <w:rsid w:val="003A67BA"/>
    <w:rsid w:val="003A6806"/>
    <w:rsid w:val="003A6829"/>
    <w:rsid w:val="003A689C"/>
    <w:rsid w:val="003A69A0"/>
    <w:rsid w:val="003A6A4C"/>
    <w:rsid w:val="003A6AAD"/>
    <w:rsid w:val="003A6B0E"/>
    <w:rsid w:val="003A6C00"/>
    <w:rsid w:val="003A6C58"/>
    <w:rsid w:val="003A6D10"/>
    <w:rsid w:val="003A6DAC"/>
    <w:rsid w:val="003A6DD9"/>
    <w:rsid w:val="003A6E49"/>
    <w:rsid w:val="003A6E8C"/>
    <w:rsid w:val="003A6F39"/>
    <w:rsid w:val="003A6F5C"/>
    <w:rsid w:val="003A718A"/>
    <w:rsid w:val="003A71EB"/>
    <w:rsid w:val="003A7211"/>
    <w:rsid w:val="003A7212"/>
    <w:rsid w:val="003A7217"/>
    <w:rsid w:val="003A73C8"/>
    <w:rsid w:val="003A74A5"/>
    <w:rsid w:val="003A74E5"/>
    <w:rsid w:val="003A7505"/>
    <w:rsid w:val="003A754F"/>
    <w:rsid w:val="003A7582"/>
    <w:rsid w:val="003A7599"/>
    <w:rsid w:val="003A7643"/>
    <w:rsid w:val="003A7662"/>
    <w:rsid w:val="003A76F6"/>
    <w:rsid w:val="003A7702"/>
    <w:rsid w:val="003A7863"/>
    <w:rsid w:val="003A7A27"/>
    <w:rsid w:val="003A7AC4"/>
    <w:rsid w:val="003A7B28"/>
    <w:rsid w:val="003A7BC4"/>
    <w:rsid w:val="003A7C2E"/>
    <w:rsid w:val="003A7CC6"/>
    <w:rsid w:val="003A7CF1"/>
    <w:rsid w:val="003A7DBC"/>
    <w:rsid w:val="003A7DE4"/>
    <w:rsid w:val="003A7DEF"/>
    <w:rsid w:val="003A7E40"/>
    <w:rsid w:val="003A7E63"/>
    <w:rsid w:val="003A7EF8"/>
    <w:rsid w:val="003A7F3B"/>
    <w:rsid w:val="003A7F75"/>
    <w:rsid w:val="003A7F7B"/>
    <w:rsid w:val="003B00A4"/>
    <w:rsid w:val="003B00B6"/>
    <w:rsid w:val="003B019D"/>
    <w:rsid w:val="003B019E"/>
    <w:rsid w:val="003B01BE"/>
    <w:rsid w:val="003B01CA"/>
    <w:rsid w:val="003B033E"/>
    <w:rsid w:val="003B0358"/>
    <w:rsid w:val="003B0359"/>
    <w:rsid w:val="003B036E"/>
    <w:rsid w:val="003B036F"/>
    <w:rsid w:val="003B03C3"/>
    <w:rsid w:val="003B0411"/>
    <w:rsid w:val="003B0420"/>
    <w:rsid w:val="003B0423"/>
    <w:rsid w:val="003B0495"/>
    <w:rsid w:val="003B04B1"/>
    <w:rsid w:val="003B068B"/>
    <w:rsid w:val="003B06B8"/>
    <w:rsid w:val="003B0837"/>
    <w:rsid w:val="003B083D"/>
    <w:rsid w:val="003B0988"/>
    <w:rsid w:val="003B0A26"/>
    <w:rsid w:val="003B0AA2"/>
    <w:rsid w:val="003B0B05"/>
    <w:rsid w:val="003B0B13"/>
    <w:rsid w:val="003B0B33"/>
    <w:rsid w:val="003B0C64"/>
    <w:rsid w:val="003B0C78"/>
    <w:rsid w:val="003B0CEE"/>
    <w:rsid w:val="003B0D6B"/>
    <w:rsid w:val="003B0D80"/>
    <w:rsid w:val="003B0DC0"/>
    <w:rsid w:val="003B0DF1"/>
    <w:rsid w:val="003B0E53"/>
    <w:rsid w:val="003B0E93"/>
    <w:rsid w:val="003B0EE3"/>
    <w:rsid w:val="003B0F02"/>
    <w:rsid w:val="003B0F48"/>
    <w:rsid w:val="003B0F49"/>
    <w:rsid w:val="003B0F53"/>
    <w:rsid w:val="003B0F79"/>
    <w:rsid w:val="003B0F8A"/>
    <w:rsid w:val="003B105C"/>
    <w:rsid w:val="003B10C7"/>
    <w:rsid w:val="003B1146"/>
    <w:rsid w:val="003B1173"/>
    <w:rsid w:val="003B1217"/>
    <w:rsid w:val="003B12E1"/>
    <w:rsid w:val="003B13E0"/>
    <w:rsid w:val="003B1452"/>
    <w:rsid w:val="003B150D"/>
    <w:rsid w:val="003B1561"/>
    <w:rsid w:val="003B156D"/>
    <w:rsid w:val="003B15B4"/>
    <w:rsid w:val="003B15DD"/>
    <w:rsid w:val="003B16A0"/>
    <w:rsid w:val="003B172F"/>
    <w:rsid w:val="003B1758"/>
    <w:rsid w:val="003B17D5"/>
    <w:rsid w:val="003B17ED"/>
    <w:rsid w:val="003B184A"/>
    <w:rsid w:val="003B1877"/>
    <w:rsid w:val="003B189D"/>
    <w:rsid w:val="003B1996"/>
    <w:rsid w:val="003B1A06"/>
    <w:rsid w:val="003B1A55"/>
    <w:rsid w:val="003B1A61"/>
    <w:rsid w:val="003B1B89"/>
    <w:rsid w:val="003B1BAA"/>
    <w:rsid w:val="003B1C1F"/>
    <w:rsid w:val="003B1C3D"/>
    <w:rsid w:val="003B1D44"/>
    <w:rsid w:val="003B1DC5"/>
    <w:rsid w:val="003B1E30"/>
    <w:rsid w:val="003B1E70"/>
    <w:rsid w:val="003B1E79"/>
    <w:rsid w:val="003B1F00"/>
    <w:rsid w:val="003B1F49"/>
    <w:rsid w:val="003B206A"/>
    <w:rsid w:val="003B2194"/>
    <w:rsid w:val="003B21D4"/>
    <w:rsid w:val="003B2275"/>
    <w:rsid w:val="003B2279"/>
    <w:rsid w:val="003B22C7"/>
    <w:rsid w:val="003B2311"/>
    <w:rsid w:val="003B239B"/>
    <w:rsid w:val="003B241E"/>
    <w:rsid w:val="003B2588"/>
    <w:rsid w:val="003B2656"/>
    <w:rsid w:val="003B2772"/>
    <w:rsid w:val="003B27CD"/>
    <w:rsid w:val="003B281D"/>
    <w:rsid w:val="003B286C"/>
    <w:rsid w:val="003B2946"/>
    <w:rsid w:val="003B297F"/>
    <w:rsid w:val="003B2AD8"/>
    <w:rsid w:val="003B2B1A"/>
    <w:rsid w:val="003B2B3E"/>
    <w:rsid w:val="003B2B90"/>
    <w:rsid w:val="003B2C0C"/>
    <w:rsid w:val="003B2C8C"/>
    <w:rsid w:val="003B2DCD"/>
    <w:rsid w:val="003B2E9C"/>
    <w:rsid w:val="003B2FDD"/>
    <w:rsid w:val="003B304C"/>
    <w:rsid w:val="003B307A"/>
    <w:rsid w:val="003B309A"/>
    <w:rsid w:val="003B3175"/>
    <w:rsid w:val="003B3458"/>
    <w:rsid w:val="003B34A4"/>
    <w:rsid w:val="003B3518"/>
    <w:rsid w:val="003B35A2"/>
    <w:rsid w:val="003B35D1"/>
    <w:rsid w:val="003B367B"/>
    <w:rsid w:val="003B36F2"/>
    <w:rsid w:val="003B39D4"/>
    <w:rsid w:val="003B3ABD"/>
    <w:rsid w:val="003B3ADE"/>
    <w:rsid w:val="003B3B21"/>
    <w:rsid w:val="003B3C5B"/>
    <w:rsid w:val="003B3C8D"/>
    <w:rsid w:val="003B3CDE"/>
    <w:rsid w:val="003B3D10"/>
    <w:rsid w:val="003B4020"/>
    <w:rsid w:val="003B40DD"/>
    <w:rsid w:val="003B40E7"/>
    <w:rsid w:val="003B4159"/>
    <w:rsid w:val="003B4165"/>
    <w:rsid w:val="003B41F0"/>
    <w:rsid w:val="003B42A9"/>
    <w:rsid w:val="003B42CB"/>
    <w:rsid w:val="003B42E8"/>
    <w:rsid w:val="003B430E"/>
    <w:rsid w:val="003B433C"/>
    <w:rsid w:val="003B434E"/>
    <w:rsid w:val="003B43AD"/>
    <w:rsid w:val="003B43D6"/>
    <w:rsid w:val="003B4483"/>
    <w:rsid w:val="003B456B"/>
    <w:rsid w:val="003B463E"/>
    <w:rsid w:val="003B467C"/>
    <w:rsid w:val="003B46C0"/>
    <w:rsid w:val="003B47BD"/>
    <w:rsid w:val="003B47CB"/>
    <w:rsid w:val="003B47DB"/>
    <w:rsid w:val="003B47E0"/>
    <w:rsid w:val="003B484A"/>
    <w:rsid w:val="003B4873"/>
    <w:rsid w:val="003B48D5"/>
    <w:rsid w:val="003B4994"/>
    <w:rsid w:val="003B4B56"/>
    <w:rsid w:val="003B4CE5"/>
    <w:rsid w:val="003B4D2A"/>
    <w:rsid w:val="003B4D7F"/>
    <w:rsid w:val="003B4E44"/>
    <w:rsid w:val="003B4E86"/>
    <w:rsid w:val="003B4F2D"/>
    <w:rsid w:val="003B4F40"/>
    <w:rsid w:val="003B4F4A"/>
    <w:rsid w:val="003B4FD7"/>
    <w:rsid w:val="003B4FF2"/>
    <w:rsid w:val="003B5009"/>
    <w:rsid w:val="003B505C"/>
    <w:rsid w:val="003B5091"/>
    <w:rsid w:val="003B5104"/>
    <w:rsid w:val="003B511F"/>
    <w:rsid w:val="003B512A"/>
    <w:rsid w:val="003B5173"/>
    <w:rsid w:val="003B51B9"/>
    <w:rsid w:val="003B5288"/>
    <w:rsid w:val="003B529C"/>
    <w:rsid w:val="003B533B"/>
    <w:rsid w:val="003B54AA"/>
    <w:rsid w:val="003B5570"/>
    <w:rsid w:val="003B5574"/>
    <w:rsid w:val="003B5600"/>
    <w:rsid w:val="003B56B9"/>
    <w:rsid w:val="003B56F2"/>
    <w:rsid w:val="003B57F2"/>
    <w:rsid w:val="003B5870"/>
    <w:rsid w:val="003B5998"/>
    <w:rsid w:val="003B59F7"/>
    <w:rsid w:val="003B5A05"/>
    <w:rsid w:val="003B5A29"/>
    <w:rsid w:val="003B5A30"/>
    <w:rsid w:val="003B5A99"/>
    <w:rsid w:val="003B5AA8"/>
    <w:rsid w:val="003B5B81"/>
    <w:rsid w:val="003B5B82"/>
    <w:rsid w:val="003B5BAA"/>
    <w:rsid w:val="003B5BB4"/>
    <w:rsid w:val="003B5C65"/>
    <w:rsid w:val="003B5D8D"/>
    <w:rsid w:val="003B5DC1"/>
    <w:rsid w:val="003B5E4B"/>
    <w:rsid w:val="003B5EBB"/>
    <w:rsid w:val="003B5EEE"/>
    <w:rsid w:val="003B5FD3"/>
    <w:rsid w:val="003B6041"/>
    <w:rsid w:val="003B638B"/>
    <w:rsid w:val="003B63BE"/>
    <w:rsid w:val="003B647E"/>
    <w:rsid w:val="003B65A4"/>
    <w:rsid w:val="003B668A"/>
    <w:rsid w:val="003B669D"/>
    <w:rsid w:val="003B66BD"/>
    <w:rsid w:val="003B673C"/>
    <w:rsid w:val="003B677C"/>
    <w:rsid w:val="003B67EF"/>
    <w:rsid w:val="003B681F"/>
    <w:rsid w:val="003B683E"/>
    <w:rsid w:val="003B68B0"/>
    <w:rsid w:val="003B68B7"/>
    <w:rsid w:val="003B6946"/>
    <w:rsid w:val="003B69BA"/>
    <w:rsid w:val="003B6A95"/>
    <w:rsid w:val="003B6AC0"/>
    <w:rsid w:val="003B6AEC"/>
    <w:rsid w:val="003B6BB3"/>
    <w:rsid w:val="003B6BE4"/>
    <w:rsid w:val="003B6CAE"/>
    <w:rsid w:val="003B6E14"/>
    <w:rsid w:val="003B6EEA"/>
    <w:rsid w:val="003B6F1C"/>
    <w:rsid w:val="003B6F2A"/>
    <w:rsid w:val="003B6F65"/>
    <w:rsid w:val="003B6FB2"/>
    <w:rsid w:val="003B70D9"/>
    <w:rsid w:val="003B7125"/>
    <w:rsid w:val="003B7137"/>
    <w:rsid w:val="003B7152"/>
    <w:rsid w:val="003B7168"/>
    <w:rsid w:val="003B7181"/>
    <w:rsid w:val="003B7316"/>
    <w:rsid w:val="003B7324"/>
    <w:rsid w:val="003B74AB"/>
    <w:rsid w:val="003B74CA"/>
    <w:rsid w:val="003B752A"/>
    <w:rsid w:val="003B75FF"/>
    <w:rsid w:val="003B77E4"/>
    <w:rsid w:val="003B78F2"/>
    <w:rsid w:val="003B78FA"/>
    <w:rsid w:val="003B7957"/>
    <w:rsid w:val="003B7A63"/>
    <w:rsid w:val="003B7A75"/>
    <w:rsid w:val="003B7AD9"/>
    <w:rsid w:val="003B7AFA"/>
    <w:rsid w:val="003B7B83"/>
    <w:rsid w:val="003B7BF9"/>
    <w:rsid w:val="003B7C05"/>
    <w:rsid w:val="003B7C29"/>
    <w:rsid w:val="003B7C2D"/>
    <w:rsid w:val="003B7C98"/>
    <w:rsid w:val="003B7CD1"/>
    <w:rsid w:val="003B7D2D"/>
    <w:rsid w:val="003B7D97"/>
    <w:rsid w:val="003B7E38"/>
    <w:rsid w:val="003B7EFD"/>
    <w:rsid w:val="003B7F5C"/>
    <w:rsid w:val="003B7FB3"/>
    <w:rsid w:val="003C0154"/>
    <w:rsid w:val="003C015C"/>
    <w:rsid w:val="003C0193"/>
    <w:rsid w:val="003C0198"/>
    <w:rsid w:val="003C0200"/>
    <w:rsid w:val="003C02F5"/>
    <w:rsid w:val="003C0323"/>
    <w:rsid w:val="003C0353"/>
    <w:rsid w:val="003C036F"/>
    <w:rsid w:val="003C0414"/>
    <w:rsid w:val="003C0483"/>
    <w:rsid w:val="003C04D8"/>
    <w:rsid w:val="003C04D9"/>
    <w:rsid w:val="003C04DD"/>
    <w:rsid w:val="003C04DF"/>
    <w:rsid w:val="003C065D"/>
    <w:rsid w:val="003C06C2"/>
    <w:rsid w:val="003C06EE"/>
    <w:rsid w:val="003C0865"/>
    <w:rsid w:val="003C0882"/>
    <w:rsid w:val="003C090A"/>
    <w:rsid w:val="003C0942"/>
    <w:rsid w:val="003C09ED"/>
    <w:rsid w:val="003C09F9"/>
    <w:rsid w:val="003C0A28"/>
    <w:rsid w:val="003C0A45"/>
    <w:rsid w:val="003C0AA7"/>
    <w:rsid w:val="003C0B6A"/>
    <w:rsid w:val="003C0BF9"/>
    <w:rsid w:val="003C0C90"/>
    <w:rsid w:val="003C0CB0"/>
    <w:rsid w:val="003C0D8C"/>
    <w:rsid w:val="003C0DF6"/>
    <w:rsid w:val="003C0E05"/>
    <w:rsid w:val="003C0E11"/>
    <w:rsid w:val="003C0EAF"/>
    <w:rsid w:val="003C0F68"/>
    <w:rsid w:val="003C10A1"/>
    <w:rsid w:val="003C1197"/>
    <w:rsid w:val="003C11AB"/>
    <w:rsid w:val="003C11BF"/>
    <w:rsid w:val="003C121D"/>
    <w:rsid w:val="003C125A"/>
    <w:rsid w:val="003C125C"/>
    <w:rsid w:val="003C13A4"/>
    <w:rsid w:val="003C1517"/>
    <w:rsid w:val="003C16AC"/>
    <w:rsid w:val="003C16D8"/>
    <w:rsid w:val="003C1713"/>
    <w:rsid w:val="003C1747"/>
    <w:rsid w:val="003C1817"/>
    <w:rsid w:val="003C190B"/>
    <w:rsid w:val="003C198D"/>
    <w:rsid w:val="003C19AE"/>
    <w:rsid w:val="003C19F5"/>
    <w:rsid w:val="003C1A64"/>
    <w:rsid w:val="003C1B06"/>
    <w:rsid w:val="003C1B60"/>
    <w:rsid w:val="003C1C2B"/>
    <w:rsid w:val="003C1C35"/>
    <w:rsid w:val="003C1D19"/>
    <w:rsid w:val="003C1DD6"/>
    <w:rsid w:val="003C1E02"/>
    <w:rsid w:val="003C1E2D"/>
    <w:rsid w:val="003C1E3C"/>
    <w:rsid w:val="003C1E98"/>
    <w:rsid w:val="003C20AD"/>
    <w:rsid w:val="003C20E2"/>
    <w:rsid w:val="003C214A"/>
    <w:rsid w:val="003C215C"/>
    <w:rsid w:val="003C2171"/>
    <w:rsid w:val="003C21B9"/>
    <w:rsid w:val="003C2271"/>
    <w:rsid w:val="003C22BE"/>
    <w:rsid w:val="003C22C9"/>
    <w:rsid w:val="003C2305"/>
    <w:rsid w:val="003C23F4"/>
    <w:rsid w:val="003C241C"/>
    <w:rsid w:val="003C2536"/>
    <w:rsid w:val="003C2547"/>
    <w:rsid w:val="003C2574"/>
    <w:rsid w:val="003C25DB"/>
    <w:rsid w:val="003C2603"/>
    <w:rsid w:val="003C2715"/>
    <w:rsid w:val="003C276D"/>
    <w:rsid w:val="003C27DC"/>
    <w:rsid w:val="003C27E9"/>
    <w:rsid w:val="003C2843"/>
    <w:rsid w:val="003C28C9"/>
    <w:rsid w:val="003C29B5"/>
    <w:rsid w:val="003C2A68"/>
    <w:rsid w:val="003C2A82"/>
    <w:rsid w:val="003C2B26"/>
    <w:rsid w:val="003C2BEF"/>
    <w:rsid w:val="003C2D0F"/>
    <w:rsid w:val="003C2DAD"/>
    <w:rsid w:val="003C2E63"/>
    <w:rsid w:val="003C2E94"/>
    <w:rsid w:val="003C2EBD"/>
    <w:rsid w:val="003C2F1A"/>
    <w:rsid w:val="003C2FCE"/>
    <w:rsid w:val="003C2FEA"/>
    <w:rsid w:val="003C2FF2"/>
    <w:rsid w:val="003C302D"/>
    <w:rsid w:val="003C31BE"/>
    <w:rsid w:val="003C336F"/>
    <w:rsid w:val="003C3398"/>
    <w:rsid w:val="003C33AF"/>
    <w:rsid w:val="003C33B7"/>
    <w:rsid w:val="003C3404"/>
    <w:rsid w:val="003C348A"/>
    <w:rsid w:val="003C34ED"/>
    <w:rsid w:val="003C35C1"/>
    <w:rsid w:val="003C371E"/>
    <w:rsid w:val="003C3763"/>
    <w:rsid w:val="003C37AA"/>
    <w:rsid w:val="003C37E8"/>
    <w:rsid w:val="003C3843"/>
    <w:rsid w:val="003C39AA"/>
    <w:rsid w:val="003C3A20"/>
    <w:rsid w:val="003C3A39"/>
    <w:rsid w:val="003C3AFC"/>
    <w:rsid w:val="003C3B2E"/>
    <w:rsid w:val="003C3B53"/>
    <w:rsid w:val="003C3BF1"/>
    <w:rsid w:val="003C3C20"/>
    <w:rsid w:val="003C3C52"/>
    <w:rsid w:val="003C3C6B"/>
    <w:rsid w:val="003C3C8F"/>
    <w:rsid w:val="003C3CEF"/>
    <w:rsid w:val="003C3E18"/>
    <w:rsid w:val="003C3E6F"/>
    <w:rsid w:val="003C3EB1"/>
    <w:rsid w:val="003C401C"/>
    <w:rsid w:val="003C4035"/>
    <w:rsid w:val="003C40D1"/>
    <w:rsid w:val="003C40F5"/>
    <w:rsid w:val="003C4161"/>
    <w:rsid w:val="003C41C6"/>
    <w:rsid w:val="003C421A"/>
    <w:rsid w:val="003C43C8"/>
    <w:rsid w:val="003C4509"/>
    <w:rsid w:val="003C4525"/>
    <w:rsid w:val="003C45AD"/>
    <w:rsid w:val="003C464D"/>
    <w:rsid w:val="003C4672"/>
    <w:rsid w:val="003C46D4"/>
    <w:rsid w:val="003C4727"/>
    <w:rsid w:val="003C478E"/>
    <w:rsid w:val="003C47B1"/>
    <w:rsid w:val="003C4A1E"/>
    <w:rsid w:val="003C4B3A"/>
    <w:rsid w:val="003C4CE8"/>
    <w:rsid w:val="003C4D76"/>
    <w:rsid w:val="003C4DFF"/>
    <w:rsid w:val="003C4E06"/>
    <w:rsid w:val="003C4EA7"/>
    <w:rsid w:val="003C4ECF"/>
    <w:rsid w:val="003C4F51"/>
    <w:rsid w:val="003C4FA5"/>
    <w:rsid w:val="003C4FFF"/>
    <w:rsid w:val="003C5062"/>
    <w:rsid w:val="003C5162"/>
    <w:rsid w:val="003C5164"/>
    <w:rsid w:val="003C521D"/>
    <w:rsid w:val="003C5224"/>
    <w:rsid w:val="003C522C"/>
    <w:rsid w:val="003C5248"/>
    <w:rsid w:val="003C52AE"/>
    <w:rsid w:val="003C534A"/>
    <w:rsid w:val="003C5426"/>
    <w:rsid w:val="003C54A4"/>
    <w:rsid w:val="003C54D5"/>
    <w:rsid w:val="003C54FB"/>
    <w:rsid w:val="003C5517"/>
    <w:rsid w:val="003C5566"/>
    <w:rsid w:val="003C5588"/>
    <w:rsid w:val="003C55B7"/>
    <w:rsid w:val="003C56EC"/>
    <w:rsid w:val="003C571E"/>
    <w:rsid w:val="003C575E"/>
    <w:rsid w:val="003C5809"/>
    <w:rsid w:val="003C588B"/>
    <w:rsid w:val="003C5891"/>
    <w:rsid w:val="003C58AC"/>
    <w:rsid w:val="003C58F9"/>
    <w:rsid w:val="003C5926"/>
    <w:rsid w:val="003C5A8D"/>
    <w:rsid w:val="003C5B51"/>
    <w:rsid w:val="003C5C82"/>
    <w:rsid w:val="003C5D3A"/>
    <w:rsid w:val="003C5D61"/>
    <w:rsid w:val="003C5D77"/>
    <w:rsid w:val="003C5E3F"/>
    <w:rsid w:val="003C5EC6"/>
    <w:rsid w:val="003C5F45"/>
    <w:rsid w:val="003C60AF"/>
    <w:rsid w:val="003C60C8"/>
    <w:rsid w:val="003C60E1"/>
    <w:rsid w:val="003C60F8"/>
    <w:rsid w:val="003C61C6"/>
    <w:rsid w:val="003C6258"/>
    <w:rsid w:val="003C62D9"/>
    <w:rsid w:val="003C62F3"/>
    <w:rsid w:val="003C6356"/>
    <w:rsid w:val="003C6395"/>
    <w:rsid w:val="003C63FB"/>
    <w:rsid w:val="003C6459"/>
    <w:rsid w:val="003C655A"/>
    <w:rsid w:val="003C666E"/>
    <w:rsid w:val="003C66A6"/>
    <w:rsid w:val="003C66B0"/>
    <w:rsid w:val="003C67A3"/>
    <w:rsid w:val="003C67F7"/>
    <w:rsid w:val="003C68D9"/>
    <w:rsid w:val="003C6A0F"/>
    <w:rsid w:val="003C6A28"/>
    <w:rsid w:val="003C6A4E"/>
    <w:rsid w:val="003C6A68"/>
    <w:rsid w:val="003C6BE5"/>
    <w:rsid w:val="003C6BF8"/>
    <w:rsid w:val="003C6C96"/>
    <w:rsid w:val="003C6CD8"/>
    <w:rsid w:val="003C6D25"/>
    <w:rsid w:val="003C6E28"/>
    <w:rsid w:val="003C6E2B"/>
    <w:rsid w:val="003C6E91"/>
    <w:rsid w:val="003C6EED"/>
    <w:rsid w:val="003C6F80"/>
    <w:rsid w:val="003C6F82"/>
    <w:rsid w:val="003C6FBD"/>
    <w:rsid w:val="003C6FD5"/>
    <w:rsid w:val="003C7204"/>
    <w:rsid w:val="003C727D"/>
    <w:rsid w:val="003C72C8"/>
    <w:rsid w:val="003C72EF"/>
    <w:rsid w:val="003C72F7"/>
    <w:rsid w:val="003C73B5"/>
    <w:rsid w:val="003C74E7"/>
    <w:rsid w:val="003C74F1"/>
    <w:rsid w:val="003C75AF"/>
    <w:rsid w:val="003C778C"/>
    <w:rsid w:val="003C77E3"/>
    <w:rsid w:val="003C7862"/>
    <w:rsid w:val="003C7966"/>
    <w:rsid w:val="003C796B"/>
    <w:rsid w:val="003C7A14"/>
    <w:rsid w:val="003C7A2F"/>
    <w:rsid w:val="003C7A3E"/>
    <w:rsid w:val="003C7A52"/>
    <w:rsid w:val="003C7AE0"/>
    <w:rsid w:val="003C7C99"/>
    <w:rsid w:val="003C7CEB"/>
    <w:rsid w:val="003C7CF9"/>
    <w:rsid w:val="003C7D3E"/>
    <w:rsid w:val="003C7D58"/>
    <w:rsid w:val="003C7E74"/>
    <w:rsid w:val="003C7E78"/>
    <w:rsid w:val="003C7F48"/>
    <w:rsid w:val="003D0040"/>
    <w:rsid w:val="003D00E6"/>
    <w:rsid w:val="003D0160"/>
    <w:rsid w:val="003D01EC"/>
    <w:rsid w:val="003D0295"/>
    <w:rsid w:val="003D0304"/>
    <w:rsid w:val="003D038D"/>
    <w:rsid w:val="003D058B"/>
    <w:rsid w:val="003D05DA"/>
    <w:rsid w:val="003D063E"/>
    <w:rsid w:val="003D0653"/>
    <w:rsid w:val="003D0726"/>
    <w:rsid w:val="003D0770"/>
    <w:rsid w:val="003D07D0"/>
    <w:rsid w:val="003D082D"/>
    <w:rsid w:val="003D08A6"/>
    <w:rsid w:val="003D0984"/>
    <w:rsid w:val="003D0A86"/>
    <w:rsid w:val="003D0B3A"/>
    <w:rsid w:val="003D0B59"/>
    <w:rsid w:val="003D0BB6"/>
    <w:rsid w:val="003D0C76"/>
    <w:rsid w:val="003D0C87"/>
    <w:rsid w:val="003D0CBE"/>
    <w:rsid w:val="003D0DE0"/>
    <w:rsid w:val="003D0E40"/>
    <w:rsid w:val="003D0E87"/>
    <w:rsid w:val="003D0F28"/>
    <w:rsid w:val="003D0F2A"/>
    <w:rsid w:val="003D0F2F"/>
    <w:rsid w:val="003D1020"/>
    <w:rsid w:val="003D120B"/>
    <w:rsid w:val="003D120C"/>
    <w:rsid w:val="003D1211"/>
    <w:rsid w:val="003D13E0"/>
    <w:rsid w:val="003D146D"/>
    <w:rsid w:val="003D14E1"/>
    <w:rsid w:val="003D14EF"/>
    <w:rsid w:val="003D1728"/>
    <w:rsid w:val="003D174E"/>
    <w:rsid w:val="003D176D"/>
    <w:rsid w:val="003D17D0"/>
    <w:rsid w:val="003D17F0"/>
    <w:rsid w:val="003D1806"/>
    <w:rsid w:val="003D190F"/>
    <w:rsid w:val="003D191C"/>
    <w:rsid w:val="003D1980"/>
    <w:rsid w:val="003D19B7"/>
    <w:rsid w:val="003D1A6C"/>
    <w:rsid w:val="003D1AEF"/>
    <w:rsid w:val="003D1B1B"/>
    <w:rsid w:val="003D1B2A"/>
    <w:rsid w:val="003D1BA8"/>
    <w:rsid w:val="003D1C27"/>
    <w:rsid w:val="003D1CEA"/>
    <w:rsid w:val="003D1E00"/>
    <w:rsid w:val="003D1F05"/>
    <w:rsid w:val="003D1FBC"/>
    <w:rsid w:val="003D203A"/>
    <w:rsid w:val="003D2064"/>
    <w:rsid w:val="003D21A1"/>
    <w:rsid w:val="003D2218"/>
    <w:rsid w:val="003D22CE"/>
    <w:rsid w:val="003D22FF"/>
    <w:rsid w:val="003D23F5"/>
    <w:rsid w:val="003D241F"/>
    <w:rsid w:val="003D24D1"/>
    <w:rsid w:val="003D24ED"/>
    <w:rsid w:val="003D2582"/>
    <w:rsid w:val="003D258B"/>
    <w:rsid w:val="003D25CF"/>
    <w:rsid w:val="003D25DB"/>
    <w:rsid w:val="003D2654"/>
    <w:rsid w:val="003D26AC"/>
    <w:rsid w:val="003D26E1"/>
    <w:rsid w:val="003D2704"/>
    <w:rsid w:val="003D28E4"/>
    <w:rsid w:val="003D2907"/>
    <w:rsid w:val="003D2915"/>
    <w:rsid w:val="003D296C"/>
    <w:rsid w:val="003D2A0C"/>
    <w:rsid w:val="003D2A95"/>
    <w:rsid w:val="003D2B2F"/>
    <w:rsid w:val="003D2B6D"/>
    <w:rsid w:val="003D2B75"/>
    <w:rsid w:val="003D2BAF"/>
    <w:rsid w:val="003D2BE7"/>
    <w:rsid w:val="003D2C1C"/>
    <w:rsid w:val="003D2C4C"/>
    <w:rsid w:val="003D2C59"/>
    <w:rsid w:val="003D2C5C"/>
    <w:rsid w:val="003D2DCA"/>
    <w:rsid w:val="003D2EC2"/>
    <w:rsid w:val="003D2F4B"/>
    <w:rsid w:val="003D2F64"/>
    <w:rsid w:val="003D2F73"/>
    <w:rsid w:val="003D2F9C"/>
    <w:rsid w:val="003D303D"/>
    <w:rsid w:val="003D306E"/>
    <w:rsid w:val="003D30C3"/>
    <w:rsid w:val="003D3151"/>
    <w:rsid w:val="003D31F8"/>
    <w:rsid w:val="003D3281"/>
    <w:rsid w:val="003D338C"/>
    <w:rsid w:val="003D33B1"/>
    <w:rsid w:val="003D33BD"/>
    <w:rsid w:val="003D3424"/>
    <w:rsid w:val="003D346D"/>
    <w:rsid w:val="003D347C"/>
    <w:rsid w:val="003D359B"/>
    <w:rsid w:val="003D3606"/>
    <w:rsid w:val="003D369E"/>
    <w:rsid w:val="003D36A0"/>
    <w:rsid w:val="003D36C4"/>
    <w:rsid w:val="003D370D"/>
    <w:rsid w:val="003D378C"/>
    <w:rsid w:val="003D381E"/>
    <w:rsid w:val="003D385F"/>
    <w:rsid w:val="003D38F8"/>
    <w:rsid w:val="003D392D"/>
    <w:rsid w:val="003D3942"/>
    <w:rsid w:val="003D396D"/>
    <w:rsid w:val="003D39E4"/>
    <w:rsid w:val="003D3A41"/>
    <w:rsid w:val="003D3A8F"/>
    <w:rsid w:val="003D3ABB"/>
    <w:rsid w:val="003D3ADF"/>
    <w:rsid w:val="003D3B2D"/>
    <w:rsid w:val="003D3B52"/>
    <w:rsid w:val="003D3C3B"/>
    <w:rsid w:val="003D3C47"/>
    <w:rsid w:val="003D3CAE"/>
    <w:rsid w:val="003D3CB4"/>
    <w:rsid w:val="003D3CCD"/>
    <w:rsid w:val="003D3DF1"/>
    <w:rsid w:val="003D3F05"/>
    <w:rsid w:val="003D3F13"/>
    <w:rsid w:val="003D3F8C"/>
    <w:rsid w:val="003D40D9"/>
    <w:rsid w:val="003D4104"/>
    <w:rsid w:val="003D418B"/>
    <w:rsid w:val="003D41B8"/>
    <w:rsid w:val="003D42E6"/>
    <w:rsid w:val="003D4300"/>
    <w:rsid w:val="003D4335"/>
    <w:rsid w:val="003D438C"/>
    <w:rsid w:val="003D43A6"/>
    <w:rsid w:val="003D43C6"/>
    <w:rsid w:val="003D4410"/>
    <w:rsid w:val="003D4431"/>
    <w:rsid w:val="003D44FA"/>
    <w:rsid w:val="003D44FB"/>
    <w:rsid w:val="003D455C"/>
    <w:rsid w:val="003D45C4"/>
    <w:rsid w:val="003D460D"/>
    <w:rsid w:val="003D463F"/>
    <w:rsid w:val="003D4716"/>
    <w:rsid w:val="003D4730"/>
    <w:rsid w:val="003D4777"/>
    <w:rsid w:val="003D47F0"/>
    <w:rsid w:val="003D4866"/>
    <w:rsid w:val="003D4945"/>
    <w:rsid w:val="003D4A46"/>
    <w:rsid w:val="003D4A89"/>
    <w:rsid w:val="003D4AD9"/>
    <w:rsid w:val="003D4B91"/>
    <w:rsid w:val="003D4BD1"/>
    <w:rsid w:val="003D4C50"/>
    <w:rsid w:val="003D4C7B"/>
    <w:rsid w:val="003D4C8C"/>
    <w:rsid w:val="003D4CC4"/>
    <w:rsid w:val="003D4D77"/>
    <w:rsid w:val="003D4E66"/>
    <w:rsid w:val="003D4EBB"/>
    <w:rsid w:val="003D501A"/>
    <w:rsid w:val="003D501C"/>
    <w:rsid w:val="003D5053"/>
    <w:rsid w:val="003D50D2"/>
    <w:rsid w:val="003D51F7"/>
    <w:rsid w:val="003D54AB"/>
    <w:rsid w:val="003D56BD"/>
    <w:rsid w:val="003D57A8"/>
    <w:rsid w:val="003D581D"/>
    <w:rsid w:val="003D58A0"/>
    <w:rsid w:val="003D5952"/>
    <w:rsid w:val="003D596B"/>
    <w:rsid w:val="003D5987"/>
    <w:rsid w:val="003D59E1"/>
    <w:rsid w:val="003D5A42"/>
    <w:rsid w:val="003D5A96"/>
    <w:rsid w:val="003D5AA8"/>
    <w:rsid w:val="003D5AD8"/>
    <w:rsid w:val="003D5B11"/>
    <w:rsid w:val="003D5C6E"/>
    <w:rsid w:val="003D5C8B"/>
    <w:rsid w:val="003D5C8D"/>
    <w:rsid w:val="003D5CFC"/>
    <w:rsid w:val="003D5D96"/>
    <w:rsid w:val="003D5EEC"/>
    <w:rsid w:val="003D5F80"/>
    <w:rsid w:val="003D5FB9"/>
    <w:rsid w:val="003D619F"/>
    <w:rsid w:val="003D61BA"/>
    <w:rsid w:val="003D620F"/>
    <w:rsid w:val="003D6306"/>
    <w:rsid w:val="003D6308"/>
    <w:rsid w:val="003D6313"/>
    <w:rsid w:val="003D6327"/>
    <w:rsid w:val="003D642D"/>
    <w:rsid w:val="003D6440"/>
    <w:rsid w:val="003D64B3"/>
    <w:rsid w:val="003D64E1"/>
    <w:rsid w:val="003D650A"/>
    <w:rsid w:val="003D6539"/>
    <w:rsid w:val="003D6593"/>
    <w:rsid w:val="003D673E"/>
    <w:rsid w:val="003D6760"/>
    <w:rsid w:val="003D6767"/>
    <w:rsid w:val="003D67A5"/>
    <w:rsid w:val="003D67AD"/>
    <w:rsid w:val="003D67C8"/>
    <w:rsid w:val="003D6846"/>
    <w:rsid w:val="003D684D"/>
    <w:rsid w:val="003D6A68"/>
    <w:rsid w:val="003D6A9F"/>
    <w:rsid w:val="003D6B4C"/>
    <w:rsid w:val="003D6BA0"/>
    <w:rsid w:val="003D6C1B"/>
    <w:rsid w:val="003D6D2C"/>
    <w:rsid w:val="003D6E65"/>
    <w:rsid w:val="003D6E6D"/>
    <w:rsid w:val="003D6EFD"/>
    <w:rsid w:val="003D6FB1"/>
    <w:rsid w:val="003D7063"/>
    <w:rsid w:val="003D715D"/>
    <w:rsid w:val="003D7166"/>
    <w:rsid w:val="003D7219"/>
    <w:rsid w:val="003D7279"/>
    <w:rsid w:val="003D729A"/>
    <w:rsid w:val="003D7342"/>
    <w:rsid w:val="003D7426"/>
    <w:rsid w:val="003D7462"/>
    <w:rsid w:val="003D7498"/>
    <w:rsid w:val="003D7512"/>
    <w:rsid w:val="003D755A"/>
    <w:rsid w:val="003D7608"/>
    <w:rsid w:val="003D767E"/>
    <w:rsid w:val="003D76A7"/>
    <w:rsid w:val="003D76DA"/>
    <w:rsid w:val="003D7755"/>
    <w:rsid w:val="003D78FE"/>
    <w:rsid w:val="003D79A7"/>
    <w:rsid w:val="003D79D8"/>
    <w:rsid w:val="003D7A53"/>
    <w:rsid w:val="003D7B5D"/>
    <w:rsid w:val="003D7BCD"/>
    <w:rsid w:val="003D7C2E"/>
    <w:rsid w:val="003D7C3A"/>
    <w:rsid w:val="003D7C3C"/>
    <w:rsid w:val="003D7C79"/>
    <w:rsid w:val="003D7E43"/>
    <w:rsid w:val="003E007F"/>
    <w:rsid w:val="003E0113"/>
    <w:rsid w:val="003E0163"/>
    <w:rsid w:val="003E01FF"/>
    <w:rsid w:val="003E0272"/>
    <w:rsid w:val="003E02A2"/>
    <w:rsid w:val="003E02C2"/>
    <w:rsid w:val="003E0300"/>
    <w:rsid w:val="003E043A"/>
    <w:rsid w:val="003E04A4"/>
    <w:rsid w:val="003E0546"/>
    <w:rsid w:val="003E0638"/>
    <w:rsid w:val="003E0754"/>
    <w:rsid w:val="003E075C"/>
    <w:rsid w:val="003E09E9"/>
    <w:rsid w:val="003E0A01"/>
    <w:rsid w:val="003E0A5B"/>
    <w:rsid w:val="003E0ACE"/>
    <w:rsid w:val="003E0ADD"/>
    <w:rsid w:val="003E0C3E"/>
    <w:rsid w:val="003E0CB6"/>
    <w:rsid w:val="003E0DEE"/>
    <w:rsid w:val="003E0E24"/>
    <w:rsid w:val="003E0F34"/>
    <w:rsid w:val="003E0F45"/>
    <w:rsid w:val="003E0FC8"/>
    <w:rsid w:val="003E0FDB"/>
    <w:rsid w:val="003E0FDD"/>
    <w:rsid w:val="003E1193"/>
    <w:rsid w:val="003E11CA"/>
    <w:rsid w:val="003E11EB"/>
    <w:rsid w:val="003E129E"/>
    <w:rsid w:val="003E12FF"/>
    <w:rsid w:val="003E130F"/>
    <w:rsid w:val="003E1327"/>
    <w:rsid w:val="003E13BD"/>
    <w:rsid w:val="003E13CF"/>
    <w:rsid w:val="003E1434"/>
    <w:rsid w:val="003E1486"/>
    <w:rsid w:val="003E14BA"/>
    <w:rsid w:val="003E157E"/>
    <w:rsid w:val="003E15C5"/>
    <w:rsid w:val="003E163E"/>
    <w:rsid w:val="003E166C"/>
    <w:rsid w:val="003E172B"/>
    <w:rsid w:val="003E183D"/>
    <w:rsid w:val="003E1855"/>
    <w:rsid w:val="003E1873"/>
    <w:rsid w:val="003E18AD"/>
    <w:rsid w:val="003E18D6"/>
    <w:rsid w:val="003E1946"/>
    <w:rsid w:val="003E1B7D"/>
    <w:rsid w:val="003E1B8F"/>
    <w:rsid w:val="003E1D58"/>
    <w:rsid w:val="003E1D78"/>
    <w:rsid w:val="003E1E15"/>
    <w:rsid w:val="003E1E6E"/>
    <w:rsid w:val="003E1E83"/>
    <w:rsid w:val="003E1FC8"/>
    <w:rsid w:val="003E20AA"/>
    <w:rsid w:val="003E227F"/>
    <w:rsid w:val="003E2289"/>
    <w:rsid w:val="003E229C"/>
    <w:rsid w:val="003E22B8"/>
    <w:rsid w:val="003E23A9"/>
    <w:rsid w:val="003E23CF"/>
    <w:rsid w:val="003E2462"/>
    <w:rsid w:val="003E254E"/>
    <w:rsid w:val="003E2561"/>
    <w:rsid w:val="003E25A3"/>
    <w:rsid w:val="003E268D"/>
    <w:rsid w:val="003E26D2"/>
    <w:rsid w:val="003E26D5"/>
    <w:rsid w:val="003E270B"/>
    <w:rsid w:val="003E27C0"/>
    <w:rsid w:val="003E27FF"/>
    <w:rsid w:val="003E280B"/>
    <w:rsid w:val="003E284A"/>
    <w:rsid w:val="003E29BE"/>
    <w:rsid w:val="003E2A6B"/>
    <w:rsid w:val="003E2A8B"/>
    <w:rsid w:val="003E2B09"/>
    <w:rsid w:val="003E2B9D"/>
    <w:rsid w:val="003E2C58"/>
    <w:rsid w:val="003E2CD5"/>
    <w:rsid w:val="003E2CDF"/>
    <w:rsid w:val="003E2D2C"/>
    <w:rsid w:val="003E2D77"/>
    <w:rsid w:val="003E2E4E"/>
    <w:rsid w:val="003E2EA8"/>
    <w:rsid w:val="003E2F30"/>
    <w:rsid w:val="003E2FCC"/>
    <w:rsid w:val="003E301C"/>
    <w:rsid w:val="003E30A4"/>
    <w:rsid w:val="003E3103"/>
    <w:rsid w:val="003E3145"/>
    <w:rsid w:val="003E3417"/>
    <w:rsid w:val="003E344F"/>
    <w:rsid w:val="003E345D"/>
    <w:rsid w:val="003E34E5"/>
    <w:rsid w:val="003E35B5"/>
    <w:rsid w:val="003E3889"/>
    <w:rsid w:val="003E3919"/>
    <w:rsid w:val="003E3939"/>
    <w:rsid w:val="003E3969"/>
    <w:rsid w:val="003E398A"/>
    <w:rsid w:val="003E39CB"/>
    <w:rsid w:val="003E3A60"/>
    <w:rsid w:val="003E3A85"/>
    <w:rsid w:val="003E3B1A"/>
    <w:rsid w:val="003E3B69"/>
    <w:rsid w:val="003E3C0A"/>
    <w:rsid w:val="003E3C68"/>
    <w:rsid w:val="003E3D73"/>
    <w:rsid w:val="003E3DB3"/>
    <w:rsid w:val="003E3E30"/>
    <w:rsid w:val="003E3E4A"/>
    <w:rsid w:val="003E3E94"/>
    <w:rsid w:val="003E3E9F"/>
    <w:rsid w:val="003E3EEB"/>
    <w:rsid w:val="003E3F57"/>
    <w:rsid w:val="003E3F8A"/>
    <w:rsid w:val="003E3F97"/>
    <w:rsid w:val="003E40E7"/>
    <w:rsid w:val="003E4195"/>
    <w:rsid w:val="003E41C7"/>
    <w:rsid w:val="003E4299"/>
    <w:rsid w:val="003E42C2"/>
    <w:rsid w:val="003E42EE"/>
    <w:rsid w:val="003E4339"/>
    <w:rsid w:val="003E43A0"/>
    <w:rsid w:val="003E43AB"/>
    <w:rsid w:val="003E4460"/>
    <w:rsid w:val="003E451C"/>
    <w:rsid w:val="003E45C6"/>
    <w:rsid w:val="003E461A"/>
    <w:rsid w:val="003E4621"/>
    <w:rsid w:val="003E46AE"/>
    <w:rsid w:val="003E46F2"/>
    <w:rsid w:val="003E48FC"/>
    <w:rsid w:val="003E4916"/>
    <w:rsid w:val="003E4966"/>
    <w:rsid w:val="003E49EB"/>
    <w:rsid w:val="003E4A08"/>
    <w:rsid w:val="003E4AFB"/>
    <w:rsid w:val="003E4B40"/>
    <w:rsid w:val="003E4BE1"/>
    <w:rsid w:val="003E4D02"/>
    <w:rsid w:val="003E4D03"/>
    <w:rsid w:val="003E4D09"/>
    <w:rsid w:val="003E4D17"/>
    <w:rsid w:val="003E4D27"/>
    <w:rsid w:val="003E4E2B"/>
    <w:rsid w:val="003E4F5F"/>
    <w:rsid w:val="003E4FC7"/>
    <w:rsid w:val="003E4FDA"/>
    <w:rsid w:val="003E502A"/>
    <w:rsid w:val="003E516B"/>
    <w:rsid w:val="003E5180"/>
    <w:rsid w:val="003E52D3"/>
    <w:rsid w:val="003E5349"/>
    <w:rsid w:val="003E53AB"/>
    <w:rsid w:val="003E53E6"/>
    <w:rsid w:val="003E5441"/>
    <w:rsid w:val="003E545E"/>
    <w:rsid w:val="003E550D"/>
    <w:rsid w:val="003E5515"/>
    <w:rsid w:val="003E5750"/>
    <w:rsid w:val="003E5756"/>
    <w:rsid w:val="003E57E8"/>
    <w:rsid w:val="003E59BE"/>
    <w:rsid w:val="003E59E3"/>
    <w:rsid w:val="003E5A82"/>
    <w:rsid w:val="003E5AA6"/>
    <w:rsid w:val="003E5B17"/>
    <w:rsid w:val="003E5B49"/>
    <w:rsid w:val="003E5B8E"/>
    <w:rsid w:val="003E5BD7"/>
    <w:rsid w:val="003E5C52"/>
    <w:rsid w:val="003E5D1B"/>
    <w:rsid w:val="003E5DEB"/>
    <w:rsid w:val="003E5F31"/>
    <w:rsid w:val="003E5F48"/>
    <w:rsid w:val="003E603A"/>
    <w:rsid w:val="003E603D"/>
    <w:rsid w:val="003E605A"/>
    <w:rsid w:val="003E60BE"/>
    <w:rsid w:val="003E61ED"/>
    <w:rsid w:val="003E620C"/>
    <w:rsid w:val="003E6231"/>
    <w:rsid w:val="003E6283"/>
    <w:rsid w:val="003E6361"/>
    <w:rsid w:val="003E6525"/>
    <w:rsid w:val="003E65C7"/>
    <w:rsid w:val="003E664E"/>
    <w:rsid w:val="003E664F"/>
    <w:rsid w:val="003E66B1"/>
    <w:rsid w:val="003E66EB"/>
    <w:rsid w:val="003E680D"/>
    <w:rsid w:val="003E6820"/>
    <w:rsid w:val="003E683A"/>
    <w:rsid w:val="003E68B4"/>
    <w:rsid w:val="003E68C6"/>
    <w:rsid w:val="003E68DC"/>
    <w:rsid w:val="003E6916"/>
    <w:rsid w:val="003E6A95"/>
    <w:rsid w:val="003E6AB5"/>
    <w:rsid w:val="003E6B0E"/>
    <w:rsid w:val="003E6B7A"/>
    <w:rsid w:val="003E6B7D"/>
    <w:rsid w:val="003E6D09"/>
    <w:rsid w:val="003E6D0B"/>
    <w:rsid w:val="003E6DAA"/>
    <w:rsid w:val="003E6E71"/>
    <w:rsid w:val="003E6EF7"/>
    <w:rsid w:val="003E709B"/>
    <w:rsid w:val="003E70DD"/>
    <w:rsid w:val="003E712B"/>
    <w:rsid w:val="003E7185"/>
    <w:rsid w:val="003E7187"/>
    <w:rsid w:val="003E719A"/>
    <w:rsid w:val="003E7216"/>
    <w:rsid w:val="003E7267"/>
    <w:rsid w:val="003E728D"/>
    <w:rsid w:val="003E72B6"/>
    <w:rsid w:val="003E736C"/>
    <w:rsid w:val="003E73A0"/>
    <w:rsid w:val="003E73F8"/>
    <w:rsid w:val="003E73FC"/>
    <w:rsid w:val="003E747B"/>
    <w:rsid w:val="003E749A"/>
    <w:rsid w:val="003E74C6"/>
    <w:rsid w:val="003E7558"/>
    <w:rsid w:val="003E756F"/>
    <w:rsid w:val="003E75AC"/>
    <w:rsid w:val="003E75B1"/>
    <w:rsid w:val="003E7729"/>
    <w:rsid w:val="003E77E5"/>
    <w:rsid w:val="003E7803"/>
    <w:rsid w:val="003E7826"/>
    <w:rsid w:val="003E78D6"/>
    <w:rsid w:val="003E7987"/>
    <w:rsid w:val="003E7991"/>
    <w:rsid w:val="003E7AE4"/>
    <w:rsid w:val="003E7B15"/>
    <w:rsid w:val="003E7B26"/>
    <w:rsid w:val="003E7B37"/>
    <w:rsid w:val="003E7B4D"/>
    <w:rsid w:val="003E7C05"/>
    <w:rsid w:val="003E7CA6"/>
    <w:rsid w:val="003E7CEA"/>
    <w:rsid w:val="003E7D14"/>
    <w:rsid w:val="003E7D2E"/>
    <w:rsid w:val="003E7DCF"/>
    <w:rsid w:val="003E7EA7"/>
    <w:rsid w:val="003E7F4A"/>
    <w:rsid w:val="003E831F"/>
    <w:rsid w:val="003F0015"/>
    <w:rsid w:val="003F00F9"/>
    <w:rsid w:val="003F0108"/>
    <w:rsid w:val="003F0178"/>
    <w:rsid w:val="003F0195"/>
    <w:rsid w:val="003F0221"/>
    <w:rsid w:val="003F0230"/>
    <w:rsid w:val="003F032D"/>
    <w:rsid w:val="003F0343"/>
    <w:rsid w:val="003F035D"/>
    <w:rsid w:val="003F0369"/>
    <w:rsid w:val="003F0390"/>
    <w:rsid w:val="003F03C2"/>
    <w:rsid w:val="003F03F3"/>
    <w:rsid w:val="003F047F"/>
    <w:rsid w:val="003F061E"/>
    <w:rsid w:val="003F0735"/>
    <w:rsid w:val="003F078D"/>
    <w:rsid w:val="003F07A8"/>
    <w:rsid w:val="003F07A9"/>
    <w:rsid w:val="003F07B5"/>
    <w:rsid w:val="003F0805"/>
    <w:rsid w:val="003F0807"/>
    <w:rsid w:val="003F0A04"/>
    <w:rsid w:val="003F0A0E"/>
    <w:rsid w:val="003F0A28"/>
    <w:rsid w:val="003F0C04"/>
    <w:rsid w:val="003F0C25"/>
    <w:rsid w:val="003F0CC8"/>
    <w:rsid w:val="003F0D66"/>
    <w:rsid w:val="003F0E9F"/>
    <w:rsid w:val="003F0F2E"/>
    <w:rsid w:val="003F10CE"/>
    <w:rsid w:val="003F1193"/>
    <w:rsid w:val="003F11CB"/>
    <w:rsid w:val="003F12B1"/>
    <w:rsid w:val="003F139E"/>
    <w:rsid w:val="003F13B5"/>
    <w:rsid w:val="003F1484"/>
    <w:rsid w:val="003F14E0"/>
    <w:rsid w:val="003F150A"/>
    <w:rsid w:val="003F1538"/>
    <w:rsid w:val="003F1619"/>
    <w:rsid w:val="003F1624"/>
    <w:rsid w:val="003F1647"/>
    <w:rsid w:val="003F16BD"/>
    <w:rsid w:val="003F172D"/>
    <w:rsid w:val="003F1868"/>
    <w:rsid w:val="003F1872"/>
    <w:rsid w:val="003F187A"/>
    <w:rsid w:val="003F1890"/>
    <w:rsid w:val="003F18B4"/>
    <w:rsid w:val="003F19CF"/>
    <w:rsid w:val="003F1A3A"/>
    <w:rsid w:val="003F1A5E"/>
    <w:rsid w:val="003F1A75"/>
    <w:rsid w:val="003F1AC3"/>
    <w:rsid w:val="003F1BE3"/>
    <w:rsid w:val="003F1C90"/>
    <w:rsid w:val="003F1CD9"/>
    <w:rsid w:val="003F1D36"/>
    <w:rsid w:val="003F1DFD"/>
    <w:rsid w:val="003F1E4B"/>
    <w:rsid w:val="003F1E7A"/>
    <w:rsid w:val="003F1F60"/>
    <w:rsid w:val="003F1FAE"/>
    <w:rsid w:val="003F210D"/>
    <w:rsid w:val="003F22F5"/>
    <w:rsid w:val="003F233D"/>
    <w:rsid w:val="003F2474"/>
    <w:rsid w:val="003F24B6"/>
    <w:rsid w:val="003F2503"/>
    <w:rsid w:val="003F2615"/>
    <w:rsid w:val="003F2619"/>
    <w:rsid w:val="003F2662"/>
    <w:rsid w:val="003F2772"/>
    <w:rsid w:val="003F2791"/>
    <w:rsid w:val="003F28B0"/>
    <w:rsid w:val="003F28E2"/>
    <w:rsid w:val="003F29E3"/>
    <w:rsid w:val="003F2B3F"/>
    <w:rsid w:val="003F2B5B"/>
    <w:rsid w:val="003F2C09"/>
    <w:rsid w:val="003F2E58"/>
    <w:rsid w:val="003F2F1B"/>
    <w:rsid w:val="003F2F53"/>
    <w:rsid w:val="003F3032"/>
    <w:rsid w:val="003F308A"/>
    <w:rsid w:val="003F3177"/>
    <w:rsid w:val="003F3274"/>
    <w:rsid w:val="003F32CD"/>
    <w:rsid w:val="003F32DD"/>
    <w:rsid w:val="003F32E3"/>
    <w:rsid w:val="003F3318"/>
    <w:rsid w:val="003F3353"/>
    <w:rsid w:val="003F34F4"/>
    <w:rsid w:val="003F360B"/>
    <w:rsid w:val="003F36F0"/>
    <w:rsid w:val="003F370E"/>
    <w:rsid w:val="003F3747"/>
    <w:rsid w:val="003F393F"/>
    <w:rsid w:val="003F3959"/>
    <w:rsid w:val="003F3982"/>
    <w:rsid w:val="003F3991"/>
    <w:rsid w:val="003F39AA"/>
    <w:rsid w:val="003F39BD"/>
    <w:rsid w:val="003F3AD1"/>
    <w:rsid w:val="003F3AF2"/>
    <w:rsid w:val="003F3B8C"/>
    <w:rsid w:val="003F3C1E"/>
    <w:rsid w:val="003F3C5D"/>
    <w:rsid w:val="003F3E4B"/>
    <w:rsid w:val="003F3F92"/>
    <w:rsid w:val="003F3FC3"/>
    <w:rsid w:val="003F40D4"/>
    <w:rsid w:val="003F40FE"/>
    <w:rsid w:val="003F4130"/>
    <w:rsid w:val="003F4166"/>
    <w:rsid w:val="003F4190"/>
    <w:rsid w:val="003F437C"/>
    <w:rsid w:val="003F43BC"/>
    <w:rsid w:val="003F4410"/>
    <w:rsid w:val="003F4670"/>
    <w:rsid w:val="003F46C9"/>
    <w:rsid w:val="003F481C"/>
    <w:rsid w:val="003F4832"/>
    <w:rsid w:val="003F489F"/>
    <w:rsid w:val="003F494F"/>
    <w:rsid w:val="003F4A14"/>
    <w:rsid w:val="003F4A7D"/>
    <w:rsid w:val="003F4BCC"/>
    <w:rsid w:val="003F4BEA"/>
    <w:rsid w:val="003F4BFB"/>
    <w:rsid w:val="003F4D21"/>
    <w:rsid w:val="003F4D4B"/>
    <w:rsid w:val="003F4D99"/>
    <w:rsid w:val="003F4F79"/>
    <w:rsid w:val="003F4F91"/>
    <w:rsid w:val="003F508A"/>
    <w:rsid w:val="003F5113"/>
    <w:rsid w:val="003F521A"/>
    <w:rsid w:val="003F5319"/>
    <w:rsid w:val="003F53E9"/>
    <w:rsid w:val="003F54A0"/>
    <w:rsid w:val="003F5591"/>
    <w:rsid w:val="003F570F"/>
    <w:rsid w:val="003F5817"/>
    <w:rsid w:val="003F5AB0"/>
    <w:rsid w:val="003F5B29"/>
    <w:rsid w:val="003F5B64"/>
    <w:rsid w:val="003F5B6B"/>
    <w:rsid w:val="003F5BB9"/>
    <w:rsid w:val="003F5BC4"/>
    <w:rsid w:val="003F5D4D"/>
    <w:rsid w:val="003F5DC9"/>
    <w:rsid w:val="003F5E2A"/>
    <w:rsid w:val="003F5E39"/>
    <w:rsid w:val="003F5E64"/>
    <w:rsid w:val="003F5EEB"/>
    <w:rsid w:val="003F5F0D"/>
    <w:rsid w:val="003F5FB5"/>
    <w:rsid w:val="003F5FED"/>
    <w:rsid w:val="003F6088"/>
    <w:rsid w:val="003F609E"/>
    <w:rsid w:val="003F60C7"/>
    <w:rsid w:val="003F6233"/>
    <w:rsid w:val="003F6236"/>
    <w:rsid w:val="003F625A"/>
    <w:rsid w:val="003F6265"/>
    <w:rsid w:val="003F6273"/>
    <w:rsid w:val="003F62E8"/>
    <w:rsid w:val="003F6319"/>
    <w:rsid w:val="003F63EC"/>
    <w:rsid w:val="003F6403"/>
    <w:rsid w:val="003F6431"/>
    <w:rsid w:val="003F6452"/>
    <w:rsid w:val="003F64C7"/>
    <w:rsid w:val="003F6573"/>
    <w:rsid w:val="003F65AE"/>
    <w:rsid w:val="003F65E0"/>
    <w:rsid w:val="003F6627"/>
    <w:rsid w:val="003F6656"/>
    <w:rsid w:val="003F6749"/>
    <w:rsid w:val="003F679E"/>
    <w:rsid w:val="003F681C"/>
    <w:rsid w:val="003F6854"/>
    <w:rsid w:val="003F6877"/>
    <w:rsid w:val="003F68A9"/>
    <w:rsid w:val="003F68B0"/>
    <w:rsid w:val="003F6906"/>
    <w:rsid w:val="003F6954"/>
    <w:rsid w:val="003F6990"/>
    <w:rsid w:val="003F69A4"/>
    <w:rsid w:val="003F6A05"/>
    <w:rsid w:val="003F6A79"/>
    <w:rsid w:val="003F6BEF"/>
    <w:rsid w:val="003F6BF2"/>
    <w:rsid w:val="003F6E19"/>
    <w:rsid w:val="003F6E38"/>
    <w:rsid w:val="003F6E3B"/>
    <w:rsid w:val="003F6E5E"/>
    <w:rsid w:val="003F6E7D"/>
    <w:rsid w:val="003F6EC3"/>
    <w:rsid w:val="003F708F"/>
    <w:rsid w:val="003F7121"/>
    <w:rsid w:val="003F712A"/>
    <w:rsid w:val="003F729F"/>
    <w:rsid w:val="003F72C5"/>
    <w:rsid w:val="003F735F"/>
    <w:rsid w:val="003F7466"/>
    <w:rsid w:val="003F7485"/>
    <w:rsid w:val="003F74A9"/>
    <w:rsid w:val="003F74D9"/>
    <w:rsid w:val="003F7515"/>
    <w:rsid w:val="003F763C"/>
    <w:rsid w:val="003F7654"/>
    <w:rsid w:val="003F7762"/>
    <w:rsid w:val="003F79D4"/>
    <w:rsid w:val="003F7A0A"/>
    <w:rsid w:val="003F7A28"/>
    <w:rsid w:val="003F7A99"/>
    <w:rsid w:val="003F7AB7"/>
    <w:rsid w:val="003F7BAD"/>
    <w:rsid w:val="003F7BE7"/>
    <w:rsid w:val="003F7C61"/>
    <w:rsid w:val="003F7C71"/>
    <w:rsid w:val="003F7CAA"/>
    <w:rsid w:val="003F7D57"/>
    <w:rsid w:val="003F7D7E"/>
    <w:rsid w:val="003F7D92"/>
    <w:rsid w:val="003F7DB1"/>
    <w:rsid w:val="003F7E00"/>
    <w:rsid w:val="003F7E22"/>
    <w:rsid w:val="003F7E6F"/>
    <w:rsid w:val="003F7F23"/>
    <w:rsid w:val="003F7F2F"/>
    <w:rsid w:val="00400095"/>
    <w:rsid w:val="0040017D"/>
    <w:rsid w:val="004001BE"/>
    <w:rsid w:val="0040029B"/>
    <w:rsid w:val="0040031C"/>
    <w:rsid w:val="00400388"/>
    <w:rsid w:val="0040043D"/>
    <w:rsid w:val="00400452"/>
    <w:rsid w:val="00400462"/>
    <w:rsid w:val="004004D8"/>
    <w:rsid w:val="0040050A"/>
    <w:rsid w:val="004005E6"/>
    <w:rsid w:val="0040062E"/>
    <w:rsid w:val="0040067B"/>
    <w:rsid w:val="00400780"/>
    <w:rsid w:val="0040082E"/>
    <w:rsid w:val="00400853"/>
    <w:rsid w:val="004008C9"/>
    <w:rsid w:val="004008FF"/>
    <w:rsid w:val="00400959"/>
    <w:rsid w:val="00400A26"/>
    <w:rsid w:val="00400A66"/>
    <w:rsid w:val="00400A6C"/>
    <w:rsid w:val="00400A76"/>
    <w:rsid w:val="00400B44"/>
    <w:rsid w:val="00400B66"/>
    <w:rsid w:val="00400B6E"/>
    <w:rsid w:val="00400B9C"/>
    <w:rsid w:val="00400BDF"/>
    <w:rsid w:val="00400C19"/>
    <w:rsid w:val="00400D12"/>
    <w:rsid w:val="00400E59"/>
    <w:rsid w:val="00400EB1"/>
    <w:rsid w:val="00400EB3"/>
    <w:rsid w:val="00400ECA"/>
    <w:rsid w:val="00400F0B"/>
    <w:rsid w:val="00400FAD"/>
    <w:rsid w:val="00400FBE"/>
    <w:rsid w:val="00400FE1"/>
    <w:rsid w:val="00400FF1"/>
    <w:rsid w:val="0040103A"/>
    <w:rsid w:val="004010B5"/>
    <w:rsid w:val="004010D4"/>
    <w:rsid w:val="0040117F"/>
    <w:rsid w:val="004011B2"/>
    <w:rsid w:val="004011B5"/>
    <w:rsid w:val="004011DB"/>
    <w:rsid w:val="00401221"/>
    <w:rsid w:val="00401224"/>
    <w:rsid w:val="0040124D"/>
    <w:rsid w:val="00401305"/>
    <w:rsid w:val="00401362"/>
    <w:rsid w:val="004013E0"/>
    <w:rsid w:val="00401430"/>
    <w:rsid w:val="004014B3"/>
    <w:rsid w:val="004014B8"/>
    <w:rsid w:val="004015C7"/>
    <w:rsid w:val="0040176E"/>
    <w:rsid w:val="00401777"/>
    <w:rsid w:val="004018D2"/>
    <w:rsid w:val="0040191A"/>
    <w:rsid w:val="00401951"/>
    <w:rsid w:val="004019EA"/>
    <w:rsid w:val="004019FD"/>
    <w:rsid w:val="00401A0E"/>
    <w:rsid w:val="00401A16"/>
    <w:rsid w:val="00401A9B"/>
    <w:rsid w:val="00401ACE"/>
    <w:rsid w:val="00401AD4"/>
    <w:rsid w:val="00401AE3"/>
    <w:rsid w:val="00401AF0"/>
    <w:rsid w:val="00401B1B"/>
    <w:rsid w:val="00401B44"/>
    <w:rsid w:val="00401B45"/>
    <w:rsid w:val="00401B94"/>
    <w:rsid w:val="00401B98"/>
    <w:rsid w:val="00401BDF"/>
    <w:rsid w:val="00401BE8"/>
    <w:rsid w:val="00401BF4"/>
    <w:rsid w:val="00401CE9"/>
    <w:rsid w:val="00401E0A"/>
    <w:rsid w:val="00401F07"/>
    <w:rsid w:val="00401F68"/>
    <w:rsid w:val="00401F7E"/>
    <w:rsid w:val="00402001"/>
    <w:rsid w:val="00402067"/>
    <w:rsid w:val="00402079"/>
    <w:rsid w:val="004020FC"/>
    <w:rsid w:val="00402131"/>
    <w:rsid w:val="0040216E"/>
    <w:rsid w:val="00402176"/>
    <w:rsid w:val="004022D0"/>
    <w:rsid w:val="0040230C"/>
    <w:rsid w:val="00402321"/>
    <w:rsid w:val="00402484"/>
    <w:rsid w:val="004026AB"/>
    <w:rsid w:val="004027C0"/>
    <w:rsid w:val="0040289E"/>
    <w:rsid w:val="004029A2"/>
    <w:rsid w:val="00402B68"/>
    <w:rsid w:val="00402BE7"/>
    <w:rsid w:val="00402C05"/>
    <w:rsid w:val="00402CE6"/>
    <w:rsid w:val="00402D9B"/>
    <w:rsid w:val="00402DBC"/>
    <w:rsid w:val="00402E61"/>
    <w:rsid w:val="00402E94"/>
    <w:rsid w:val="00402E9E"/>
    <w:rsid w:val="00402FB8"/>
    <w:rsid w:val="00402FCF"/>
    <w:rsid w:val="0040308D"/>
    <w:rsid w:val="0040319E"/>
    <w:rsid w:val="0040320F"/>
    <w:rsid w:val="0040321F"/>
    <w:rsid w:val="0040323D"/>
    <w:rsid w:val="0040325B"/>
    <w:rsid w:val="004032F8"/>
    <w:rsid w:val="00403301"/>
    <w:rsid w:val="004033A1"/>
    <w:rsid w:val="004034BC"/>
    <w:rsid w:val="00403542"/>
    <w:rsid w:val="00403574"/>
    <w:rsid w:val="0040372E"/>
    <w:rsid w:val="00403763"/>
    <w:rsid w:val="0040377E"/>
    <w:rsid w:val="0040378B"/>
    <w:rsid w:val="004037BD"/>
    <w:rsid w:val="004037CB"/>
    <w:rsid w:val="0040380D"/>
    <w:rsid w:val="00403849"/>
    <w:rsid w:val="0040387F"/>
    <w:rsid w:val="00403919"/>
    <w:rsid w:val="0040391C"/>
    <w:rsid w:val="00403A66"/>
    <w:rsid w:val="00403B7D"/>
    <w:rsid w:val="00403C0D"/>
    <w:rsid w:val="00403C5E"/>
    <w:rsid w:val="00403CEA"/>
    <w:rsid w:val="00403D5D"/>
    <w:rsid w:val="00403D84"/>
    <w:rsid w:val="00403DCE"/>
    <w:rsid w:val="00403E37"/>
    <w:rsid w:val="00403EA0"/>
    <w:rsid w:val="00403EA1"/>
    <w:rsid w:val="00403FE2"/>
    <w:rsid w:val="00403FFF"/>
    <w:rsid w:val="0040406B"/>
    <w:rsid w:val="004040F3"/>
    <w:rsid w:val="004040F6"/>
    <w:rsid w:val="00404136"/>
    <w:rsid w:val="004041EC"/>
    <w:rsid w:val="004042C5"/>
    <w:rsid w:val="004042EB"/>
    <w:rsid w:val="00404312"/>
    <w:rsid w:val="0040431D"/>
    <w:rsid w:val="00404365"/>
    <w:rsid w:val="00404367"/>
    <w:rsid w:val="004044AE"/>
    <w:rsid w:val="0040450F"/>
    <w:rsid w:val="0040460E"/>
    <w:rsid w:val="004046D7"/>
    <w:rsid w:val="00404773"/>
    <w:rsid w:val="0040477F"/>
    <w:rsid w:val="004047CA"/>
    <w:rsid w:val="004047CB"/>
    <w:rsid w:val="004047DC"/>
    <w:rsid w:val="004047E3"/>
    <w:rsid w:val="004048DE"/>
    <w:rsid w:val="00404974"/>
    <w:rsid w:val="00404A2E"/>
    <w:rsid w:val="00404ACD"/>
    <w:rsid w:val="00404C21"/>
    <w:rsid w:val="00404C45"/>
    <w:rsid w:val="00404D5B"/>
    <w:rsid w:val="00404D90"/>
    <w:rsid w:val="00404EC9"/>
    <w:rsid w:val="00404F6C"/>
    <w:rsid w:val="0040508F"/>
    <w:rsid w:val="00405100"/>
    <w:rsid w:val="00405169"/>
    <w:rsid w:val="004051B4"/>
    <w:rsid w:val="00405216"/>
    <w:rsid w:val="0040525C"/>
    <w:rsid w:val="00405298"/>
    <w:rsid w:val="00405426"/>
    <w:rsid w:val="004054A4"/>
    <w:rsid w:val="00405537"/>
    <w:rsid w:val="00405597"/>
    <w:rsid w:val="00405747"/>
    <w:rsid w:val="0040576A"/>
    <w:rsid w:val="004057D2"/>
    <w:rsid w:val="00405826"/>
    <w:rsid w:val="00405872"/>
    <w:rsid w:val="004058C9"/>
    <w:rsid w:val="004058D1"/>
    <w:rsid w:val="004058D4"/>
    <w:rsid w:val="00405986"/>
    <w:rsid w:val="00405A81"/>
    <w:rsid w:val="00405AA9"/>
    <w:rsid w:val="00405ADC"/>
    <w:rsid w:val="00405BC9"/>
    <w:rsid w:val="00405C59"/>
    <w:rsid w:val="00405DCA"/>
    <w:rsid w:val="00405DE0"/>
    <w:rsid w:val="00405E11"/>
    <w:rsid w:val="00405E87"/>
    <w:rsid w:val="00405ED0"/>
    <w:rsid w:val="00405EEB"/>
    <w:rsid w:val="00405FFE"/>
    <w:rsid w:val="00406013"/>
    <w:rsid w:val="0040601B"/>
    <w:rsid w:val="00406151"/>
    <w:rsid w:val="00406176"/>
    <w:rsid w:val="0040618B"/>
    <w:rsid w:val="0040625D"/>
    <w:rsid w:val="004062A8"/>
    <w:rsid w:val="004062CB"/>
    <w:rsid w:val="00406311"/>
    <w:rsid w:val="00406379"/>
    <w:rsid w:val="004064FE"/>
    <w:rsid w:val="00406521"/>
    <w:rsid w:val="00406537"/>
    <w:rsid w:val="004065B8"/>
    <w:rsid w:val="00406619"/>
    <w:rsid w:val="004066DD"/>
    <w:rsid w:val="004067B5"/>
    <w:rsid w:val="00406808"/>
    <w:rsid w:val="00406882"/>
    <w:rsid w:val="00406883"/>
    <w:rsid w:val="004069A1"/>
    <w:rsid w:val="004069ED"/>
    <w:rsid w:val="004069F5"/>
    <w:rsid w:val="00406AE9"/>
    <w:rsid w:val="00406B22"/>
    <w:rsid w:val="00406BF8"/>
    <w:rsid w:val="00406CE4"/>
    <w:rsid w:val="00406D26"/>
    <w:rsid w:val="00406D3A"/>
    <w:rsid w:val="00406D57"/>
    <w:rsid w:val="00406D8F"/>
    <w:rsid w:val="00406E25"/>
    <w:rsid w:val="00406F79"/>
    <w:rsid w:val="004070E9"/>
    <w:rsid w:val="004070F2"/>
    <w:rsid w:val="004071EE"/>
    <w:rsid w:val="00407344"/>
    <w:rsid w:val="0040735F"/>
    <w:rsid w:val="004074C8"/>
    <w:rsid w:val="004074DC"/>
    <w:rsid w:val="0040758A"/>
    <w:rsid w:val="00407598"/>
    <w:rsid w:val="004075A1"/>
    <w:rsid w:val="0040760A"/>
    <w:rsid w:val="0040760E"/>
    <w:rsid w:val="00407613"/>
    <w:rsid w:val="00407690"/>
    <w:rsid w:val="004076CA"/>
    <w:rsid w:val="0040771E"/>
    <w:rsid w:val="004077CC"/>
    <w:rsid w:val="00407825"/>
    <w:rsid w:val="0040787E"/>
    <w:rsid w:val="00407B7C"/>
    <w:rsid w:val="00407C1D"/>
    <w:rsid w:val="00407C2C"/>
    <w:rsid w:val="00407D18"/>
    <w:rsid w:val="00407D64"/>
    <w:rsid w:val="00407E36"/>
    <w:rsid w:val="00407E9A"/>
    <w:rsid w:val="00407F4B"/>
    <w:rsid w:val="00407F76"/>
    <w:rsid w:val="0041003D"/>
    <w:rsid w:val="00410061"/>
    <w:rsid w:val="004100B6"/>
    <w:rsid w:val="004100D6"/>
    <w:rsid w:val="0041010C"/>
    <w:rsid w:val="0041012E"/>
    <w:rsid w:val="00410185"/>
    <w:rsid w:val="00410194"/>
    <w:rsid w:val="004101A4"/>
    <w:rsid w:val="004101C1"/>
    <w:rsid w:val="0041032E"/>
    <w:rsid w:val="0041035B"/>
    <w:rsid w:val="004103CC"/>
    <w:rsid w:val="00410425"/>
    <w:rsid w:val="004104E7"/>
    <w:rsid w:val="0041051B"/>
    <w:rsid w:val="0041052B"/>
    <w:rsid w:val="00410559"/>
    <w:rsid w:val="00410651"/>
    <w:rsid w:val="004106E9"/>
    <w:rsid w:val="00410861"/>
    <w:rsid w:val="004108AB"/>
    <w:rsid w:val="004109D5"/>
    <w:rsid w:val="00410A9D"/>
    <w:rsid w:val="00410ABA"/>
    <w:rsid w:val="00410AD3"/>
    <w:rsid w:val="00410B26"/>
    <w:rsid w:val="00410B63"/>
    <w:rsid w:val="00410DB7"/>
    <w:rsid w:val="00410E5E"/>
    <w:rsid w:val="00410E6A"/>
    <w:rsid w:val="00410EA8"/>
    <w:rsid w:val="00410F31"/>
    <w:rsid w:val="00410F73"/>
    <w:rsid w:val="0041100B"/>
    <w:rsid w:val="004110A2"/>
    <w:rsid w:val="004110C1"/>
    <w:rsid w:val="004111EC"/>
    <w:rsid w:val="004112EA"/>
    <w:rsid w:val="0041135C"/>
    <w:rsid w:val="00411435"/>
    <w:rsid w:val="00411446"/>
    <w:rsid w:val="0041147D"/>
    <w:rsid w:val="00411567"/>
    <w:rsid w:val="004115C0"/>
    <w:rsid w:val="004115FA"/>
    <w:rsid w:val="004117D1"/>
    <w:rsid w:val="00411807"/>
    <w:rsid w:val="00411845"/>
    <w:rsid w:val="00411917"/>
    <w:rsid w:val="0041191B"/>
    <w:rsid w:val="00411941"/>
    <w:rsid w:val="00411A34"/>
    <w:rsid w:val="00411B6B"/>
    <w:rsid w:val="00411B9C"/>
    <w:rsid w:val="00411C58"/>
    <w:rsid w:val="00411C90"/>
    <w:rsid w:val="00411CE9"/>
    <w:rsid w:val="00411D30"/>
    <w:rsid w:val="00411E17"/>
    <w:rsid w:val="00411E1F"/>
    <w:rsid w:val="00411E38"/>
    <w:rsid w:val="00411ED3"/>
    <w:rsid w:val="00411EF7"/>
    <w:rsid w:val="00411F08"/>
    <w:rsid w:val="00411F52"/>
    <w:rsid w:val="00411F9F"/>
    <w:rsid w:val="0041206E"/>
    <w:rsid w:val="00412087"/>
    <w:rsid w:val="004120A8"/>
    <w:rsid w:val="004120C8"/>
    <w:rsid w:val="0041214C"/>
    <w:rsid w:val="004121E9"/>
    <w:rsid w:val="0041223E"/>
    <w:rsid w:val="004123B9"/>
    <w:rsid w:val="004123BE"/>
    <w:rsid w:val="00412447"/>
    <w:rsid w:val="004125E8"/>
    <w:rsid w:val="00412603"/>
    <w:rsid w:val="00412678"/>
    <w:rsid w:val="004126C7"/>
    <w:rsid w:val="00412825"/>
    <w:rsid w:val="00412839"/>
    <w:rsid w:val="00412846"/>
    <w:rsid w:val="004128DF"/>
    <w:rsid w:val="00412912"/>
    <w:rsid w:val="0041291F"/>
    <w:rsid w:val="00412947"/>
    <w:rsid w:val="00412A7E"/>
    <w:rsid w:val="00412AD1"/>
    <w:rsid w:val="00412AD9"/>
    <w:rsid w:val="00412B16"/>
    <w:rsid w:val="00412B93"/>
    <w:rsid w:val="00412C41"/>
    <w:rsid w:val="00412D18"/>
    <w:rsid w:val="00412E6F"/>
    <w:rsid w:val="00412E72"/>
    <w:rsid w:val="00412EC6"/>
    <w:rsid w:val="00412F20"/>
    <w:rsid w:val="0041302A"/>
    <w:rsid w:val="00413210"/>
    <w:rsid w:val="00413253"/>
    <w:rsid w:val="00413254"/>
    <w:rsid w:val="004132A7"/>
    <w:rsid w:val="004132D6"/>
    <w:rsid w:val="00413320"/>
    <w:rsid w:val="004134BF"/>
    <w:rsid w:val="004134DA"/>
    <w:rsid w:val="004134EE"/>
    <w:rsid w:val="0041357F"/>
    <w:rsid w:val="0041373A"/>
    <w:rsid w:val="00413765"/>
    <w:rsid w:val="004137BB"/>
    <w:rsid w:val="00413820"/>
    <w:rsid w:val="004138B1"/>
    <w:rsid w:val="004138F3"/>
    <w:rsid w:val="004138FD"/>
    <w:rsid w:val="00413913"/>
    <w:rsid w:val="00413B10"/>
    <w:rsid w:val="00413BFE"/>
    <w:rsid w:val="00413CCD"/>
    <w:rsid w:val="00413CED"/>
    <w:rsid w:val="00413D03"/>
    <w:rsid w:val="00413DC1"/>
    <w:rsid w:val="00413DD9"/>
    <w:rsid w:val="00413E16"/>
    <w:rsid w:val="00413ECF"/>
    <w:rsid w:val="00413FF1"/>
    <w:rsid w:val="00413FFC"/>
    <w:rsid w:val="0041405A"/>
    <w:rsid w:val="0041411B"/>
    <w:rsid w:val="00414162"/>
    <w:rsid w:val="00414177"/>
    <w:rsid w:val="0041424A"/>
    <w:rsid w:val="0041424C"/>
    <w:rsid w:val="004142C4"/>
    <w:rsid w:val="0041436E"/>
    <w:rsid w:val="0041438E"/>
    <w:rsid w:val="004143CB"/>
    <w:rsid w:val="004144C9"/>
    <w:rsid w:val="00414537"/>
    <w:rsid w:val="00414588"/>
    <w:rsid w:val="00414599"/>
    <w:rsid w:val="004145DC"/>
    <w:rsid w:val="004145E3"/>
    <w:rsid w:val="004145E5"/>
    <w:rsid w:val="0041463C"/>
    <w:rsid w:val="004146B5"/>
    <w:rsid w:val="00414769"/>
    <w:rsid w:val="00414814"/>
    <w:rsid w:val="00414859"/>
    <w:rsid w:val="00414882"/>
    <w:rsid w:val="004148AC"/>
    <w:rsid w:val="00414916"/>
    <w:rsid w:val="00414A01"/>
    <w:rsid w:val="00414A04"/>
    <w:rsid w:val="00414A09"/>
    <w:rsid w:val="00414AE8"/>
    <w:rsid w:val="00414BB7"/>
    <w:rsid w:val="00414BCC"/>
    <w:rsid w:val="00414C03"/>
    <w:rsid w:val="00414CC5"/>
    <w:rsid w:val="00414E64"/>
    <w:rsid w:val="00414E6D"/>
    <w:rsid w:val="00414E9E"/>
    <w:rsid w:val="00414EAE"/>
    <w:rsid w:val="00414EDC"/>
    <w:rsid w:val="00414F4D"/>
    <w:rsid w:val="00414F54"/>
    <w:rsid w:val="0041515B"/>
    <w:rsid w:val="0041517A"/>
    <w:rsid w:val="004151A5"/>
    <w:rsid w:val="004151FD"/>
    <w:rsid w:val="00415226"/>
    <w:rsid w:val="00415282"/>
    <w:rsid w:val="0041536E"/>
    <w:rsid w:val="004153A0"/>
    <w:rsid w:val="00415400"/>
    <w:rsid w:val="00415463"/>
    <w:rsid w:val="004154B7"/>
    <w:rsid w:val="00415568"/>
    <w:rsid w:val="0041556D"/>
    <w:rsid w:val="004156A2"/>
    <w:rsid w:val="00415783"/>
    <w:rsid w:val="004157EC"/>
    <w:rsid w:val="00415902"/>
    <w:rsid w:val="00415A64"/>
    <w:rsid w:val="00415BA6"/>
    <w:rsid w:val="00415C1B"/>
    <w:rsid w:val="00415CCD"/>
    <w:rsid w:val="00415CD1"/>
    <w:rsid w:val="00415D2B"/>
    <w:rsid w:val="00415D9B"/>
    <w:rsid w:val="00415E35"/>
    <w:rsid w:val="00415ECB"/>
    <w:rsid w:val="00415EFC"/>
    <w:rsid w:val="00416094"/>
    <w:rsid w:val="004160F7"/>
    <w:rsid w:val="00416104"/>
    <w:rsid w:val="0041615C"/>
    <w:rsid w:val="004161F5"/>
    <w:rsid w:val="00416226"/>
    <w:rsid w:val="00416240"/>
    <w:rsid w:val="004162D5"/>
    <w:rsid w:val="0041631D"/>
    <w:rsid w:val="00416338"/>
    <w:rsid w:val="0041633B"/>
    <w:rsid w:val="004163C2"/>
    <w:rsid w:val="004163D4"/>
    <w:rsid w:val="00416445"/>
    <w:rsid w:val="00416517"/>
    <w:rsid w:val="00416542"/>
    <w:rsid w:val="004165EA"/>
    <w:rsid w:val="00416644"/>
    <w:rsid w:val="00416753"/>
    <w:rsid w:val="004167C2"/>
    <w:rsid w:val="004167DE"/>
    <w:rsid w:val="00416820"/>
    <w:rsid w:val="004168DF"/>
    <w:rsid w:val="004168F6"/>
    <w:rsid w:val="00416906"/>
    <w:rsid w:val="00416997"/>
    <w:rsid w:val="00416A5C"/>
    <w:rsid w:val="00416AD2"/>
    <w:rsid w:val="00416AE8"/>
    <w:rsid w:val="00416B15"/>
    <w:rsid w:val="00416C93"/>
    <w:rsid w:val="00416C95"/>
    <w:rsid w:val="00416CDE"/>
    <w:rsid w:val="00416DD3"/>
    <w:rsid w:val="00416E6E"/>
    <w:rsid w:val="00416EF0"/>
    <w:rsid w:val="0041701A"/>
    <w:rsid w:val="0041705D"/>
    <w:rsid w:val="00417140"/>
    <w:rsid w:val="00417209"/>
    <w:rsid w:val="0041726D"/>
    <w:rsid w:val="004172E8"/>
    <w:rsid w:val="00417375"/>
    <w:rsid w:val="004173E7"/>
    <w:rsid w:val="004174C2"/>
    <w:rsid w:val="004174E1"/>
    <w:rsid w:val="00417520"/>
    <w:rsid w:val="00417547"/>
    <w:rsid w:val="00417677"/>
    <w:rsid w:val="0041772E"/>
    <w:rsid w:val="004177A5"/>
    <w:rsid w:val="00417807"/>
    <w:rsid w:val="00417838"/>
    <w:rsid w:val="00417866"/>
    <w:rsid w:val="004178F4"/>
    <w:rsid w:val="00417928"/>
    <w:rsid w:val="00417A85"/>
    <w:rsid w:val="00417AA9"/>
    <w:rsid w:val="00417ACE"/>
    <w:rsid w:val="00417BE0"/>
    <w:rsid w:val="00417BEF"/>
    <w:rsid w:val="00417C4B"/>
    <w:rsid w:val="00417E3F"/>
    <w:rsid w:val="00417E7A"/>
    <w:rsid w:val="00417EE4"/>
    <w:rsid w:val="00420029"/>
    <w:rsid w:val="0042002F"/>
    <w:rsid w:val="00420077"/>
    <w:rsid w:val="004200AB"/>
    <w:rsid w:val="004201A7"/>
    <w:rsid w:val="004201C2"/>
    <w:rsid w:val="004201EC"/>
    <w:rsid w:val="0042024C"/>
    <w:rsid w:val="00420256"/>
    <w:rsid w:val="00420283"/>
    <w:rsid w:val="00420349"/>
    <w:rsid w:val="0042034F"/>
    <w:rsid w:val="004203E9"/>
    <w:rsid w:val="004203FB"/>
    <w:rsid w:val="0042040C"/>
    <w:rsid w:val="00420414"/>
    <w:rsid w:val="00420469"/>
    <w:rsid w:val="00420477"/>
    <w:rsid w:val="0042050D"/>
    <w:rsid w:val="00420563"/>
    <w:rsid w:val="00420568"/>
    <w:rsid w:val="00420638"/>
    <w:rsid w:val="0042063B"/>
    <w:rsid w:val="00420695"/>
    <w:rsid w:val="00420748"/>
    <w:rsid w:val="0042088C"/>
    <w:rsid w:val="004208D3"/>
    <w:rsid w:val="0042098F"/>
    <w:rsid w:val="00420995"/>
    <w:rsid w:val="00420AC6"/>
    <w:rsid w:val="00420B51"/>
    <w:rsid w:val="00420BA6"/>
    <w:rsid w:val="00420BCB"/>
    <w:rsid w:val="00420C0B"/>
    <w:rsid w:val="00420C62"/>
    <w:rsid w:val="00420CF7"/>
    <w:rsid w:val="00420D77"/>
    <w:rsid w:val="00420DC4"/>
    <w:rsid w:val="00420DFC"/>
    <w:rsid w:val="00420E02"/>
    <w:rsid w:val="00420E14"/>
    <w:rsid w:val="00420E70"/>
    <w:rsid w:val="00420EFB"/>
    <w:rsid w:val="00420F14"/>
    <w:rsid w:val="00420F2D"/>
    <w:rsid w:val="00420F37"/>
    <w:rsid w:val="004210AA"/>
    <w:rsid w:val="0042111E"/>
    <w:rsid w:val="004211BC"/>
    <w:rsid w:val="00421263"/>
    <w:rsid w:val="004212D9"/>
    <w:rsid w:val="0042133C"/>
    <w:rsid w:val="00421355"/>
    <w:rsid w:val="00421359"/>
    <w:rsid w:val="0042135A"/>
    <w:rsid w:val="0042148E"/>
    <w:rsid w:val="00421499"/>
    <w:rsid w:val="00421535"/>
    <w:rsid w:val="0042155A"/>
    <w:rsid w:val="0042162A"/>
    <w:rsid w:val="0042165F"/>
    <w:rsid w:val="0042167E"/>
    <w:rsid w:val="004216D4"/>
    <w:rsid w:val="00421763"/>
    <w:rsid w:val="004217FB"/>
    <w:rsid w:val="00421834"/>
    <w:rsid w:val="00421852"/>
    <w:rsid w:val="004218E5"/>
    <w:rsid w:val="00421991"/>
    <w:rsid w:val="00421A88"/>
    <w:rsid w:val="00421AD3"/>
    <w:rsid w:val="00421B8A"/>
    <w:rsid w:val="00421BA1"/>
    <w:rsid w:val="00421BBF"/>
    <w:rsid w:val="00421DA5"/>
    <w:rsid w:val="00421DBB"/>
    <w:rsid w:val="00421E30"/>
    <w:rsid w:val="00421E71"/>
    <w:rsid w:val="00421F5E"/>
    <w:rsid w:val="00422011"/>
    <w:rsid w:val="004220B1"/>
    <w:rsid w:val="004220D3"/>
    <w:rsid w:val="00422158"/>
    <w:rsid w:val="00422224"/>
    <w:rsid w:val="00422296"/>
    <w:rsid w:val="004222B3"/>
    <w:rsid w:val="00422375"/>
    <w:rsid w:val="00422393"/>
    <w:rsid w:val="004223B6"/>
    <w:rsid w:val="004225FE"/>
    <w:rsid w:val="0042262D"/>
    <w:rsid w:val="00422645"/>
    <w:rsid w:val="004226A6"/>
    <w:rsid w:val="004226C6"/>
    <w:rsid w:val="004226FD"/>
    <w:rsid w:val="004227E3"/>
    <w:rsid w:val="00422872"/>
    <w:rsid w:val="0042287D"/>
    <w:rsid w:val="00422969"/>
    <w:rsid w:val="004229CE"/>
    <w:rsid w:val="00422A0A"/>
    <w:rsid w:val="00422A2B"/>
    <w:rsid w:val="00422B63"/>
    <w:rsid w:val="00422C47"/>
    <w:rsid w:val="00422E39"/>
    <w:rsid w:val="00422ED4"/>
    <w:rsid w:val="0042306B"/>
    <w:rsid w:val="0042318B"/>
    <w:rsid w:val="00423413"/>
    <w:rsid w:val="0042344F"/>
    <w:rsid w:val="00423585"/>
    <w:rsid w:val="004235AF"/>
    <w:rsid w:val="00423615"/>
    <w:rsid w:val="0042362C"/>
    <w:rsid w:val="00423637"/>
    <w:rsid w:val="00423726"/>
    <w:rsid w:val="00423902"/>
    <w:rsid w:val="00423929"/>
    <w:rsid w:val="004239A2"/>
    <w:rsid w:val="00423A3F"/>
    <w:rsid w:val="00423A42"/>
    <w:rsid w:val="00423A82"/>
    <w:rsid w:val="00423ABF"/>
    <w:rsid w:val="00423AE2"/>
    <w:rsid w:val="00423B36"/>
    <w:rsid w:val="00423B56"/>
    <w:rsid w:val="00423C2C"/>
    <w:rsid w:val="00423CF8"/>
    <w:rsid w:val="00423D60"/>
    <w:rsid w:val="00423D6A"/>
    <w:rsid w:val="00423D84"/>
    <w:rsid w:val="00423DBA"/>
    <w:rsid w:val="00423E90"/>
    <w:rsid w:val="00423ED2"/>
    <w:rsid w:val="00424081"/>
    <w:rsid w:val="00424170"/>
    <w:rsid w:val="004241B9"/>
    <w:rsid w:val="004241C6"/>
    <w:rsid w:val="00424215"/>
    <w:rsid w:val="0042437D"/>
    <w:rsid w:val="00424431"/>
    <w:rsid w:val="0042443A"/>
    <w:rsid w:val="0042443E"/>
    <w:rsid w:val="00424548"/>
    <w:rsid w:val="0042461B"/>
    <w:rsid w:val="00424691"/>
    <w:rsid w:val="0042473F"/>
    <w:rsid w:val="004247BF"/>
    <w:rsid w:val="00424AD8"/>
    <w:rsid w:val="00424AEB"/>
    <w:rsid w:val="00424BA0"/>
    <w:rsid w:val="00424BBA"/>
    <w:rsid w:val="00424BE7"/>
    <w:rsid w:val="00424D2D"/>
    <w:rsid w:val="00424D3F"/>
    <w:rsid w:val="00424DD4"/>
    <w:rsid w:val="00424EE4"/>
    <w:rsid w:val="00424F32"/>
    <w:rsid w:val="00424F95"/>
    <w:rsid w:val="00424FCB"/>
    <w:rsid w:val="00424FFB"/>
    <w:rsid w:val="00425094"/>
    <w:rsid w:val="004251D7"/>
    <w:rsid w:val="0042533A"/>
    <w:rsid w:val="004253AE"/>
    <w:rsid w:val="004253FF"/>
    <w:rsid w:val="004254D5"/>
    <w:rsid w:val="00425504"/>
    <w:rsid w:val="00425560"/>
    <w:rsid w:val="00425580"/>
    <w:rsid w:val="0042560E"/>
    <w:rsid w:val="0042567A"/>
    <w:rsid w:val="004256D6"/>
    <w:rsid w:val="0042573A"/>
    <w:rsid w:val="0042580D"/>
    <w:rsid w:val="00425836"/>
    <w:rsid w:val="00425837"/>
    <w:rsid w:val="004258AA"/>
    <w:rsid w:val="004258D6"/>
    <w:rsid w:val="0042595F"/>
    <w:rsid w:val="004259D5"/>
    <w:rsid w:val="004259EC"/>
    <w:rsid w:val="00425A46"/>
    <w:rsid w:val="00425BE5"/>
    <w:rsid w:val="00425D98"/>
    <w:rsid w:val="00425DB8"/>
    <w:rsid w:val="00425E36"/>
    <w:rsid w:val="00425E3B"/>
    <w:rsid w:val="00425F25"/>
    <w:rsid w:val="00425F66"/>
    <w:rsid w:val="00426019"/>
    <w:rsid w:val="0042604F"/>
    <w:rsid w:val="0042609D"/>
    <w:rsid w:val="00426178"/>
    <w:rsid w:val="004261C9"/>
    <w:rsid w:val="0042620E"/>
    <w:rsid w:val="004262D3"/>
    <w:rsid w:val="00426373"/>
    <w:rsid w:val="0042646D"/>
    <w:rsid w:val="0042648E"/>
    <w:rsid w:val="0042650F"/>
    <w:rsid w:val="00426544"/>
    <w:rsid w:val="00426582"/>
    <w:rsid w:val="004265E0"/>
    <w:rsid w:val="0042667A"/>
    <w:rsid w:val="004269A0"/>
    <w:rsid w:val="00426A2F"/>
    <w:rsid w:val="00426BA5"/>
    <w:rsid w:val="00426C26"/>
    <w:rsid w:val="00426C34"/>
    <w:rsid w:val="00426CAE"/>
    <w:rsid w:val="00426D8A"/>
    <w:rsid w:val="00426E82"/>
    <w:rsid w:val="00426ED0"/>
    <w:rsid w:val="00426FEF"/>
    <w:rsid w:val="00427187"/>
    <w:rsid w:val="00427209"/>
    <w:rsid w:val="0042722A"/>
    <w:rsid w:val="00427232"/>
    <w:rsid w:val="004273A3"/>
    <w:rsid w:val="00427477"/>
    <w:rsid w:val="004274EB"/>
    <w:rsid w:val="00427555"/>
    <w:rsid w:val="004276A9"/>
    <w:rsid w:val="00427770"/>
    <w:rsid w:val="00427784"/>
    <w:rsid w:val="0042778F"/>
    <w:rsid w:val="004278CF"/>
    <w:rsid w:val="00427912"/>
    <w:rsid w:val="00427A2F"/>
    <w:rsid w:val="00427A87"/>
    <w:rsid w:val="00427AD5"/>
    <w:rsid w:val="00427AF3"/>
    <w:rsid w:val="00427B25"/>
    <w:rsid w:val="00427B5B"/>
    <w:rsid w:val="00427BA8"/>
    <w:rsid w:val="00427BDA"/>
    <w:rsid w:val="00427C30"/>
    <w:rsid w:val="00427C4F"/>
    <w:rsid w:val="00427D62"/>
    <w:rsid w:val="00427DA2"/>
    <w:rsid w:val="00427DDB"/>
    <w:rsid w:val="00427F05"/>
    <w:rsid w:val="004300E3"/>
    <w:rsid w:val="004300F5"/>
    <w:rsid w:val="0043014E"/>
    <w:rsid w:val="0043019F"/>
    <w:rsid w:val="00430216"/>
    <w:rsid w:val="00430219"/>
    <w:rsid w:val="00430284"/>
    <w:rsid w:val="00430287"/>
    <w:rsid w:val="004302F2"/>
    <w:rsid w:val="00430491"/>
    <w:rsid w:val="004304AA"/>
    <w:rsid w:val="00430528"/>
    <w:rsid w:val="00430549"/>
    <w:rsid w:val="00430597"/>
    <w:rsid w:val="004305A1"/>
    <w:rsid w:val="0043060D"/>
    <w:rsid w:val="00430633"/>
    <w:rsid w:val="0043064E"/>
    <w:rsid w:val="004306B5"/>
    <w:rsid w:val="004306BC"/>
    <w:rsid w:val="00430749"/>
    <w:rsid w:val="004307AD"/>
    <w:rsid w:val="004307BF"/>
    <w:rsid w:val="004308C3"/>
    <w:rsid w:val="00430945"/>
    <w:rsid w:val="00430980"/>
    <w:rsid w:val="004309B8"/>
    <w:rsid w:val="00430A1E"/>
    <w:rsid w:val="00430A6B"/>
    <w:rsid w:val="00430AEC"/>
    <w:rsid w:val="00430AFC"/>
    <w:rsid w:val="00430B09"/>
    <w:rsid w:val="00430C3D"/>
    <w:rsid w:val="00430D01"/>
    <w:rsid w:val="00430D63"/>
    <w:rsid w:val="00430E0C"/>
    <w:rsid w:val="00430EA6"/>
    <w:rsid w:val="0043103A"/>
    <w:rsid w:val="0043105C"/>
    <w:rsid w:val="004310AA"/>
    <w:rsid w:val="004310F9"/>
    <w:rsid w:val="00431123"/>
    <w:rsid w:val="00431186"/>
    <w:rsid w:val="004311EB"/>
    <w:rsid w:val="0043123F"/>
    <w:rsid w:val="00431280"/>
    <w:rsid w:val="00431305"/>
    <w:rsid w:val="004313C2"/>
    <w:rsid w:val="004313E7"/>
    <w:rsid w:val="004313EA"/>
    <w:rsid w:val="00431446"/>
    <w:rsid w:val="0043148F"/>
    <w:rsid w:val="004315D0"/>
    <w:rsid w:val="0043160E"/>
    <w:rsid w:val="00431672"/>
    <w:rsid w:val="004316C4"/>
    <w:rsid w:val="004316CF"/>
    <w:rsid w:val="00431762"/>
    <w:rsid w:val="00431766"/>
    <w:rsid w:val="00431809"/>
    <w:rsid w:val="00431825"/>
    <w:rsid w:val="00431A6D"/>
    <w:rsid w:val="00431AA2"/>
    <w:rsid w:val="00431AB5"/>
    <w:rsid w:val="00431B72"/>
    <w:rsid w:val="00431CD0"/>
    <w:rsid w:val="00431D3B"/>
    <w:rsid w:val="00431D48"/>
    <w:rsid w:val="00431D59"/>
    <w:rsid w:val="00431DF8"/>
    <w:rsid w:val="00431E35"/>
    <w:rsid w:val="00431F16"/>
    <w:rsid w:val="00431F4B"/>
    <w:rsid w:val="00431FB0"/>
    <w:rsid w:val="0043201F"/>
    <w:rsid w:val="004320A8"/>
    <w:rsid w:val="0043219F"/>
    <w:rsid w:val="004321C5"/>
    <w:rsid w:val="004321EF"/>
    <w:rsid w:val="00432219"/>
    <w:rsid w:val="004322D7"/>
    <w:rsid w:val="004322DC"/>
    <w:rsid w:val="004322E0"/>
    <w:rsid w:val="0043242F"/>
    <w:rsid w:val="00432468"/>
    <w:rsid w:val="004324B0"/>
    <w:rsid w:val="00432501"/>
    <w:rsid w:val="00432569"/>
    <w:rsid w:val="004326C1"/>
    <w:rsid w:val="0043272A"/>
    <w:rsid w:val="0043277C"/>
    <w:rsid w:val="004327E9"/>
    <w:rsid w:val="00432836"/>
    <w:rsid w:val="0043289D"/>
    <w:rsid w:val="004329D1"/>
    <w:rsid w:val="004329DD"/>
    <w:rsid w:val="004329E2"/>
    <w:rsid w:val="00432AE8"/>
    <w:rsid w:val="00432B56"/>
    <w:rsid w:val="00432B71"/>
    <w:rsid w:val="00432CE8"/>
    <w:rsid w:val="00432D1E"/>
    <w:rsid w:val="00432DC2"/>
    <w:rsid w:val="00432DD6"/>
    <w:rsid w:val="00432E3C"/>
    <w:rsid w:val="00432E98"/>
    <w:rsid w:val="00432EA3"/>
    <w:rsid w:val="00432EF4"/>
    <w:rsid w:val="00432F3E"/>
    <w:rsid w:val="00432F48"/>
    <w:rsid w:val="00432F5E"/>
    <w:rsid w:val="00432F66"/>
    <w:rsid w:val="00432F88"/>
    <w:rsid w:val="00432FBC"/>
    <w:rsid w:val="0043305F"/>
    <w:rsid w:val="004330C6"/>
    <w:rsid w:val="004330EE"/>
    <w:rsid w:val="00433150"/>
    <w:rsid w:val="00433153"/>
    <w:rsid w:val="0043315D"/>
    <w:rsid w:val="004331C1"/>
    <w:rsid w:val="00433292"/>
    <w:rsid w:val="004332AA"/>
    <w:rsid w:val="0043330B"/>
    <w:rsid w:val="00433334"/>
    <w:rsid w:val="00433335"/>
    <w:rsid w:val="00433353"/>
    <w:rsid w:val="004333DD"/>
    <w:rsid w:val="004335C8"/>
    <w:rsid w:val="00433602"/>
    <w:rsid w:val="0043362C"/>
    <w:rsid w:val="00433637"/>
    <w:rsid w:val="00433777"/>
    <w:rsid w:val="0043389D"/>
    <w:rsid w:val="004338E8"/>
    <w:rsid w:val="00433A27"/>
    <w:rsid w:val="00433B09"/>
    <w:rsid w:val="00433C21"/>
    <w:rsid w:val="00433C3A"/>
    <w:rsid w:val="00433C51"/>
    <w:rsid w:val="00433D07"/>
    <w:rsid w:val="00433DE8"/>
    <w:rsid w:val="00433E0A"/>
    <w:rsid w:val="00433E74"/>
    <w:rsid w:val="00433EC9"/>
    <w:rsid w:val="00433F4F"/>
    <w:rsid w:val="00433FF0"/>
    <w:rsid w:val="00434001"/>
    <w:rsid w:val="0043401B"/>
    <w:rsid w:val="00434067"/>
    <w:rsid w:val="00434084"/>
    <w:rsid w:val="00434086"/>
    <w:rsid w:val="0043409C"/>
    <w:rsid w:val="004340C0"/>
    <w:rsid w:val="00434174"/>
    <w:rsid w:val="00434274"/>
    <w:rsid w:val="00434297"/>
    <w:rsid w:val="004342AE"/>
    <w:rsid w:val="0043430B"/>
    <w:rsid w:val="0043437F"/>
    <w:rsid w:val="004345C5"/>
    <w:rsid w:val="0043463D"/>
    <w:rsid w:val="0043466F"/>
    <w:rsid w:val="004346A3"/>
    <w:rsid w:val="004346D8"/>
    <w:rsid w:val="004346E8"/>
    <w:rsid w:val="004346ED"/>
    <w:rsid w:val="00434713"/>
    <w:rsid w:val="00434736"/>
    <w:rsid w:val="004349C2"/>
    <w:rsid w:val="004349D5"/>
    <w:rsid w:val="00434A10"/>
    <w:rsid w:val="00434A33"/>
    <w:rsid w:val="00434BA6"/>
    <w:rsid w:val="00434C38"/>
    <w:rsid w:val="00434D1F"/>
    <w:rsid w:val="00434D62"/>
    <w:rsid w:val="00434E13"/>
    <w:rsid w:val="00434E81"/>
    <w:rsid w:val="00434EC0"/>
    <w:rsid w:val="00434F63"/>
    <w:rsid w:val="00434FA1"/>
    <w:rsid w:val="00435076"/>
    <w:rsid w:val="00435175"/>
    <w:rsid w:val="00435195"/>
    <w:rsid w:val="0043519F"/>
    <w:rsid w:val="004351CA"/>
    <w:rsid w:val="00435207"/>
    <w:rsid w:val="0043542D"/>
    <w:rsid w:val="00435481"/>
    <w:rsid w:val="004354AB"/>
    <w:rsid w:val="004354C7"/>
    <w:rsid w:val="0043552C"/>
    <w:rsid w:val="00435589"/>
    <w:rsid w:val="0043564C"/>
    <w:rsid w:val="004356EB"/>
    <w:rsid w:val="0043571D"/>
    <w:rsid w:val="00435788"/>
    <w:rsid w:val="0043589B"/>
    <w:rsid w:val="004358B3"/>
    <w:rsid w:val="0043595B"/>
    <w:rsid w:val="00435BE4"/>
    <w:rsid w:val="00435D21"/>
    <w:rsid w:val="00435D8E"/>
    <w:rsid w:val="00435E51"/>
    <w:rsid w:val="00435F64"/>
    <w:rsid w:val="00435FF4"/>
    <w:rsid w:val="00436120"/>
    <w:rsid w:val="004361DB"/>
    <w:rsid w:val="004361E4"/>
    <w:rsid w:val="0043624F"/>
    <w:rsid w:val="00436366"/>
    <w:rsid w:val="0043637E"/>
    <w:rsid w:val="00436403"/>
    <w:rsid w:val="00436452"/>
    <w:rsid w:val="0043646D"/>
    <w:rsid w:val="0043651A"/>
    <w:rsid w:val="00436564"/>
    <w:rsid w:val="00436585"/>
    <w:rsid w:val="004365DB"/>
    <w:rsid w:val="00436620"/>
    <w:rsid w:val="0043665B"/>
    <w:rsid w:val="0043667E"/>
    <w:rsid w:val="00436768"/>
    <w:rsid w:val="00436797"/>
    <w:rsid w:val="0043683F"/>
    <w:rsid w:val="00436864"/>
    <w:rsid w:val="004368AD"/>
    <w:rsid w:val="004368CE"/>
    <w:rsid w:val="004369F5"/>
    <w:rsid w:val="00436A7E"/>
    <w:rsid w:val="00436B14"/>
    <w:rsid w:val="00436B3B"/>
    <w:rsid w:val="00436BCE"/>
    <w:rsid w:val="00436C00"/>
    <w:rsid w:val="00436CD8"/>
    <w:rsid w:val="00436CFF"/>
    <w:rsid w:val="00436D51"/>
    <w:rsid w:val="00436DA2"/>
    <w:rsid w:val="00436E9B"/>
    <w:rsid w:val="00436EDA"/>
    <w:rsid w:val="00436F41"/>
    <w:rsid w:val="00436F86"/>
    <w:rsid w:val="00436FF7"/>
    <w:rsid w:val="00437066"/>
    <w:rsid w:val="004370C0"/>
    <w:rsid w:val="004370F3"/>
    <w:rsid w:val="004370F5"/>
    <w:rsid w:val="00437153"/>
    <w:rsid w:val="00437157"/>
    <w:rsid w:val="0043719D"/>
    <w:rsid w:val="004371A8"/>
    <w:rsid w:val="00437219"/>
    <w:rsid w:val="00437278"/>
    <w:rsid w:val="00437312"/>
    <w:rsid w:val="0043731C"/>
    <w:rsid w:val="004373C8"/>
    <w:rsid w:val="004373F9"/>
    <w:rsid w:val="0043744B"/>
    <w:rsid w:val="00437472"/>
    <w:rsid w:val="0043747E"/>
    <w:rsid w:val="004374C3"/>
    <w:rsid w:val="0043752E"/>
    <w:rsid w:val="0043755D"/>
    <w:rsid w:val="00437576"/>
    <w:rsid w:val="004375C6"/>
    <w:rsid w:val="0043768B"/>
    <w:rsid w:val="004376DE"/>
    <w:rsid w:val="004377EA"/>
    <w:rsid w:val="004378ED"/>
    <w:rsid w:val="00437915"/>
    <w:rsid w:val="004379CE"/>
    <w:rsid w:val="004379FF"/>
    <w:rsid w:val="00437ACB"/>
    <w:rsid w:val="00437AF5"/>
    <w:rsid w:val="00437B20"/>
    <w:rsid w:val="00437B97"/>
    <w:rsid w:val="00437BFC"/>
    <w:rsid w:val="00437D90"/>
    <w:rsid w:val="00437DBE"/>
    <w:rsid w:val="00437DDC"/>
    <w:rsid w:val="00437DDE"/>
    <w:rsid w:val="00437EBA"/>
    <w:rsid w:val="00437EF3"/>
    <w:rsid w:val="00437EF7"/>
    <w:rsid w:val="00437F1E"/>
    <w:rsid w:val="00437F54"/>
    <w:rsid w:val="0044003C"/>
    <w:rsid w:val="004401AD"/>
    <w:rsid w:val="0044028E"/>
    <w:rsid w:val="00440353"/>
    <w:rsid w:val="004403F2"/>
    <w:rsid w:val="004404C5"/>
    <w:rsid w:val="004404E4"/>
    <w:rsid w:val="004404FB"/>
    <w:rsid w:val="0044052C"/>
    <w:rsid w:val="004405D2"/>
    <w:rsid w:val="00440728"/>
    <w:rsid w:val="00440736"/>
    <w:rsid w:val="00440782"/>
    <w:rsid w:val="004408E5"/>
    <w:rsid w:val="004409A7"/>
    <w:rsid w:val="004409FB"/>
    <w:rsid w:val="00440A88"/>
    <w:rsid w:val="00440AA6"/>
    <w:rsid w:val="00440AC1"/>
    <w:rsid w:val="00440B1D"/>
    <w:rsid w:val="00440CB2"/>
    <w:rsid w:val="00440D0D"/>
    <w:rsid w:val="00440D39"/>
    <w:rsid w:val="00440D3D"/>
    <w:rsid w:val="00440D81"/>
    <w:rsid w:val="00440EAE"/>
    <w:rsid w:val="00440F2F"/>
    <w:rsid w:val="00440F7B"/>
    <w:rsid w:val="004410B9"/>
    <w:rsid w:val="004410D8"/>
    <w:rsid w:val="00441130"/>
    <w:rsid w:val="00441193"/>
    <w:rsid w:val="004411E1"/>
    <w:rsid w:val="0044124C"/>
    <w:rsid w:val="004412F4"/>
    <w:rsid w:val="004412FE"/>
    <w:rsid w:val="004413F0"/>
    <w:rsid w:val="00441402"/>
    <w:rsid w:val="0044148B"/>
    <w:rsid w:val="004414CB"/>
    <w:rsid w:val="004414E6"/>
    <w:rsid w:val="00441538"/>
    <w:rsid w:val="00441643"/>
    <w:rsid w:val="0044167D"/>
    <w:rsid w:val="004416BE"/>
    <w:rsid w:val="00441750"/>
    <w:rsid w:val="004418AD"/>
    <w:rsid w:val="00441946"/>
    <w:rsid w:val="00441974"/>
    <w:rsid w:val="00441B69"/>
    <w:rsid w:val="00441BC4"/>
    <w:rsid w:val="00441BD1"/>
    <w:rsid w:val="00441C98"/>
    <w:rsid w:val="00441CF1"/>
    <w:rsid w:val="00441D08"/>
    <w:rsid w:val="00441D21"/>
    <w:rsid w:val="00441F08"/>
    <w:rsid w:val="00441FED"/>
    <w:rsid w:val="00442000"/>
    <w:rsid w:val="00442075"/>
    <w:rsid w:val="004420D1"/>
    <w:rsid w:val="004420E1"/>
    <w:rsid w:val="004420FD"/>
    <w:rsid w:val="00442170"/>
    <w:rsid w:val="004422FA"/>
    <w:rsid w:val="004422FC"/>
    <w:rsid w:val="00442330"/>
    <w:rsid w:val="0044234F"/>
    <w:rsid w:val="00442371"/>
    <w:rsid w:val="0044239F"/>
    <w:rsid w:val="004423B1"/>
    <w:rsid w:val="004423D5"/>
    <w:rsid w:val="004424B3"/>
    <w:rsid w:val="0044254E"/>
    <w:rsid w:val="00442677"/>
    <w:rsid w:val="004426AE"/>
    <w:rsid w:val="004426D3"/>
    <w:rsid w:val="00442752"/>
    <w:rsid w:val="00442807"/>
    <w:rsid w:val="00442838"/>
    <w:rsid w:val="0044287B"/>
    <w:rsid w:val="0044293F"/>
    <w:rsid w:val="00442971"/>
    <w:rsid w:val="004429A4"/>
    <w:rsid w:val="00442A35"/>
    <w:rsid w:val="00442AEE"/>
    <w:rsid w:val="00442C44"/>
    <w:rsid w:val="00442C6C"/>
    <w:rsid w:val="00442CD0"/>
    <w:rsid w:val="00442CFD"/>
    <w:rsid w:val="00442D4E"/>
    <w:rsid w:val="00442E25"/>
    <w:rsid w:val="00442E71"/>
    <w:rsid w:val="00442F57"/>
    <w:rsid w:val="00443078"/>
    <w:rsid w:val="004430B1"/>
    <w:rsid w:val="004430D0"/>
    <w:rsid w:val="004430E2"/>
    <w:rsid w:val="0044310E"/>
    <w:rsid w:val="00443155"/>
    <w:rsid w:val="00443280"/>
    <w:rsid w:val="004432FD"/>
    <w:rsid w:val="004434E7"/>
    <w:rsid w:val="004434E8"/>
    <w:rsid w:val="00443546"/>
    <w:rsid w:val="004435CD"/>
    <w:rsid w:val="004435D5"/>
    <w:rsid w:val="004435FF"/>
    <w:rsid w:val="00443612"/>
    <w:rsid w:val="00443652"/>
    <w:rsid w:val="004437AD"/>
    <w:rsid w:val="004437CA"/>
    <w:rsid w:val="004437FC"/>
    <w:rsid w:val="00443843"/>
    <w:rsid w:val="0044385F"/>
    <w:rsid w:val="0044388D"/>
    <w:rsid w:val="00443893"/>
    <w:rsid w:val="004438D7"/>
    <w:rsid w:val="0044390C"/>
    <w:rsid w:val="00443973"/>
    <w:rsid w:val="00443984"/>
    <w:rsid w:val="00443988"/>
    <w:rsid w:val="00443A79"/>
    <w:rsid w:val="00443AB3"/>
    <w:rsid w:val="00443AB4"/>
    <w:rsid w:val="00443AB7"/>
    <w:rsid w:val="00443ADC"/>
    <w:rsid w:val="00443AFF"/>
    <w:rsid w:val="00443BA5"/>
    <w:rsid w:val="00443BB0"/>
    <w:rsid w:val="00443BD2"/>
    <w:rsid w:val="00443BD3"/>
    <w:rsid w:val="00443C4B"/>
    <w:rsid w:val="00443D59"/>
    <w:rsid w:val="00443E48"/>
    <w:rsid w:val="00443E7E"/>
    <w:rsid w:val="00443EFE"/>
    <w:rsid w:val="00443F0E"/>
    <w:rsid w:val="00443FCB"/>
    <w:rsid w:val="0044402D"/>
    <w:rsid w:val="00444031"/>
    <w:rsid w:val="0044407C"/>
    <w:rsid w:val="0044411B"/>
    <w:rsid w:val="00444197"/>
    <w:rsid w:val="004442E2"/>
    <w:rsid w:val="00444306"/>
    <w:rsid w:val="00444382"/>
    <w:rsid w:val="004443D0"/>
    <w:rsid w:val="0044443F"/>
    <w:rsid w:val="0044447B"/>
    <w:rsid w:val="004444BF"/>
    <w:rsid w:val="004444CC"/>
    <w:rsid w:val="00444674"/>
    <w:rsid w:val="004446A4"/>
    <w:rsid w:val="004446FA"/>
    <w:rsid w:val="00444703"/>
    <w:rsid w:val="0044471D"/>
    <w:rsid w:val="00444769"/>
    <w:rsid w:val="0044481B"/>
    <w:rsid w:val="0044483C"/>
    <w:rsid w:val="00444849"/>
    <w:rsid w:val="00444872"/>
    <w:rsid w:val="004448AC"/>
    <w:rsid w:val="004448B2"/>
    <w:rsid w:val="004448B5"/>
    <w:rsid w:val="00444A0C"/>
    <w:rsid w:val="00444A9D"/>
    <w:rsid w:val="00444AF7"/>
    <w:rsid w:val="00444B72"/>
    <w:rsid w:val="00444D53"/>
    <w:rsid w:val="00444DD2"/>
    <w:rsid w:val="00444E36"/>
    <w:rsid w:val="00444E83"/>
    <w:rsid w:val="00444ECC"/>
    <w:rsid w:val="00444F8D"/>
    <w:rsid w:val="00444FFB"/>
    <w:rsid w:val="00445081"/>
    <w:rsid w:val="004450E9"/>
    <w:rsid w:val="00445178"/>
    <w:rsid w:val="00445227"/>
    <w:rsid w:val="0044522E"/>
    <w:rsid w:val="00445246"/>
    <w:rsid w:val="004453F3"/>
    <w:rsid w:val="0044553B"/>
    <w:rsid w:val="0044557A"/>
    <w:rsid w:val="004456A3"/>
    <w:rsid w:val="00445700"/>
    <w:rsid w:val="00445757"/>
    <w:rsid w:val="00445771"/>
    <w:rsid w:val="004457FF"/>
    <w:rsid w:val="0044586D"/>
    <w:rsid w:val="00445937"/>
    <w:rsid w:val="00445A38"/>
    <w:rsid w:val="00445A93"/>
    <w:rsid w:val="00445AAA"/>
    <w:rsid w:val="00445BD5"/>
    <w:rsid w:val="00445BE1"/>
    <w:rsid w:val="00445C17"/>
    <w:rsid w:val="00445CAB"/>
    <w:rsid w:val="00445D8E"/>
    <w:rsid w:val="00445E0A"/>
    <w:rsid w:val="00445F42"/>
    <w:rsid w:val="00445F62"/>
    <w:rsid w:val="00445F77"/>
    <w:rsid w:val="00445F7F"/>
    <w:rsid w:val="00445F93"/>
    <w:rsid w:val="00445F9B"/>
    <w:rsid w:val="0044603D"/>
    <w:rsid w:val="00446121"/>
    <w:rsid w:val="004461C8"/>
    <w:rsid w:val="004462CF"/>
    <w:rsid w:val="0044632E"/>
    <w:rsid w:val="0044633D"/>
    <w:rsid w:val="00446368"/>
    <w:rsid w:val="0044638C"/>
    <w:rsid w:val="004463A0"/>
    <w:rsid w:val="004463FF"/>
    <w:rsid w:val="00446505"/>
    <w:rsid w:val="0044654C"/>
    <w:rsid w:val="004465E3"/>
    <w:rsid w:val="0044667C"/>
    <w:rsid w:val="004466FD"/>
    <w:rsid w:val="0044678D"/>
    <w:rsid w:val="004467A4"/>
    <w:rsid w:val="004467C7"/>
    <w:rsid w:val="004467F7"/>
    <w:rsid w:val="0044681A"/>
    <w:rsid w:val="004468E4"/>
    <w:rsid w:val="00446910"/>
    <w:rsid w:val="0044692F"/>
    <w:rsid w:val="00446ADC"/>
    <w:rsid w:val="00446B35"/>
    <w:rsid w:val="00446BAC"/>
    <w:rsid w:val="00446CDD"/>
    <w:rsid w:val="00446D14"/>
    <w:rsid w:val="00446D2B"/>
    <w:rsid w:val="00446D6E"/>
    <w:rsid w:val="00446DB6"/>
    <w:rsid w:val="00446E6E"/>
    <w:rsid w:val="00446F4C"/>
    <w:rsid w:val="00446FD9"/>
    <w:rsid w:val="00447166"/>
    <w:rsid w:val="0044718A"/>
    <w:rsid w:val="0044720D"/>
    <w:rsid w:val="0044723A"/>
    <w:rsid w:val="004472E0"/>
    <w:rsid w:val="004472FC"/>
    <w:rsid w:val="0044733E"/>
    <w:rsid w:val="00447342"/>
    <w:rsid w:val="00447343"/>
    <w:rsid w:val="004473BE"/>
    <w:rsid w:val="0044748A"/>
    <w:rsid w:val="00447544"/>
    <w:rsid w:val="004475E0"/>
    <w:rsid w:val="00447668"/>
    <w:rsid w:val="004476B9"/>
    <w:rsid w:val="004476FD"/>
    <w:rsid w:val="00447807"/>
    <w:rsid w:val="004478FD"/>
    <w:rsid w:val="0044791C"/>
    <w:rsid w:val="00447983"/>
    <w:rsid w:val="00447B55"/>
    <w:rsid w:val="00447B89"/>
    <w:rsid w:val="00447BC6"/>
    <w:rsid w:val="00447BC8"/>
    <w:rsid w:val="00447C44"/>
    <w:rsid w:val="00447C56"/>
    <w:rsid w:val="00447CF9"/>
    <w:rsid w:val="00447D6F"/>
    <w:rsid w:val="00447D99"/>
    <w:rsid w:val="00447E4F"/>
    <w:rsid w:val="00447E69"/>
    <w:rsid w:val="00447ED0"/>
    <w:rsid w:val="00450046"/>
    <w:rsid w:val="0045005F"/>
    <w:rsid w:val="004500DF"/>
    <w:rsid w:val="00450124"/>
    <w:rsid w:val="0045012F"/>
    <w:rsid w:val="004501AF"/>
    <w:rsid w:val="004501BE"/>
    <w:rsid w:val="004502D6"/>
    <w:rsid w:val="004502F2"/>
    <w:rsid w:val="0045035F"/>
    <w:rsid w:val="0045038C"/>
    <w:rsid w:val="004503F4"/>
    <w:rsid w:val="004504A0"/>
    <w:rsid w:val="00450563"/>
    <w:rsid w:val="004505B3"/>
    <w:rsid w:val="0045060E"/>
    <w:rsid w:val="0045064D"/>
    <w:rsid w:val="004506E9"/>
    <w:rsid w:val="0045086E"/>
    <w:rsid w:val="00450887"/>
    <w:rsid w:val="00450A9B"/>
    <w:rsid w:val="00450ACF"/>
    <w:rsid w:val="00450B08"/>
    <w:rsid w:val="00450BDD"/>
    <w:rsid w:val="00450C88"/>
    <w:rsid w:val="00450CB3"/>
    <w:rsid w:val="00450CE5"/>
    <w:rsid w:val="00450D1E"/>
    <w:rsid w:val="00450E70"/>
    <w:rsid w:val="00450EE6"/>
    <w:rsid w:val="00450F09"/>
    <w:rsid w:val="00450F2F"/>
    <w:rsid w:val="00450FAB"/>
    <w:rsid w:val="00451115"/>
    <w:rsid w:val="00451168"/>
    <w:rsid w:val="00451270"/>
    <w:rsid w:val="00451291"/>
    <w:rsid w:val="004512B4"/>
    <w:rsid w:val="004512D4"/>
    <w:rsid w:val="004512F1"/>
    <w:rsid w:val="0045137C"/>
    <w:rsid w:val="0045146A"/>
    <w:rsid w:val="004514CB"/>
    <w:rsid w:val="004515E7"/>
    <w:rsid w:val="00451653"/>
    <w:rsid w:val="004516A3"/>
    <w:rsid w:val="00451812"/>
    <w:rsid w:val="0045183C"/>
    <w:rsid w:val="0045193F"/>
    <w:rsid w:val="0045196C"/>
    <w:rsid w:val="004519F7"/>
    <w:rsid w:val="00451ADC"/>
    <w:rsid w:val="00451AE5"/>
    <w:rsid w:val="00451AF3"/>
    <w:rsid w:val="00451B6A"/>
    <w:rsid w:val="00451DBE"/>
    <w:rsid w:val="00451DDD"/>
    <w:rsid w:val="00451DEF"/>
    <w:rsid w:val="00451DF8"/>
    <w:rsid w:val="00451E61"/>
    <w:rsid w:val="00451E87"/>
    <w:rsid w:val="00451EAE"/>
    <w:rsid w:val="00451F3C"/>
    <w:rsid w:val="00451F54"/>
    <w:rsid w:val="00451F65"/>
    <w:rsid w:val="00451F6D"/>
    <w:rsid w:val="00451FB1"/>
    <w:rsid w:val="004520F3"/>
    <w:rsid w:val="00452263"/>
    <w:rsid w:val="0045233B"/>
    <w:rsid w:val="0045238E"/>
    <w:rsid w:val="00452403"/>
    <w:rsid w:val="00452479"/>
    <w:rsid w:val="00452515"/>
    <w:rsid w:val="004526A3"/>
    <w:rsid w:val="004526CD"/>
    <w:rsid w:val="004526ED"/>
    <w:rsid w:val="0045272D"/>
    <w:rsid w:val="00452735"/>
    <w:rsid w:val="00452886"/>
    <w:rsid w:val="00452948"/>
    <w:rsid w:val="004529BA"/>
    <w:rsid w:val="004529F0"/>
    <w:rsid w:val="00452AFB"/>
    <w:rsid w:val="00452B09"/>
    <w:rsid w:val="00452CF4"/>
    <w:rsid w:val="00452D41"/>
    <w:rsid w:val="00452D61"/>
    <w:rsid w:val="00452D7B"/>
    <w:rsid w:val="00452DB9"/>
    <w:rsid w:val="00452E08"/>
    <w:rsid w:val="00452E3D"/>
    <w:rsid w:val="00452ED6"/>
    <w:rsid w:val="00452EED"/>
    <w:rsid w:val="00452F11"/>
    <w:rsid w:val="00452F63"/>
    <w:rsid w:val="00452F7A"/>
    <w:rsid w:val="00452F95"/>
    <w:rsid w:val="00452F9E"/>
    <w:rsid w:val="00452FD3"/>
    <w:rsid w:val="0045305C"/>
    <w:rsid w:val="00453081"/>
    <w:rsid w:val="00453086"/>
    <w:rsid w:val="004530F8"/>
    <w:rsid w:val="0045315A"/>
    <w:rsid w:val="004531EA"/>
    <w:rsid w:val="00453231"/>
    <w:rsid w:val="00453315"/>
    <w:rsid w:val="004533B1"/>
    <w:rsid w:val="004533CA"/>
    <w:rsid w:val="004533E9"/>
    <w:rsid w:val="00453448"/>
    <w:rsid w:val="0045344A"/>
    <w:rsid w:val="00453466"/>
    <w:rsid w:val="0045346A"/>
    <w:rsid w:val="00453559"/>
    <w:rsid w:val="004535AD"/>
    <w:rsid w:val="004535EE"/>
    <w:rsid w:val="0045368A"/>
    <w:rsid w:val="0045376C"/>
    <w:rsid w:val="004538BD"/>
    <w:rsid w:val="004538C3"/>
    <w:rsid w:val="00453911"/>
    <w:rsid w:val="00453917"/>
    <w:rsid w:val="00453920"/>
    <w:rsid w:val="00453AD5"/>
    <w:rsid w:val="00453AD8"/>
    <w:rsid w:val="00453B2B"/>
    <w:rsid w:val="00453B6D"/>
    <w:rsid w:val="00453CF1"/>
    <w:rsid w:val="00453E51"/>
    <w:rsid w:val="00453E77"/>
    <w:rsid w:val="00453EAF"/>
    <w:rsid w:val="00453F76"/>
    <w:rsid w:val="00453F95"/>
    <w:rsid w:val="00453FA9"/>
    <w:rsid w:val="00454084"/>
    <w:rsid w:val="00454147"/>
    <w:rsid w:val="004541B0"/>
    <w:rsid w:val="004541CE"/>
    <w:rsid w:val="00454259"/>
    <w:rsid w:val="00454306"/>
    <w:rsid w:val="004543D2"/>
    <w:rsid w:val="004543D7"/>
    <w:rsid w:val="0045447E"/>
    <w:rsid w:val="004545DC"/>
    <w:rsid w:val="0045462C"/>
    <w:rsid w:val="00454637"/>
    <w:rsid w:val="00454670"/>
    <w:rsid w:val="004547A2"/>
    <w:rsid w:val="0045482B"/>
    <w:rsid w:val="0045487F"/>
    <w:rsid w:val="004549D8"/>
    <w:rsid w:val="00454C3D"/>
    <w:rsid w:val="00454C54"/>
    <w:rsid w:val="00454C7E"/>
    <w:rsid w:val="00454C9C"/>
    <w:rsid w:val="00454CD1"/>
    <w:rsid w:val="00454D0C"/>
    <w:rsid w:val="00454D9D"/>
    <w:rsid w:val="00454DB6"/>
    <w:rsid w:val="00454E73"/>
    <w:rsid w:val="00454EB4"/>
    <w:rsid w:val="00454ED1"/>
    <w:rsid w:val="00454ED4"/>
    <w:rsid w:val="00454F5E"/>
    <w:rsid w:val="0045510A"/>
    <w:rsid w:val="00455123"/>
    <w:rsid w:val="00455172"/>
    <w:rsid w:val="004551B8"/>
    <w:rsid w:val="004551E1"/>
    <w:rsid w:val="004551EF"/>
    <w:rsid w:val="00455218"/>
    <w:rsid w:val="0045524C"/>
    <w:rsid w:val="004552A7"/>
    <w:rsid w:val="004552EC"/>
    <w:rsid w:val="00455306"/>
    <w:rsid w:val="0045530E"/>
    <w:rsid w:val="00455395"/>
    <w:rsid w:val="004553BE"/>
    <w:rsid w:val="004553F5"/>
    <w:rsid w:val="00455402"/>
    <w:rsid w:val="0045540F"/>
    <w:rsid w:val="00455430"/>
    <w:rsid w:val="00455496"/>
    <w:rsid w:val="004554C3"/>
    <w:rsid w:val="004554D7"/>
    <w:rsid w:val="004554FF"/>
    <w:rsid w:val="00455589"/>
    <w:rsid w:val="004555C4"/>
    <w:rsid w:val="00455673"/>
    <w:rsid w:val="004556F4"/>
    <w:rsid w:val="00455700"/>
    <w:rsid w:val="00455713"/>
    <w:rsid w:val="004557B6"/>
    <w:rsid w:val="00455939"/>
    <w:rsid w:val="00455963"/>
    <w:rsid w:val="00455A53"/>
    <w:rsid w:val="00455A59"/>
    <w:rsid w:val="00455A7C"/>
    <w:rsid w:val="00455AA1"/>
    <w:rsid w:val="00455AA2"/>
    <w:rsid w:val="00455AB7"/>
    <w:rsid w:val="00455BCD"/>
    <w:rsid w:val="00455C0A"/>
    <w:rsid w:val="00455C6B"/>
    <w:rsid w:val="00455D07"/>
    <w:rsid w:val="00455D0A"/>
    <w:rsid w:val="00455D35"/>
    <w:rsid w:val="00455EC9"/>
    <w:rsid w:val="00455EE9"/>
    <w:rsid w:val="00455F31"/>
    <w:rsid w:val="00455F35"/>
    <w:rsid w:val="00455F5F"/>
    <w:rsid w:val="00455F9A"/>
    <w:rsid w:val="00455FA1"/>
    <w:rsid w:val="0045615F"/>
    <w:rsid w:val="00456175"/>
    <w:rsid w:val="0045624B"/>
    <w:rsid w:val="0045641C"/>
    <w:rsid w:val="00456501"/>
    <w:rsid w:val="0045657F"/>
    <w:rsid w:val="004565A5"/>
    <w:rsid w:val="004565C4"/>
    <w:rsid w:val="00456685"/>
    <w:rsid w:val="00456720"/>
    <w:rsid w:val="00456762"/>
    <w:rsid w:val="00456778"/>
    <w:rsid w:val="004567F8"/>
    <w:rsid w:val="004569BF"/>
    <w:rsid w:val="004569DA"/>
    <w:rsid w:val="004569DD"/>
    <w:rsid w:val="00456B3F"/>
    <w:rsid w:val="00456B54"/>
    <w:rsid w:val="00456B98"/>
    <w:rsid w:val="00456BC9"/>
    <w:rsid w:val="00456CA2"/>
    <w:rsid w:val="00456CCC"/>
    <w:rsid w:val="00456EFD"/>
    <w:rsid w:val="00456F31"/>
    <w:rsid w:val="0045705C"/>
    <w:rsid w:val="0045715D"/>
    <w:rsid w:val="00457189"/>
    <w:rsid w:val="0045728F"/>
    <w:rsid w:val="00457325"/>
    <w:rsid w:val="00457333"/>
    <w:rsid w:val="0045737C"/>
    <w:rsid w:val="00457399"/>
    <w:rsid w:val="00457504"/>
    <w:rsid w:val="004576B5"/>
    <w:rsid w:val="004576ED"/>
    <w:rsid w:val="00457726"/>
    <w:rsid w:val="0045784E"/>
    <w:rsid w:val="004578FB"/>
    <w:rsid w:val="00457A02"/>
    <w:rsid w:val="00457A93"/>
    <w:rsid w:val="00457AC5"/>
    <w:rsid w:val="00457B3C"/>
    <w:rsid w:val="00457B5F"/>
    <w:rsid w:val="00457B78"/>
    <w:rsid w:val="00457C5B"/>
    <w:rsid w:val="00457C60"/>
    <w:rsid w:val="00457C75"/>
    <w:rsid w:val="00457C90"/>
    <w:rsid w:val="00457D5A"/>
    <w:rsid w:val="00457E0D"/>
    <w:rsid w:val="00457E32"/>
    <w:rsid w:val="00457F77"/>
    <w:rsid w:val="00457FB1"/>
    <w:rsid w:val="00457FE8"/>
    <w:rsid w:val="00460023"/>
    <w:rsid w:val="004600F4"/>
    <w:rsid w:val="00460101"/>
    <w:rsid w:val="00460109"/>
    <w:rsid w:val="00460122"/>
    <w:rsid w:val="0046014A"/>
    <w:rsid w:val="004601B9"/>
    <w:rsid w:val="004602C0"/>
    <w:rsid w:val="0046037C"/>
    <w:rsid w:val="0046045A"/>
    <w:rsid w:val="0046047D"/>
    <w:rsid w:val="0046051E"/>
    <w:rsid w:val="004605FE"/>
    <w:rsid w:val="00460692"/>
    <w:rsid w:val="004606ED"/>
    <w:rsid w:val="00460817"/>
    <w:rsid w:val="00460839"/>
    <w:rsid w:val="0046084B"/>
    <w:rsid w:val="0046085E"/>
    <w:rsid w:val="004608A9"/>
    <w:rsid w:val="004608DA"/>
    <w:rsid w:val="00460954"/>
    <w:rsid w:val="004609A3"/>
    <w:rsid w:val="00460AF2"/>
    <w:rsid w:val="00460B10"/>
    <w:rsid w:val="00460B14"/>
    <w:rsid w:val="00460BBD"/>
    <w:rsid w:val="00460C90"/>
    <w:rsid w:val="00460CD5"/>
    <w:rsid w:val="00460CD7"/>
    <w:rsid w:val="00460CDA"/>
    <w:rsid w:val="00460D53"/>
    <w:rsid w:val="00460DA3"/>
    <w:rsid w:val="00460E5B"/>
    <w:rsid w:val="00460E9D"/>
    <w:rsid w:val="00460F89"/>
    <w:rsid w:val="00460FB2"/>
    <w:rsid w:val="0046108A"/>
    <w:rsid w:val="00461103"/>
    <w:rsid w:val="00461120"/>
    <w:rsid w:val="00461128"/>
    <w:rsid w:val="00461200"/>
    <w:rsid w:val="00461378"/>
    <w:rsid w:val="00461419"/>
    <w:rsid w:val="004614E2"/>
    <w:rsid w:val="00461520"/>
    <w:rsid w:val="0046152B"/>
    <w:rsid w:val="004617C1"/>
    <w:rsid w:val="004617F5"/>
    <w:rsid w:val="00461875"/>
    <w:rsid w:val="004618CF"/>
    <w:rsid w:val="004618DC"/>
    <w:rsid w:val="004618EA"/>
    <w:rsid w:val="0046190A"/>
    <w:rsid w:val="00461934"/>
    <w:rsid w:val="004619AC"/>
    <w:rsid w:val="004619F4"/>
    <w:rsid w:val="004619FA"/>
    <w:rsid w:val="00461A12"/>
    <w:rsid w:val="00461A74"/>
    <w:rsid w:val="00461B6B"/>
    <w:rsid w:val="00461C54"/>
    <w:rsid w:val="00461CB4"/>
    <w:rsid w:val="00461D79"/>
    <w:rsid w:val="00461D97"/>
    <w:rsid w:val="00461D98"/>
    <w:rsid w:val="00461E61"/>
    <w:rsid w:val="00461E6E"/>
    <w:rsid w:val="00461EBF"/>
    <w:rsid w:val="00461F40"/>
    <w:rsid w:val="00461FA1"/>
    <w:rsid w:val="0046203B"/>
    <w:rsid w:val="0046204F"/>
    <w:rsid w:val="00462197"/>
    <w:rsid w:val="00462287"/>
    <w:rsid w:val="0046228D"/>
    <w:rsid w:val="004622FB"/>
    <w:rsid w:val="00462338"/>
    <w:rsid w:val="00462388"/>
    <w:rsid w:val="00462390"/>
    <w:rsid w:val="004623DE"/>
    <w:rsid w:val="0046251C"/>
    <w:rsid w:val="004625F3"/>
    <w:rsid w:val="0046268F"/>
    <w:rsid w:val="0046274E"/>
    <w:rsid w:val="00462760"/>
    <w:rsid w:val="00462795"/>
    <w:rsid w:val="00462822"/>
    <w:rsid w:val="0046286F"/>
    <w:rsid w:val="0046288B"/>
    <w:rsid w:val="00462898"/>
    <w:rsid w:val="004628D7"/>
    <w:rsid w:val="00462988"/>
    <w:rsid w:val="004629DB"/>
    <w:rsid w:val="00462A65"/>
    <w:rsid w:val="00462A68"/>
    <w:rsid w:val="00462B2A"/>
    <w:rsid w:val="00462B52"/>
    <w:rsid w:val="00462C83"/>
    <w:rsid w:val="00462D54"/>
    <w:rsid w:val="00462DCC"/>
    <w:rsid w:val="00462E41"/>
    <w:rsid w:val="00462EFB"/>
    <w:rsid w:val="00462F0F"/>
    <w:rsid w:val="00463077"/>
    <w:rsid w:val="004630CC"/>
    <w:rsid w:val="00463129"/>
    <w:rsid w:val="00463243"/>
    <w:rsid w:val="00463265"/>
    <w:rsid w:val="0046326E"/>
    <w:rsid w:val="00463297"/>
    <w:rsid w:val="00463312"/>
    <w:rsid w:val="00463354"/>
    <w:rsid w:val="00463389"/>
    <w:rsid w:val="004633F4"/>
    <w:rsid w:val="004633FB"/>
    <w:rsid w:val="00463428"/>
    <w:rsid w:val="00463557"/>
    <w:rsid w:val="00463570"/>
    <w:rsid w:val="004636AD"/>
    <w:rsid w:val="004636BF"/>
    <w:rsid w:val="0046380A"/>
    <w:rsid w:val="00463861"/>
    <w:rsid w:val="004639A9"/>
    <w:rsid w:val="004639F9"/>
    <w:rsid w:val="00463A01"/>
    <w:rsid w:val="00463A0A"/>
    <w:rsid w:val="00463A6F"/>
    <w:rsid w:val="00463AB5"/>
    <w:rsid w:val="00463C16"/>
    <w:rsid w:val="00463D23"/>
    <w:rsid w:val="00463D49"/>
    <w:rsid w:val="00463E0C"/>
    <w:rsid w:val="00463E13"/>
    <w:rsid w:val="00463E2D"/>
    <w:rsid w:val="00463F18"/>
    <w:rsid w:val="00463F33"/>
    <w:rsid w:val="004640D5"/>
    <w:rsid w:val="00464111"/>
    <w:rsid w:val="00464158"/>
    <w:rsid w:val="00464165"/>
    <w:rsid w:val="0046417B"/>
    <w:rsid w:val="004641F7"/>
    <w:rsid w:val="0046435B"/>
    <w:rsid w:val="00464423"/>
    <w:rsid w:val="0046449D"/>
    <w:rsid w:val="00464546"/>
    <w:rsid w:val="0046456A"/>
    <w:rsid w:val="00464570"/>
    <w:rsid w:val="0046459B"/>
    <w:rsid w:val="00464610"/>
    <w:rsid w:val="00464652"/>
    <w:rsid w:val="004646E5"/>
    <w:rsid w:val="004646FD"/>
    <w:rsid w:val="00464708"/>
    <w:rsid w:val="0046470D"/>
    <w:rsid w:val="00464765"/>
    <w:rsid w:val="004647CD"/>
    <w:rsid w:val="004647D8"/>
    <w:rsid w:val="0046480D"/>
    <w:rsid w:val="00464859"/>
    <w:rsid w:val="004648D2"/>
    <w:rsid w:val="00464912"/>
    <w:rsid w:val="00464914"/>
    <w:rsid w:val="00464978"/>
    <w:rsid w:val="00464A00"/>
    <w:rsid w:val="00464A61"/>
    <w:rsid w:val="00464A63"/>
    <w:rsid w:val="00464ACE"/>
    <w:rsid w:val="00464AF6"/>
    <w:rsid w:val="00464B31"/>
    <w:rsid w:val="00464B79"/>
    <w:rsid w:val="00464CB0"/>
    <w:rsid w:val="00464D73"/>
    <w:rsid w:val="00464DCA"/>
    <w:rsid w:val="00464E03"/>
    <w:rsid w:val="00464E54"/>
    <w:rsid w:val="00464EAA"/>
    <w:rsid w:val="00464F79"/>
    <w:rsid w:val="00464FB5"/>
    <w:rsid w:val="00465246"/>
    <w:rsid w:val="00465321"/>
    <w:rsid w:val="004654BE"/>
    <w:rsid w:val="0046559B"/>
    <w:rsid w:val="00465635"/>
    <w:rsid w:val="00465712"/>
    <w:rsid w:val="0046584B"/>
    <w:rsid w:val="00465885"/>
    <w:rsid w:val="0046588B"/>
    <w:rsid w:val="00465946"/>
    <w:rsid w:val="00465A33"/>
    <w:rsid w:val="00465B69"/>
    <w:rsid w:val="00465BE1"/>
    <w:rsid w:val="00465C5C"/>
    <w:rsid w:val="00465C63"/>
    <w:rsid w:val="00465D62"/>
    <w:rsid w:val="00465E03"/>
    <w:rsid w:val="00465EB5"/>
    <w:rsid w:val="00465EF4"/>
    <w:rsid w:val="00465F77"/>
    <w:rsid w:val="00465F85"/>
    <w:rsid w:val="00465FEA"/>
    <w:rsid w:val="0046605C"/>
    <w:rsid w:val="0046607F"/>
    <w:rsid w:val="00466149"/>
    <w:rsid w:val="004661AA"/>
    <w:rsid w:val="00466345"/>
    <w:rsid w:val="0046634C"/>
    <w:rsid w:val="0046637A"/>
    <w:rsid w:val="004663BA"/>
    <w:rsid w:val="004664E4"/>
    <w:rsid w:val="004665F9"/>
    <w:rsid w:val="00466674"/>
    <w:rsid w:val="0046669A"/>
    <w:rsid w:val="00466726"/>
    <w:rsid w:val="00466766"/>
    <w:rsid w:val="004667B2"/>
    <w:rsid w:val="00466844"/>
    <w:rsid w:val="004668A7"/>
    <w:rsid w:val="00466992"/>
    <w:rsid w:val="00466A21"/>
    <w:rsid w:val="00466A6C"/>
    <w:rsid w:val="00466AB2"/>
    <w:rsid w:val="00466AB5"/>
    <w:rsid w:val="00466B9B"/>
    <w:rsid w:val="00466BD5"/>
    <w:rsid w:val="00466CC2"/>
    <w:rsid w:val="00466DB4"/>
    <w:rsid w:val="00466DDB"/>
    <w:rsid w:val="00467019"/>
    <w:rsid w:val="004670D0"/>
    <w:rsid w:val="00467123"/>
    <w:rsid w:val="004671D7"/>
    <w:rsid w:val="004671E0"/>
    <w:rsid w:val="004672F8"/>
    <w:rsid w:val="004672FB"/>
    <w:rsid w:val="00467324"/>
    <w:rsid w:val="00467377"/>
    <w:rsid w:val="00467439"/>
    <w:rsid w:val="00467484"/>
    <w:rsid w:val="00467525"/>
    <w:rsid w:val="004675A3"/>
    <w:rsid w:val="004675F8"/>
    <w:rsid w:val="004675FF"/>
    <w:rsid w:val="0046763E"/>
    <w:rsid w:val="0046765B"/>
    <w:rsid w:val="004676C6"/>
    <w:rsid w:val="004676F1"/>
    <w:rsid w:val="00467737"/>
    <w:rsid w:val="0046775D"/>
    <w:rsid w:val="00467888"/>
    <w:rsid w:val="00467947"/>
    <w:rsid w:val="0046798C"/>
    <w:rsid w:val="0046799E"/>
    <w:rsid w:val="004679C7"/>
    <w:rsid w:val="00467A04"/>
    <w:rsid w:val="00467A3C"/>
    <w:rsid w:val="00467BB2"/>
    <w:rsid w:val="00467BC0"/>
    <w:rsid w:val="00467BD7"/>
    <w:rsid w:val="00467BF4"/>
    <w:rsid w:val="00467D6B"/>
    <w:rsid w:val="00467E13"/>
    <w:rsid w:val="00467E29"/>
    <w:rsid w:val="00467F0F"/>
    <w:rsid w:val="00467F4F"/>
    <w:rsid w:val="00467F57"/>
    <w:rsid w:val="00467F7C"/>
    <w:rsid w:val="00467FA3"/>
    <w:rsid w:val="00467FDB"/>
    <w:rsid w:val="0047009E"/>
    <w:rsid w:val="00470158"/>
    <w:rsid w:val="00470198"/>
    <w:rsid w:val="0047020C"/>
    <w:rsid w:val="004702CE"/>
    <w:rsid w:val="004702F5"/>
    <w:rsid w:val="004702F9"/>
    <w:rsid w:val="004702FE"/>
    <w:rsid w:val="00470570"/>
    <w:rsid w:val="004705DE"/>
    <w:rsid w:val="00470614"/>
    <w:rsid w:val="0047061E"/>
    <w:rsid w:val="0047067A"/>
    <w:rsid w:val="004706A6"/>
    <w:rsid w:val="0047076B"/>
    <w:rsid w:val="00470841"/>
    <w:rsid w:val="004708AF"/>
    <w:rsid w:val="0047090D"/>
    <w:rsid w:val="00470919"/>
    <w:rsid w:val="00470930"/>
    <w:rsid w:val="0047096E"/>
    <w:rsid w:val="0047099A"/>
    <w:rsid w:val="004709ED"/>
    <w:rsid w:val="00470A29"/>
    <w:rsid w:val="00470A3D"/>
    <w:rsid w:val="00470A8F"/>
    <w:rsid w:val="00470B2F"/>
    <w:rsid w:val="00470B8D"/>
    <w:rsid w:val="00470CCE"/>
    <w:rsid w:val="00470CF4"/>
    <w:rsid w:val="00470D7A"/>
    <w:rsid w:val="00470DB1"/>
    <w:rsid w:val="00470E0C"/>
    <w:rsid w:val="00470EC2"/>
    <w:rsid w:val="00470F6F"/>
    <w:rsid w:val="00470F8F"/>
    <w:rsid w:val="00470FB5"/>
    <w:rsid w:val="00471004"/>
    <w:rsid w:val="00471077"/>
    <w:rsid w:val="0047109C"/>
    <w:rsid w:val="004710F4"/>
    <w:rsid w:val="0047114C"/>
    <w:rsid w:val="004711F6"/>
    <w:rsid w:val="004712B1"/>
    <w:rsid w:val="004712C7"/>
    <w:rsid w:val="00471339"/>
    <w:rsid w:val="00471461"/>
    <w:rsid w:val="00471556"/>
    <w:rsid w:val="0047158E"/>
    <w:rsid w:val="00471624"/>
    <w:rsid w:val="004717B6"/>
    <w:rsid w:val="004717F1"/>
    <w:rsid w:val="0047182E"/>
    <w:rsid w:val="00471848"/>
    <w:rsid w:val="004718D7"/>
    <w:rsid w:val="004719F5"/>
    <w:rsid w:val="00471B11"/>
    <w:rsid w:val="00471C0C"/>
    <w:rsid w:val="00471C82"/>
    <w:rsid w:val="00471CDB"/>
    <w:rsid w:val="00471D0C"/>
    <w:rsid w:val="00471D12"/>
    <w:rsid w:val="00471DA0"/>
    <w:rsid w:val="00471DEE"/>
    <w:rsid w:val="00471DEF"/>
    <w:rsid w:val="00471F39"/>
    <w:rsid w:val="00471F3C"/>
    <w:rsid w:val="00472118"/>
    <w:rsid w:val="004721DB"/>
    <w:rsid w:val="004722E3"/>
    <w:rsid w:val="00472352"/>
    <w:rsid w:val="0047236C"/>
    <w:rsid w:val="004723A0"/>
    <w:rsid w:val="004723AE"/>
    <w:rsid w:val="004723D5"/>
    <w:rsid w:val="004723D6"/>
    <w:rsid w:val="004723FA"/>
    <w:rsid w:val="00472424"/>
    <w:rsid w:val="004724D9"/>
    <w:rsid w:val="004725FD"/>
    <w:rsid w:val="0047265D"/>
    <w:rsid w:val="00472663"/>
    <w:rsid w:val="004726E0"/>
    <w:rsid w:val="0047278C"/>
    <w:rsid w:val="0047283E"/>
    <w:rsid w:val="004728E7"/>
    <w:rsid w:val="004729A1"/>
    <w:rsid w:val="00472B79"/>
    <w:rsid w:val="00472BA0"/>
    <w:rsid w:val="00472C56"/>
    <w:rsid w:val="00472C73"/>
    <w:rsid w:val="00472C79"/>
    <w:rsid w:val="00472CF9"/>
    <w:rsid w:val="00472D0D"/>
    <w:rsid w:val="00472D69"/>
    <w:rsid w:val="00472DCC"/>
    <w:rsid w:val="00472E24"/>
    <w:rsid w:val="00472E40"/>
    <w:rsid w:val="00472EDE"/>
    <w:rsid w:val="00472F39"/>
    <w:rsid w:val="0047301B"/>
    <w:rsid w:val="00473097"/>
    <w:rsid w:val="004730EF"/>
    <w:rsid w:val="00473139"/>
    <w:rsid w:val="0047318A"/>
    <w:rsid w:val="0047328A"/>
    <w:rsid w:val="004732AB"/>
    <w:rsid w:val="00473304"/>
    <w:rsid w:val="0047331C"/>
    <w:rsid w:val="00473328"/>
    <w:rsid w:val="0047332B"/>
    <w:rsid w:val="004733CB"/>
    <w:rsid w:val="00473442"/>
    <w:rsid w:val="004734E1"/>
    <w:rsid w:val="0047352F"/>
    <w:rsid w:val="00473577"/>
    <w:rsid w:val="004735A4"/>
    <w:rsid w:val="00473657"/>
    <w:rsid w:val="00473757"/>
    <w:rsid w:val="0047384A"/>
    <w:rsid w:val="004738A1"/>
    <w:rsid w:val="004739E8"/>
    <w:rsid w:val="00473A72"/>
    <w:rsid w:val="00473C96"/>
    <w:rsid w:val="00473D8C"/>
    <w:rsid w:val="00473EE5"/>
    <w:rsid w:val="0047406D"/>
    <w:rsid w:val="004740AE"/>
    <w:rsid w:val="004740CF"/>
    <w:rsid w:val="004741B1"/>
    <w:rsid w:val="004741BE"/>
    <w:rsid w:val="0047424C"/>
    <w:rsid w:val="004742EB"/>
    <w:rsid w:val="004742EC"/>
    <w:rsid w:val="004742F3"/>
    <w:rsid w:val="00474320"/>
    <w:rsid w:val="00474343"/>
    <w:rsid w:val="00474397"/>
    <w:rsid w:val="00474448"/>
    <w:rsid w:val="0047444A"/>
    <w:rsid w:val="00474477"/>
    <w:rsid w:val="004744F8"/>
    <w:rsid w:val="00474571"/>
    <w:rsid w:val="00474579"/>
    <w:rsid w:val="0047457A"/>
    <w:rsid w:val="004745FE"/>
    <w:rsid w:val="004746BF"/>
    <w:rsid w:val="004746C5"/>
    <w:rsid w:val="004747C3"/>
    <w:rsid w:val="004747F7"/>
    <w:rsid w:val="00474954"/>
    <w:rsid w:val="0047498B"/>
    <w:rsid w:val="00474A55"/>
    <w:rsid w:val="00474A68"/>
    <w:rsid w:val="00474AFB"/>
    <w:rsid w:val="00474B88"/>
    <w:rsid w:val="00474BEE"/>
    <w:rsid w:val="00474CEC"/>
    <w:rsid w:val="00474DBC"/>
    <w:rsid w:val="00474E08"/>
    <w:rsid w:val="00474E15"/>
    <w:rsid w:val="00474EEF"/>
    <w:rsid w:val="00474F4B"/>
    <w:rsid w:val="00474F59"/>
    <w:rsid w:val="00474F77"/>
    <w:rsid w:val="0047502E"/>
    <w:rsid w:val="00475056"/>
    <w:rsid w:val="00475089"/>
    <w:rsid w:val="0047508C"/>
    <w:rsid w:val="004751CD"/>
    <w:rsid w:val="004751FC"/>
    <w:rsid w:val="0047527E"/>
    <w:rsid w:val="00475285"/>
    <w:rsid w:val="004752BA"/>
    <w:rsid w:val="004752BB"/>
    <w:rsid w:val="004752E8"/>
    <w:rsid w:val="00475345"/>
    <w:rsid w:val="0047535A"/>
    <w:rsid w:val="00475363"/>
    <w:rsid w:val="00475466"/>
    <w:rsid w:val="00475478"/>
    <w:rsid w:val="00475515"/>
    <w:rsid w:val="00475615"/>
    <w:rsid w:val="004756B2"/>
    <w:rsid w:val="004756E7"/>
    <w:rsid w:val="004758CB"/>
    <w:rsid w:val="004758D8"/>
    <w:rsid w:val="004758EC"/>
    <w:rsid w:val="0047594A"/>
    <w:rsid w:val="004759CF"/>
    <w:rsid w:val="004759DA"/>
    <w:rsid w:val="004759E7"/>
    <w:rsid w:val="00475AD7"/>
    <w:rsid w:val="00475B47"/>
    <w:rsid w:val="00475CE7"/>
    <w:rsid w:val="00475DC4"/>
    <w:rsid w:val="00475EF1"/>
    <w:rsid w:val="00475F4E"/>
    <w:rsid w:val="00476105"/>
    <w:rsid w:val="00476119"/>
    <w:rsid w:val="00476138"/>
    <w:rsid w:val="00476233"/>
    <w:rsid w:val="00476248"/>
    <w:rsid w:val="004762D5"/>
    <w:rsid w:val="00476305"/>
    <w:rsid w:val="004763E3"/>
    <w:rsid w:val="004763F5"/>
    <w:rsid w:val="0047646F"/>
    <w:rsid w:val="004764C1"/>
    <w:rsid w:val="004764CB"/>
    <w:rsid w:val="004764CD"/>
    <w:rsid w:val="0047653F"/>
    <w:rsid w:val="004765E5"/>
    <w:rsid w:val="004765FF"/>
    <w:rsid w:val="004766FE"/>
    <w:rsid w:val="00476749"/>
    <w:rsid w:val="004767E3"/>
    <w:rsid w:val="0047682E"/>
    <w:rsid w:val="004768A6"/>
    <w:rsid w:val="0047695D"/>
    <w:rsid w:val="00476A0D"/>
    <w:rsid w:val="00476B97"/>
    <w:rsid w:val="00476BCB"/>
    <w:rsid w:val="00476C00"/>
    <w:rsid w:val="00476C0F"/>
    <w:rsid w:val="00476C62"/>
    <w:rsid w:val="00476C8A"/>
    <w:rsid w:val="00476D71"/>
    <w:rsid w:val="00476F04"/>
    <w:rsid w:val="00476FEE"/>
    <w:rsid w:val="00477093"/>
    <w:rsid w:val="004770D3"/>
    <w:rsid w:val="0047710D"/>
    <w:rsid w:val="0047712A"/>
    <w:rsid w:val="0047719A"/>
    <w:rsid w:val="0047719D"/>
    <w:rsid w:val="004771BD"/>
    <w:rsid w:val="004773BD"/>
    <w:rsid w:val="00477588"/>
    <w:rsid w:val="00477637"/>
    <w:rsid w:val="00477672"/>
    <w:rsid w:val="00477848"/>
    <w:rsid w:val="004778BF"/>
    <w:rsid w:val="004778ED"/>
    <w:rsid w:val="0047798E"/>
    <w:rsid w:val="00477A5D"/>
    <w:rsid w:val="00477AB9"/>
    <w:rsid w:val="00477BF2"/>
    <w:rsid w:val="00477C7B"/>
    <w:rsid w:val="00477D1D"/>
    <w:rsid w:val="00477EC2"/>
    <w:rsid w:val="00477F68"/>
    <w:rsid w:val="0048006C"/>
    <w:rsid w:val="00480079"/>
    <w:rsid w:val="00480106"/>
    <w:rsid w:val="004801AA"/>
    <w:rsid w:val="004801BA"/>
    <w:rsid w:val="0048026F"/>
    <w:rsid w:val="004802B6"/>
    <w:rsid w:val="00480368"/>
    <w:rsid w:val="0048037A"/>
    <w:rsid w:val="00480400"/>
    <w:rsid w:val="0048049B"/>
    <w:rsid w:val="0048052B"/>
    <w:rsid w:val="0048058A"/>
    <w:rsid w:val="00480672"/>
    <w:rsid w:val="0048067B"/>
    <w:rsid w:val="004806B2"/>
    <w:rsid w:val="00480703"/>
    <w:rsid w:val="00480775"/>
    <w:rsid w:val="00480776"/>
    <w:rsid w:val="00480780"/>
    <w:rsid w:val="0048079C"/>
    <w:rsid w:val="0048084A"/>
    <w:rsid w:val="00480882"/>
    <w:rsid w:val="00480886"/>
    <w:rsid w:val="004809B2"/>
    <w:rsid w:val="004809D2"/>
    <w:rsid w:val="00480B09"/>
    <w:rsid w:val="00480B81"/>
    <w:rsid w:val="00480CEE"/>
    <w:rsid w:val="00480CF6"/>
    <w:rsid w:val="00480D1C"/>
    <w:rsid w:val="00480D48"/>
    <w:rsid w:val="00480DA7"/>
    <w:rsid w:val="00480DBE"/>
    <w:rsid w:val="00480E82"/>
    <w:rsid w:val="00480EB3"/>
    <w:rsid w:val="00480F71"/>
    <w:rsid w:val="00480F8D"/>
    <w:rsid w:val="00480FEB"/>
    <w:rsid w:val="00481074"/>
    <w:rsid w:val="004810FC"/>
    <w:rsid w:val="004811D0"/>
    <w:rsid w:val="00481225"/>
    <w:rsid w:val="0048125F"/>
    <w:rsid w:val="004812CA"/>
    <w:rsid w:val="00481392"/>
    <w:rsid w:val="00481402"/>
    <w:rsid w:val="0048154B"/>
    <w:rsid w:val="004815BC"/>
    <w:rsid w:val="004815C7"/>
    <w:rsid w:val="004817DC"/>
    <w:rsid w:val="004817FC"/>
    <w:rsid w:val="00481884"/>
    <w:rsid w:val="004818E0"/>
    <w:rsid w:val="00481990"/>
    <w:rsid w:val="004819C0"/>
    <w:rsid w:val="004819F6"/>
    <w:rsid w:val="00481A16"/>
    <w:rsid w:val="00481B0C"/>
    <w:rsid w:val="00481B0E"/>
    <w:rsid w:val="00481D59"/>
    <w:rsid w:val="00481D71"/>
    <w:rsid w:val="00481DD2"/>
    <w:rsid w:val="00481DEB"/>
    <w:rsid w:val="00481E01"/>
    <w:rsid w:val="00481E0E"/>
    <w:rsid w:val="00481E6C"/>
    <w:rsid w:val="00481EE5"/>
    <w:rsid w:val="00481F00"/>
    <w:rsid w:val="00481F64"/>
    <w:rsid w:val="00482019"/>
    <w:rsid w:val="004820FC"/>
    <w:rsid w:val="00482109"/>
    <w:rsid w:val="0048210E"/>
    <w:rsid w:val="004821A5"/>
    <w:rsid w:val="00482205"/>
    <w:rsid w:val="004822C6"/>
    <w:rsid w:val="004823D1"/>
    <w:rsid w:val="00482534"/>
    <w:rsid w:val="004826C0"/>
    <w:rsid w:val="004826C5"/>
    <w:rsid w:val="004827F7"/>
    <w:rsid w:val="00482888"/>
    <w:rsid w:val="00482892"/>
    <w:rsid w:val="004829B6"/>
    <w:rsid w:val="00482AA4"/>
    <w:rsid w:val="00482AAB"/>
    <w:rsid w:val="00482AB2"/>
    <w:rsid w:val="00482B27"/>
    <w:rsid w:val="00482B46"/>
    <w:rsid w:val="00482BA4"/>
    <w:rsid w:val="00482BD7"/>
    <w:rsid w:val="00482D05"/>
    <w:rsid w:val="00482D71"/>
    <w:rsid w:val="00482E6B"/>
    <w:rsid w:val="00482E84"/>
    <w:rsid w:val="00482E9E"/>
    <w:rsid w:val="00482EE9"/>
    <w:rsid w:val="00482F7C"/>
    <w:rsid w:val="0048309F"/>
    <w:rsid w:val="004830ED"/>
    <w:rsid w:val="004831DE"/>
    <w:rsid w:val="0048323E"/>
    <w:rsid w:val="0048328F"/>
    <w:rsid w:val="004832AE"/>
    <w:rsid w:val="00483340"/>
    <w:rsid w:val="004833D8"/>
    <w:rsid w:val="0048357A"/>
    <w:rsid w:val="0048377E"/>
    <w:rsid w:val="0048378A"/>
    <w:rsid w:val="00483819"/>
    <w:rsid w:val="0048381F"/>
    <w:rsid w:val="004838F5"/>
    <w:rsid w:val="0048390E"/>
    <w:rsid w:val="0048397A"/>
    <w:rsid w:val="00483A6B"/>
    <w:rsid w:val="00483C44"/>
    <w:rsid w:val="00483CD3"/>
    <w:rsid w:val="00483D76"/>
    <w:rsid w:val="00483D9E"/>
    <w:rsid w:val="00483DB9"/>
    <w:rsid w:val="00483F13"/>
    <w:rsid w:val="0048405B"/>
    <w:rsid w:val="0048405F"/>
    <w:rsid w:val="00484078"/>
    <w:rsid w:val="0048409C"/>
    <w:rsid w:val="00484155"/>
    <w:rsid w:val="0048415C"/>
    <w:rsid w:val="004841DA"/>
    <w:rsid w:val="004841EE"/>
    <w:rsid w:val="004842B4"/>
    <w:rsid w:val="0048430F"/>
    <w:rsid w:val="004843AB"/>
    <w:rsid w:val="004843D1"/>
    <w:rsid w:val="0048440F"/>
    <w:rsid w:val="00484425"/>
    <w:rsid w:val="00484435"/>
    <w:rsid w:val="004844E5"/>
    <w:rsid w:val="00484593"/>
    <w:rsid w:val="0048465B"/>
    <w:rsid w:val="00484729"/>
    <w:rsid w:val="0048479B"/>
    <w:rsid w:val="00484821"/>
    <w:rsid w:val="00484830"/>
    <w:rsid w:val="0048486A"/>
    <w:rsid w:val="004848A3"/>
    <w:rsid w:val="0048492F"/>
    <w:rsid w:val="0048495F"/>
    <w:rsid w:val="004849B6"/>
    <w:rsid w:val="004849D3"/>
    <w:rsid w:val="00484A05"/>
    <w:rsid w:val="00484A3A"/>
    <w:rsid w:val="00484B0C"/>
    <w:rsid w:val="00484B2B"/>
    <w:rsid w:val="00484B6B"/>
    <w:rsid w:val="00484BAB"/>
    <w:rsid w:val="00484CCA"/>
    <w:rsid w:val="00484CF3"/>
    <w:rsid w:val="00484D4A"/>
    <w:rsid w:val="00484D85"/>
    <w:rsid w:val="00484F13"/>
    <w:rsid w:val="00484F31"/>
    <w:rsid w:val="00484F54"/>
    <w:rsid w:val="0048501E"/>
    <w:rsid w:val="0048502C"/>
    <w:rsid w:val="0048503D"/>
    <w:rsid w:val="00485044"/>
    <w:rsid w:val="0048513B"/>
    <w:rsid w:val="004852A5"/>
    <w:rsid w:val="00485303"/>
    <w:rsid w:val="00485306"/>
    <w:rsid w:val="0048537F"/>
    <w:rsid w:val="00485516"/>
    <w:rsid w:val="004855E2"/>
    <w:rsid w:val="004856A0"/>
    <w:rsid w:val="00485745"/>
    <w:rsid w:val="0048579C"/>
    <w:rsid w:val="0048585A"/>
    <w:rsid w:val="0048588C"/>
    <w:rsid w:val="004859DC"/>
    <w:rsid w:val="00485A71"/>
    <w:rsid w:val="00485A9A"/>
    <w:rsid w:val="00485B08"/>
    <w:rsid w:val="00485B32"/>
    <w:rsid w:val="00485BD7"/>
    <w:rsid w:val="00485C8F"/>
    <w:rsid w:val="00485CD1"/>
    <w:rsid w:val="00485EBE"/>
    <w:rsid w:val="00485F48"/>
    <w:rsid w:val="00485FDD"/>
    <w:rsid w:val="00486069"/>
    <w:rsid w:val="0048606A"/>
    <w:rsid w:val="004861C2"/>
    <w:rsid w:val="00486495"/>
    <w:rsid w:val="004864D1"/>
    <w:rsid w:val="00486504"/>
    <w:rsid w:val="00486638"/>
    <w:rsid w:val="004867C8"/>
    <w:rsid w:val="0048688A"/>
    <w:rsid w:val="0048689F"/>
    <w:rsid w:val="004868AF"/>
    <w:rsid w:val="004868DC"/>
    <w:rsid w:val="004868E3"/>
    <w:rsid w:val="004868FC"/>
    <w:rsid w:val="00486912"/>
    <w:rsid w:val="00486A45"/>
    <w:rsid w:val="00486A94"/>
    <w:rsid w:val="00486C0D"/>
    <w:rsid w:val="00486C24"/>
    <w:rsid w:val="00486C9F"/>
    <w:rsid w:val="00486D0E"/>
    <w:rsid w:val="00486D13"/>
    <w:rsid w:val="00486D19"/>
    <w:rsid w:val="00486D45"/>
    <w:rsid w:val="00486D8A"/>
    <w:rsid w:val="00486E2A"/>
    <w:rsid w:val="00486E76"/>
    <w:rsid w:val="00486EB2"/>
    <w:rsid w:val="00486F19"/>
    <w:rsid w:val="00486F3A"/>
    <w:rsid w:val="00487015"/>
    <w:rsid w:val="00487066"/>
    <w:rsid w:val="004870A5"/>
    <w:rsid w:val="00487121"/>
    <w:rsid w:val="004871C7"/>
    <w:rsid w:val="0048725B"/>
    <w:rsid w:val="004872A6"/>
    <w:rsid w:val="004873B1"/>
    <w:rsid w:val="004874C7"/>
    <w:rsid w:val="004875A1"/>
    <w:rsid w:val="00487611"/>
    <w:rsid w:val="00487691"/>
    <w:rsid w:val="004876A1"/>
    <w:rsid w:val="004876CF"/>
    <w:rsid w:val="00487784"/>
    <w:rsid w:val="00487828"/>
    <w:rsid w:val="004878EB"/>
    <w:rsid w:val="00487940"/>
    <w:rsid w:val="0048797E"/>
    <w:rsid w:val="004879FF"/>
    <w:rsid w:val="00487BA8"/>
    <w:rsid w:val="00487C0F"/>
    <w:rsid w:val="00487C7E"/>
    <w:rsid w:val="00487CF5"/>
    <w:rsid w:val="00487DEB"/>
    <w:rsid w:val="00487E23"/>
    <w:rsid w:val="00487E86"/>
    <w:rsid w:val="00487EE8"/>
    <w:rsid w:val="00490071"/>
    <w:rsid w:val="00490077"/>
    <w:rsid w:val="0049015D"/>
    <w:rsid w:val="004901E3"/>
    <w:rsid w:val="00490202"/>
    <w:rsid w:val="0049023B"/>
    <w:rsid w:val="004902CB"/>
    <w:rsid w:val="004902F5"/>
    <w:rsid w:val="00490323"/>
    <w:rsid w:val="00490434"/>
    <w:rsid w:val="00490456"/>
    <w:rsid w:val="00490467"/>
    <w:rsid w:val="004904A8"/>
    <w:rsid w:val="004904B6"/>
    <w:rsid w:val="004904DD"/>
    <w:rsid w:val="00490519"/>
    <w:rsid w:val="0049054D"/>
    <w:rsid w:val="0049056D"/>
    <w:rsid w:val="00490613"/>
    <w:rsid w:val="004906AD"/>
    <w:rsid w:val="00490701"/>
    <w:rsid w:val="0049070C"/>
    <w:rsid w:val="00490779"/>
    <w:rsid w:val="0049079C"/>
    <w:rsid w:val="004908D1"/>
    <w:rsid w:val="00490914"/>
    <w:rsid w:val="00490A62"/>
    <w:rsid w:val="00490B97"/>
    <w:rsid w:val="00490C66"/>
    <w:rsid w:val="00490DA3"/>
    <w:rsid w:val="00490DFC"/>
    <w:rsid w:val="00490E3B"/>
    <w:rsid w:val="00490E50"/>
    <w:rsid w:val="00490F24"/>
    <w:rsid w:val="00490FD2"/>
    <w:rsid w:val="00491060"/>
    <w:rsid w:val="004910E4"/>
    <w:rsid w:val="00491110"/>
    <w:rsid w:val="0049115F"/>
    <w:rsid w:val="004911A0"/>
    <w:rsid w:val="004911BC"/>
    <w:rsid w:val="00491298"/>
    <w:rsid w:val="004912F2"/>
    <w:rsid w:val="00491382"/>
    <w:rsid w:val="00491398"/>
    <w:rsid w:val="004913EA"/>
    <w:rsid w:val="004913F7"/>
    <w:rsid w:val="00491487"/>
    <w:rsid w:val="004914B6"/>
    <w:rsid w:val="00491578"/>
    <w:rsid w:val="004915C4"/>
    <w:rsid w:val="004915CE"/>
    <w:rsid w:val="004915E4"/>
    <w:rsid w:val="0049164F"/>
    <w:rsid w:val="004916A6"/>
    <w:rsid w:val="00491758"/>
    <w:rsid w:val="00491777"/>
    <w:rsid w:val="004917AC"/>
    <w:rsid w:val="004917B1"/>
    <w:rsid w:val="00491866"/>
    <w:rsid w:val="004918BC"/>
    <w:rsid w:val="004918E4"/>
    <w:rsid w:val="0049198F"/>
    <w:rsid w:val="004919C3"/>
    <w:rsid w:val="00491A36"/>
    <w:rsid w:val="00491ACC"/>
    <w:rsid w:val="00491B34"/>
    <w:rsid w:val="00491B9E"/>
    <w:rsid w:val="00491C1C"/>
    <w:rsid w:val="00491CC5"/>
    <w:rsid w:val="00491D22"/>
    <w:rsid w:val="00491E66"/>
    <w:rsid w:val="00491EAC"/>
    <w:rsid w:val="00491F5F"/>
    <w:rsid w:val="00492191"/>
    <w:rsid w:val="00492257"/>
    <w:rsid w:val="00492288"/>
    <w:rsid w:val="004922AF"/>
    <w:rsid w:val="004922E4"/>
    <w:rsid w:val="004922F8"/>
    <w:rsid w:val="00492350"/>
    <w:rsid w:val="00492395"/>
    <w:rsid w:val="0049244B"/>
    <w:rsid w:val="00492454"/>
    <w:rsid w:val="00492486"/>
    <w:rsid w:val="0049253A"/>
    <w:rsid w:val="004926AF"/>
    <w:rsid w:val="004926CD"/>
    <w:rsid w:val="0049278B"/>
    <w:rsid w:val="004927CB"/>
    <w:rsid w:val="0049283F"/>
    <w:rsid w:val="004928CA"/>
    <w:rsid w:val="0049295D"/>
    <w:rsid w:val="004929BB"/>
    <w:rsid w:val="004929DB"/>
    <w:rsid w:val="004929F6"/>
    <w:rsid w:val="004929FA"/>
    <w:rsid w:val="004929FE"/>
    <w:rsid w:val="00492A74"/>
    <w:rsid w:val="00492A9D"/>
    <w:rsid w:val="00492ADF"/>
    <w:rsid w:val="00492B01"/>
    <w:rsid w:val="00492B15"/>
    <w:rsid w:val="00492B21"/>
    <w:rsid w:val="00492BC4"/>
    <w:rsid w:val="00492BCE"/>
    <w:rsid w:val="00492E04"/>
    <w:rsid w:val="00492EED"/>
    <w:rsid w:val="004930D7"/>
    <w:rsid w:val="00493125"/>
    <w:rsid w:val="0049319A"/>
    <w:rsid w:val="004931CC"/>
    <w:rsid w:val="004931D3"/>
    <w:rsid w:val="00493210"/>
    <w:rsid w:val="00493218"/>
    <w:rsid w:val="004932A8"/>
    <w:rsid w:val="004932FE"/>
    <w:rsid w:val="00493351"/>
    <w:rsid w:val="00493473"/>
    <w:rsid w:val="0049347E"/>
    <w:rsid w:val="00493489"/>
    <w:rsid w:val="0049348E"/>
    <w:rsid w:val="004934B3"/>
    <w:rsid w:val="0049366A"/>
    <w:rsid w:val="00493696"/>
    <w:rsid w:val="004936D2"/>
    <w:rsid w:val="00493718"/>
    <w:rsid w:val="004937CF"/>
    <w:rsid w:val="004937DD"/>
    <w:rsid w:val="0049384A"/>
    <w:rsid w:val="004938D7"/>
    <w:rsid w:val="00493913"/>
    <w:rsid w:val="00493936"/>
    <w:rsid w:val="0049395A"/>
    <w:rsid w:val="004939BA"/>
    <w:rsid w:val="00493AC8"/>
    <w:rsid w:val="00493AE7"/>
    <w:rsid w:val="00493C3E"/>
    <w:rsid w:val="00493CD6"/>
    <w:rsid w:val="00493D52"/>
    <w:rsid w:val="00493D99"/>
    <w:rsid w:val="00493DE6"/>
    <w:rsid w:val="00493EAC"/>
    <w:rsid w:val="00493F28"/>
    <w:rsid w:val="00493F4C"/>
    <w:rsid w:val="00493FED"/>
    <w:rsid w:val="004941C5"/>
    <w:rsid w:val="00494240"/>
    <w:rsid w:val="00494269"/>
    <w:rsid w:val="00494357"/>
    <w:rsid w:val="004943A2"/>
    <w:rsid w:val="004943E9"/>
    <w:rsid w:val="00494445"/>
    <w:rsid w:val="00494475"/>
    <w:rsid w:val="004944C6"/>
    <w:rsid w:val="004944CE"/>
    <w:rsid w:val="004944E6"/>
    <w:rsid w:val="00494502"/>
    <w:rsid w:val="0049453D"/>
    <w:rsid w:val="0049455D"/>
    <w:rsid w:val="0049458A"/>
    <w:rsid w:val="00494601"/>
    <w:rsid w:val="00494652"/>
    <w:rsid w:val="00494728"/>
    <w:rsid w:val="00494745"/>
    <w:rsid w:val="00494783"/>
    <w:rsid w:val="004947B6"/>
    <w:rsid w:val="004947FB"/>
    <w:rsid w:val="00494814"/>
    <w:rsid w:val="00494A55"/>
    <w:rsid w:val="00494BF8"/>
    <w:rsid w:val="00494C18"/>
    <w:rsid w:val="00494C2E"/>
    <w:rsid w:val="00494CE6"/>
    <w:rsid w:val="00494D39"/>
    <w:rsid w:val="00494D3C"/>
    <w:rsid w:val="00494E02"/>
    <w:rsid w:val="00494E4A"/>
    <w:rsid w:val="00494EA5"/>
    <w:rsid w:val="00494F9A"/>
    <w:rsid w:val="0049507D"/>
    <w:rsid w:val="004950D5"/>
    <w:rsid w:val="004950FC"/>
    <w:rsid w:val="00495107"/>
    <w:rsid w:val="00495139"/>
    <w:rsid w:val="00495159"/>
    <w:rsid w:val="004951D8"/>
    <w:rsid w:val="00495219"/>
    <w:rsid w:val="0049522C"/>
    <w:rsid w:val="0049528B"/>
    <w:rsid w:val="0049531D"/>
    <w:rsid w:val="00495522"/>
    <w:rsid w:val="00495581"/>
    <w:rsid w:val="004957D2"/>
    <w:rsid w:val="0049582F"/>
    <w:rsid w:val="00495883"/>
    <w:rsid w:val="0049592A"/>
    <w:rsid w:val="0049595E"/>
    <w:rsid w:val="00495A14"/>
    <w:rsid w:val="00495A62"/>
    <w:rsid w:val="00495A93"/>
    <w:rsid w:val="00495AAA"/>
    <w:rsid w:val="00495CB2"/>
    <w:rsid w:val="00495CBC"/>
    <w:rsid w:val="00495D91"/>
    <w:rsid w:val="00495D93"/>
    <w:rsid w:val="00495ED2"/>
    <w:rsid w:val="00495ED3"/>
    <w:rsid w:val="00495EF3"/>
    <w:rsid w:val="00495F3A"/>
    <w:rsid w:val="00495F85"/>
    <w:rsid w:val="00496186"/>
    <w:rsid w:val="0049631F"/>
    <w:rsid w:val="00496332"/>
    <w:rsid w:val="00496384"/>
    <w:rsid w:val="004963BD"/>
    <w:rsid w:val="004963FC"/>
    <w:rsid w:val="00496459"/>
    <w:rsid w:val="0049646E"/>
    <w:rsid w:val="004965DA"/>
    <w:rsid w:val="004965E1"/>
    <w:rsid w:val="00496635"/>
    <w:rsid w:val="00496840"/>
    <w:rsid w:val="00496884"/>
    <w:rsid w:val="004969B3"/>
    <w:rsid w:val="00496A8D"/>
    <w:rsid w:val="00496C02"/>
    <w:rsid w:val="00496C44"/>
    <w:rsid w:val="00496D09"/>
    <w:rsid w:val="00496D9D"/>
    <w:rsid w:val="00496F34"/>
    <w:rsid w:val="00497005"/>
    <w:rsid w:val="00497120"/>
    <w:rsid w:val="0049719D"/>
    <w:rsid w:val="004971E0"/>
    <w:rsid w:val="00497258"/>
    <w:rsid w:val="00497358"/>
    <w:rsid w:val="00497361"/>
    <w:rsid w:val="004973BF"/>
    <w:rsid w:val="004973D7"/>
    <w:rsid w:val="004973DE"/>
    <w:rsid w:val="004973E0"/>
    <w:rsid w:val="004973F1"/>
    <w:rsid w:val="00497400"/>
    <w:rsid w:val="004974BC"/>
    <w:rsid w:val="004975CC"/>
    <w:rsid w:val="00497654"/>
    <w:rsid w:val="0049775B"/>
    <w:rsid w:val="00497797"/>
    <w:rsid w:val="00497896"/>
    <w:rsid w:val="0049795C"/>
    <w:rsid w:val="00497A13"/>
    <w:rsid w:val="00497A15"/>
    <w:rsid w:val="00497A39"/>
    <w:rsid w:val="00497A4A"/>
    <w:rsid w:val="00497ADE"/>
    <w:rsid w:val="00497AE9"/>
    <w:rsid w:val="00497B53"/>
    <w:rsid w:val="00497C52"/>
    <w:rsid w:val="00497C89"/>
    <w:rsid w:val="00497D36"/>
    <w:rsid w:val="00497DF2"/>
    <w:rsid w:val="00497E70"/>
    <w:rsid w:val="00497EA4"/>
    <w:rsid w:val="00497EBA"/>
    <w:rsid w:val="00497EC9"/>
    <w:rsid w:val="00497F28"/>
    <w:rsid w:val="00497F6A"/>
    <w:rsid w:val="00497F79"/>
    <w:rsid w:val="004A0019"/>
    <w:rsid w:val="004A0078"/>
    <w:rsid w:val="004A00A6"/>
    <w:rsid w:val="004A00FE"/>
    <w:rsid w:val="004A021B"/>
    <w:rsid w:val="004A0281"/>
    <w:rsid w:val="004A02A6"/>
    <w:rsid w:val="004A02F8"/>
    <w:rsid w:val="004A03DD"/>
    <w:rsid w:val="004A05EA"/>
    <w:rsid w:val="004A0729"/>
    <w:rsid w:val="004A0762"/>
    <w:rsid w:val="004A07A4"/>
    <w:rsid w:val="004A08B8"/>
    <w:rsid w:val="004A09D8"/>
    <w:rsid w:val="004A09E7"/>
    <w:rsid w:val="004A0C16"/>
    <w:rsid w:val="004A0C98"/>
    <w:rsid w:val="004A0D0E"/>
    <w:rsid w:val="004A0D12"/>
    <w:rsid w:val="004A0D51"/>
    <w:rsid w:val="004A0D82"/>
    <w:rsid w:val="004A0D89"/>
    <w:rsid w:val="004A0DE1"/>
    <w:rsid w:val="004A0DED"/>
    <w:rsid w:val="004A0E29"/>
    <w:rsid w:val="004A0E48"/>
    <w:rsid w:val="004A0E61"/>
    <w:rsid w:val="004A0E7D"/>
    <w:rsid w:val="004A0EC1"/>
    <w:rsid w:val="004A0F83"/>
    <w:rsid w:val="004A0FE8"/>
    <w:rsid w:val="004A1018"/>
    <w:rsid w:val="004A1020"/>
    <w:rsid w:val="004A102C"/>
    <w:rsid w:val="004A107F"/>
    <w:rsid w:val="004A1153"/>
    <w:rsid w:val="004A1206"/>
    <w:rsid w:val="004A121C"/>
    <w:rsid w:val="004A135B"/>
    <w:rsid w:val="004A138C"/>
    <w:rsid w:val="004A142D"/>
    <w:rsid w:val="004A161A"/>
    <w:rsid w:val="004A1667"/>
    <w:rsid w:val="004A16B2"/>
    <w:rsid w:val="004A1744"/>
    <w:rsid w:val="004A1746"/>
    <w:rsid w:val="004A17E7"/>
    <w:rsid w:val="004A1814"/>
    <w:rsid w:val="004A1852"/>
    <w:rsid w:val="004A18FA"/>
    <w:rsid w:val="004A191E"/>
    <w:rsid w:val="004A1925"/>
    <w:rsid w:val="004A1984"/>
    <w:rsid w:val="004A1A94"/>
    <w:rsid w:val="004A1A9A"/>
    <w:rsid w:val="004A1AA5"/>
    <w:rsid w:val="004A1AFF"/>
    <w:rsid w:val="004A1C1A"/>
    <w:rsid w:val="004A1C26"/>
    <w:rsid w:val="004A1C55"/>
    <w:rsid w:val="004A1C68"/>
    <w:rsid w:val="004A1D27"/>
    <w:rsid w:val="004A1D4F"/>
    <w:rsid w:val="004A1D79"/>
    <w:rsid w:val="004A1DFB"/>
    <w:rsid w:val="004A1EDE"/>
    <w:rsid w:val="004A1F06"/>
    <w:rsid w:val="004A1FEF"/>
    <w:rsid w:val="004A207B"/>
    <w:rsid w:val="004A2092"/>
    <w:rsid w:val="004A20BD"/>
    <w:rsid w:val="004A210A"/>
    <w:rsid w:val="004A2193"/>
    <w:rsid w:val="004A21C5"/>
    <w:rsid w:val="004A21FE"/>
    <w:rsid w:val="004A224E"/>
    <w:rsid w:val="004A2298"/>
    <w:rsid w:val="004A22A0"/>
    <w:rsid w:val="004A241B"/>
    <w:rsid w:val="004A2475"/>
    <w:rsid w:val="004A2476"/>
    <w:rsid w:val="004A2496"/>
    <w:rsid w:val="004A25B2"/>
    <w:rsid w:val="004A25B3"/>
    <w:rsid w:val="004A2607"/>
    <w:rsid w:val="004A2723"/>
    <w:rsid w:val="004A27A5"/>
    <w:rsid w:val="004A27F2"/>
    <w:rsid w:val="004A28FB"/>
    <w:rsid w:val="004A2945"/>
    <w:rsid w:val="004A29D4"/>
    <w:rsid w:val="004A2A69"/>
    <w:rsid w:val="004A2BFD"/>
    <w:rsid w:val="004A2C49"/>
    <w:rsid w:val="004A2D0B"/>
    <w:rsid w:val="004A2D1F"/>
    <w:rsid w:val="004A2D63"/>
    <w:rsid w:val="004A2D70"/>
    <w:rsid w:val="004A2D79"/>
    <w:rsid w:val="004A2F05"/>
    <w:rsid w:val="004A2F0C"/>
    <w:rsid w:val="004A2F54"/>
    <w:rsid w:val="004A2F56"/>
    <w:rsid w:val="004A2FA1"/>
    <w:rsid w:val="004A2FAD"/>
    <w:rsid w:val="004A301F"/>
    <w:rsid w:val="004A31AE"/>
    <w:rsid w:val="004A31CD"/>
    <w:rsid w:val="004A31F4"/>
    <w:rsid w:val="004A31FB"/>
    <w:rsid w:val="004A32E8"/>
    <w:rsid w:val="004A33E8"/>
    <w:rsid w:val="004A33FE"/>
    <w:rsid w:val="004A3448"/>
    <w:rsid w:val="004A3449"/>
    <w:rsid w:val="004A349C"/>
    <w:rsid w:val="004A351D"/>
    <w:rsid w:val="004A352E"/>
    <w:rsid w:val="004A3535"/>
    <w:rsid w:val="004A35C7"/>
    <w:rsid w:val="004A35D3"/>
    <w:rsid w:val="004A35F0"/>
    <w:rsid w:val="004A363B"/>
    <w:rsid w:val="004A3653"/>
    <w:rsid w:val="004A36EC"/>
    <w:rsid w:val="004A373C"/>
    <w:rsid w:val="004A379B"/>
    <w:rsid w:val="004A37A9"/>
    <w:rsid w:val="004A3815"/>
    <w:rsid w:val="004A3951"/>
    <w:rsid w:val="004A398B"/>
    <w:rsid w:val="004A399D"/>
    <w:rsid w:val="004A39C6"/>
    <w:rsid w:val="004A39D4"/>
    <w:rsid w:val="004A39D5"/>
    <w:rsid w:val="004A3A63"/>
    <w:rsid w:val="004A3BC7"/>
    <w:rsid w:val="004A3BD2"/>
    <w:rsid w:val="004A3BD9"/>
    <w:rsid w:val="004A3C87"/>
    <w:rsid w:val="004A3C93"/>
    <w:rsid w:val="004A3CC7"/>
    <w:rsid w:val="004A3D52"/>
    <w:rsid w:val="004A3E27"/>
    <w:rsid w:val="004A3E65"/>
    <w:rsid w:val="004A3EB0"/>
    <w:rsid w:val="004A3F56"/>
    <w:rsid w:val="004A3FBB"/>
    <w:rsid w:val="004A3FC5"/>
    <w:rsid w:val="004A3FD2"/>
    <w:rsid w:val="004A3FEE"/>
    <w:rsid w:val="004A4076"/>
    <w:rsid w:val="004A40C9"/>
    <w:rsid w:val="004A410B"/>
    <w:rsid w:val="004A418A"/>
    <w:rsid w:val="004A41BD"/>
    <w:rsid w:val="004A41F2"/>
    <w:rsid w:val="004A4210"/>
    <w:rsid w:val="004A4285"/>
    <w:rsid w:val="004A4328"/>
    <w:rsid w:val="004A43AD"/>
    <w:rsid w:val="004A4444"/>
    <w:rsid w:val="004A4635"/>
    <w:rsid w:val="004A46D2"/>
    <w:rsid w:val="004A46EC"/>
    <w:rsid w:val="004A4799"/>
    <w:rsid w:val="004A4814"/>
    <w:rsid w:val="004A4899"/>
    <w:rsid w:val="004A48DD"/>
    <w:rsid w:val="004A49CF"/>
    <w:rsid w:val="004A4AB4"/>
    <w:rsid w:val="004A4B27"/>
    <w:rsid w:val="004A4BFD"/>
    <w:rsid w:val="004A4D68"/>
    <w:rsid w:val="004A4E8B"/>
    <w:rsid w:val="004A4F77"/>
    <w:rsid w:val="004A5061"/>
    <w:rsid w:val="004A513B"/>
    <w:rsid w:val="004A513D"/>
    <w:rsid w:val="004A51AC"/>
    <w:rsid w:val="004A5244"/>
    <w:rsid w:val="004A53F6"/>
    <w:rsid w:val="004A551F"/>
    <w:rsid w:val="004A5598"/>
    <w:rsid w:val="004A55B4"/>
    <w:rsid w:val="004A5672"/>
    <w:rsid w:val="004A5792"/>
    <w:rsid w:val="004A5852"/>
    <w:rsid w:val="004A58B0"/>
    <w:rsid w:val="004A5922"/>
    <w:rsid w:val="004A5971"/>
    <w:rsid w:val="004A597A"/>
    <w:rsid w:val="004A5A6F"/>
    <w:rsid w:val="004A5AC2"/>
    <w:rsid w:val="004A5BCA"/>
    <w:rsid w:val="004A5CA4"/>
    <w:rsid w:val="004A5D3D"/>
    <w:rsid w:val="004A5DCA"/>
    <w:rsid w:val="004A5DFC"/>
    <w:rsid w:val="004A5E48"/>
    <w:rsid w:val="004A5EB0"/>
    <w:rsid w:val="004A5EEF"/>
    <w:rsid w:val="004A5F68"/>
    <w:rsid w:val="004A5F77"/>
    <w:rsid w:val="004A60E8"/>
    <w:rsid w:val="004A614D"/>
    <w:rsid w:val="004A6213"/>
    <w:rsid w:val="004A64DA"/>
    <w:rsid w:val="004A6517"/>
    <w:rsid w:val="004A6578"/>
    <w:rsid w:val="004A6740"/>
    <w:rsid w:val="004A6833"/>
    <w:rsid w:val="004A686F"/>
    <w:rsid w:val="004A687F"/>
    <w:rsid w:val="004A694E"/>
    <w:rsid w:val="004A6954"/>
    <w:rsid w:val="004A6970"/>
    <w:rsid w:val="004A69FD"/>
    <w:rsid w:val="004A6A36"/>
    <w:rsid w:val="004A6A73"/>
    <w:rsid w:val="004A6AA2"/>
    <w:rsid w:val="004A6AF6"/>
    <w:rsid w:val="004A6B08"/>
    <w:rsid w:val="004A6BF3"/>
    <w:rsid w:val="004A6CC9"/>
    <w:rsid w:val="004A6E41"/>
    <w:rsid w:val="004A6F76"/>
    <w:rsid w:val="004A6FAD"/>
    <w:rsid w:val="004A7012"/>
    <w:rsid w:val="004A702B"/>
    <w:rsid w:val="004A70D4"/>
    <w:rsid w:val="004A70DD"/>
    <w:rsid w:val="004A7156"/>
    <w:rsid w:val="004A718B"/>
    <w:rsid w:val="004A71D5"/>
    <w:rsid w:val="004A729B"/>
    <w:rsid w:val="004A729E"/>
    <w:rsid w:val="004A7346"/>
    <w:rsid w:val="004A7474"/>
    <w:rsid w:val="004A74F1"/>
    <w:rsid w:val="004A76AF"/>
    <w:rsid w:val="004A7712"/>
    <w:rsid w:val="004A77E3"/>
    <w:rsid w:val="004A7808"/>
    <w:rsid w:val="004A7857"/>
    <w:rsid w:val="004A7871"/>
    <w:rsid w:val="004A78E9"/>
    <w:rsid w:val="004A7922"/>
    <w:rsid w:val="004A79FC"/>
    <w:rsid w:val="004A7A2A"/>
    <w:rsid w:val="004A7A9E"/>
    <w:rsid w:val="004A7AF2"/>
    <w:rsid w:val="004A7B12"/>
    <w:rsid w:val="004A7B6F"/>
    <w:rsid w:val="004A7D5F"/>
    <w:rsid w:val="004A7D8B"/>
    <w:rsid w:val="004A7D9C"/>
    <w:rsid w:val="004A7DC5"/>
    <w:rsid w:val="004A7E3D"/>
    <w:rsid w:val="004A7E5C"/>
    <w:rsid w:val="004A7E61"/>
    <w:rsid w:val="004A7E62"/>
    <w:rsid w:val="004A7EC3"/>
    <w:rsid w:val="004A7F0A"/>
    <w:rsid w:val="004A7F42"/>
    <w:rsid w:val="004B013C"/>
    <w:rsid w:val="004B024D"/>
    <w:rsid w:val="004B0267"/>
    <w:rsid w:val="004B02F9"/>
    <w:rsid w:val="004B0373"/>
    <w:rsid w:val="004B042F"/>
    <w:rsid w:val="004B046A"/>
    <w:rsid w:val="004B049C"/>
    <w:rsid w:val="004B049E"/>
    <w:rsid w:val="004B049F"/>
    <w:rsid w:val="004B04C7"/>
    <w:rsid w:val="004B05A5"/>
    <w:rsid w:val="004B05C4"/>
    <w:rsid w:val="004B0650"/>
    <w:rsid w:val="004B0657"/>
    <w:rsid w:val="004B0682"/>
    <w:rsid w:val="004B06BA"/>
    <w:rsid w:val="004B073C"/>
    <w:rsid w:val="004B07AC"/>
    <w:rsid w:val="004B082A"/>
    <w:rsid w:val="004B082C"/>
    <w:rsid w:val="004B0980"/>
    <w:rsid w:val="004B09FC"/>
    <w:rsid w:val="004B0A2E"/>
    <w:rsid w:val="004B0A71"/>
    <w:rsid w:val="004B0AB3"/>
    <w:rsid w:val="004B0B3F"/>
    <w:rsid w:val="004B0B40"/>
    <w:rsid w:val="004B0B98"/>
    <w:rsid w:val="004B0C66"/>
    <w:rsid w:val="004B0CC8"/>
    <w:rsid w:val="004B0D96"/>
    <w:rsid w:val="004B0DAE"/>
    <w:rsid w:val="004B0EEB"/>
    <w:rsid w:val="004B0F36"/>
    <w:rsid w:val="004B0F85"/>
    <w:rsid w:val="004B0FB0"/>
    <w:rsid w:val="004B0FEC"/>
    <w:rsid w:val="004B0FF1"/>
    <w:rsid w:val="004B101D"/>
    <w:rsid w:val="004B1029"/>
    <w:rsid w:val="004B10DE"/>
    <w:rsid w:val="004B110A"/>
    <w:rsid w:val="004B11BB"/>
    <w:rsid w:val="004B1286"/>
    <w:rsid w:val="004B12AF"/>
    <w:rsid w:val="004B12C4"/>
    <w:rsid w:val="004B143D"/>
    <w:rsid w:val="004B14BA"/>
    <w:rsid w:val="004B154B"/>
    <w:rsid w:val="004B164D"/>
    <w:rsid w:val="004B1691"/>
    <w:rsid w:val="004B16AB"/>
    <w:rsid w:val="004B1713"/>
    <w:rsid w:val="004B1831"/>
    <w:rsid w:val="004B1872"/>
    <w:rsid w:val="004B18C4"/>
    <w:rsid w:val="004B18E2"/>
    <w:rsid w:val="004B18EB"/>
    <w:rsid w:val="004B193F"/>
    <w:rsid w:val="004B1A2E"/>
    <w:rsid w:val="004B1A31"/>
    <w:rsid w:val="004B1A5B"/>
    <w:rsid w:val="004B1B0D"/>
    <w:rsid w:val="004B1B26"/>
    <w:rsid w:val="004B1D10"/>
    <w:rsid w:val="004B1D43"/>
    <w:rsid w:val="004B1D7C"/>
    <w:rsid w:val="004B1DC2"/>
    <w:rsid w:val="004B1E59"/>
    <w:rsid w:val="004B1F62"/>
    <w:rsid w:val="004B1F73"/>
    <w:rsid w:val="004B2079"/>
    <w:rsid w:val="004B220D"/>
    <w:rsid w:val="004B22D8"/>
    <w:rsid w:val="004B232E"/>
    <w:rsid w:val="004B233B"/>
    <w:rsid w:val="004B2385"/>
    <w:rsid w:val="004B23AF"/>
    <w:rsid w:val="004B23B0"/>
    <w:rsid w:val="004B23F1"/>
    <w:rsid w:val="004B24E1"/>
    <w:rsid w:val="004B24F7"/>
    <w:rsid w:val="004B2504"/>
    <w:rsid w:val="004B2540"/>
    <w:rsid w:val="004B267D"/>
    <w:rsid w:val="004B26B2"/>
    <w:rsid w:val="004B27A4"/>
    <w:rsid w:val="004B285B"/>
    <w:rsid w:val="004B28F6"/>
    <w:rsid w:val="004B2968"/>
    <w:rsid w:val="004B2979"/>
    <w:rsid w:val="004B29A1"/>
    <w:rsid w:val="004B2A3E"/>
    <w:rsid w:val="004B2A50"/>
    <w:rsid w:val="004B2ADB"/>
    <w:rsid w:val="004B2B12"/>
    <w:rsid w:val="004B2BAE"/>
    <w:rsid w:val="004B2C8B"/>
    <w:rsid w:val="004B2CDB"/>
    <w:rsid w:val="004B2D4C"/>
    <w:rsid w:val="004B2E86"/>
    <w:rsid w:val="004B2EC3"/>
    <w:rsid w:val="004B2EDB"/>
    <w:rsid w:val="004B2F82"/>
    <w:rsid w:val="004B2FF2"/>
    <w:rsid w:val="004B2FFF"/>
    <w:rsid w:val="004B300D"/>
    <w:rsid w:val="004B30C6"/>
    <w:rsid w:val="004B30EF"/>
    <w:rsid w:val="004B326A"/>
    <w:rsid w:val="004B329D"/>
    <w:rsid w:val="004B32B1"/>
    <w:rsid w:val="004B337A"/>
    <w:rsid w:val="004B33E8"/>
    <w:rsid w:val="004B3596"/>
    <w:rsid w:val="004B36F1"/>
    <w:rsid w:val="004B3705"/>
    <w:rsid w:val="004B3729"/>
    <w:rsid w:val="004B3736"/>
    <w:rsid w:val="004B37C5"/>
    <w:rsid w:val="004B3807"/>
    <w:rsid w:val="004B382D"/>
    <w:rsid w:val="004B3841"/>
    <w:rsid w:val="004B389F"/>
    <w:rsid w:val="004B3965"/>
    <w:rsid w:val="004B3A03"/>
    <w:rsid w:val="004B3A4D"/>
    <w:rsid w:val="004B3C41"/>
    <w:rsid w:val="004B3C52"/>
    <w:rsid w:val="004B3C9E"/>
    <w:rsid w:val="004B3CA5"/>
    <w:rsid w:val="004B3CCC"/>
    <w:rsid w:val="004B3D0E"/>
    <w:rsid w:val="004B3D59"/>
    <w:rsid w:val="004B3DDD"/>
    <w:rsid w:val="004B3E91"/>
    <w:rsid w:val="004B3ECD"/>
    <w:rsid w:val="004B3EF7"/>
    <w:rsid w:val="004B3EFA"/>
    <w:rsid w:val="004B3F28"/>
    <w:rsid w:val="004B3F51"/>
    <w:rsid w:val="004B3F5F"/>
    <w:rsid w:val="004B3F82"/>
    <w:rsid w:val="004B4032"/>
    <w:rsid w:val="004B40B0"/>
    <w:rsid w:val="004B40F5"/>
    <w:rsid w:val="004B42D6"/>
    <w:rsid w:val="004B43EC"/>
    <w:rsid w:val="004B4488"/>
    <w:rsid w:val="004B44CE"/>
    <w:rsid w:val="004B451D"/>
    <w:rsid w:val="004B455D"/>
    <w:rsid w:val="004B45C6"/>
    <w:rsid w:val="004B45CD"/>
    <w:rsid w:val="004B46FD"/>
    <w:rsid w:val="004B4765"/>
    <w:rsid w:val="004B4803"/>
    <w:rsid w:val="004B4816"/>
    <w:rsid w:val="004B4848"/>
    <w:rsid w:val="004B4855"/>
    <w:rsid w:val="004B494F"/>
    <w:rsid w:val="004B4955"/>
    <w:rsid w:val="004B4A1A"/>
    <w:rsid w:val="004B4B0E"/>
    <w:rsid w:val="004B4B2A"/>
    <w:rsid w:val="004B4BAD"/>
    <w:rsid w:val="004B4C08"/>
    <w:rsid w:val="004B4C55"/>
    <w:rsid w:val="004B4C66"/>
    <w:rsid w:val="004B4CA8"/>
    <w:rsid w:val="004B4D06"/>
    <w:rsid w:val="004B4D5A"/>
    <w:rsid w:val="004B4DD9"/>
    <w:rsid w:val="004B4E35"/>
    <w:rsid w:val="004B4EF8"/>
    <w:rsid w:val="004B4FC3"/>
    <w:rsid w:val="004B4FC4"/>
    <w:rsid w:val="004B4FCA"/>
    <w:rsid w:val="004B4FDD"/>
    <w:rsid w:val="004B507F"/>
    <w:rsid w:val="004B508A"/>
    <w:rsid w:val="004B510D"/>
    <w:rsid w:val="004B512A"/>
    <w:rsid w:val="004B512F"/>
    <w:rsid w:val="004B5337"/>
    <w:rsid w:val="004B536B"/>
    <w:rsid w:val="004B53BE"/>
    <w:rsid w:val="004B540D"/>
    <w:rsid w:val="004B5423"/>
    <w:rsid w:val="004B5429"/>
    <w:rsid w:val="004B5446"/>
    <w:rsid w:val="004B5455"/>
    <w:rsid w:val="004B5464"/>
    <w:rsid w:val="004B54CC"/>
    <w:rsid w:val="004B54D2"/>
    <w:rsid w:val="004B55A8"/>
    <w:rsid w:val="004B55B6"/>
    <w:rsid w:val="004B55CA"/>
    <w:rsid w:val="004B5691"/>
    <w:rsid w:val="004B5728"/>
    <w:rsid w:val="004B574C"/>
    <w:rsid w:val="004B594F"/>
    <w:rsid w:val="004B5984"/>
    <w:rsid w:val="004B59AC"/>
    <w:rsid w:val="004B59B5"/>
    <w:rsid w:val="004B59D6"/>
    <w:rsid w:val="004B5A0B"/>
    <w:rsid w:val="004B5AB7"/>
    <w:rsid w:val="004B5B37"/>
    <w:rsid w:val="004B5B3C"/>
    <w:rsid w:val="004B5B47"/>
    <w:rsid w:val="004B5BA3"/>
    <w:rsid w:val="004B5BB8"/>
    <w:rsid w:val="004B5CFA"/>
    <w:rsid w:val="004B5D34"/>
    <w:rsid w:val="004B5D39"/>
    <w:rsid w:val="004B5DBB"/>
    <w:rsid w:val="004B5DC9"/>
    <w:rsid w:val="004B5E6C"/>
    <w:rsid w:val="004B5ED4"/>
    <w:rsid w:val="004B5F2F"/>
    <w:rsid w:val="004B5FA1"/>
    <w:rsid w:val="004B5FBB"/>
    <w:rsid w:val="004B5FDB"/>
    <w:rsid w:val="004B613C"/>
    <w:rsid w:val="004B618E"/>
    <w:rsid w:val="004B61F6"/>
    <w:rsid w:val="004B6322"/>
    <w:rsid w:val="004B6393"/>
    <w:rsid w:val="004B63EA"/>
    <w:rsid w:val="004B6459"/>
    <w:rsid w:val="004B6463"/>
    <w:rsid w:val="004B6571"/>
    <w:rsid w:val="004B6585"/>
    <w:rsid w:val="004B65CF"/>
    <w:rsid w:val="004B670E"/>
    <w:rsid w:val="004B67CA"/>
    <w:rsid w:val="004B67CC"/>
    <w:rsid w:val="004B6838"/>
    <w:rsid w:val="004B683E"/>
    <w:rsid w:val="004B687A"/>
    <w:rsid w:val="004B6884"/>
    <w:rsid w:val="004B688C"/>
    <w:rsid w:val="004B69A7"/>
    <w:rsid w:val="004B69C8"/>
    <w:rsid w:val="004B6AF6"/>
    <w:rsid w:val="004B6B4C"/>
    <w:rsid w:val="004B6C4E"/>
    <w:rsid w:val="004B6D18"/>
    <w:rsid w:val="004B6DC6"/>
    <w:rsid w:val="004B6E10"/>
    <w:rsid w:val="004B6E34"/>
    <w:rsid w:val="004B6E9E"/>
    <w:rsid w:val="004B6FB1"/>
    <w:rsid w:val="004B7055"/>
    <w:rsid w:val="004B7059"/>
    <w:rsid w:val="004B7071"/>
    <w:rsid w:val="004B7092"/>
    <w:rsid w:val="004B714F"/>
    <w:rsid w:val="004B717E"/>
    <w:rsid w:val="004B720C"/>
    <w:rsid w:val="004B7349"/>
    <w:rsid w:val="004B73EF"/>
    <w:rsid w:val="004B740D"/>
    <w:rsid w:val="004B7464"/>
    <w:rsid w:val="004B74FA"/>
    <w:rsid w:val="004B7536"/>
    <w:rsid w:val="004B758B"/>
    <w:rsid w:val="004B75B9"/>
    <w:rsid w:val="004B7669"/>
    <w:rsid w:val="004B770B"/>
    <w:rsid w:val="004B7744"/>
    <w:rsid w:val="004B7760"/>
    <w:rsid w:val="004B786D"/>
    <w:rsid w:val="004B78F6"/>
    <w:rsid w:val="004B792D"/>
    <w:rsid w:val="004B7932"/>
    <w:rsid w:val="004B796A"/>
    <w:rsid w:val="004B7970"/>
    <w:rsid w:val="004B79D6"/>
    <w:rsid w:val="004B79DB"/>
    <w:rsid w:val="004B7A10"/>
    <w:rsid w:val="004B7A6A"/>
    <w:rsid w:val="004B7B06"/>
    <w:rsid w:val="004B7B29"/>
    <w:rsid w:val="004B7C69"/>
    <w:rsid w:val="004B7E8D"/>
    <w:rsid w:val="004B7EDE"/>
    <w:rsid w:val="004C0020"/>
    <w:rsid w:val="004C0068"/>
    <w:rsid w:val="004C00E8"/>
    <w:rsid w:val="004C0414"/>
    <w:rsid w:val="004C0415"/>
    <w:rsid w:val="004C0426"/>
    <w:rsid w:val="004C048C"/>
    <w:rsid w:val="004C04AE"/>
    <w:rsid w:val="004C050E"/>
    <w:rsid w:val="004C0596"/>
    <w:rsid w:val="004C06A4"/>
    <w:rsid w:val="004C06FD"/>
    <w:rsid w:val="004C077E"/>
    <w:rsid w:val="004C07B5"/>
    <w:rsid w:val="004C07C9"/>
    <w:rsid w:val="004C09D5"/>
    <w:rsid w:val="004C0A26"/>
    <w:rsid w:val="004C0AC4"/>
    <w:rsid w:val="004C0ADF"/>
    <w:rsid w:val="004C0AE8"/>
    <w:rsid w:val="004C0B4A"/>
    <w:rsid w:val="004C0B7D"/>
    <w:rsid w:val="004C0C71"/>
    <w:rsid w:val="004C0D34"/>
    <w:rsid w:val="004C0D6B"/>
    <w:rsid w:val="004C0E6F"/>
    <w:rsid w:val="004C0FDC"/>
    <w:rsid w:val="004C10BF"/>
    <w:rsid w:val="004C10C4"/>
    <w:rsid w:val="004C118C"/>
    <w:rsid w:val="004C11E3"/>
    <w:rsid w:val="004C11FC"/>
    <w:rsid w:val="004C1212"/>
    <w:rsid w:val="004C1229"/>
    <w:rsid w:val="004C12A8"/>
    <w:rsid w:val="004C13AA"/>
    <w:rsid w:val="004C13F0"/>
    <w:rsid w:val="004C1405"/>
    <w:rsid w:val="004C143D"/>
    <w:rsid w:val="004C14E3"/>
    <w:rsid w:val="004C153E"/>
    <w:rsid w:val="004C154D"/>
    <w:rsid w:val="004C15BF"/>
    <w:rsid w:val="004C15CC"/>
    <w:rsid w:val="004C1737"/>
    <w:rsid w:val="004C175F"/>
    <w:rsid w:val="004C1849"/>
    <w:rsid w:val="004C189F"/>
    <w:rsid w:val="004C1951"/>
    <w:rsid w:val="004C1ABA"/>
    <w:rsid w:val="004C1ADC"/>
    <w:rsid w:val="004C1B4F"/>
    <w:rsid w:val="004C1BB2"/>
    <w:rsid w:val="004C1C5E"/>
    <w:rsid w:val="004C1C61"/>
    <w:rsid w:val="004C1CC2"/>
    <w:rsid w:val="004C1CF2"/>
    <w:rsid w:val="004C1D03"/>
    <w:rsid w:val="004C1D96"/>
    <w:rsid w:val="004C1DC0"/>
    <w:rsid w:val="004C1ED9"/>
    <w:rsid w:val="004C1FB7"/>
    <w:rsid w:val="004C1FCB"/>
    <w:rsid w:val="004C205E"/>
    <w:rsid w:val="004C2089"/>
    <w:rsid w:val="004C209C"/>
    <w:rsid w:val="004C2213"/>
    <w:rsid w:val="004C22FF"/>
    <w:rsid w:val="004C243D"/>
    <w:rsid w:val="004C2651"/>
    <w:rsid w:val="004C2680"/>
    <w:rsid w:val="004C26B9"/>
    <w:rsid w:val="004C283C"/>
    <w:rsid w:val="004C28FF"/>
    <w:rsid w:val="004C2918"/>
    <w:rsid w:val="004C2956"/>
    <w:rsid w:val="004C2A78"/>
    <w:rsid w:val="004C2BCB"/>
    <w:rsid w:val="004C2CA0"/>
    <w:rsid w:val="004C2D09"/>
    <w:rsid w:val="004C2D4B"/>
    <w:rsid w:val="004C2D83"/>
    <w:rsid w:val="004C2EA5"/>
    <w:rsid w:val="004C2F7C"/>
    <w:rsid w:val="004C3000"/>
    <w:rsid w:val="004C3072"/>
    <w:rsid w:val="004C30B9"/>
    <w:rsid w:val="004C3101"/>
    <w:rsid w:val="004C3128"/>
    <w:rsid w:val="004C3139"/>
    <w:rsid w:val="004C3140"/>
    <w:rsid w:val="004C3164"/>
    <w:rsid w:val="004C3419"/>
    <w:rsid w:val="004C3463"/>
    <w:rsid w:val="004C3478"/>
    <w:rsid w:val="004C34D1"/>
    <w:rsid w:val="004C34D8"/>
    <w:rsid w:val="004C34FF"/>
    <w:rsid w:val="004C3517"/>
    <w:rsid w:val="004C35FB"/>
    <w:rsid w:val="004C36EC"/>
    <w:rsid w:val="004C3746"/>
    <w:rsid w:val="004C38D3"/>
    <w:rsid w:val="004C3A72"/>
    <w:rsid w:val="004C3B18"/>
    <w:rsid w:val="004C3BD1"/>
    <w:rsid w:val="004C3CEA"/>
    <w:rsid w:val="004C3D22"/>
    <w:rsid w:val="004C3DC7"/>
    <w:rsid w:val="004C3DD5"/>
    <w:rsid w:val="004C3E12"/>
    <w:rsid w:val="004C3F76"/>
    <w:rsid w:val="004C4053"/>
    <w:rsid w:val="004C40A6"/>
    <w:rsid w:val="004C413D"/>
    <w:rsid w:val="004C4144"/>
    <w:rsid w:val="004C4238"/>
    <w:rsid w:val="004C435E"/>
    <w:rsid w:val="004C4436"/>
    <w:rsid w:val="004C462B"/>
    <w:rsid w:val="004C46F3"/>
    <w:rsid w:val="004C4718"/>
    <w:rsid w:val="004C48B8"/>
    <w:rsid w:val="004C4904"/>
    <w:rsid w:val="004C493F"/>
    <w:rsid w:val="004C4A24"/>
    <w:rsid w:val="004C4AD2"/>
    <w:rsid w:val="004C4BF4"/>
    <w:rsid w:val="004C4C77"/>
    <w:rsid w:val="004C4CE0"/>
    <w:rsid w:val="004C4CE7"/>
    <w:rsid w:val="004C4D41"/>
    <w:rsid w:val="004C4DBE"/>
    <w:rsid w:val="004C4E40"/>
    <w:rsid w:val="004C4E80"/>
    <w:rsid w:val="004C4F30"/>
    <w:rsid w:val="004C4F63"/>
    <w:rsid w:val="004C4F70"/>
    <w:rsid w:val="004C505B"/>
    <w:rsid w:val="004C5095"/>
    <w:rsid w:val="004C5113"/>
    <w:rsid w:val="004C516F"/>
    <w:rsid w:val="004C5282"/>
    <w:rsid w:val="004C52E7"/>
    <w:rsid w:val="004C535E"/>
    <w:rsid w:val="004C53DC"/>
    <w:rsid w:val="004C54B5"/>
    <w:rsid w:val="004C54C9"/>
    <w:rsid w:val="004C54D2"/>
    <w:rsid w:val="004C54F1"/>
    <w:rsid w:val="004C54FB"/>
    <w:rsid w:val="004C5584"/>
    <w:rsid w:val="004C5592"/>
    <w:rsid w:val="004C5648"/>
    <w:rsid w:val="004C5661"/>
    <w:rsid w:val="004C5674"/>
    <w:rsid w:val="004C5788"/>
    <w:rsid w:val="004C57D2"/>
    <w:rsid w:val="004C5827"/>
    <w:rsid w:val="004C5BAA"/>
    <w:rsid w:val="004C5C81"/>
    <w:rsid w:val="004C5D5A"/>
    <w:rsid w:val="004C5D6F"/>
    <w:rsid w:val="004C5DC4"/>
    <w:rsid w:val="004C5E36"/>
    <w:rsid w:val="004C5E5A"/>
    <w:rsid w:val="004C5F26"/>
    <w:rsid w:val="004C602B"/>
    <w:rsid w:val="004C6078"/>
    <w:rsid w:val="004C608D"/>
    <w:rsid w:val="004C60EF"/>
    <w:rsid w:val="004C618D"/>
    <w:rsid w:val="004C6191"/>
    <w:rsid w:val="004C6203"/>
    <w:rsid w:val="004C62EF"/>
    <w:rsid w:val="004C635E"/>
    <w:rsid w:val="004C6378"/>
    <w:rsid w:val="004C6448"/>
    <w:rsid w:val="004C6595"/>
    <w:rsid w:val="004C6600"/>
    <w:rsid w:val="004C6612"/>
    <w:rsid w:val="004C66A5"/>
    <w:rsid w:val="004C66FC"/>
    <w:rsid w:val="004C672D"/>
    <w:rsid w:val="004C67D9"/>
    <w:rsid w:val="004C6807"/>
    <w:rsid w:val="004C68A4"/>
    <w:rsid w:val="004C690F"/>
    <w:rsid w:val="004C6932"/>
    <w:rsid w:val="004C6ACE"/>
    <w:rsid w:val="004C6B41"/>
    <w:rsid w:val="004C6BAD"/>
    <w:rsid w:val="004C6BD3"/>
    <w:rsid w:val="004C6BE5"/>
    <w:rsid w:val="004C6BF8"/>
    <w:rsid w:val="004C6C3F"/>
    <w:rsid w:val="004C6C77"/>
    <w:rsid w:val="004C6CD4"/>
    <w:rsid w:val="004C6E47"/>
    <w:rsid w:val="004C6EE2"/>
    <w:rsid w:val="004C6EEB"/>
    <w:rsid w:val="004C6F2E"/>
    <w:rsid w:val="004C6F46"/>
    <w:rsid w:val="004C6FD1"/>
    <w:rsid w:val="004C701E"/>
    <w:rsid w:val="004C7058"/>
    <w:rsid w:val="004C70D3"/>
    <w:rsid w:val="004C71ED"/>
    <w:rsid w:val="004C71F0"/>
    <w:rsid w:val="004C72D4"/>
    <w:rsid w:val="004C7301"/>
    <w:rsid w:val="004C7553"/>
    <w:rsid w:val="004C7556"/>
    <w:rsid w:val="004C76A4"/>
    <w:rsid w:val="004C7759"/>
    <w:rsid w:val="004C77E9"/>
    <w:rsid w:val="004C7820"/>
    <w:rsid w:val="004C78F6"/>
    <w:rsid w:val="004C7950"/>
    <w:rsid w:val="004C796D"/>
    <w:rsid w:val="004C79D8"/>
    <w:rsid w:val="004C7BB1"/>
    <w:rsid w:val="004C7C3B"/>
    <w:rsid w:val="004C7C6C"/>
    <w:rsid w:val="004C7D1C"/>
    <w:rsid w:val="004C7D78"/>
    <w:rsid w:val="004C7DF1"/>
    <w:rsid w:val="004C7E2C"/>
    <w:rsid w:val="004C7EEE"/>
    <w:rsid w:val="004C7EFA"/>
    <w:rsid w:val="004C7F1E"/>
    <w:rsid w:val="004C7F5F"/>
    <w:rsid w:val="004C7F71"/>
    <w:rsid w:val="004D0054"/>
    <w:rsid w:val="004D0088"/>
    <w:rsid w:val="004D012E"/>
    <w:rsid w:val="004D0181"/>
    <w:rsid w:val="004D0195"/>
    <w:rsid w:val="004D0197"/>
    <w:rsid w:val="004D022A"/>
    <w:rsid w:val="004D022F"/>
    <w:rsid w:val="004D0276"/>
    <w:rsid w:val="004D02E0"/>
    <w:rsid w:val="004D03E8"/>
    <w:rsid w:val="004D0482"/>
    <w:rsid w:val="004D04A2"/>
    <w:rsid w:val="004D04F8"/>
    <w:rsid w:val="004D0569"/>
    <w:rsid w:val="004D0611"/>
    <w:rsid w:val="004D065A"/>
    <w:rsid w:val="004D067C"/>
    <w:rsid w:val="004D06CE"/>
    <w:rsid w:val="004D071A"/>
    <w:rsid w:val="004D07C0"/>
    <w:rsid w:val="004D07F6"/>
    <w:rsid w:val="004D0887"/>
    <w:rsid w:val="004D088E"/>
    <w:rsid w:val="004D08E0"/>
    <w:rsid w:val="004D08F6"/>
    <w:rsid w:val="004D0988"/>
    <w:rsid w:val="004D09A5"/>
    <w:rsid w:val="004D0A00"/>
    <w:rsid w:val="004D0A98"/>
    <w:rsid w:val="004D0B3C"/>
    <w:rsid w:val="004D0D0B"/>
    <w:rsid w:val="004D0D89"/>
    <w:rsid w:val="004D0E0A"/>
    <w:rsid w:val="004D0E72"/>
    <w:rsid w:val="004D0EC1"/>
    <w:rsid w:val="004D0EC4"/>
    <w:rsid w:val="004D0FBD"/>
    <w:rsid w:val="004D0FD2"/>
    <w:rsid w:val="004D108E"/>
    <w:rsid w:val="004D11FF"/>
    <w:rsid w:val="004D1221"/>
    <w:rsid w:val="004D138A"/>
    <w:rsid w:val="004D1397"/>
    <w:rsid w:val="004D13BB"/>
    <w:rsid w:val="004D13DB"/>
    <w:rsid w:val="004D13E9"/>
    <w:rsid w:val="004D147D"/>
    <w:rsid w:val="004D15CC"/>
    <w:rsid w:val="004D1618"/>
    <w:rsid w:val="004D16E2"/>
    <w:rsid w:val="004D1770"/>
    <w:rsid w:val="004D1881"/>
    <w:rsid w:val="004D1941"/>
    <w:rsid w:val="004D1943"/>
    <w:rsid w:val="004D1B7B"/>
    <w:rsid w:val="004D1C2A"/>
    <w:rsid w:val="004D1C48"/>
    <w:rsid w:val="004D1D64"/>
    <w:rsid w:val="004D1DAA"/>
    <w:rsid w:val="004D1E5E"/>
    <w:rsid w:val="004D1E8D"/>
    <w:rsid w:val="004D1E97"/>
    <w:rsid w:val="004D1F2F"/>
    <w:rsid w:val="004D1FFF"/>
    <w:rsid w:val="004D2071"/>
    <w:rsid w:val="004D20FA"/>
    <w:rsid w:val="004D2166"/>
    <w:rsid w:val="004D2174"/>
    <w:rsid w:val="004D2274"/>
    <w:rsid w:val="004D227D"/>
    <w:rsid w:val="004D22D1"/>
    <w:rsid w:val="004D2326"/>
    <w:rsid w:val="004D2338"/>
    <w:rsid w:val="004D2360"/>
    <w:rsid w:val="004D23CD"/>
    <w:rsid w:val="004D268F"/>
    <w:rsid w:val="004D26E3"/>
    <w:rsid w:val="004D27BF"/>
    <w:rsid w:val="004D28C8"/>
    <w:rsid w:val="004D2970"/>
    <w:rsid w:val="004D29C9"/>
    <w:rsid w:val="004D2B56"/>
    <w:rsid w:val="004D2B57"/>
    <w:rsid w:val="004D2BEE"/>
    <w:rsid w:val="004D2C6C"/>
    <w:rsid w:val="004D2CF3"/>
    <w:rsid w:val="004D2CF5"/>
    <w:rsid w:val="004D2D38"/>
    <w:rsid w:val="004D2DEA"/>
    <w:rsid w:val="004D2DF7"/>
    <w:rsid w:val="004D2E32"/>
    <w:rsid w:val="004D2E56"/>
    <w:rsid w:val="004D2E73"/>
    <w:rsid w:val="004D2EC7"/>
    <w:rsid w:val="004D2F66"/>
    <w:rsid w:val="004D3015"/>
    <w:rsid w:val="004D3144"/>
    <w:rsid w:val="004D31AD"/>
    <w:rsid w:val="004D31C5"/>
    <w:rsid w:val="004D3266"/>
    <w:rsid w:val="004D329C"/>
    <w:rsid w:val="004D32A3"/>
    <w:rsid w:val="004D3456"/>
    <w:rsid w:val="004D3464"/>
    <w:rsid w:val="004D3499"/>
    <w:rsid w:val="004D355A"/>
    <w:rsid w:val="004D35C7"/>
    <w:rsid w:val="004D35E5"/>
    <w:rsid w:val="004D35FB"/>
    <w:rsid w:val="004D36FB"/>
    <w:rsid w:val="004D372F"/>
    <w:rsid w:val="004D3765"/>
    <w:rsid w:val="004D3796"/>
    <w:rsid w:val="004D37E7"/>
    <w:rsid w:val="004D37F7"/>
    <w:rsid w:val="004D3834"/>
    <w:rsid w:val="004D396F"/>
    <w:rsid w:val="004D399C"/>
    <w:rsid w:val="004D39BE"/>
    <w:rsid w:val="004D3A4F"/>
    <w:rsid w:val="004D3AB6"/>
    <w:rsid w:val="004D3B93"/>
    <w:rsid w:val="004D3BA5"/>
    <w:rsid w:val="004D3C6B"/>
    <w:rsid w:val="004D3C82"/>
    <w:rsid w:val="004D3D16"/>
    <w:rsid w:val="004D3D34"/>
    <w:rsid w:val="004D3DB1"/>
    <w:rsid w:val="004D3E6B"/>
    <w:rsid w:val="004D4054"/>
    <w:rsid w:val="004D4096"/>
    <w:rsid w:val="004D40B4"/>
    <w:rsid w:val="004D4242"/>
    <w:rsid w:val="004D42D2"/>
    <w:rsid w:val="004D437B"/>
    <w:rsid w:val="004D43CC"/>
    <w:rsid w:val="004D45D7"/>
    <w:rsid w:val="004D4684"/>
    <w:rsid w:val="004D46BE"/>
    <w:rsid w:val="004D46BF"/>
    <w:rsid w:val="004D4744"/>
    <w:rsid w:val="004D476F"/>
    <w:rsid w:val="004D47B1"/>
    <w:rsid w:val="004D47CA"/>
    <w:rsid w:val="004D47F1"/>
    <w:rsid w:val="004D483C"/>
    <w:rsid w:val="004D48E9"/>
    <w:rsid w:val="004D4923"/>
    <w:rsid w:val="004D4A77"/>
    <w:rsid w:val="004D4AF5"/>
    <w:rsid w:val="004D4B2D"/>
    <w:rsid w:val="004D4B8E"/>
    <w:rsid w:val="004D4CAA"/>
    <w:rsid w:val="004D4CC7"/>
    <w:rsid w:val="004D4CD0"/>
    <w:rsid w:val="004D4EC0"/>
    <w:rsid w:val="004D5153"/>
    <w:rsid w:val="004D51AA"/>
    <w:rsid w:val="004D5213"/>
    <w:rsid w:val="004D52A3"/>
    <w:rsid w:val="004D5342"/>
    <w:rsid w:val="004D53C5"/>
    <w:rsid w:val="004D53E2"/>
    <w:rsid w:val="004D53FD"/>
    <w:rsid w:val="004D5450"/>
    <w:rsid w:val="004D546F"/>
    <w:rsid w:val="004D547F"/>
    <w:rsid w:val="004D5539"/>
    <w:rsid w:val="004D556A"/>
    <w:rsid w:val="004D5755"/>
    <w:rsid w:val="004D57EC"/>
    <w:rsid w:val="004D5A8C"/>
    <w:rsid w:val="004D5B7B"/>
    <w:rsid w:val="004D5C2D"/>
    <w:rsid w:val="004D5DEA"/>
    <w:rsid w:val="004D5E89"/>
    <w:rsid w:val="004D5ECE"/>
    <w:rsid w:val="004D5EEE"/>
    <w:rsid w:val="004D5F42"/>
    <w:rsid w:val="004D5F6F"/>
    <w:rsid w:val="004D5F81"/>
    <w:rsid w:val="004D5F89"/>
    <w:rsid w:val="004D5FA6"/>
    <w:rsid w:val="004D6154"/>
    <w:rsid w:val="004D616A"/>
    <w:rsid w:val="004D61E9"/>
    <w:rsid w:val="004D63A5"/>
    <w:rsid w:val="004D6414"/>
    <w:rsid w:val="004D64C4"/>
    <w:rsid w:val="004D65F1"/>
    <w:rsid w:val="004D6675"/>
    <w:rsid w:val="004D66B4"/>
    <w:rsid w:val="004D6705"/>
    <w:rsid w:val="004D6887"/>
    <w:rsid w:val="004D6956"/>
    <w:rsid w:val="004D69B8"/>
    <w:rsid w:val="004D6A4E"/>
    <w:rsid w:val="004D6A5D"/>
    <w:rsid w:val="004D6B44"/>
    <w:rsid w:val="004D6BD0"/>
    <w:rsid w:val="004D6BFF"/>
    <w:rsid w:val="004D6C0C"/>
    <w:rsid w:val="004D6CFA"/>
    <w:rsid w:val="004D6F3A"/>
    <w:rsid w:val="004D6F40"/>
    <w:rsid w:val="004D70A3"/>
    <w:rsid w:val="004D70B8"/>
    <w:rsid w:val="004D70F1"/>
    <w:rsid w:val="004D717B"/>
    <w:rsid w:val="004D7195"/>
    <w:rsid w:val="004D7198"/>
    <w:rsid w:val="004D71FA"/>
    <w:rsid w:val="004D723B"/>
    <w:rsid w:val="004D73EE"/>
    <w:rsid w:val="004D7551"/>
    <w:rsid w:val="004D7566"/>
    <w:rsid w:val="004D764F"/>
    <w:rsid w:val="004D7669"/>
    <w:rsid w:val="004D7688"/>
    <w:rsid w:val="004D76CF"/>
    <w:rsid w:val="004D772B"/>
    <w:rsid w:val="004D788D"/>
    <w:rsid w:val="004D7971"/>
    <w:rsid w:val="004D7A42"/>
    <w:rsid w:val="004D7A72"/>
    <w:rsid w:val="004D7A98"/>
    <w:rsid w:val="004D7BAB"/>
    <w:rsid w:val="004D7BC1"/>
    <w:rsid w:val="004D7BE4"/>
    <w:rsid w:val="004D7CB1"/>
    <w:rsid w:val="004D7D44"/>
    <w:rsid w:val="004D7DA6"/>
    <w:rsid w:val="004D7DF1"/>
    <w:rsid w:val="004D7DFE"/>
    <w:rsid w:val="004D7E3F"/>
    <w:rsid w:val="004D7E60"/>
    <w:rsid w:val="004D7EC4"/>
    <w:rsid w:val="004D7F01"/>
    <w:rsid w:val="004D7F65"/>
    <w:rsid w:val="004D7F8A"/>
    <w:rsid w:val="004E0010"/>
    <w:rsid w:val="004E01F2"/>
    <w:rsid w:val="004E0341"/>
    <w:rsid w:val="004E0467"/>
    <w:rsid w:val="004E0494"/>
    <w:rsid w:val="004E04D6"/>
    <w:rsid w:val="004E04EC"/>
    <w:rsid w:val="004E0703"/>
    <w:rsid w:val="004E0722"/>
    <w:rsid w:val="004E0768"/>
    <w:rsid w:val="004E085A"/>
    <w:rsid w:val="004E08B3"/>
    <w:rsid w:val="004E0A07"/>
    <w:rsid w:val="004E0A35"/>
    <w:rsid w:val="004E0AC2"/>
    <w:rsid w:val="004E0C81"/>
    <w:rsid w:val="004E0C84"/>
    <w:rsid w:val="004E0D64"/>
    <w:rsid w:val="004E0ED8"/>
    <w:rsid w:val="004E0F24"/>
    <w:rsid w:val="004E1018"/>
    <w:rsid w:val="004E1123"/>
    <w:rsid w:val="004E1151"/>
    <w:rsid w:val="004E11A1"/>
    <w:rsid w:val="004E129A"/>
    <w:rsid w:val="004E12A3"/>
    <w:rsid w:val="004E12A9"/>
    <w:rsid w:val="004E12DD"/>
    <w:rsid w:val="004E13E2"/>
    <w:rsid w:val="004E13FE"/>
    <w:rsid w:val="004E1447"/>
    <w:rsid w:val="004E144D"/>
    <w:rsid w:val="004E149A"/>
    <w:rsid w:val="004E14AB"/>
    <w:rsid w:val="004E16D3"/>
    <w:rsid w:val="004E17F6"/>
    <w:rsid w:val="004E18A4"/>
    <w:rsid w:val="004E18A9"/>
    <w:rsid w:val="004E19BF"/>
    <w:rsid w:val="004E1AC2"/>
    <w:rsid w:val="004E1B93"/>
    <w:rsid w:val="004E1C52"/>
    <w:rsid w:val="004E1DB1"/>
    <w:rsid w:val="004E1E26"/>
    <w:rsid w:val="004E1E3F"/>
    <w:rsid w:val="004E1EC1"/>
    <w:rsid w:val="004E1F44"/>
    <w:rsid w:val="004E1F58"/>
    <w:rsid w:val="004E1F99"/>
    <w:rsid w:val="004E2063"/>
    <w:rsid w:val="004E20B1"/>
    <w:rsid w:val="004E2110"/>
    <w:rsid w:val="004E2192"/>
    <w:rsid w:val="004E2241"/>
    <w:rsid w:val="004E2245"/>
    <w:rsid w:val="004E2250"/>
    <w:rsid w:val="004E227D"/>
    <w:rsid w:val="004E24EF"/>
    <w:rsid w:val="004E261F"/>
    <w:rsid w:val="004E263C"/>
    <w:rsid w:val="004E269E"/>
    <w:rsid w:val="004E2742"/>
    <w:rsid w:val="004E280F"/>
    <w:rsid w:val="004E2826"/>
    <w:rsid w:val="004E2885"/>
    <w:rsid w:val="004E28AF"/>
    <w:rsid w:val="004E2A3D"/>
    <w:rsid w:val="004E2A55"/>
    <w:rsid w:val="004E2ACC"/>
    <w:rsid w:val="004E2B33"/>
    <w:rsid w:val="004E2B96"/>
    <w:rsid w:val="004E2B97"/>
    <w:rsid w:val="004E2B9D"/>
    <w:rsid w:val="004E2BAA"/>
    <w:rsid w:val="004E2C63"/>
    <w:rsid w:val="004E2CBD"/>
    <w:rsid w:val="004E2D55"/>
    <w:rsid w:val="004E2E1D"/>
    <w:rsid w:val="004E2E21"/>
    <w:rsid w:val="004E2F03"/>
    <w:rsid w:val="004E2F3F"/>
    <w:rsid w:val="004E2FB5"/>
    <w:rsid w:val="004E2FE8"/>
    <w:rsid w:val="004E2FEA"/>
    <w:rsid w:val="004E307B"/>
    <w:rsid w:val="004E30BF"/>
    <w:rsid w:val="004E312A"/>
    <w:rsid w:val="004E31B2"/>
    <w:rsid w:val="004E31D4"/>
    <w:rsid w:val="004E3235"/>
    <w:rsid w:val="004E324E"/>
    <w:rsid w:val="004E32EC"/>
    <w:rsid w:val="004E3399"/>
    <w:rsid w:val="004E344D"/>
    <w:rsid w:val="004E3505"/>
    <w:rsid w:val="004E361E"/>
    <w:rsid w:val="004E371E"/>
    <w:rsid w:val="004E3798"/>
    <w:rsid w:val="004E37B2"/>
    <w:rsid w:val="004E37D8"/>
    <w:rsid w:val="004E3859"/>
    <w:rsid w:val="004E390A"/>
    <w:rsid w:val="004E39E3"/>
    <w:rsid w:val="004E3A1F"/>
    <w:rsid w:val="004E3A92"/>
    <w:rsid w:val="004E3B34"/>
    <w:rsid w:val="004E3B4D"/>
    <w:rsid w:val="004E3B7C"/>
    <w:rsid w:val="004E3B92"/>
    <w:rsid w:val="004E3D8E"/>
    <w:rsid w:val="004E3DEC"/>
    <w:rsid w:val="004E3E0E"/>
    <w:rsid w:val="004E3EBD"/>
    <w:rsid w:val="004E3EDD"/>
    <w:rsid w:val="004E3F47"/>
    <w:rsid w:val="004E3F51"/>
    <w:rsid w:val="004E3F7D"/>
    <w:rsid w:val="004E3FE0"/>
    <w:rsid w:val="004E403D"/>
    <w:rsid w:val="004E4084"/>
    <w:rsid w:val="004E40E3"/>
    <w:rsid w:val="004E4113"/>
    <w:rsid w:val="004E411A"/>
    <w:rsid w:val="004E4194"/>
    <w:rsid w:val="004E41AC"/>
    <w:rsid w:val="004E42EC"/>
    <w:rsid w:val="004E4381"/>
    <w:rsid w:val="004E43D7"/>
    <w:rsid w:val="004E445F"/>
    <w:rsid w:val="004E4469"/>
    <w:rsid w:val="004E450E"/>
    <w:rsid w:val="004E4527"/>
    <w:rsid w:val="004E45B6"/>
    <w:rsid w:val="004E46C9"/>
    <w:rsid w:val="004E4754"/>
    <w:rsid w:val="004E4965"/>
    <w:rsid w:val="004E4967"/>
    <w:rsid w:val="004E498E"/>
    <w:rsid w:val="004E499F"/>
    <w:rsid w:val="004E4A06"/>
    <w:rsid w:val="004E4A9E"/>
    <w:rsid w:val="004E4AF4"/>
    <w:rsid w:val="004E4C86"/>
    <w:rsid w:val="004E4CBB"/>
    <w:rsid w:val="004E4D04"/>
    <w:rsid w:val="004E4D12"/>
    <w:rsid w:val="004E4D1B"/>
    <w:rsid w:val="004E4D6A"/>
    <w:rsid w:val="004E4EA8"/>
    <w:rsid w:val="004E4EAE"/>
    <w:rsid w:val="004E4F26"/>
    <w:rsid w:val="004E5062"/>
    <w:rsid w:val="004E51C4"/>
    <w:rsid w:val="004E51FC"/>
    <w:rsid w:val="004E52E6"/>
    <w:rsid w:val="004E52E7"/>
    <w:rsid w:val="004E53AC"/>
    <w:rsid w:val="004E5438"/>
    <w:rsid w:val="004E5441"/>
    <w:rsid w:val="004E5456"/>
    <w:rsid w:val="004E54DE"/>
    <w:rsid w:val="004E560C"/>
    <w:rsid w:val="004E577C"/>
    <w:rsid w:val="004E5783"/>
    <w:rsid w:val="004E57BD"/>
    <w:rsid w:val="004E58CD"/>
    <w:rsid w:val="004E5968"/>
    <w:rsid w:val="004E597C"/>
    <w:rsid w:val="004E5A21"/>
    <w:rsid w:val="004E5A39"/>
    <w:rsid w:val="004E5AC7"/>
    <w:rsid w:val="004E5AEE"/>
    <w:rsid w:val="004E5B14"/>
    <w:rsid w:val="004E5B80"/>
    <w:rsid w:val="004E5CB5"/>
    <w:rsid w:val="004E5D3B"/>
    <w:rsid w:val="004E5E57"/>
    <w:rsid w:val="004E5F07"/>
    <w:rsid w:val="004E5F6A"/>
    <w:rsid w:val="004E6112"/>
    <w:rsid w:val="004E621F"/>
    <w:rsid w:val="004E6276"/>
    <w:rsid w:val="004E62C3"/>
    <w:rsid w:val="004E6373"/>
    <w:rsid w:val="004E6376"/>
    <w:rsid w:val="004E6421"/>
    <w:rsid w:val="004E6425"/>
    <w:rsid w:val="004E6427"/>
    <w:rsid w:val="004E6428"/>
    <w:rsid w:val="004E644A"/>
    <w:rsid w:val="004E64A2"/>
    <w:rsid w:val="004E64A7"/>
    <w:rsid w:val="004E6574"/>
    <w:rsid w:val="004E6600"/>
    <w:rsid w:val="004E662A"/>
    <w:rsid w:val="004E6678"/>
    <w:rsid w:val="004E6830"/>
    <w:rsid w:val="004E6839"/>
    <w:rsid w:val="004E6907"/>
    <w:rsid w:val="004E6954"/>
    <w:rsid w:val="004E6995"/>
    <w:rsid w:val="004E69C0"/>
    <w:rsid w:val="004E69E0"/>
    <w:rsid w:val="004E6A01"/>
    <w:rsid w:val="004E6A39"/>
    <w:rsid w:val="004E6A49"/>
    <w:rsid w:val="004E6A7F"/>
    <w:rsid w:val="004E6AD3"/>
    <w:rsid w:val="004E6C22"/>
    <w:rsid w:val="004E6C33"/>
    <w:rsid w:val="004E6C43"/>
    <w:rsid w:val="004E6C7D"/>
    <w:rsid w:val="004E6C8A"/>
    <w:rsid w:val="004E6CF3"/>
    <w:rsid w:val="004E6D06"/>
    <w:rsid w:val="004E6E3B"/>
    <w:rsid w:val="004E6E46"/>
    <w:rsid w:val="004E6E6C"/>
    <w:rsid w:val="004E6F34"/>
    <w:rsid w:val="004E6F38"/>
    <w:rsid w:val="004E6F8A"/>
    <w:rsid w:val="004E7107"/>
    <w:rsid w:val="004E711A"/>
    <w:rsid w:val="004E71A1"/>
    <w:rsid w:val="004E7272"/>
    <w:rsid w:val="004E72AC"/>
    <w:rsid w:val="004E73B2"/>
    <w:rsid w:val="004E73D2"/>
    <w:rsid w:val="004E7504"/>
    <w:rsid w:val="004E7589"/>
    <w:rsid w:val="004E766C"/>
    <w:rsid w:val="004E76EA"/>
    <w:rsid w:val="004E76ED"/>
    <w:rsid w:val="004E7716"/>
    <w:rsid w:val="004E7920"/>
    <w:rsid w:val="004E7A71"/>
    <w:rsid w:val="004E7AD3"/>
    <w:rsid w:val="004E7AF3"/>
    <w:rsid w:val="004E7B64"/>
    <w:rsid w:val="004E7BAE"/>
    <w:rsid w:val="004E7C1B"/>
    <w:rsid w:val="004E7C83"/>
    <w:rsid w:val="004E7C88"/>
    <w:rsid w:val="004E7CA0"/>
    <w:rsid w:val="004E7CAD"/>
    <w:rsid w:val="004E7CD7"/>
    <w:rsid w:val="004E7D7A"/>
    <w:rsid w:val="004E7DD8"/>
    <w:rsid w:val="004E7DE6"/>
    <w:rsid w:val="004E7E6D"/>
    <w:rsid w:val="004E7EC9"/>
    <w:rsid w:val="004E7ED4"/>
    <w:rsid w:val="004E7F2A"/>
    <w:rsid w:val="004E7F8E"/>
    <w:rsid w:val="004F004B"/>
    <w:rsid w:val="004F00B5"/>
    <w:rsid w:val="004F00CA"/>
    <w:rsid w:val="004F011E"/>
    <w:rsid w:val="004F0146"/>
    <w:rsid w:val="004F0154"/>
    <w:rsid w:val="004F01E3"/>
    <w:rsid w:val="004F026C"/>
    <w:rsid w:val="004F027B"/>
    <w:rsid w:val="004F0281"/>
    <w:rsid w:val="004F02BB"/>
    <w:rsid w:val="004F038E"/>
    <w:rsid w:val="004F03BD"/>
    <w:rsid w:val="004F04A3"/>
    <w:rsid w:val="004F04A5"/>
    <w:rsid w:val="004F05C8"/>
    <w:rsid w:val="004F0635"/>
    <w:rsid w:val="004F0643"/>
    <w:rsid w:val="004F066C"/>
    <w:rsid w:val="004F06A0"/>
    <w:rsid w:val="004F072A"/>
    <w:rsid w:val="004F090B"/>
    <w:rsid w:val="004F0914"/>
    <w:rsid w:val="004F0997"/>
    <w:rsid w:val="004F09B0"/>
    <w:rsid w:val="004F09B9"/>
    <w:rsid w:val="004F0AE3"/>
    <w:rsid w:val="004F0B11"/>
    <w:rsid w:val="004F0B46"/>
    <w:rsid w:val="004F0B78"/>
    <w:rsid w:val="004F0C26"/>
    <w:rsid w:val="004F0C93"/>
    <w:rsid w:val="004F0CA6"/>
    <w:rsid w:val="004F0D7F"/>
    <w:rsid w:val="004F0EAE"/>
    <w:rsid w:val="004F0F1B"/>
    <w:rsid w:val="004F0F1D"/>
    <w:rsid w:val="004F10E8"/>
    <w:rsid w:val="004F1236"/>
    <w:rsid w:val="004F12B1"/>
    <w:rsid w:val="004F14B2"/>
    <w:rsid w:val="004F154B"/>
    <w:rsid w:val="004F15A3"/>
    <w:rsid w:val="004F15F0"/>
    <w:rsid w:val="004F1728"/>
    <w:rsid w:val="004F1762"/>
    <w:rsid w:val="004F17F3"/>
    <w:rsid w:val="004F18CD"/>
    <w:rsid w:val="004F1990"/>
    <w:rsid w:val="004F19D9"/>
    <w:rsid w:val="004F19EE"/>
    <w:rsid w:val="004F1B14"/>
    <w:rsid w:val="004F1B6A"/>
    <w:rsid w:val="004F1B84"/>
    <w:rsid w:val="004F1C05"/>
    <w:rsid w:val="004F1C33"/>
    <w:rsid w:val="004F1C65"/>
    <w:rsid w:val="004F1C72"/>
    <w:rsid w:val="004F1DB6"/>
    <w:rsid w:val="004F1EFC"/>
    <w:rsid w:val="004F2048"/>
    <w:rsid w:val="004F2100"/>
    <w:rsid w:val="004F2126"/>
    <w:rsid w:val="004F213F"/>
    <w:rsid w:val="004F221F"/>
    <w:rsid w:val="004F2277"/>
    <w:rsid w:val="004F23C6"/>
    <w:rsid w:val="004F23E4"/>
    <w:rsid w:val="004F2448"/>
    <w:rsid w:val="004F250C"/>
    <w:rsid w:val="004F2522"/>
    <w:rsid w:val="004F2687"/>
    <w:rsid w:val="004F2693"/>
    <w:rsid w:val="004F271A"/>
    <w:rsid w:val="004F277D"/>
    <w:rsid w:val="004F27BB"/>
    <w:rsid w:val="004F27BF"/>
    <w:rsid w:val="004F28BD"/>
    <w:rsid w:val="004F292D"/>
    <w:rsid w:val="004F292E"/>
    <w:rsid w:val="004F29AC"/>
    <w:rsid w:val="004F29B9"/>
    <w:rsid w:val="004F29F3"/>
    <w:rsid w:val="004F2A50"/>
    <w:rsid w:val="004F2A70"/>
    <w:rsid w:val="004F2A72"/>
    <w:rsid w:val="004F2AF3"/>
    <w:rsid w:val="004F2C73"/>
    <w:rsid w:val="004F2CBE"/>
    <w:rsid w:val="004F2CC6"/>
    <w:rsid w:val="004F2D09"/>
    <w:rsid w:val="004F2D89"/>
    <w:rsid w:val="004F2DBE"/>
    <w:rsid w:val="004F2E32"/>
    <w:rsid w:val="004F2E88"/>
    <w:rsid w:val="004F2EDC"/>
    <w:rsid w:val="004F2EF2"/>
    <w:rsid w:val="004F2F21"/>
    <w:rsid w:val="004F2F68"/>
    <w:rsid w:val="004F2FBC"/>
    <w:rsid w:val="004F305B"/>
    <w:rsid w:val="004F31A9"/>
    <w:rsid w:val="004F31F3"/>
    <w:rsid w:val="004F3260"/>
    <w:rsid w:val="004F33AE"/>
    <w:rsid w:val="004F3458"/>
    <w:rsid w:val="004F34E6"/>
    <w:rsid w:val="004F34EF"/>
    <w:rsid w:val="004F34F1"/>
    <w:rsid w:val="004F3524"/>
    <w:rsid w:val="004F356B"/>
    <w:rsid w:val="004F3598"/>
    <w:rsid w:val="004F35B3"/>
    <w:rsid w:val="004F35CA"/>
    <w:rsid w:val="004F35D5"/>
    <w:rsid w:val="004F367F"/>
    <w:rsid w:val="004F37AA"/>
    <w:rsid w:val="004F3806"/>
    <w:rsid w:val="004F3841"/>
    <w:rsid w:val="004F38BE"/>
    <w:rsid w:val="004F3931"/>
    <w:rsid w:val="004F3938"/>
    <w:rsid w:val="004F3969"/>
    <w:rsid w:val="004F39AD"/>
    <w:rsid w:val="004F3A09"/>
    <w:rsid w:val="004F3A49"/>
    <w:rsid w:val="004F3A54"/>
    <w:rsid w:val="004F3AB6"/>
    <w:rsid w:val="004F3B11"/>
    <w:rsid w:val="004F3BB9"/>
    <w:rsid w:val="004F3BBC"/>
    <w:rsid w:val="004F3BED"/>
    <w:rsid w:val="004F3C61"/>
    <w:rsid w:val="004F3C95"/>
    <w:rsid w:val="004F3C96"/>
    <w:rsid w:val="004F3CEE"/>
    <w:rsid w:val="004F3D77"/>
    <w:rsid w:val="004F3DDC"/>
    <w:rsid w:val="004F3FDB"/>
    <w:rsid w:val="004F3FED"/>
    <w:rsid w:val="004F40C5"/>
    <w:rsid w:val="004F4147"/>
    <w:rsid w:val="004F4166"/>
    <w:rsid w:val="004F417E"/>
    <w:rsid w:val="004F41F5"/>
    <w:rsid w:val="004F41F6"/>
    <w:rsid w:val="004F428F"/>
    <w:rsid w:val="004F42F2"/>
    <w:rsid w:val="004F4320"/>
    <w:rsid w:val="004F432E"/>
    <w:rsid w:val="004F433F"/>
    <w:rsid w:val="004F4456"/>
    <w:rsid w:val="004F4515"/>
    <w:rsid w:val="004F4693"/>
    <w:rsid w:val="004F469D"/>
    <w:rsid w:val="004F46B9"/>
    <w:rsid w:val="004F47F7"/>
    <w:rsid w:val="004F48A8"/>
    <w:rsid w:val="004F48B7"/>
    <w:rsid w:val="004F48F9"/>
    <w:rsid w:val="004F49F7"/>
    <w:rsid w:val="004F4A0A"/>
    <w:rsid w:val="004F4B14"/>
    <w:rsid w:val="004F4BF6"/>
    <w:rsid w:val="004F4CC8"/>
    <w:rsid w:val="004F4CE2"/>
    <w:rsid w:val="004F4D1E"/>
    <w:rsid w:val="004F4DAD"/>
    <w:rsid w:val="004F4DAF"/>
    <w:rsid w:val="004F5035"/>
    <w:rsid w:val="004F50FA"/>
    <w:rsid w:val="004F5125"/>
    <w:rsid w:val="004F512D"/>
    <w:rsid w:val="004F5147"/>
    <w:rsid w:val="004F51AB"/>
    <w:rsid w:val="004F51B7"/>
    <w:rsid w:val="004F51BE"/>
    <w:rsid w:val="004F51C7"/>
    <w:rsid w:val="004F527A"/>
    <w:rsid w:val="004F52CC"/>
    <w:rsid w:val="004F536A"/>
    <w:rsid w:val="004F5395"/>
    <w:rsid w:val="004F53CB"/>
    <w:rsid w:val="004F5487"/>
    <w:rsid w:val="004F54A9"/>
    <w:rsid w:val="004F552C"/>
    <w:rsid w:val="004F559C"/>
    <w:rsid w:val="004F5765"/>
    <w:rsid w:val="004F578A"/>
    <w:rsid w:val="004F57F7"/>
    <w:rsid w:val="004F586C"/>
    <w:rsid w:val="004F58EA"/>
    <w:rsid w:val="004F5944"/>
    <w:rsid w:val="004F5963"/>
    <w:rsid w:val="004F5978"/>
    <w:rsid w:val="004F5A46"/>
    <w:rsid w:val="004F5A5F"/>
    <w:rsid w:val="004F5AD4"/>
    <w:rsid w:val="004F5BA4"/>
    <w:rsid w:val="004F5D6F"/>
    <w:rsid w:val="004F5E0E"/>
    <w:rsid w:val="004F5E48"/>
    <w:rsid w:val="004F5F24"/>
    <w:rsid w:val="004F5F3C"/>
    <w:rsid w:val="004F5F71"/>
    <w:rsid w:val="004F5FAB"/>
    <w:rsid w:val="004F600D"/>
    <w:rsid w:val="004F60E9"/>
    <w:rsid w:val="004F60F0"/>
    <w:rsid w:val="004F6127"/>
    <w:rsid w:val="004F619D"/>
    <w:rsid w:val="004F620A"/>
    <w:rsid w:val="004F620C"/>
    <w:rsid w:val="004F62D1"/>
    <w:rsid w:val="004F6303"/>
    <w:rsid w:val="004F6384"/>
    <w:rsid w:val="004F63C6"/>
    <w:rsid w:val="004F6417"/>
    <w:rsid w:val="004F6438"/>
    <w:rsid w:val="004F64CE"/>
    <w:rsid w:val="004F650C"/>
    <w:rsid w:val="004F6513"/>
    <w:rsid w:val="004F6563"/>
    <w:rsid w:val="004F6583"/>
    <w:rsid w:val="004F65F6"/>
    <w:rsid w:val="004F6628"/>
    <w:rsid w:val="004F6643"/>
    <w:rsid w:val="004F668D"/>
    <w:rsid w:val="004F66EB"/>
    <w:rsid w:val="004F6780"/>
    <w:rsid w:val="004F67A8"/>
    <w:rsid w:val="004F6824"/>
    <w:rsid w:val="004F6865"/>
    <w:rsid w:val="004F68F5"/>
    <w:rsid w:val="004F6910"/>
    <w:rsid w:val="004F695E"/>
    <w:rsid w:val="004F69D5"/>
    <w:rsid w:val="004F69F2"/>
    <w:rsid w:val="004F6A0B"/>
    <w:rsid w:val="004F6A99"/>
    <w:rsid w:val="004F6BD2"/>
    <w:rsid w:val="004F6BEE"/>
    <w:rsid w:val="004F6C26"/>
    <w:rsid w:val="004F6C47"/>
    <w:rsid w:val="004F6CBD"/>
    <w:rsid w:val="004F6D2A"/>
    <w:rsid w:val="004F6D5F"/>
    <w:rsid w:val="004F6D66"/>
    <w:rsid w:val="004F6DF0"/>
    <w:rsid w:val="004F6DF6"/>
    <w:rsid w:val="004F6E58"/>
    <w:rsid w:val="004F6EBF"/>
    <w:rsid w:val="004F6EFE"/>
    <w:rsid w:val="004F6FB6"/>
    <w:rsid w:val="004F7055"/>
    <w:rsid w:val="004F7089"/>
    <w:rsid w:val="004F71E2"/>
    <w:rsid w:val="004F7286"/>
    <w:rsid w:val="004F7291"/>
    <w:rsid w:val="004F72DA"/>
    <w:rsid w:val="004F7317"/>
    <w:rsid w:val="004F7324"/>
    <w:rsid w:val="004F733B"/>
    <w:rsid w:val="004F7436"/>
    <w:rsid w:val="004F7460"/>
    <w:rsid w:val="004F7467"/>
    <w:rsid w:val="004F746F"/>
    <w:rsid w:val="004F7485"/>
    <w:rsid w:val="004F74BB"/>
    <w:rsid w:val="004F7586"/>
    <w:rsid w:val="004F75A4"/>
    <w:rsid w:val="004F76D5"/>
    <w:rsid w:val="004F76F4"/>
    <w:rsid w:val="004F7821"/>
    <w:rsid w:val="004F79AA"/>
    <w:rsid w:val="004F79E4"/>
    <w:rsid w:val="004F7B1E"/>
    <w:rsid w:val="004F7BD7"/>
    <w:rsid w:val="004F7C0C"/>
    <w:rsid w:val="004F7C1D"/>
    <w:rsid w:val="004F7C48"/>
    <w:rsid w:val="004F7EE0"/>
    <w:rsid w:val="004F7F58"/>
    <w:rsid w:val="004F7FFB"/>
    <w:rsid w:val="00500008"/>
    <w:rsid w:val="0050001A"/>
    <w:rsid w:val="00500047"/>
    <w:rsid w:val="00500049"/>
    <w:rsid w:val="00500187"/>
    <w:rsid w:val="005001AB"/>
    <w:rsid w:val="00500200"/>
    <w:rsid w:val="00500262"/>
    <w:rsid w:val="0050032D"/>
    <w:rsid w:val="0050037C"/>
    <w:rsid w:val="005003DB"/>
    <w:rsid w:val="005003E8"/>
    <w:rsid w:val="005004D2"/>
    <w:rsid w:val="0050051A"/>
    <w:rsid w:val="0050051F"/>
    <w:rsid w:val="00500532"/>
    <w:rsid w:val="0050054A"/>
    <w:rsid w:val="00500628"/>
    <w:rsid w:val="0050064B"/>
    <w:rsid w:val="00500706"/>
    <w:rsid w:val="005007A8"/>
    <w:rsid w:val="00500825"/>
    <w:rsid w:val="00500840"/>
    <w:rsid w:val="005009CC"/>
    <w:rsid w:val="005009E3"/>
    <w:rsid w:val="00500A3C"/>
    <w:rsid w:val="00500A99"/>
    <w:rsid w:val="00500C42"/>
    <w:rsid w:val="00500CAA"/>
    <w:rsid w:val="00500D01"/>
    <w:rsid w:val="00500D3E"/>
    <w:rsid w:val="00500D6D"/>
    <w:rsid w:val="00500E7C"/>
    <w:rsid w:val="00500F04"/>
    <w:rsid w:val="00500F14"/>
    <w:rsid w:val="00500FCD"/>
    <w:rsid w:val="00500FDE"/>
    <w:rsid w:val="0050110A"/>
    <w:rsid w:val="005012C1"/>
    <w:rsid w:val="005012D8"/>
    <w:rsid w:val="0050138F"/>
    <w:rsid w:val="005013CB"/>
    <w:rsid w:val="005014DA"/>
    <w:rsid w:val="005014F1"/>
    <w:rsid w:val="005014F3"/>
    <w:rsid w:val="00501535"/>
    <w:rsid w:val="00501571"/>
    <w:rsid w:val="00501655"/>
    <w:rsid w:val="005016D8"/>
    <w:rsid w:val="005016E0"/>
    <w:rsid w:val="005017C1"/>
    <w:rsid w:val="00501A65"/>
    <w:rsid w:val="00501AC7"/>
    <w:rsid w:val="00501AD1"/>
    <w:rsid w:val="00501AF9"/>
    <w:rsid w:val="00501B40"/>
    <w:rsid w:val="00501B48"/>
    <w:rsid w:val="00501B51"/>
    <w:rsid w:val="00501BE4"/>
    <w:rsid w:val="00501C54"/>
    <w:rsid w:val="00501C55"/>
    <w:rsid w:val="00501E23"/>
    <w:rsid w:val="00501E3F"/>
    <w:rsid w:val="00501E62"/>
    <w:rsid w:val="00501F37"/>
    <w:rsid w:val="00501FB8"/>
    <w:rsid w:val="00502060"/>
    <w:rsid w:val="0050224A"/>
    <w:rsid w:val="00502315"/>
    <w:rsid w:val="00502393"/>
    <w:rsid w:val="00502403"/>
    <w:rsid w:val="00502506"/>
    <w:rsid w:val="0050254A"/>
    <w:rsid w:val="00502564"/>
    <w:rsid w:val="0050256A"/>
    <w:rsid w:val="005025B1"/>
    <w:rsid w:val="005025DC"/>
    <w:rsid w:val="005026AD"/>
    <w:rsid w:val="00502703"/>
    <w:rsid w:val="00502722"/>
    <w:rsid w:val="0050279D"/>
    <w:rsid w:val="005027F5"/>
    <w:rsid w:val="0050280A"/>
    <w:rsid w:val="005028F8"/>
    <w:rsid w:val="0050290B"/>
    <w:rsid w:val="00502985"/>
    <w:rsid w:val="00502A00"/>
    <w:rsid w:val="00502B22"/>
    <w:rsid w:val="00502C0E"/>
    <w:rsid w:val="00502C7C"/>
    <w:rsid w:val="00502D59"/>
    <w:rsid w:val="00502E62"/>
    <w:rsid w:val="00502ECE"/>
    <w:rsid w:val="00502EEA"/>
    <w:rsid w:val="00502F15"/>
    <w:rsid w:val="0050301A"/>
    <w:rsid w:val="00503089"/>
    <w:rsid w:val="005030FF"/>
    <w:rsid w:val="00503133"/>
    <w:rsid w:val="005031A1"/>
    <w:rsid w:val="00503212"/>
    <w:rsid w:val="005032AE"/>
    <w:rsid w:val="005032D6"/>
    <w:rsid w:val="0050331B"/>
    <w:rsid w:val="005034B6"/>
    <w:rsid w:val="005035A5"/>
    <w:rsid w:val="005035D2"/>
    <w:rsid w:val="005035E6"/>
    <w:rsid w:val="005035F7"/>
    <w:rsid w:val="0050363B"/>
    <w:rsid w:val="005037E3"/>
    <w:rsid w:val="005037E8"/>
    <w:rsid w:val="0050382B"/>
    <w:rsid w:val="0050385A"/>
    <w:rsid w:val="005038D5"/>
    <w:rsid w:val="00503A14"/>
    <w:rsid w:val="00503A60"/>
    <w:rsid w:val="00503A7C"/>
    <w:rsid w:val="00503A8D"/>
    <w:rsid w:val="00503AD1"/>
    <w:rsid w:val="00503AD4"/>
    <w:rsid w:val="00503AE4"/>
    <w:rsid w:val="00503B09"/>
    <w:rsid w:val="00503B31"/>
    <w:rsid w:val="00503C1A"/>
    <w:rsid w:val="00503CDF"/>
    <w:rsid w:val="00503D63"/>
    <w:rsid w:val="00503DB6"/>
    <w:rsid w:val="00503E4F"/>
    <w:rsid w:val="00503EA4"/>
    <w:rsid w:val="00503EB1"/>
    <w:rsid w:val="00503ECC"/>
    <w:rsid w:val="00503F09"/>
    <w:rsid w:val="00503F24"/>
    <w:rsid w:val="00503F7E"/>
    <w:rsid w:val="00503FFB"/>
    <w:rsid w:val="00504040"/>
    <w:rsid w:val="0050418E"/>
    <w:rsid w:val="00504194"/>
    <w:rsid w:val="005042D4"/>
    <w:rsid w:val="005043B4"/>
    <w:rsid w:val="005043F1"/>
    <w:rsid w:val="005044AE"/>
    <w:rsid w:val="005045BA"/>
    <w:rsid w:val="00504622"/>
    <w:rsid w:val="005046D2"/>
    <w:rsid w:val="005046D9"/>
    <w:rsid w:val="005047E8"/>
    <w:rsid w:val="00504806"/>
    <w:rsid w:val="00504875"/>
    <w:rsid w:val="0050489B"/>
    <w:rsid w:val="00504906"/>
    <w:rsid w:val="00504A5B"/>
    <w:rsid w:val="00504A9A"/>
    <w:rsid w:val="00504B27"/>
    <w:rsid w:val="00504BE7"/>
    <w:rsid w:val="00504D2C"/>
    <w:rsid w:val="00504DA4"/>
    <w:rsid w:val="00504DD9"/>
    <w:rsid w:val="00504E57"/>
    <w:rsid w:val="00504E96"/>
    <w:rsid w:val="00504ECF"/>
    <w:rsid w:val="00505133"/>
    <w:rsid w:val="00505166"/>
    <w:rsid w:val="005051BD"/>
    <w:rsid w:val="00505238"/>
    <w:rsid w:val="005053A0"/>
    <w:rsid w:val="005053EE"/>
    <w:rsid w:val="00505425"/>
    <w:rsid w:val="00505482"/>
    <w:rsid w:val="005055AF"/>
    <w:rsid w:val="005055B1"/>
    <w:rsid w:val="005055B9"/>
    <w:rsid w:val="0050569C"/>
    <w:rsid w:val="005056C5"/>
    <w:rsid w:val="005056E1"/>
    <w:rsid w:val="005056E7"/>
    <w:rsid w:val="005056F1"/>
    <w:rsid w:val="00505771"/>
    <w:rsid w:val="005057D5"/>
    <w:rsid w:val="0050584F"/>
    <w:rsid w:val="005058DF"/>
    <w:rsid w:val="0050595B"/>
    <w:rsid w:val="00505967"/>
    <w:rsid w:val="0050599F"/>
    <w:rsid w:val="005059CC"/>
    <w:rsid w:val="00505A4F"/>
    <w:rsid w:val="00505B73"/>
    <w:rsid w:val="00505BC3"/>
    <w:rsid w:val="00505C28"/>
    <w:rsid w:val="00505C68"/>
    <w:rsid w:val="00505D26"/>
    <w:rsid w:val="00505EA8"/>
    <w:rsid w:val="00505F55"/>
    <w:rsid w:val="00505FA5"/>
    <w:rsid w:val="00506123"/>
    <w:rsid w:val="0050614C"/>
    <w:rsid w:val="00506186"/>
    <w:rsid w:val="00506225"/>
    <w:rsid w:val="0050622F"/>
    <w:rsid w:val="00506270"/>
    <w:rsid w:val="005062AD"/>
    <w:rsid w:val="00506397"/>
    <w:rsid w:val="0050652F"/>
    <w:rsid w:val="00506553"/>
    <w:rsid w:val="0050656A"/>
    <w:rsid w:val="0050657C"/>
    <w:rsid w:val="0050676F"/>
    <w:rsid w:val="0050679E"/>
    <w:rsid w:val="005067C5"/>
    <w:rsid w:val="005068D5"/>
    <w:rsid w:val="00506933"/>
    <w:rsid w:val="0050694B"/>
    <w:rsid w:val="00506961"/>
    <w:rsid w:val="00506A2A"/>
    <w:rsid w:val="00506A83"/>
    <w:rsid w:val="00506AA2"/>
    <w:rsid w:val="00506AB9"/>
    <w:rsid w:val="00506C41"/>
    <w:rsid w:val="00506CC8"/>
    <w:rsid w:val="00506D65"/>
    <w:rsid w:val="00506ECC"/>
    <w:rsid w:val="00506F62"/>
    <w:rsid w:val="00506FAB"/>
    <w:rsid w:val="00506FEE"/>
    <w:rsid w:val="00507088"/>
    <w:rsid w:val="0050710F"/>
    <w:rsid w:val="00507158"/>
    <w:rsid w:val="0050717A"/>
    <w:rsid w:val="00507194"/>
    <w:rsid w:val="005071C1"/>
    <w:rsid w:val="0050724B"/>
    <w:rsid w:val="00507258"/>
    <w:rsid w:val="0050727E"/>
    <w:rsid w:val="00507313"/>
    <w:rsid w:val="0050735E"/>
    <w:rsid w:val="0050749C"/>
    <w:rsid w:val="005074DB"/>
    <w:rsid w:val="005074E5"/>
    <w:rsid w:val="005074E6"/>
    <w:rsid w:val="00507502"/>
    <w:rsid w:val="005075C9"/>
    <w:rsid w:val="005075CE"/>
    <w:rsid w:val="00507716"/>
    <w:rsid w:val="0050775B"/>
    <w:rsid w:val="0050777D"/>
    <w:rsid w:val="00507799"/>
    <w:rsid w:val="005077C9"/>
    <w:rsid w:val="005077DA"/>
    <w:rsid w:val="0050782C"/>
    <w:rsid w:val="0050783C"/>
    <w:rsid w:val="00507857"/>
    <w:rsid w:val="005078AC"/>
    <w:rsid w:val="005078E6"/>
    <w:rsid w:val="00507972"/>
    <w:rsid w:val="005079E1"/>
    <w:rsid w:val="00507A03"/>
    <w:rsid w:val="00507A30"/>
    <w:rsid w:val="00507AAD"/>
    <w:rsid w:val="00507AB1"/>
    <w:rsid w:val="00507AC4"/>
    <w:rsid w:val="00507BF8"/>
    <w:rsid w:val="00507C86"/>
    <w:rsid w:val="00507C91"/>
    <w:rsid w:val="00507D2E"/>
    <w:rsid w:val="00507E09"/>
    <w:rsid w:val="00507F16"/>
    <w:rsid w:val="00507F2E"/>
    <w:rsid w:val="00507F3D"/>
    <w:rsid w:val="00507F40"/>
    <w:rsid w:val="00507F8D"/>
    <w:rsid w:val="00507FB6"/>
    <w:rsid w:val="00507FDB"/>
    <w:rsid w:val="00510031"/>
    <w:rsid w:val="005100A6"/>
    <w:rsid w:val="00510176"/>
    <w:rsid w:val="00510226"/>
    <w:rsid w:val="00510227"/>
    <w:rsid w:val="00510259"/>
    <w:rsid w:val="005102B7"/>
    <w:rsid w:val="005102CC"/>
    <w:rsid w:val="00510336"/>
    <w:rsid w:val="00510493"/>
    <w:rsid w:val="0051058C"/>
    <w:rsid w:val="00510720"/>
    <w:rsid w:val="00510756"/>
    <w:rsid w:val="005107C1"/>
    <w:rsid w:val="00510871"/>
    <w:rsid w:val="0051092B"/>
    <w:rsid w:val="0051097E"/>
    <w:rsid w:val="005109FF"/>
    <w:rsid w:val="00510A0E"/>
    <w:rsid w:val="00510A18"/>
    <w:rsid w:val="00510BCC"/>
    <w:rsid w:val="00510CA0"/>
    <w:rsid w:val="00510CD9"/>
    <w:rsid w:val="00510D90"/>
    <w:rsid w:val="00510DE0"/>
    <w:rsid w:val="00510EC0"/>
    <w:rsid w:val="00510EDB"/>
    <w:rsid w:val="00510FD1"/>
    <w:rsid w:val="0051111A"/>
    <w:rsid w:val="0051112C"/>
    <w:rsid w:val="00511135"/>
    <w:rsid w:val="0051118A"/>
    <w:rsid w:val="005112F3"/>
    <w:rsid w:val="005112FD"/>
    <w:rsid w:val="00511305"/>
    <w:rsid w:val="00511447"/>
    <w:rsid w:val="0051147A"/>
    <w:rsid w:val="0051149B"/>
    <w:rsid w:val="005115E1"/>
    <w:rsid w:val="00511621"/>
    <w:rsid w:val="00511765"/>
    <w:rsid w:val="0051181D"/>
    <w:rsid w:val="0051182F"/>
    <w:rsid w:val="00511838"/>
    <w:rsid w:val="00511842"/>
    <w:rsid w:val="00511A69"/>
    <w:rsid w:val="00511A6F"/>
    <w:rsid w:val="00511B0B"/>
    <w:rsid w:val="00511B1B"/>
    <w:rsid w:val="00511B3A"/>
    <w:rsid w:val="00511BF8"/>
    <w:rsid w:val="00511C4E"/>
    <w:rsid w:val="00511CEE"/>
    <w:rsid w:val="00511D74"/>
    <w:rsid w:val="00511EAD"/>
    <w:rsid w:val="00511EC6"/>
    <w:rsid w:val="00511EE1"/>
    <w:rsid w:val="00511F4B"/>
    <w:rsid w:val="00511FC8"/>
    <w:rsid w:val="00512024"/>
    <w:rsid w:val="0051202F"/>
    <w:rsid w:val="005120CA"/>
    <w:rsid w:val="0051220A"/>
    <w:rsid w:val="00512214"/>
    <w:rsid w:val="0051226E"/>
    <w:rsid w:val="005124AC"/>
    <w:rsid w:val="005125F2"/>
    <w:rsid w:val="00512677"/>
    <w:rsid w:val="0051268E"/>
    <w:rsid w:val="005126E6"/>
    <w:rsid w:val="0051270F"/>
    <w:rsid w:val="00512732"/>
    <w:rsid w:val="0051279D"/>
    <w:rsid w:val="005127BD"/>
    <w:rsid w:val="00512866"/>
    <w:rsid w:val="0051286B"/>
    <w:rsid w:val="00512A18"/>
    <w:rsid w:val="00512A77"/>
    <w:rsid w:val="00512B26"/>
    <w:rsid w:val="00512B50"/>
    <w:rsid w:val="00512B7C"/>
    <w:rsid w:val="00512BCF"/>
    <w:rsid w:val="00512C93"/>
    <w:rsid w:val="00512CB2"/>
    <w:rsid w:val="00512D72"/>
    <w:rsid w:val="00512E51"/>
    <w:rsid w:val="00512EE4"/>
    <w:rsid w:val="00512EF3"/>
    <w:rsid w:val="00513001"/>
    <w:rsid w:val="00513004"/>
    <w:rsid w:val="0051305E"/>
    <w:rsid w:val="00513069"/>
    <w:rsid w:val="0051306E"/>
    <w:rsid w:val="00513192"/>
    <w:rsid w:val="005131CF"/>
    <w:rsid w:val="00513214"/>
    <w:rsid w:val="005132F2"/>
    <w:rsid w:val="005133DB"/>
    <w:rsid w:val="005133F7"/>
    <w:rsid w:val="00513419"/>
    <w:rsid w:val="0051351E"/>
    <w:rsid w:val="005135A5"/>
    <w:rsid w:val="005135B8"/>
    <w:rsid w:val="00513641"/>
    <w:rsid w:val="0051380C"/>
    <w:rsid w:val="0051383F"/>
    <w:rsid w:val="00513859"/>
    <w:rsid w:val="005138A1"/>
    <w:rsid w:val="00513A27"/>
    <w:rsid w:val="00513A28"/>
    <w:rsid w:val="00513AE8"/>
    <w:rsid w:val="00513B4C"/>
    <w:rsid w:val="00513B5E"/>
    <w:rsid w:val="00513BA6"/>
    <w:rsid w:val="00513C98"/>
    <w:rsid w:val="00513D3F"/>
    <w:rsid w:val="00513D75"/>
    <w:rsid w:val="00513D94"/>
    <w:rsid w:val="00513FF2"/>
    <w:rsid w:val="00514063"/>
    <w:rsid w:val="005140A5"/>
    <w:rsid w:val="00514143"/>
    <w:rsid w:val="0051429A"/>
    <w:rsid w:val="00514390"/>
    <w:rsid w:val="00514488"/>
    <w:rsid w:val="005145A4"/>
    <w:rsid w:val="0051469A"/>
    <w:rsid w:val="0051470F"/>
    <w:rsid w:val="00514750"/>
    <w:rsid w:val="005147AC"/>
    <w:rsid w:val="0051481A"/>
    <w:rsid w:val="0051481F"/>
    <w:rsid w:val="005148A3"/>
    <w:rsid w:val="00514999"/>
    <w:rsid w:val="00514A78"/>
    <w:rsid w:val="00514AB7"/>
    <w:rsid w:val="00514AC1"/>
    <w:rsid w:val="00514B37"/>
    <w:rsid w:val="00514B9A"/>
    <w:rsid w:val="00514BFC"/>
    <w:rsid w:val="00514BFD"/>
    <w:rsid w:val="00514C2F"/>
    <w:rsid w:val="00514CB1"/>
    <w:rsid w:val="00514CC5"/>
    <w:rsid w:val="00514DB7"/>
    <w:rsid w:val="00514E03"/>
    <w:rsid w:val="00514E35"/>
    <w:rsid w:val="00514F21"/>
    <w:rsid w:val="00514FF5"/>
    <w:rsid w:val="005150A4"/>
    <w:rsid w:val="00515104"/>
    <w:rsid w:val="005151A2"/>
    <w:rsid w:val="005151D7"/>
    <w:rsid w:val="005151F9"/>
    <w:rsid w:val="00515296"/>
    <w:rsid w:val="005153BD"/>
    <w:rsid w:val="00515448"/>
    <w:rsid w:val="00515465"/>
    <w:rsid w:val="00515549"/>
    <w:rsid w:val="00515555"/>
    <w:rsid w:val="00515592"/>
    <w:rsid w:val="0051567F"/>
    <w:rsid w:val="005156A2"/>
    <w:rsid w:val="005156D5"/>
    <w:rsid w:val="005156D9"/>
    <w:rsid w:val="0051583A"/>
    <w:rsid w:val="00515927"/>
    <w:rsid w:val="00515A4D"/>
    <w:rsid w:val="00515A75"/>
    <w:rsid w:val="00515ABB"/>
    <w:rsid w:val="00515ADC"/>
    <w:rsid w:val="00515BEC"/>
    <w:rsid w:val="00515BEF"/>
    <w:rsid w:val="00515C52"/>
    <w:rsid w:val="00515C9D"/>
    <w:rsid w:val="00515CEB"/>
    <w:rsid w:val="00515D4D"/>
    <w:rsid w:val="00515D8F"/>
    <w:rsid w:val="00515DB4"/>
    <w:rsid w:val="00515ECE"/>
    <w:rsid w:val="00515F7C"/>
    <w:rsid w:val="00515F80"/>
    <w:rsid w:val="00516009"/>
    <w:rsid w:val="00516036"/>
    <w:rsid w:val="00516096"/>
    <w:rsid w:val="00516103"/>
    <w:rsid w:val="005161F0"/>
    <w:rsid w:val="005162E8"/>
    <w:rsid w:val="005162F9"/>
    <w:rsid w:val="00516323"/>
    <w:rsid w:val="00516376"/>
    <w:rsid w:val="00516405"/>
    <w:rsid w:val="00516467"/>
    <w:rsid w:val="005164CB"/>
    <w:rsid w:val="00516512"/>
    <w:rsid w:val="00516519"/>
    <w:rsid w:val="00516559"/>
    <w:rsid w:val="00516792"/>
    <w:rsid w:val="005167F8"/>
    <w:rsid w:val="00516850"/>
    <w:rsid w:val="00516929"/>
    <w:rsid w:val="0051695A"/>
    <w:rsid w:val="00516A8D"/>
    <w:rsid w:val="00516C23"/>
    <w:rsid w:val="00516C55"/>
    <w:rsid w:val="00516CEC"/>
    <w:rsid w:val="00516D91"/>
    <w:rsid w:val="00516E9B"/>
    <w:rsid w:val="00516FD7"/>
    <w:rsid w:val="00517033"/>
    <w:rsid w:val="00517090"/>
    <w:rsid w:val="00517113"/>
    <w:rsid w:val="0051712E"/>
    <w:rsid w:val="00517170"/>
    <w:rsid w:val="005171D7"/>
    <w:rsid w:val="00517204"/>
    <w:rsid w:val="00517248"/>
    <w:rsid w:val="005172DC"/>
    <w:rsid w:val="0051740D"/>
    <w:rsid w:val="00517455"/>
    <w:rsid w:val="00517463"/>
    <w:rsid w:val="005174DC"/>
    <w:rsid w:val="00517552"/>
    <w:rsid w:val="00517624"/>
    <w:rsid w:val="00517689"/>
    <w:rsid w:val="005176B3"/>
    <w:rsid w:val="00517722"/>
    <w:rsid w:val="0051777D"/>
    <w:rsid w:val="00517833"/>
    <w:rsid w:val="0051790F"/>
    <w:rsid w:val="00517991"/>
    <w:rsid w:val="005179A4"/>
    <w:rsid w:val="005179EE"/>
    <w:rsid w:val="00517A74"/>
    <w:rsid w:val="00517A97"/>
    <w:rsid w:val="00517A9A"/>
    <w:rsid w:val="00517B2E"/>
    <w:rsid w:val="00517B4F"/>
    <w:rsid w:val="00517B92"/>
    <w:rsid w:val="00517C91"/>
    <w:rsid w:val="00517DED"/>
    <w:rsid w:val="00517DFB"/>
    <w:rsid w:val="00517E01"/>
    <w:rsid w:val="00517E15"/>
    <w:rsid w:val="00517E2F"/>
    <w:rsid w:val="00517E99"/>
    <w:rsid w:val="00517F90"/>
    <w:rsid w:val="005200C9"/>
    <w:rsid w:val="00520143"/>
    <w:rsid w:val="00520145"/>
    <w:rsid w:val="005201AA"/>
    <w:rsid w:val="005201D3"/>
    <w:rsid w:val="005202BF"/>
    <w:rsid w:val="00520363"/>
    <w:rsid w:val="005203D0"/>
    <w:rsid w:val="005204FA"/>
    <w:rsid w:val="005205A2"/>
    <w:rsid w:val="005205B2"/>
    <w:rsid w:val="005205C4"/>
    <w:rsid w:val="005205C8"/>
    <w:rsid w:val="005205D9"/>
    <w:rsid w:val="005205F6"/>
    <w:rsid w:val="00520616"/>
    <w:rsid w:val="0052062E"/>
    <w:rsid w:val="005206A4"/>
    <w:rsid w:val="005206FF"/>
    <w:rsid w:val="005207F0"/>
    <w:rsid w:val="005207FE"/>
    <w:rsid w:val="00520823"/>
    <w:rsid w:val="00520867"/>
    <w:rsid w:val="0052089C"/>
    <w:rsid w:val="0052099A"/>
    <w:rsid w:val="005209EA"/>
    <w:rsid w:val="00520A02"/>
    <w:rsid w:val="00520A0F"/>
    <w:rsid w:val="00520BA0"/>
    <w:rsid w:val="00520BFA"/>
    <w:rsid w:val="00520C01"/>
    <w:rsid w:val="00520C98"/>
    <w:rsid w:val="00520D17"/>
    <w:rsid w:val="00520DBD"/>
    <w:rsid w:val="00520E00"/>
    <w:rsid w:val="00520E05"/>
    <w:rsid w:val="00520F4F"/>
    <w:rsid w:val="00520F57"/>
    <w:rsid w:val="00520F5D"/>
    <w:rsid w:val="0052107A"/>
    <w:rsid w:val="005211AB"/>
    <w:rsid w:val="005211D7"/>
    <w:rsid w:val="005211FA"/>
    <w:rsid w:val="00521306"/>
    <w:rsid w:val="00521365"/>
    <w:rsid w:val="0052149A"/>
    <w:rsid w:val="005214D8"/>
    <w:rsid w:val="005214E7"/>
    <w:rsid w:val="0052174E"/>
    <w:rsid w:val="00521785"/>
    <w:rsid w:val="0052179A"/>
    <w:rsid w:val="0052181F"/>
    <w:rsid w:val="005218A2"/>
    <w:rsid w:val="005218F5"/>
    <w:rsid w:val="00521A43"/>
    <w:rsid w:val="00521AB8"/>
    <w:rsid w:val="00521B01"/>
    <w:rsid w:val="00521B77"/>
    <w:rsid w:val="00521BA7"/>
    <w:rsid w:val="00521BF0"/>
    <w:rsid w:val="00521E2E"/>
    <w:rsid w:val="00521E62"/>
    <w:rsid w:val="00521E70"/>
    <w:rsid w:val="00521ED9"/>
    <w:rsid w:val="00521FBA"/>
    <w:rsid w:val="005220E4"/>
    <w:rsid w:val="00522132"/>
    <w:rsid w:val="005221C5"/>
    <w:rsid w:val="005221D8"/>
    <w:rsid w:val="0052226E"/>
    <w:rsid w:val="005222B1"/>
    <w:rsid w:val="00522310"/>
    <w:rsid w:val="00522342"/>
    <w:rsid w:val="0052236B"/>
    <w:rsid w:val="00522396"/>
    <w:rsid w:val="005223A8"/>
    <w:rsid w:val="005223C0"/>
    <w:rsid w:val="005223C1"/>
    <w:rsid w:val="00522421"/>
    <w:rsid w:val="005224B9"/>
    <w:rsid w:val="005224C0"/>
    <w:rsid w:val="00522572"/>
    <w:rsid w:val="00522588"/>
    <w:rsid w:val="00522591"/>
    <w:rsid w:val="00522610"/>
    <w:rsid w:val="005226EE"/>
    <w:rsid w:val="005227C7"/>
    <w:rsid w:val="005228EE"/>
    <w:rsid w:val="00522934"/>
    <w:rsid w:val="005229EE"/>
    <w:rsid w:val="00522E39"/>
    <w:rsid w:val="00522E5D"/>
    <w:rsid w:val="00522E70"/>
    <w:rsid w:val="00522FA1"/>
    <w:rsid w:val="00522FA3"/>
    <w:rsid w:val="0052306D"/>
    <w:rsid w:val="00523077"/>
    <w:rsid w:val="0052307D"/>
    <w:rsid w:val="00523096"/>
    <w:rsid w:val="00523120"/>
    <w:rsid w:val="0052315F"/>
    <w:rsid w:val="0052319D"/>
    <w:rsid w:val="00523394"/>
    <w:rsid w:val="005233B3"/>
    <w:rsid w:val="005233F3"/>
    <w:rsid w:val="00523437"/>
    <w:rsid w:val="0052346C"/>
    <w:rsid w:val="00523519"/>
    <w:rsid w:val="0052353B"/>
    <w:rsid w:val="0052369D"/>
    <w:rsid w:val="00523701"/>
    <w:rsid w:val="00523761"/>
    <w:rsid w:val="00523805"/>
    <w:rsid w:val="0052383F"/>
    <w:rsid w:val="00523863"/>
    <w:rsid w:val="00523864"/>
    <w:rsid w:val="0052386E"/>
    <w:rsid w:val="0052387F"/>
    <w:rsid w:val="005238F6"/>
    <w:rsid w:val="00523986"/>
    <w:rsid w:val="005239B2"/>
    <w:rsid w:val="005239EC"/>
    <w:rsid w:val="00523A06"/>
    <w:rsid w:val="00523A69"/>
    <w:rsid w:val="00523B01"/>
    <w:rsid w:val="00523CB9"/>
    <w:rsid w:val="00523CC1"/>
    <w:rsid w:val="00523D7D"/>
    <w:rsid w:val="00523EC8"/>
    <w:rsid w:val="00523F08"/>
    <w:rsid w:val="00523F19"/>
    <w:rsid w:val="00523F29"/>
    <w:rsid w:val="00523F43"/>
    <w:rsid w:val="00524151"/>
    <w:rsid w:val="005241C9"/>
    <w:rsid w:val="005241CF"/>
    <w:rsid w:val="0052436C"/>
    <w:rsid w:val="00524454"/>
    <w:rsid w:val="0052459B"/>
    <w:rsid w:val="005245AA"/>
    <w:rsid w:val="005245E5"/>
    <w:rsid w:val="005246E1"/>
    <w:rsid w:val="005247B3"/>
    <w:rsid w:val="00524848"/>
    <w:rsid w:val="005249BB"/>
    <w:rsid w:val="00524A40"/>
    <w:rsid w:val="00524A72"/>
    <w:rsid w:val="00524B18"/>
    <w:rsid w:val="00524C20"/>
    <w:rsid w:val="00524C6A"/>
    <w:rsid w:val="00524CFA"/>
    <w:rsid w:val="00524DCA"/>
    <w:rsid w:val="00524E3D"/>
    <w:rsid w:val="00524E6E"/>
    <w:rsid w:val="005250D3"/>
    <w:rsid w:val="005250DA"/>
    <w:rsid w:val="005250EE"/>
    <w:rsid w:val="005251F0"/>
    <w:rsid w:val="0052522B"/>
    <w:rsid w:val="00525246"/>
    <w:rsid w:val="0052532B"/>
    <w:rsid w:val="00525362"/>
    <w:rsid w:val="0052549A"/>
    <w:rsid w:val="005254E7"/>
    <w:rsid w:val="005255D2"/>
    <w:rsid w:val="005255E8"/>
    <w:rsid w:val="00525612"/>
    <w:rsid w:val="0052565C"/>
    <w:rsid w:val="005256A9"/>
    <w:rsid w:val="0052577B"/>
    <w:rsid w:val="005257C4"/>
    <w:rsid w:val="00525832"/>
    <w:rsid w:val="005258BD"/>
    <w:rsid w:val="005258DF"/>
    <w:rsid w:val="00525951"/>
    <w:rsid w:val="005259B5"/>
    <w:rsid w:val="005259CC"/>
    <w:rsid w:val="005259D0"/>
    <w:rsid w:val="00525A2B"/>
    <w:rsid w:val="00525A44"/>
    <w:rsid w:val="00525A4B"/>
    <w:rsid w:val="00525BDA"/>
    <w:rsid w:val="00525BDC"/>
    <w:rsid w:val="00525C36"/>
    <w:rsid w:val="00525C5A"/>
    <w:rsid w:val="00525C8C"/>
    <w:rsid w:val="00525C8F"/>
    <w:rsid w:val="00525CAE"/>
    <w:rsid w:val="00525D88"/>
    <w:rsid w:val="00525E1C"/>
    <w:rsid w:val="00525E1F"/>
    <w:rsid w:val="00525E6C"/>
    <w:rsid w:val="00525F9D"/>
    <w:rsid w:val="00526000"/>
    <w:rsid w:val="00526085"/>
    <w:rsid w:val="005261A0"/>
    <w:rsid w:val="005261BE"/>
    <w:rsid w:val="005262ED"/>
    <w:rsid w:val="0052634D"/>
    <w:rsid w:val="005263B6"/>
    <w:rsid w:val="005263D5"/>
    <w:rsid w:val="005263DE"/>
    <w:rsid w:val="005263FD"/>
    <w:rsid w:val="00526405"/>
    <w:rsid w:val="00526442"/>
    <w:rsid w:val="00526510"/>
    <w:rsid w:val="00526539"/>
    <w:rsid w:val="00526604"/>
    <w:rsid w:val="0052663C"/>
    <w:rsid w:val="00526775"/>
    <w:rsid w:val="005267E1"/>
    <w:rsid w:val="00526863"/>
    <w:rsid w:val="005268C5"/>
    <w:rsid w:val="005268D7"/>
    <w:rsid w:val="005268E3"/>
    <w:rsid w:val="005269B9"/>
    <w:rsid w:val="00526A4B"/>
    <w:rsid w:val="00526AF1"/>
    <w:rsid w:val="00526B15"/>
    <w:rsid w:val="00526B2D"/>
    <w:rsid w:val="00526B4C"/>
    <w:rsid w:val="00526B56"/>
    <w:rsid w:val="00526B60"/>
    <w:rsid w:val="00526BDB"/>
    <w:rsid w:val="00526BEB"/>
    <w:rsid w:val="00526BF0"/>
    <w:rsid w:val="00526C6A"/>
    <w:rsid w:val="00526D9E"/>
    <w:rsid w:val="00526E1A"/>
    <w:rsid w:val="00526E39"/>
    <w:rsid w:val="00526E94"/>
    <w:rsid w:val="00526FC2"/>
    <w:rsid w:val="00526FC4"/>
    <w:rsid w:val="00526FE4"/>
    <w:rsid w:val="00527019"/>
    <w:rsid w:val="005271BC"/>
    <w:rsid w:val="005271D9"/>
    <w:rsid w:val="00527213"/>
    <w:rsid w:val="00527231"/>
    <w:rsid w:val="0052724C"/>
    <w:rsid w:val="00527372"/>
    <w:rsid w:val="005273EB"/>
    <w:rsid w:val="005273F8"/>
    <w:rsid w:val="005274CA"/>
    <w:rsid w:val="00527533"/>
    <w:rsid w:val="005275D4"/>
    <w:rsid w:val="0052765D"/>
    <w:rsid w:val="0052771E"/>
    <w:rsid w:val="00527761"/>
    <w:rsid w:val="005278E5"/>
    <w:rsid w:val="00527939"/>
    <w:rsid w:val="0052797E"/>
    <w:rsid w:val="00527998"/>
    <w:rsid w:val="00527AC1"/>
    <w:rsid w:val="00527B12"/>
    <w:rsid w:val="00527BF3"/>
    <w:rsid w:val="00527C92"/>
    <w:rsid w:val="00527CA7"/>
    <w:rsid w:val="00527CB1"/>
    <w:rsid w:val="00527CBF"/>
    <w:rsid w:val="00527DCB"/>
    <w:rsid w:val="00527E43"/>
    <w:rsid w:val="00527EC8"/>
    <w:rsid w:val="00527EF4"/>
    <w:rsid w:val="00527F66"/>
    <w:rsid w:val="00527F6E"/>
    <w:rsid w:val="00527F9F"/>
    <w:rsid w:val="00527FF8"/>
    <w:rsid w:val="0053002B"/>
    <w:rsid w:val="00530087"/>
    <w:rsid w:val="0053018D"/>
    <w:rsid w:val="0053019E"/>
    <w:rsid w:val="005301F3"/>
    <w:rsid w:val="005302BC"/>
    <w:rsid w:val="005302BD"/>
    <w:rsid w:val="005303D9"/>
    <w:rsid w:val="005303E3"/>
    <w:rsid w:val="005304BA"/>
    <w:rsid w:val="005304F5"/>
    <w:rsid w:val="00530547"/>
    <w:rsid w:val="005305D0"/>
    <w:rsid w:val="005305F4"/>
    <w:rsid w:val="005307E8"/>
    <w:rsid w:val="005307F3"/>
    <w:rsid w:val="005307F5"/>
    <w:rsid w:val="00530818"/>
    <w:rsid w:val="00530849"/>
    <w:rsid w:val="00530857"/>
    <w:rsid w:val="0053087E"/>
    <w:rsid w:val="005308AA"/>
    <w:rsid w:val="005308E9"/>
    <w:rsid w:val="00530A00"/>
    <w:rsid w:val="00530A6B"/>
    <w:rsid w:val="00530AAC"/>
    <w:rsid w:val="00530ACA"/>
    <w:rsid w:val="00530B2C"/>
    <w:rsid w:val="00530BFB"/>
    <w:rsid w:val="00530CB9"/>
    <w:rsid w:val="00530D1F"/>
    <w:rsid w:val="00530D9B"/>
    <w:rsid w:val="00530DB9"/>
    <w:rsid w:val="00530F7C"/>
    <w:rsid w:val="0053102D"/>
    <w:rsid w:val="0053104D"/>
    <w:rsid w:val="00531081"/>
    <w:rsid w:val="005310A8"/>
    <w:rsid w:val="005310F6"/>
    <w:rsid w:val="00531119"/>
    <w:rsid w:val="00531122"/>
    <w:rsid w:val="0053116D"/>
    <w:rsid w:val="00531186"/>
    <w:rsid w:val="00531197"/>
    <w:rsid w:val="00531338"/>
    <w:rsid w:val="005313BC"/>
    <w:rsid w:val="0053142B"/>
    <w:rsid w:val="00531432"/>
    <w:rsid w:val="00531472"/>
    <w:rsid w:val="0053148C"/>
    <w:rsid w:val="005314EE"/>
    <w:rsid w:val="005314FC"/>
    <w:rsid w:val="005315AD"/>
    <w:rsid w:val="0053161E"/>
    <w:rsid w:val="0053163E"/>
    <w:rsid w:val="005316A5"/>
    <w:rsid w:val="005316FD"/>
    <w:rsid w:val="005317B9"/>
    <w:rsid w:val="00531911"/>
    <w:rsid w:val="0053194E"/>
    <w:rsid w:val="005319C9"/>
    <w:rsid w:val="00531AAC"/>
    <w:rsid w:val="00531B3A"/>
    <w:rsid w:val="00531BBB"/>
    <w:rsid w:val="00531CE2"/>
    <w:rsid w:val="00531D5F"/>
    <w:rsid w:val="00531D6C"/>
    <w:rsid w:val="00531DE9"/>
    <w:rsid w:val="00531E05"/>
    <w:rsid w:val="00531E0D"/>
    <w:rsid w:val="00531E1E"/>
    <w:rsid w:val="00531E9B"/>
    <w:rsid w:val="00531FA3"/>
    <w:rsid w:val="00531FF1"/>
    <w:rsid w:val="0053200A"/>
    <w:rsid w:val="00532120"/>
    <w:rsid w:val="00532133"/>
    <w:rsid w:val="0053223A"/>
    <w:rsid w:val="00532278"/>
    <w:rsid w:val="005322D1"/>
    <w:rsid w:val="005323ED"/>
    <w:rsid w:val="005323FC"/>
    <w:rsid w:val="0053243C"/>
    <w:rsid w:val="00532445"/>
    <w:rsid w:val="005324DB"/>
    <w:rsid w:val="005324F3"/>
    <w:rsid w:val="0053251B"/>
    <w:rsid w:val="0053254F"/>
    <w:rsid w:val="005325CF"/>
    <w:rsid w:val="005325F3"/>
    <w:rsid w:val="0053260E"/>
    <w:rsid w:val="0053268D"/>
    <w:rsid w:val="0053269E"/>
    <w:rsid w:val="005326F9"/>
    <w:rsid w:val="0053274E"/>
    <w:rsid w:val="0053280D"/>
    <w:rsid w:val="0053284D"/>
    <w:rsid w:val="005328A8"/>
    <w:rsid w:val="005328E4"/>
    <w:rsid w:val="005328F4"/>
    <w:rsid w:val="00532917"/>
    <w:rsid w:val="00532AB9"/>
    <w:rsid w:val="00532B0C"/>
    <w:rsid w:val="00532B56"/>
    <w:rsid w:val="00532DB2"/>
    <w:rsid w:val="00532F0D"/>
    <w:rsid w:val="00533017"/>
    <w:rsid w:val="0053302A"/>
    <w:rsid w:val="00533077"/>
    <w:rsid w:val="0053310C"/>
    <w:rsid w:val="0053311B"/>
    <w:rsid w:val="0053319F"/>
    <w:rsid w:val="005331D7"/>
    <w:rsid w:val="0053321F"/>
    <w:rsid w:val="00533222"/>
    <w:rsid w:val="00533338"/>
    <w:rsid w:val="00533354"/>
    <w:rsid w:val="00533521"/>
    <w:rsid w:val="00533629"/>
    <w:rsid w:val="005336F8"/>
    <w:rsid w:val="00533709"/>
    <w:rsid w:val="00533735"/>
    <w:rsid w:val="00533743"/>
    <w:rsid w:val="00533779"/>
    <w:rsid w:val="005338CF"/>
    <w:rsid w:val="005338DC"/>
    <w:rsid w:val="00533979"/>
    <w:rsid w:val="00533A22"/>
    <w:rsid w:val="00533A24"/>
    <w:rsid w:val="00533A40"/>
    <w:rsid w:val="00533AE2"/>
    <w:rsid w:val="00533B4C"/>
    <w:rsid w:val="00533BDC"/>
    <w:rsid w:val="00533C66"/>
    <w:rsid w:val="00533C7B"/>
    <w:rsid w:val="00533CC2"/>
    <w:rsid w:val="00533CCD"/>
    <w:rsid w:val="00533D3E"/>
    <w:rsid w:val="00533DC0"/>
    <w:rsid w:val="00533EA2"/>
    <w:rsid w:val="00533EA5"/>
    <w:rsid w:val="00533F4D"/>
    <w:rsid w:val="00533F7F"/>
    <w:rsid w:val="00533FF1"/>
    <w:rsid w:val="00534099"/>
    <w:rsid w:val="005340B8"/>
    <w:rsid w:val="005340F3"/>
    <w:rsid w:val="00534101"/>
    <w:rsid w:val="00534139"/>
    <w:rsid w:val="005341E2"/>
    <w:rsid w:val="00534322"/>
    <w:rsid w:val="005344D0"/>
    <w:rsid w:val="005344EB"/>
    <w:rsid w:val="00534532"/>
    <w:rsid w:val="0053460C"/>
    <w:rsid w:val="005346BF"/>
    <w:rsid w:val="00534717"/>
    <w:rsid w:val="00534757"/>
    <w:rsid w:val="00534788"/>
    <w:rsid w:val="00534820"/>
    <w:rsid w:val="00534871"/>
    <w:rsid w:val="0053490A"/>
    <w:rsid w:val="00534ABB"/>
    <w:rsid w:val="00534B2A"/>
    <w:rsid w:val="00534BA1"/>
    <w:rsid w:val="00534BA2"/>
    <w:rsid w:val="00534CC5"/>
    <w:rsid w:val="00534D52"/>
    <w:rsid w:val="00534D5A"/>
    <w:rsid w:val="00534D71"/>
    <w:rsid w:val="00534EB3"/>
    <w:rsid w:val="00534F85"/>
    <w:rsid w:val="00534FCD"/>
    <w:rsid w:val="00534FDE"/>
    <w:rsid w:val="00535007"/>
    <w:rsid w:val="0053503B"/>
    <w:rsid w:val="005350DF"/>
    <w:rsid w:val="00535248"/>
    <w:rsid w:val="005352A8"/>
    <w:rsid w:val="0053537B"/>
    <w:rsid w:val="005353D5"/>
    <w:rsid w:val="00535437"/>
    <w:rsid w:val="00535491"/>
    <w:rsid w:val="005354AC"/>
    <w:rsid w:val="005354C8"/>
    <w:rsid w:val="005354CC"/>
    <w:rsid w:val="00535594"/>
    <w:rsid w:val="005355A2"/>
    <w:rsid w:val="005355A8"/>
    <w:rsid w:val="00535642"/>
    <w:rsid w:val="00535769"/>
    <w:rsid w:val="0053579B"/>
    <w:rsid w:val="005357B1"/>
    <w:rsid w:val="005357D6"/>
    <w:rsid w:val="005357F1"/>
    <w:rsid w:val="00535881"/>
    <w:rsid w:val="005358A1"/>
    <w:rsid w:val="005358E4"/>
    <w:rsid w:val="0053590D"/>
    <w:rsid w:val="00535930"/>
    <w:rsid w:val="00535969"/>
    <w:rsid w:val="00535977"/>
    <w:rsid w:val="00535A0B"/>
    <w:rsid w:val="00535BE6"/>
    <w:rsid w:val="00535C11"/>
    <w:rsid w:val="00535CE0"/>
    <w:rsid w:val="00535D72"/>
    <w:rsid w:val="00535DBD"/>
    <w:rsid w:val="00535DF1"/>
    <w:rsid w:val="00535E2F"/>
    <w:rsid w:val="00535EC4"/>
    <w:rsid w:val="00535FCF"/>
    <w:rsid w:val="00535FF9"/>
    <w:rsid w:val="0053606D"/>
    <w:rsid w:val="0053609D"/>
    <w:rsid w:val="005360CE"/>
    <w:rsid w:val="00536164"/>
    <w:rsid w:val="005362F1"/>
    <w:rsid w:val="005363E9"/>
    <w:rsid w:val="005364DD"/>
    <w:rsid w:val="005365D5"/>
    <w:rsid w:val="0053660A"/>
    <w:rsid w:val="005366B3"/>
    <w:rsid w:val="005366C3"/>
    <w:rsid w:val="005366D1"/>
    <w:rsid w:val="00536735"/>
    <w:rsid w:val="00536741"/>
    <w:rsid w:val="005367C3"/>
    <w:rsid w:val="005367D2"/>
    <w:rsid w:val="005367E9"/>
    <w:rsid w:val="00536860"/>
    <w:rsid w:val="0053687B"/>
    <w:rsid w:val="0053687C"/>
    <w:rsid w:val="005368B7"/>
    <w:rsid w:val="005368C8"/>
    <w:rsid w:val="00536965"/>
    <w:rsid w:val="005369BA"/>
    <w:rsid w:val="00536A6A"/>
    <w:rsid w:val="00536AA9"/>
    <w:rsid w:val="00536BDA"/>
    <w:rsid w:val="00536C58"/>
    <w:rsid w:val="00536CFE"/>
    <w:rsid w:val="00536ED4"/>
    <w:rsid w:val="00536F45"/>
    <w:rsid w:val="00537009"/>
    <w:rsid w:val="00537070"/>
    <w:rsid w:val="005370C3"/>
    <w:rsid w:val="005370C8"/>
    <w:rsid w:val="00537108"/>
    <w:rsid w:val="0053710D"/>
    <w:rsid w:val="00537173"/>
    <w:rsid w:val="0053723B"/>
    <w:rsid w:val="005372F4"/>
    <w:rsid w:val="00537331"/>
    <w:rsid w:val="00537334"/>
    <w:rsid w:val="00537344"/>
    <w:rsid w:val="00537510"/>
    <w:rsid w:val="0053754C"/>
    <w:rsid w:val="00537596"/>
    <w:rsid w:val="005375B2"/>
    <w:rsid w:val="005375C1"/>
    <w:rsid w:val="005375E8"/>
    <w:rsid w:val="00537696"/>
    <w:rsid w:val="0053777C"/>
    <w:rsid w:val="0053778B"/>
    <w:rsid w:val="005377B6"/>
    <w:rsid w:val="005378D7"/>
    <w:rsid w:val="0053795B"/>
    <w:rsid w:val="0053799B"/>
    <w:rsid w:val="005379B3"/>
    <w:rsid w:val="00537A3B"/>
    <w:rsid w:val="00537AAF"/>
    <w:rsid w:val="00537ACD"/>
    <w:rsid w:val="00537B2D"/>
    <w:rsid w:val="00537B4C"/>
    <w:rsid w:val="00537B6C"/>
    <w:rsid w:val="00537C76"/>
    <w:rsid w:val="00537E0D"/>
    <w:rsid w:val="00537E46"/>
    <w:rsid w:val="00537ED4"/>
    <w:rsid w:val="00537F59"/>
    <w:rsid w:val="00540027"/>
    <w:rsid w:val="0054004B"/>
    <w:rsid w:val="005401BA"/>
    <w:rsid w:val="0054024F"/>
    <w:rsid w:val="005404B2"/>
    <w:rsid w:val="00540561"/>
    <w:rsid w:val="0054058A"/>
    <w:rsid w:val="005406CC"/>
    <w:rsid w:val="005407AF"/>
    <w:rsid w:val="005407C2"/>
    <w:rsid w:val="00540960"/>
    <w:rsid w:val="0054097B"/>
    <w:rsid w:val="005409E1"/>
    <w:rsid w:val="00540A6F"/>
    <w:rsid w:val="00540ABD"/>
    <w:rsid w:val="00540AF4"/>
    <w:rsid w:val="00540B20"/>
    <w:rsid w:val="00540B77"/>
    <w:rsid w:val="00540BF6"/>
    <w:rsid w:val="00540C79"/>
    <w:rsid w:val="00540C97"/>
    <w:rsid w:val="00540D32"/>
    <w:rsid w:val="00540DF8"/>
    <w:rsid w:val="00540E2A"/>
    <w:rsid w:val="00540FCF"/>
    <w:rsid w:val="00540FE4"/>
    <w:rsid w:val="0054109C"/>
    <w:rsid w:val="005410E0"/>
    <w:rsid w:val="0054119A"/>
    <w:rsid w:val="005411C4"/>
    <w:rsid w:val="005411F7"/>
    <w:rsid w:val="005411FA"/>
    <w:rsid w:val="005411FE"/>
    <w:rsid w:val="00541378"/>
    <w:rsid w:val="0054147C"/>
    <w:rsid w:val="00541582"/>
    <w:rsid w:val="005415EE"/>
    <w:rsid w:val="00541616"/>
    <w:rsid w:val="0054161F"/>
    <w:rsid w:val="00541680"/>
    <w:rsid w:val="005416B7"/>
    <w:rsid w:val="0054173B"/>
    <w:rsid w:val="005417E3"/>
    <w:rsid w:val="00541800"/>
    <w:rsid w:val="005418E4"/>
    <w:rsid w:val="0054193F"/>
    <w:rsid w:val="00541A43"/>
    <w:rsid w:val="00541B38"/>
    <w:rsid w:val="00541BD8"/>
    <w:rsid w:val="00541C15"/>
    <w:rsid w:val="00541C21"/>
    <w:rsid w:val="00541C7C"/>
    <w:rsid w:val="00541D3E"/>
    <w:rsid w:val="00541D45"/>
    <w:rsid w:val="00541D54"/>
    <w:rsid w:val="00541D60"/>
    <w:rsid w:val="00541D7B"/>
    <w:rsid w:val="00541DAC"/>
    <w:rsid w:val="00541F40"/>
    <w:rsid w:val="00541F90"/>
    <w:rsid w:val="00542000"/>
    <w:rsid w:val="00542012"/>
    <w:rsid w:val="00542022"/>
    <w:rsid w:val="0054208A"/>
    <w:rsid w:val="005420F8"/>
    <w:rsid w:val="005421E9"/>
    <w:rsid w:val="005421EC"/>
    <w:rsid w:val="00542283"/>
    <w:rsid w:val="0054229E"/>
    <w:rsid w:val="005422B4"/>
    <w:rsid w:val="005422B9"/>
    <w:rsid w:val="0054231D"/>
    <w:rsid w:val="0054237D"/>
    <w:rsid w:val="00542528"/>
    <w:rsid w:val="00542577"/>
    <w:rsid w:val="0054261E"/>
    <w:rsid w:val="00542636"/>
    <w:rsid w:val="00542690"/>
    <w:rsid w:val="005426D7"/>
    <w:rsid w:val="00542707"/>
    <w:rsid w:val="00542746"/>
    <w:rsid w:val="005427BA"/>
    <w:rsid w:val="00542858"/>
    <w:rsid w:val="005428C7"/>
    <w:rsid w:val="005429C6"/>
    <w:rsid w:val="00542AC6"/>
    <w:rsid w:val="00542ADE"/>
    <w:rsid w:val="00542B80"/>
    <w:rsid w:val="00542B9B"/>
    <w:rsid w:val="00542BAB"/>
    <w:rsid w:val="00542BC9"/>
    <w:rsid w:val="00542C54"/>
    <w:rsid w:val="00542CD3"/>
    <w:rsid w:val="00542D0B"/>
    <w:rsid w:val="00542D13"/>
    <w:rsid w:val="00542D2D"/>
    <w:rsid w:val="00542D48"/>
    <w:rsid w:val="00542DAD"/>
    <w:rsid w:val="00542E3E"/>
    <w:rsid w:val="00542E9A"/>
    <w:rsid w:val="005431D0"/>
    <w:rsid w:val="005431D9"/>
    <w:rsid w:val="00543215"/>
    <w:rsid w:val="00543439"/>
    <w:rsid w:val="00543468"/>
    <w:rsid w:val="0054346B"/>
    <w:rsid w:val="005434CB"/>
    <w:rsid w:val="00543579"/>
    <w:rsid w:val="005435F1"/>
    <w:rsid w:val="005435FC"/>
    <w:rsid w:val="00543643"/>
    <w:rsid w:val="00543685"/>
    <w:rsid w:val="005436FE"/>
    <w:rsid w:val="0054371C"/>
    <w:rsid w:val="0054379A"/>
    <w:rsid w:val="00543814"/>
    <w:rsid w:val="00543877"/>
    <w:rsid w:val="00543951"/>
    <w:rsid w:val="00543981"/>
    <w:rsid w:val="005439C5"/>
    <w:rsid w:val="00543AA8"/>
    <w:rsid w:val="00543B43"/>
    <w:rsid w:val="00543BE3"/>
    <w:rsid w:val="00543C67"/>
    <w:rsid w:val="00543C91"/>
    <w:rsid w:val="00543CA3"/>
    <w:rsid w:val="00543D67"/>
    <w:rsid w:val="00543DAC"/>
    <w:rsid w:val="00543DD3"/>
    <w:rsid w:val="00543DD8"/>
    <w:rsid w:val="00543DF2"/>
    <w:rsid w:val="00543E66"/>
    <w:rsid w:val="00543F37"/>
    <w:rsid w:val="00543FB5"/>
    <w:rsid w:val="00544040"/>
    <w:rsid w:val="00544131"/>
    <w:rsid w:val="0054415C"/>
    <w:rsid w:val="0054417E"/>
    <w:rsid w:val="005441AD"/>
    <w:rsid w:val="005441B7"/>
    <w:rsid w:val="00544221"/>
    <w:rsid w:val="0054424D"/>
    <w:rsid w:val="00544336"/>
    <w:rsid w:val="00544441"/>
    <w:rsid w:val="005444CD"/>
    <w:rsid w:val="005444E3"/>
    <w:rsid w:val="005444F6"/>
    <w:rsid w:val="005446C9"/>
    <w:rsid w:val="005446D5"/>
    <w:rsid w:val="005446E9"/>
    <w:rsid w:val="00544714"/>
    <w:rsid w:val="00544771"/>
    <w:rsid w:val="00544777"/>
    <w:rsid w:val="005447E9"/>
    <w:rsid w:val="00544843"/>
    <w:rsid w:val="0054486B"/>
    <w:rsid w:val="00544874"/>
    <w:rsid w:val="005448C5"/>
    <w:rsid w:val="00544908"/>
    <w:rsid w:val="005449F6"/>
    <w:rsid w:val="00544A22"/>
    <w:rsid w:val="00544A7D"/>
    <w:rsid w:val="00544AE3"/>
    <w:rsid w:val="00544B19"/>
    <w:rsid w:val="00544B5D"/>
    <w:rsid w:val="00544B82"/>
    <w:rsid w:val="00544CCC"/>
    <w:rsid w:val="00544CF8"/>
    <w:rsid w:val="00544DBD"/>
    <w:rsid w:val="00544DBE"/>
    <w:rsid w:val="00544EAD"/>
    <w:rsid w:val="00544FBC"/>
    <w:rsid w:val="00544FC8"/>
    <w:rsid w:val="00544FE5"/>
    <w:rsid w:val="0054502E"/>
    <w:rsid w:val="0054529A"/>
    <w:rsid w:val="005452B9"/>
    <w:rsid w:val="005452BF"/>
    <w:rsid w:val="0054539B"/>
    <w:rsid w:val="005454A4"/>
    <w:rsid w:val="005454F5"/>
    <w:rsid w:val="0054554D"/>
    <w:rsid w:val="0054555E"/>
    <w:rsid w:val="00545621"/>
    <w:rsid w:val="00545666"/>
    <w:rsid w:val="005456B3"/>
    <w:rsid w:val="00545701"/>
    <w:rsid w:val="005457C3"/>
    <w:rsid w:val="00545819"/>
    <w:rsid w:val="00545865"/>
    <w:rsid w:val="005459FB"/>
    <w:rsid w:val="00545A6F"/>
    <w:rsid w:val="00545C4D"/>
    <w:rsid w:val="00545CDD"/>
    <w:rsid w:val="00545CE9"/>
    <w:rsid w:val="00545CFA"/>
    <w:rsid w:val="00545D60"/>
    <w:rsid w:val="00545DB0"/>
    <w:rsid w:val="00545E39"/>
    <w:rsid w:val="00545E5A"/>
    <w:rsid w:val="00545EE8"/>
    <w:rsid w:val="00545F59"/>
    <w:rsid w:val="00545FE2"/>
    <w:rsid w:val="005460F5"/>
    <w:rsid w:val="00546258"/>
    <w:rsid w:val="005462AE"/>
    <w:rsid w:val="0054640B"/>
    <w:rsid w:val="005465A0"/>
    <w:rsid w:val="005465B2"/>
    <w:rsid w:val="005465FD"/>
    <w:rsid w:val="00546642"/>
    <w:rsid w:val="005466FA"/>
    <w:rsid w:val="00546756"/>
    <w:rsid w:val="0054681E"/>
    <w:rsid w:val="0054685E"/>
    <w:rsid w:val="00546890"/>
    <w:rsid w:val="005468DF"/>
    <w:rsid w:val="00546980"/>
    <w:rsid w:val="00546A8C"/>
    <w:rsid w:val="00546B57"/>
    <w:rsid w:val="00546B90"/>
    <w:rsid w:val="00546BCE"/>
    <w:rsid w:val="00546C2A"/>
    <w:rsid w:val="00546C2C"/>
    <w:rsid w:val="00546C8A"/>
    <w:rsid w:val="00546F05"/>
    <w:rsid w:val="00546F32"/>
    <w:rsid w:val="00546FB8"/>
    <w:rsid w:val="00546FCB"/>
    <w:rsid w:val="00547072"/>
    <w:rsid w:val="00547086"/>
    <w:rsid w:val="005470B9"/>
    <w:rsid w:val="005470DB"/>
    <w:rsid w:val="005470E7"/>
    <w:rsid w:val="005472EC"/>
    <w:rsid w:val="005472F7"/>
    <w:rsid w:val="0054745A"/>
    <w:rsid w:val="005474AD"/>
    <w:rsid w:val="005474B2"/>
    <w:rsid w:val="00547530"/>
    <w:rsid w:val="00547629"/>
    <w:rsid w:val="0054779B"/>
    <w:rsid w:val="00547956"/>
    <w:rsid w:val="0054796C"/>
    <w:rsid w:val="00547AF6"/>
    <w:rsid w:val="00547B74"/>
    <w:rsid w:val="00547BC2"/>
    <w:rsid w:val="00547D27"/>
    <w:rsid w:val="00547DA9"/>
    <w:rsid w:val="00547DE2"/>
    <w:rsid w:val="00547DFC"/>
    <w:rsid w:val="00547EAE"/>
    <w:rsid w:val="00547EC0"/>
    <w:rsid w:val="00547F17"/>
    <w:rsid w:val="00547F92"/>
    <w:rsid w:val="00547FB0"/>
    <w:rsid w:val="00550061"/>
    <w:rsid w:val="0055019C"/>
    <w:rsid w:val="005501CC"/>
    <w:rsid w:val="00550299"/>
    <w:rsid w:val="00550301"/>
    <w:rsid w:val="005503C7"/>
    <w:rsid w:val="005504BF"/>
    <w:rsid w:val="0055056C"/>
    <w:rsid w:val="0055058F"/>
    <w:rsid w:val="005505B6"/>
    <w:rsid w:val="00550678"/>
    <w:rsid w:val="0055067C"/>
    <w:rsid w:val="0055068F"/>
    <w:rsid w:val="005506B8"/>
    <w:rsid w:val="005506FD"/>
    <w:rsid w:val="005508BF"/>
    <w:rsid w:val="00550920"/>
    <w:rsid w:val="005509ED"/>
    <w:rsid w:val="005509F3"/>
    <w:rsid w:val="005509F7"/>
    <w:rsid w:val="00550AA8"/>
    <w:rsid w:val="00550ACA"/>
    <w:rsid w:val="00550BEA"/>
    <w:rsid w:val="00550CFB"/>
    <w:rsid w:val="00550DC7"/>
    <w:rsid w:val="00550DC8"/>
    <w:rsid w:val="00550DE2"/>
    <w:rsid w:val="00550E1B"/>
    <w:rsid w:val="00550E22"/>
    <w:rsid w:val="00550F1D"/>
    <w:rsid w:val="00550F3B"/>
    <w:rsid w:val="00550FDA"/>
    <w:rsid w:val="00551139"/>
    <w:rsid w:val="0055115A"/>
    <w:rsid w:val="00551196"/>
    <w:rsid w:val="005511F8"/>
    <w:rsid w:val="005511FE"/>
    <w:rsid w:val="005512B5"/>
    <w:rsid w:val="0055130F"/>
    <w:rsid w:val="00551332"/>
    <w:rsid w:val="005513AE"/>
    <w:rsid w:val="005513DF"/>
    <w:rsid w:val="00551467"/>
    <w:rsid w:val="005514AF"/>
    <w:rsid w:val="005514D6"/>
    <w:rsid w:val="0055150B"/>
    <w:rsid w:val="0055167D"/>
    <w:rsid w:val="005517B7"/>
    <w:rsid w:val="005517C2"/>
    <w:rsid w:val="005517DA"/>
    <w:rsid w:val="0055199C"/>
    <w:rsid w:val="005519B3"/>
    <w:rsid w:val="00551AAF"/>
    <w:rsid w:val="00551B20"/>
    <w:rsid w:val="00551B22"/>
    <w:rsid w:val="00551B84"/>
    <w:rsid w:val="00551BA2"/>
    <w:rsid w:val="00551BAE"/>
    <w:rsid w:val="00551C37"/>
    <w:rsid w:val="00551C93"/>
    <w:rsid w:val="00551DC6"/>
    <w:rsid w:val="00551DE3"/>
    <w:rsid w:val="00551DF2"/>
    <w:rsid w:val="00551F4B"/>
    <w:rsid w:val="00551FEB"/>
    <w:rsid w:val="00551FFF"/>
    <w:rsid w:val="0055200A"/>
    <w:rsid w:val="005520E7"/>
    <w:rsid w:val="005521FD"/>
    <w:rsid w:val="00552229"/>
    <w:rsid w:val="0055224D"/>
    <w:rsid w:val="005522F6"/>
    <w:rsid w:val="005523A4"/>
    <w:rsid w:val="005523DD"/>
    <w:rsid w:val="005524B0"/>
    <w:rsid w:val="00552558"/>
    <w:rsid w:val="0055255F"/>
    <w:rsid w:val="00552688"/>
    <w:rsid w:val="005526B5"/>
    <w:rsid w:val="005526D7"/>
    <w:rsid w:val="005526DF"/>
    <w:rsid w:val="0055270C"/>
    <w:rsid w:val="0055281D"/>
    <w:rsid w:val="005528E2"/>
    <w:rsid w:val="005528F7"/>
    <w:rsid w:val="00552900"/>
    <w:rsid w:val="0055298B"/>
    <w:rsid w:val="005529BA"/>
    <w:rsid w:val="005529F6"/>
    <w:rsid w:val="00552A9F"/>
    <w:rsid w:val="00552B63"/>
    <w:rsid w:val="00552C2D"/>
    <w:rsid w:val="00552C81"/>
    <w:rsid w:val="00552CBF"/>
    <w:rsid w:val="00552D44"/>
    <w:rsid w:val="00552D56"/>
    <w:rsid w:val="00552DDA"/>
    <w:rsid w:val="00552DF6"/>
    <w:rsid w:val="00552E8B"/>
    <w:rsid w:val="00552EE5"/>
    <w:rsid w:val="00552F7A"/>
    <w:rsid w:val="0055306E"/>
    <w:rsid w:val="00553099"/>
    <w:rsid w:val="005530B2"/>
    <w:rsid w:val="00553137"/>
    <w:rsid w:val="00553244"/>
    <w:rsid w:val="005532A9"/>
    <w:rsid w:val="00553437"/>
    <w:rsid w:val="0055344A"/>
    <w:rsid w:val="005534A5"/>
    <w:rsid w:val="005534C4"/>
    <w:rsid w:val="005534FF"/>
    <w:rsid w:val="00553629"/>
    <w:rsid w:val="00553680"/>
    <w:rsid w:val="005536AF"/>
    <w:rsid w:val="0055378D"/>
    <w:rsid w:val="005537D0"/>
    <w:rsid w:val="00553872"/>
    <w:rsid w:val="005539B5"/>
    <w:rsid w:val="005539B6"/>
    <w:rsid w:val="00553A03"/>
    <w:rsid w:val="00553A38"/>
    <w:rsid w:val="00553B33"/>
    <w:rsid w:val="00553C7A"/>
    <w:rsid w:val="00553D06"/>
    <w:rsid w:val="00553D59"/>
    <w:rsid w:val="00553D9E"/>
    <w:rsid w:val="00553DE8"/>
    <w:rsid w:val="00553EA1"/>
    <w:rsid w:val="00553F25"/>
    <w:rsid w:val="00553FE2"/>
    <w:rsid w:val="00553FF5"/>
    <w:rsid w:val="00554027"/>
    <w:rsid w:val="00554048"/>
    <w:rsid w:val="005540AC"/>
    <w:rsid w:val="005540B6"/>
    <w:rsid w:val="005540B7"/>
    <w:rsid w:val="005541A5"/>
    <w:rsid w:val="005541F7"/>
    <w:rsid w:val="0055422A"/>
    <w:rsid w:val="0055432B"/>
    <w:rsid w:val="0055432C"/>
    <w:rsid w:val="00554391"/>
    <w:rsid w:val="0055448D"/>
    <w:rsid w:val="005545A5"/>
    <w:rsid w:val="005545C4"/>
    <w:rsid w:val="00554602"/>
    <w:rsid w:val="0055462E"/>
    <w:rsid w:val="0055466C"/>
    <w:rsid w:val="005546D8"/>
    <w:rsid w:val="0055471A"/>
    <w:rsid w:val="00554792"/>
    <w:rsid w:val="0055481C"/>
    <w:rsid w:val="005548F5"/>
    <w:rsid w:val="005549C5"/>
    <w:rsid w:val="005549E2"/>
    <w:rsid w:val="00554A24"/>
    <w:rsid w:val="00554AA0"/>
    <w:rsid w:val="00554ADB"/>
    <w:rsid w:val="00554BE6"/>
    <w:rsid w:val="00554BF2"/>
    <w:rsid w:val="00554CB0"/>
    <w:rsid w:val="00554D68"/>
    <w:rsid w:val="00554DA5"/>
    <w:rsid w:val="00554DF3"/>
    <w:rsid w:val="00554E35"/>
    <w:rsid w:val="00554FD1"/>
    <w:rsid w:val="00555010"/>
    <w:rsid w:val="00555033"/>
    <w:rsid w:val="005550BB"/>
    <w:rsid w:val="005550E4"/>
    <w:rsid w:val="00555132"/>
    <w:rsid w:val="005551D4"/>
    <w:rsid w:val="005551D5"/>
    <w:rsid w:val="0055523D"/>
    <w:rsid w:val="00555314"/>
    <w:rsid w:val="00555372"/>
    <w:rsid w:val="0055539D"/>
    <w:rsid w:val="00555404"/>
    <w:rsid w:val="00555452"/>
    <w:rsid w:val="00555492"/>
    <w:rsid w:val="005554B5"/>
    <w:rsid w:val="005554BC"/>
    <w:rsid w:val="00555594"/>
    <w:rsid w:val="005555FE"/>
    <w:rsid w:val="0055566C"/>
    <w:rsid w:val="005556BE"/>
    <w:rsid w:val="005556EA"/>
    <w:rsid w:val="00555725"/>
    <w:rsid w:val="0055579A"/>
    <w:rsid w:val="00555823"/>
    <w:rsid w:val="005558EE"/>
    <w:rsid w:val="00555979"/>
    <w:rsid w:val="005559C6"/>
    <w:rsid w:val="00555A95"/>
    <w:rsid w:val="00555AD7"/>
    <w:rsid w:val="00555B51"/>
    <w:rsid w:val="00555B63"/>
    <w:rsid w:val="00555B6A"/>
    <w:rsid w:val="00555BFA"/>
    <w:rsid w:val="00555C1A"/>
    <w:rsid w:val="00555C22"/>
    <w:rsid w:val="00555D28"/>
    <w:rsid w:val="00555E10"/>
    <w:rsid w:val="00555F1E"/>
    <w:rsid w:val="00555F25"/>
    <w:rsid w:val="00555FBA"/>
    <w:rsid w:val="00555FC5"/>
    <w:rsid w:val="00556076"/>
    <w:rsid w:val="00556145"/>
    <w:rsid w:val="0055617A"/>
    <w:rsid w:val="00556275"/>
    <w:rsid w:val="005562F2"/>
    <w:rsid w:val="00556311"/>
    <w:rsid w:val="00556331"/>
    <w:rsid w:val="005563B5"/>
    <w:rsid w:val="005563C7"/>
    <w:rsid w:val="00556413"/>
    <w:rsid w:val="00556454"/>
    <w:rsid w:val="00556519"/>
    <w:rsid w:val="00556570"/>
    <w:rsid w:val="0055658E"/>
    <w:rsid w:val="005565F2"/>
    <w:rsid w:val="00556624"/>
    <w:rsid w:val="0055664A"/>
    <w:rsid w:val="00556663"/>
    <w:rsid w:val="00556832"/>
    <w:rsid w:val="00556848"/>
    <w:rsid w:val="00556862"/>
    <w:rsid w:val="0055688D"/>
    <w:rsid w:val="00556890"/>
    <w:rsid w:val="005569A5"/>
    <w:rsid w:val="00556A68"/>
    <w:rsid w:val="00556A9C"/>
    <w:rsid w:val="00556ACC"/>
    <w:rsid w:val="00556B5A"/>
    <w:rsid w:val="00556C5F"/>
    <w:rsid w:val="00556D41"/>
    <w:rsid w:val="00556D75"/>
    <w:rsid w:val="00556DE9"/>
    <w:rsid w:val="00556E84"/>
    <w:rsid w:val="00556E98"/>
    <w:rsid w:val="00556F30"/>
    <w:rsid w:val="00556FDF"/>
    <w:rsid w:val="00557011"/>
    <w:rsid w:val="005570C6"/>
    <w:rsid w:val="005570E1"/>
    <w:rsid w:val="005571FB"/>
    <w:rsid w:val="005572BB"/>
    <w:rsid w:val="0055739B"/>
    <w:rsid w:val="005573CE"/>
    <w:rsid w:val="0055746D"/>
    <w:rsid w:val="0055748A"/>
    <w:rsid w:val="005574CE"/>
    <w:rsid w:val="0055754E"/>
    <w:rsid w:val="005575FC"/>
    <w:rsid w:val="0055760D"/>
    <w:rsid w:val="00557685"/>
    <w:rsid w:val="00557711"/>
    <w:rsid w:val="0055777B"/>
    <w:rsid w:val="005577B7"/>
    <w:rsid w:val="005577FE"/>
    <w:rsid w:val="005578AE"/>
    <w:rsid w:val="00557A9D"/>
    <w:rsid w:val="00557B01"/>
    <w:rsid w:val="00557B99"/>
    <w:rsid w:val="00557BB3"/>
    <w:rsid w:val="00557BE5"/>
    <w:rsid w:val="00557C26"/>
    <w:rsid w:val="00557DCC"/>
    <w:rsid w:val="00557E89"/>
    <w:rsid w:val="00557ECB"/>
    <w:rsid w:val="00557ED6"/>
    <w:rsid w:val="00557F56"/>
    <w:rsid w:val="00557FB2"/>
    <w:rsid w:val="00557FEE"/>
    <w:rsid w:val="00560022"/>
    <w:rsid w:val="005602A8"/>
    <w:rsid w:val="005603C1"/>
    <w:rsid w:val="005605F9"/>
    <w:rsid w:val="005605FD"/>
    <w:rsid w:val="0056064F"/>
    <w:rsid w:val="00560764"/>
    <w:rsid w:val="00560768"/>
    <w:rsid w:val="0056084A"/>
    <w:rsid w:val="0056085D"/>
    <w:rsid w:val="00560878"/>
    <w:rsid w:val="005608D3"/>
    <w:rsid w:val="00560A1B"/>
    <w:rsid w:val="00560AB6"/>
    <w:rsid w:val="00560AC0"/>
    <w:rsid w:val="00560AD0"/>
    <w:rsid w:val="00560C79"/>
    <w:rsid w:val="00560DA2"/>
    <w:rsid w:val="00560E70"/>
    <w:rsid w:val="00560F0F"/>
    <w:rsid w:val="00560F77"/>
    <w:rsid w:val="00560FA1"/>
    <w:rsid w:val="00561026"/>
    <w:rsid w:val="005610F2"/>
    <w:rsid w:val="005611B4"/>
    <w:rsid w:val="005611D9"/>
    <w:rsid w:val="005611F1"/>
    <w:rsid w:val="005612CD"/>
    <w:rsid w:val="005612DD"/>
    <w:rsid w:val="00561372"/>
    <w:rsid w:val="005614B9"/>
    <w:rsid w:val="005614EE"/>
    <w:rsid w:val="00561584"/>
    <w:rsid w:val="005615AF"/>
    <w:rsid w:val="0056163D"/>
    <w:rsid w:val="00561667"/>
    <w:rsid w:val="005616EB"/>
    <w:rsid w:val="00561737"/>
    <w:rsid w:val="0056179D"/>
    <w:rsid w:val="00561908"/>
    <w:rsid w:val="00561984"/>
    <w:rsid w:val="00561A89"/>
    <w:rsid w:val="00561A8D"/>
    <w:rsid w:val="00561B44"/>
    <w:rsid w:val="00561C92"/>
    <w:rsid w:val="00561CD2"/>
    <w:rsid w:val="00561D78"/>
    <w:rsid w:val="00561EA4"/>
    <w:rsid w:val="00561F67"/>
    <w:rsid w:val="00561F97"/>
    <w:rsid w:val="0056212E"/>
    <w:rsid w:val="00562186"/>
    <w:rsid w:val="00562223"/>
    <w:rsid w:val="0056225A"/>
    <w:rsid w:val="00562275"/>
    <w:rsid w:val="005622CA"/>
    <w:rsid w:val="00562361"/>
    <w:rsid w:val="0056236A"/>
    <w:rsid w:val="005623EB"/>
    <w:rsid w:val="005623F1"/>
    <w:rsid w:val="005623FD"/>
    <w:rsid w:val="00562458"/>
    <w:rsid w:val="00562471"/>
    <w:rsid w:val="005624E9"/>
    <w:rsid w:val="005625D1"/>
    <w:rsid w:val="0056267A"/>
    <w:rsid w:val="0056267C"/>
    <w:rsid w:val="0056269B"/>
    <w:rsid w:val="005626AB"/>
    <w:rsid w:val="005626B5"/>
    <w:rsid w:val="005626EA"/>
    <w:rsid w:val="00562769"/>
    <w:rsid w:val="00562834"/>
    <w:rsid w:val="00562867"/>
    <w:rsid w:val="005628D7"/>
    <w:rsid w:val="00562905"/>
    <w:rsid w:val="00562992"/>
    <w:rsid w:val="0056299C"/>
    <w:rsid w:val="00562A3C"/>
    <w:rsid w:val="00562AF6"/>
    <w:rsid w:val="00562BB7"/>
    <w:rsid w:val="00562BDD"/>
    <w:rsid w:val="00562C0F"/>
    <w:rsid w:val="00562C25"/>
    <w:rsid w:val="00562C7F"/>
    <w:rsid w:val="00562CA9"/>
    <w:rsid w:val="00562CF3"/>
    <w:rsid w:val="00562E71"/>
    <w:rsid w:val="00562F23"/>
    <w:rsid w:val="00562F28"/>
    <w:rsid w:val="00562F96"/>
    <w:rsid w:val="00563016"/>
    <w:rsid w:val="00563029"/>
    <w:rsid w:val="00563066"/>
    <w:rsid w:val="005630B2"/>
    <w:rsid w:val="00563120"/>
    <w:rsid w:val="00563245"/>
    <w:rsid w:val="0056327B"/>
    <w:rsid w:val="005632C4"/>
    <w:rsid w:val="0056338F"/>
    <w:rsid w:val="0056345B"/>
    <w:rsid w:val="005634A5"/>
    <w:rsid w:val="005634A6"/>
    <w:rsid w:val="005634DE"/>
    <w:rsid w:val="005634F9"/>
    <w:rsid w:val="00563528"/>
    <w:rsid w:val="0056357E"/>
    <w:rsid w:val="005635A5"/>
    <w:rsid w:val="00563796"/>
    <w:rsid w:val="005637AE"/>
    <w:rsid w:val="00563857"/>
    <w:rsid w:val="0056385F"/>
    <w:rsid w:val="005638AD"/>
    <w:rsid w:val="005638D4"/>
    <w:rsid w:val="00563925"/>
    <w:rsid w:val="0056392B"/>
    <w:rsid w:val="005639A6"/>
    <w:rsid w:val="005639FB"/>
    <w:rsid w:val="00563AE5"/>
    <w:rsid w:val="00563B6C"/>
    <w:rsid w:val="00563BD8"/>
    <w:rsid w:val="00563C2C"/>
    <w:rsid w:val="00563C41"/>
    <w:rsid w:val="00563CCE"/>
    <w:rsid w:val="00563F58"/>
    <w:rsid w:val="00563F6F"/>
    <w:rsid w:val="00563F83"/>
    <w:rsid w:val="005640DF"/>
    <w:rsid w:val="005640FD"/>
    <w:rsid w:val="00564107"/>
    <w:rsid w:val="00564114"/>
    <w:rsid w:val="0056414B"/>
    <w:rsid w:val="00564190"/>
    <w:rsid w:val="005641EE"/>
    <w:rsid w:val="0056426F"/>
    <w:rsid w:val="005642A5"/>
    <w:rsid w:val="00564332"/>
    <w:rsid w:val="00564341"/>
    <w:rsid w:val="00564368"/>
    <w:rsid w:val="005643C1"/>
    <w:rsid w:val="0056447B"/>
    <w:rsid w:val="0056459D"/>
    <w:rsid w:val="005645D8"/>
    <w:rsid w:val="0056467D"/>
    <w:rsid w:val="00564698"/>
    <w:rsid w:val="005646E4"/>
    <w:rsid w:val="0056476A"/>
    <w:rsid w:val="0056477C"/>
    <w:rsid w:val="005647CA"/>
    <w:rsid w:val="00564896"/>
    <w:rsid w:val="005648A5"/>
    <w:rsid w:val="005648EC"/>
    <w:rsid w:val="00564947"/>
    <w:rsid w:val="005649B2"/>
    <w:rsid w:val="005649C9"/>
    <w:rsid w:val="00564A0D"/>
    <w:rsid w:val="00564ADF"/>
    <w:rsid w:val="00564AFB"/>
    <w:rsid w:val="00564C26"/>
    <w:rsid w:val="00564CA9"/>
    <w:rsid w:val="00564DDA"/>
    <w:rsid w:val="00564EFE"/>
    <w:rsid w:val="00564F5A"/>
    <w:rsid w:val="00564F94"/>
    <w:rsid w:val="00564FB0"/>
    <w:rsid w:val="005650BF"/>
    <w:rsid w:val="005651A0"/>
    <w:rsid w:val="00565220"/>
    <w:rsid w:val="0056525F"/>
    <w:rsid w:val="005652CB"/>
    <w:rsid w:val="005652F9"/>
    <w:rsid w:val="00565314"/>
    <w:rsid w:val="00565389"/>
    <w:rsid w:val="0056540B"/>
    <w:rsid w:val="0056542F"/>
    <w:rsid w:val="005654A0"/>
    <w:rsid w:val="005654AC"/>
    <w:rsid w:val="005654CF"/>
    <w:rsid w:val="0056553F"/>
    <w:rsid w:val="00565587"/>
    <w:rsid w:val="00565599"/>
    <w:rsid w:val="00565622"/>
    <w:rsid w:val="00565712"/>
    <w:rsid w:val="0056573A"/>
    <w:rsid w:val="00565782"/>
    <w:rsid w:val="00565902"/>
    <w:rsid w:val="0056591A"/>
    <w:rsid w:val="00565969"/>
    <w:rsid w:val="00565B37"/>
    <w:rsid w:val="00565C5D"/>
    <w:rsid w:val="00565C9F"/>
    <w:rsid w:val="00565D34"/>
    <w:rsid w:val="00565D51"/>
    <w:rsid w:val="00565D6C"/>
    <w:rsid w:val="00565DBE"/>
    <w:rsid w:val="00565DC8"/>
    <w:rsid w:val="00565E05"/>
    <w:rsid w:val="00565E2F"/>
    <w:rsid w:val="00565E32"/>
    <w:rsid w:val="00565F10"/>
    <w:rsid w:val="00565F79"/>
    <w:rsid w:val="00565F95"/>
    <w:rsid w:val="00565FFA"/>
    <w:rsid w:val="00566292"/>
    <w:rsid w:val="00566362"/>
    <w:rsid w:val="005663D1"/>
    <w:rsid w:val="005664F1"/>
    <w:rsid w:val="0056661A"/>
    <w:rsid w:val="0056668E"/>
    <w:rsid w:val="00566700"/>
    <w:rsid w:val="00566761"/>
    <w:rsid w:val="005667B5"/>
    <w:rsid w:val="005667C8"/>
    <w:rsid w:val="005668A1"/>
    <w:rsid w:val="005668AE"/>
    <w:rsid w:val="005668BA"/>
    <w:rsid w:val="00566933"/>
    <w:rsid w:val="00566969"/>
    <w:rsid w:val="0056697E"/>
    <w:rsid w:val="00566A83"/>
    <w:rsid w:val="00566B6B"/>
    <w:rsid w:val="00566BA2"/>
    <w:rsid w:val="00566C46"/>
    <w:rsid w:val="00566CF5"/>
    <w:rsid w:val="00566D25"/>
    <w:rsid w:val="00566D9E"/>
    <w:rsid w:val="00566DE2"/>
    <w:rsid w:val="00566F04"/>
    <w:rsid w:val="00566FC0"/>
    <w:rsid w:val="00567076"/>
    <w:rsid w:val="005670E0"/>
    <w:rsid w:val="00567160"/>
    <w:rsid w:val="0056730A"/>
    <w:rsid w:val="0056731D"/>
    <w:rsid w:val="005673AF"/>
    <w:rsid w:val="00567445"/>
    <w:rsid w:val="00567447"/>
    <w:rsid w:val="00567483"/>
    <w:rsid w:val="005674A7"/>
    <w:rsid w:val="00567589"/>
    <w:rsid w:val="0056764F"/>
    <w:rsid w:val="0056765E"/>
    <w:rsid w:val="005676A0"/>
    <w:rsid w:val="005676C6"/>
    <w:rsid w:val="005676D9"/>
    <w:rsid w:val="005676E3"/>
    <w:rsid w:val="005676FA"/>
    <w:rsid w:val="00567700"/>
    <w:rsid w:val="0056773B"/>
    <w:rsid w:val="0056776F"/>
    <w:rsid w:val="0056779D"/>
    <w:rsid w:val="00567AA3"/>
    <w:rsid w:val="00567AE3"/>
    <w:rsid w:val="00567B32"/>
    <w:rsid w:val="00567B84"/>
    <w:rsid w:val="00567BEC"/>
    <w:rsid w:val="00567C70"/>
    <w:rsid w:val="00567DA5"/>
    <w:rsid w:val="00567E1B"/>
    <w:rsid w:val="00567E6F"/>
    <w:rsid w:val="00567F0A"/>
    <w:rsid w:val="00567F1D"/>
    <w:rsid w:val="00567F59"/>
    <w:rsid w:val="00570033"/>
    <w:rsid w:val="00570079"/>
    <w:rsid w:val="005700CB"/>
    <w:rsid w:val="0057012B"/>
    <w:rsid w:val="0057017C"/>
    <w:rsid w:val="0057022A"/>
    <w:rsid w:val="0057022F"/>
    <w:rsid w:val="005702E1"/>
    <w:rsid w:val="00570419"/>
    <w:rsid w:val="005704A0"/>
    <w:rsid w:val="005704A8"/>
    <w:rsid w:val="0057056B"/>
    <w:rsid w:val="0057075F"/>
    <w:rsid w:val="0057090D"/>
    <w:rsid w:val="005709AC"/>
    <w:rsid w:val="005709D3"/>
    <w:rsid w:val="00570A7C"/>
    <w:rsid w:val="00570AE2"/>
    <w:rsid w:val="00570B0B"/>
    <w:rsid w:val="00570B0E"/>
    <w:rsid w:val="00570BB6"/>
    <w:rsid w:val="00570BD0"/>
    <w:rsid w:val="00570C28"/>
    <w:rsid w:val="00570C32"/>
    <w:rsid w:val="00570C85"/>
    <w:rsid w:val="00570CE1"/>
    <w:rsid w:val="00570D6C"/>
    <w:rsid w:val="00570D75"/>
    <w:rsid w:val="00570DA0"/>
    <w:rsid w:val="00570DDF"/>
    <w:rsid w:val="00570E66"/>
    <w:rsid w:val="00570E7A"/>
    <w:rsid w:val="00570EC7"/>
    <w:rsid w:val="00570ED3"/>
    <w:rsid w:val="00570F17"/>
    <w:rsid w:val="00570F81"/>
    <w:rsid w:val="00570F90"/>
    <w:rsid w:val="00570FE1"/>
    <w:rsid w:val="00570FE7"/>
    <w:rsid w:val="00570FF5"/>
    <w:rsid w:val="0057106F"/>
    <w:rsid w:val="005710A6"/>
    <w:rsid w:val="00571138"/>
    <w:rsid w:val="00571143"/>
    <w:rsid w:val="0057115F"/>
    <w:rsid w:val="005711DD"/>
    <w:rsid w:val="005711F8"/>
    <w:rsid w:val="005712A5"/>
    <w:rsid w:val="005712F6"/>
    <w:rsid w:val="005712F8"/>
    <w:rsid w:val="00571321"/>
    <w:rsid w:val="00571370"/>
    <w:rsid w:val="0057139C"/>
    <w:rsid w:val="005713E1"/>
    <w:rsid w:val="005714A0"/>
    <w:rsid w:val="005716BE"/>
    <w:rsid w:val="00571706"/>
    <w:rsid w:val="00571732"/>
    <w:rsid w:val="00571733"/>
    <w:rsid w:val="005717B0"/>
    <w:rsid w:val="005718C2"/>
    <w:rsid w:val="0057199C"/>
    <w:rsid w:val="00571ABC"/>
    <w:rsid w:val="00571AD9"/>
    <w:rsid w:val="00571B46"/>
    <w:rsid w:val="00571BFC"/>
    <w:rsid w:val="00571C34"/>
    <w:rsid w:val="00571C3C"/>
    <w:rsid w:val="00571C51"/>
    <w:rsid w:val="00571C75"/>
    <w:rsid w:val="00571CB5"/>
    <w:rsid w:val="00571D2A"/>
    <w:rsid w:val="00571D43"/>
    <w:rsid w:val="00571DBA"/>
    <w:rsid w:val="00571DC4"/>
    <w:rsid w:val="00571F32"/>
    <w:rsid w:val="00571F44"/>
    <w:rsid w:val="00571F92"/>
    <w:rsid w:val="00572178"/>
    <w:rsid w:val="00572256"/>
    <w:rsid w:val="00572270"/>
    <w:rsid w:val="00572294"/>
    <w:rsid w:val="005722E8"/>
    <w:rsid w:val="005723EB"/>
    <w:rsid w:val="0057243C"/>
    <w:rsid w:val="005724BD"/>
    <w:rsid w:val="00572555"/>
    <w:rsid w:val="00572620"/>
    <w:rsid w:val="0057266D"/>
    <w:rsid w:val="005726E3"/>
    <w:rsid w:val="005727DF"/>
    <w:rsid w:val="00572976"/>
    <w:rsid w:val="00572A27"/>
    <w:rsid w:val="00572B3A"/>
    <w:rsid w:val="00572B5F"/>
    <w:rsid w:val="00572BE9"/>
    <w:rsid w:val="00572D47"/>
    <w:rsid w:val="00572DED"/>
    <w:rsid w:val="00572E3A"/>
    <w:rsid w:val="00572F73"/>
    <w:rsid w:val="00572FFC"/>
    <w:rsid w:val="005730AF"/>
    <w:rsid w:val="005731A2"/>
    <w:rsid w:val="005732EE"/>
    <w:rsid w:val="0057331D"/>
    <w:rsid w:val="0057339F"/>
    <w:rsid w:val="005733F0"/>
    <w:rsid w:val="005733F6"/>
    <w:rsid w:val="00573570"/>
    <w:rsid w:val="0057359A"/>
    <w:rsid w:val="00573605"/>
    <w:rsid w:val="005736F4"/>
    <w:rsid w:val="00573729"/>
    <w:rsid w:val="00573773"/>
    <w:rsid w:val="005737D4"/>
    <w:rsid w:val="00573883"/>
    <w:rsid w:val="005738AA"/>
    <w:rsid w:val="005739A2"/>
    <w:rsid w:val="005739C5"/>
    <w:rsid w:val="00573A11"/>
    <w:rsid w:val="00573A90"/>
    <w:rsid w:val="00573AC5"/>
    <w:rsid w:val="00573B0B"/>
    <w:rsid w:val="00573CFC"/>
    <w:rsid w:val="00573D0D"/>
    <w:rsid w:val="00573D11"/>
    <w:rsid w:val="00573DFD"/>
    <w:rsid w:val="00573E4C"/>
    <w:rsid w:val="00573E8A"/>
    <w:rsid w:val="00573E8C"/>
    <w:rsid w:val="00573F10"/>
    <w:rsid w:val="00573F33"/>
    <w:rsid w:val="00573FB9"/>
    <w:rsid w:val="00573FD1"/>
    <w:rsid w:val="0057404A"/>
    <w:rsid w:val="0057407F"/>
    <w:rsid w:val="00574156"/>
    <w:rsid w:val="005741BB"/>
    <w:rsid w:val="00574255"/>
    <w:rsid w:val="0057425C"/>
    <w:rsid w:val="0057426F"/>
    <w:rsid w:val="00574294"/>
    <w:rsid w:val="0057433B"/>
    <w:rsid w:val="0057433C"/>
    <w:rsid w:val="0057439F"/>
    <w:rsid w:val="005744C8"/>
    <w:rsid w:val="0057452B"/>
    <w:rsid w:val="0057457E"/>
    <w:rsid w:val="005745DE"/>
    <w:rsid w:val="0057468A"/>
    <w:rsid w:val="00574750"/>
    <w:rsid w:val="00574785"/>
    <w:rsid w:val="00574892"/>
    <w:rsid w:val="005748A0"/>
    <w:rsid w:val="005749BF"/>
    <w:rsid w:val="00574A03"/>
    <w:rsid w:val="00574C39"/>
    <w:rsid w:val="00574DEF"/>
    <w:rsid w:val="00574DF0"/>
    <w:rsid w:val="00574E96"/>
    <w:rsid w:val="00574E9E"/>
    <w:rsid w:val="0057502F"/>
    <w:rsid w:val="0057508F"/>
    <w:rsid w:val="00575130"/>
    <w:rsid w:val="0057515E"/>
    <w:rsid w:val="00575164"/>
    <w:rsid w:val="005751AF"/>
    <w:rsid w:val="005751FC"/>
    <w:rsid w:val="00575206"/>
    <w:rsid w:val="005752CF"/>
    <w:rsid w:val="00575348"/>
    <w:rsid w:val="005753B5"/>
    <w:rsid w:val="0057542C"/>
    <w:rsid w:val="005754BD"/>
    <w:rsid w:val="005754E8"/>
    <w:rsid w:val="005754E9"/>
    <w:rsid w:val="005755CC"/>
    <w:rsid w:val="005755FF"/>
    <w:rsid w:val="005756E1"/>
    <w:rsid w:val="00575768"/>
    <w:rsid w:val="00575899"/>
    <w:rsid w:val="005758B7"/>
    <w:rsid w:val="0057593B"/>
    <w:rsid w:val="0057596F"/>
    <w:rsid w:val="00575A12"/>
    <w:rsid w:val="00575A42"/>
    <w:rsid w:val="00575A99"/>
    <w:rsid w:val="00575B1A"/>
    <w:rsid w:val="00575B7D"/>
    <w:rsid w:val="00575D55"/>
    <w:rsid w:val="00575D7B"/>
    <w:rsid w:val="00575DCC"/>
    <w:rsid w:val="00575DE0"/>
    <w:rsid w:val="00575EF4"/>
    <w:rsid w:val="0057600F"/>
    <w:rsid w:val="00576153"/>
    <w:rsid w:val="005762DC"/>
    <w:rsid w:val="00576389"/>
    <w:rsid w:val="0057638F"/>
    <w:rsid w:val="00576429"/>
    <w:rsid w:val="00576444"/>
    <w:rsid w:val="005764DF"/>
    <w:rsid w:val="00576502"/>
    <w:rsid w:val="00576587"/>
    <w:rsid w:val="00576622"/>
    <w:rsid w:val="0057662B"/>
    <w:rsid w:val="005766DE"/>
    <w:rsid w:val="00576731"/>
    <w:rsid w:val="005767E3"/>
    <w:rsid w:val="005767F9"/>
    <w:rsid w:val="00576828"/>
    <w:rsid w:val="00576869"/>
    <w:rsid w:val="005768F0"/>
    <w:rsid w:val="0057694D"/>
    <w:rsid w:val="005769A3"/>
    <w:rsid w:val="00576A5F"/>
    <w:rsid w:val="00576ACC"/>
    <w:rsid w:val="00576B25"/>
    <w:rsid w:val="00576CC7"/>
    <w:rsid w:val="00576D19"/>
    <w:rsid w:val="00576D62"/>
    <w:rsid w:val="00576DA9"/>
    <w:rsid w:val="00576E63"/>
    <w:rsid w:val="00576F1C"/>
    <w:rsid w:val="00576F6E"/>
    <w:rsid w:val="00576F7A"/>
    <w:rsid w:val="00576F93"/>
    <w:rsid w:val="00576FA6"/>
    <w:rsid w:val="00576FAD"/>
    <w:rsid w:val="00577186"/>
    <w:rsid w:val="005771A4"/>
    <w:rsid w:val="00577270"/>
    <w:rsid w:val="00577294"/>
    <w:rsid w:val="005772DD"/>
    <w:rsid w:val="00577383"/>
    <w:rsid w:val="005773B7"/>
    <w:rsid w:val="005773FC"/>
    <w:rsid w:val="0057740A"/>
    <w:rsid w:val="0057741F"/>
    <w:rsid w:val="00577529"/>
    <w:rsid w:val="00577549"/>
    <w:rsid w:val="00577598"/>
    <w:rsid w:val="00577608"/>
    <w:rsid w:val="00577638"/>
    <w:rsid w:val="005776AE"/>
    <w:rsid w:val="00577765"/>
    <w:rsid w:val="00577799"/>
    <w:rsid w:val="0057779E"/>
    <w:rsid w:val="005777B2"/>
    <w:rsid w:val="00577801"/>
    <w:rsid w:val="00577879"/>
    <w:rsid w:val="00577899"/>
    <w:rsid w:val="005778C8"/>
    <w:rsid w:val="005778F8"/>
    <w:rsid w:val="00577925"/>
    <w:rsid w:val="00577971"/>
    <w:rsid w:val="00577ADC"/>
    <w:rsid w:val="00577AEF"/>
    <w:rsid w:val="00577AF3"/>
    <w:rsid w:val="00577C36"/>
    <w:rsid w:val="00577D77"/>
    <w:rsid w:val="00577E99"/>
    <w:rsid w:val="00577EF6"/>
    <w:rsid w:val="00577F14"/>
    <w:rsid w:val="00577F5E"/>
    <w:rsid w:val="0057F848"/>
    <w:rsid w:val="00580137"/>
    <w:rsid w:val="005801DD"/>
    <w:rsid w:val="005802E5"/>
    <w:rsid w:val="005802FC"/>
    <w:rsid w:val="00580362"/>
    <w:rsid w:val="0058047C"/>
    <w:rsid w:val="005804C6"/>
    <w:rsid w:val="0058053D"/>
    <w:rsid w:val="00580548"/>
    <w:rsid w:val="0058054D"/>
    <w:rsid w:val="00580570"/>
    <w:rsid w:val="00580580"/>
    <w:rsid w:val="005805CD"/>
    <w:rsid w:val="0058062A"/>
    <w:rsid w:val="00580819"/>
    <w:rsid w:val="0058081A"/>
    <w:rsid w:val="00580860"/>
    <w:rsid w:val="005808FE"/>
    <w:rsid w:val="00580ACF"/>
    <w:rsid w:val="00580B00"/>
    <w:rsid w:val="00580B24"/>
    <w:rsid w:val="00580B2D"/>
    <w:rsid w:val="00580BB2"/>
    <w:rsid w:val="00580C65"/>
    <w:rsid w:val="00580C89"/>
    <w:rsid w:val="00580CCE"/>
    <w:rsid w:val="00580D04"/>
    <w:rsid w:val="00580D85"/>
    <w:rsid w:val="00580DFA"/>
    <w:rsid w:val="00580E35"/>
    <w:rsid w:val="00580E37"/>
    <w:rsid w:val="00580EBC"/>
    <w:rsid w:val="00580EC1"/>
    <w:rsid w:val="00580ED7"/>
    <w:rsid w:val="00580F59"/>
    <w:rsid w:val="00580F7A"/>
    <w:rsid w:val="00580FA0"/>
    <w:rsid w:val="00580FA1"/>
    <w:rsid w:val="0058101B"/>
    <w:rsid w:val="00581036"/>
    <w:rsid w:val="005812E2"/>
    <w:rsid w:val="0058134D"/>
    <w:rsid w:val="00581393"/>
    <w:rsid w:val="0058140E"/>
    <w:rsid w:val="005814C7"/>
    <w:rsid w:val="0058152A"/>
    <w:rsid w:val="00581540"/>
    <w:rsid w:val="005815C3"/>
    <w:rsid w:val="005815C4"/>
    <w:rsid w:val="00581623"/>
    <w:rsid w:val="005816EF"/>
    <w:rsid w:val="0058175C"/>
    <w:rsid w:val="005817E5"/>
    <w:rsid w:val="005817EE"/>
    <w:rsid w:val="0058182E"/>
    <w:rsid w:val="00581851"/>
    <w:rsid w:val="005818B4"/>
    <w:rsid w:val="00581915"/>
    <w:rsid w:val="00581951"/>
    <w:rsid w:val="00581AC4"/>
    <w:rsid w:val="00581AE9"/>
    <w:rsid w:val="00581B76"/>
    <w:rsid w:val="00581BAB"/>
    <w:rsid w:val="00581BC9"/>
    <w:rsid w:val="00581C2F"/>
    <w:rsid w:val="00581C35"/>
    <w:rsid w:val="00581CDB"/>
    <w:rsid w:val="00581CF0"/>
    <w:rsid w:val="00581D8E"/>
    <w:rsid w:val="00581DF4"/>
    <w:rsid w:val="00581DFA"/>
    <w:rsid w:val="00581E1D"/>
    <w:rsid w:val="00581FBB"/>
    <w:rsid w:val="00582099"/>
    <w:rsid w:val="005820E1"/>
    <w:rsid w:val="00582189"/>
    <w:rsid w:val="005821D7"/>
    <w:rsid w:val="005821F5"/>
    <w:rsid w:val="005822E8"/>
    <w:rsid w:val="005822F3"/>
    <w:rsid w:val="00582358"/>
    <w:rsid w:val="00582380"/>
    <w:rsid w:val="0058262B"/>
    <w:rsid w:val="0058269D"/>
    <w:rsid w:val="005826F3"/>
    <w:rsid w:val="00582895"/>
    <w:rsid w:val="0058296C"/>
    <w:rsid w:val="00582A7A"/>
    <w:rsid w:val="00582B13"/>
    <w:rsid w:val="00582B4F"/>
    <w:rsid w:val="00582BA5"/>
    <w:rsid w:val="00582C52"/>
    <w:rsid w:val="00582D1B"/>
    <w:rsid w:val="00582E96"/>
    <w:rsid w:val="00582EA4"/>
    <w:rsid w:val="00582F6D"/>
    <w:rsid w:val="0058312B"/>
    <w:rsid w:val="0058315C"/>
    <w:rsid w:val="00583175"/>
    <w:rsid w:val="005831EE"/>
    <w:rsid w:val="0058325C"/>
    <w:rsid w:val="005832AC"/>
    <w:rsid w:val="00583413"/>
    <w:rsid w:val="00583425"/>
    <w:rsid w:val="0058345B"/>
    <w:rsid w:val="005834CB"/>
    <w:rsid w:val="005834FA"/>
    <w:rsid w:val="00583500"/>
    <w:rsid w:val="0058360A"/>
    <w:rsid w:val="00583665"/>
    <w:rsid w:val="005836D5"/>
    <w:rsid w:val="005836DD"/>
    <w:rsid w:val="00583701"/>
    <w:rsid w:val="0058378D"/>
    <w:rsid w:val="005837A1"/>
    <w:rsid w:val="005837EE"/>
    <w:rsid w:val="0058385D"/>
    <w:rsid w:val="005838A0"/>
    <w:rsid w:val="005838CB"/>
    <w:rsid w:val="005838DC"/>
    <w:rsid w:val="005838EA"/>
    <w:rsid w:val="00583908"/>
    <w:rsid w:val="00583912"/>
    <w:rsid w:val="005839E6"/>
    <w:rsid w:val="00583A89"/>
    <w:rsid w:val="00583BF0"/>
    <w:rsid w:val="00583C2A"/>
    <w:rsid w:val="00583CD3"/>
    <w:rsid w:val="00583CD5"/>
    <w:rsid w:val="00583CEB"/>
    <w:rsid w:val="00583D64"/>
    <w:rsid w:val="00583DC1"/>
    <w:rsid w:val="00583E66"/>
    <w:rsid w:val="00583EA8"/>
    <w:rsid w:val="00583F8A"/>
    <w:rsid w:val="00583FF5"/>
    <w:rsid w:val="0058406D"/>
    <w:rsid w:val="005840B5"/>
    <w:rsid w:val="00584185"/>
    <w:rsid w:val="00584257"/>
    <w:rsid w:val="0058427F"/>
    <w:rsid w:val="005842A3"/>
    <w:rsid w:val="005842B3"/>
    <w:rsid w:val="005842FE"/>
    <w:rsid w:val="005843FF"/>
    <w:rsid w:val="00584446"/>
    <w:rsid w:val="0058447C"/>
    <w:rsid w:val="005844B6"/>
    <w:rsid w:val="005844D7"/>
    <w:rsid w:val="005844E5"/>
    <w:rsid w:val="00584543"/>
    <w:rsid w:val="0058457A"/>
    <w:rsid w:val="005845FC"/>
    <w:rsid w:val="00584658"/>
    <w:rsid w:val="00584679"/>
    <w:rsid w:val="00584718"/>
    <w:rsid w:val="00584798"/>
    <w:rsid w:val="005847F2"/>
    <w:rsid w:val="00584868"/>
    <w:rsid w:val="0058486C"/>
    <w:rsid w:val="005848C7"/>
    <w:rsid w:val="00584961"/>
    <w:rsid w:val="00584A4C"/>
    <w:rsid w:val="00584A8D"/>
    <w:rsid w:val="00584AF3"/>
    <w:rsid w:val="00584B16"/>
    <w:rsid w:val="00584B27"/>
    <w:rsid w:val="00584B76"/>
    <w:rsid w:val="00584BEB"/>
    <w:rsid w:val="00584C4E"/>
    <w:rsid w:val="00584C5B"/>
    <w:rsid w:val="00584CA3"/>
    <w:rsid w:val="00584CD9"/>
    <w:rsid w:val="00584D96"/>
    <w:rsid w:val="00584E06"/>
    <w:rsid w:val="00584ED5"/>
    <w:rsid w:val="00584F06"/>
    <w:rsid w:val="00584F39"/>
    <w:rsid w:val="00584F9D"/>
    <w:rsid w:val="00584FC4"/>
    <w:rsid w:val="0058517B"/>
    <w:rsid w:val="00585181"/>
    <w:rsid w:val="0058532C"/>
    <w:rsid w:val="0058533F"/>
    <w:rsid w:val="00585397"/>
    <w:rsid w:val="005853F5"/>
    <w:rsid w:val="0058547C"/>
    <w:rsid w:val="005854FB"/>
    <w:rsid w:val="005855C3"/>
    <w:rsid w:val="00585768"/>
    <w:rsid w:val="0058591E"/>
    <w:rsid w:val="00585933"/>
    <w:rsid w:val="00585977"/>
    <w:rsid w:val="00585A99"/>
    <w:rsid w:val="00585B79"/>
    <w:rsid w:val="00585BAD"/>
    <w:rsid w:val="00585C27"/>
    <w:rsid w:val="00585C77"/>
    <w:rsid w:val="00585CA7"/>
    <w:rsid w:val="00585D01"/>
    <w:rsid w:val="00585D12"/>
    <w:rsid w:val="00585D4F"/>
    <w:rsid w:val="00585E4D"/>
    <w:rsid w:val="00585E66"/>
    <w:rsid w:val="00585EC7"/>
    <w:rsid w:val="00585EDE"/>
    <w:rsid w:val="00585EE6"/>
    <w:rsid w:val="00585F56"/>
    <w:rsid w:val="00585FD5"/>
    <w:rsid w:val="00585FD7"/>
    <w:rsid w:val="00586023"/>
    <w:rsid w:val="00586087"/>
    <w:rsid w:val="005862DF"/>
    <w:rsid w:val="00586317"/>
    <w:rsid w:val="00586327"/>
    <w:rsid w:val="00586347"/>
    <w:rsid w:val="005863D3"/>
    <w:rsid w:val="00586412"/>
    <w:rsid w:val="00586457"/>
    <w:rsid w:val="005864AC"/>
    <w:rsid w:val="005864E3"/>
    <w:rsid w:val="0058654A"/>
    <w:rsid w:val="005865A2"/>
    <w:rsid w:val="0058673D"/>
    <w:rsid w:val="00586815"/>
    <w:rsid w:val="00586823"/>
    <w:rsid w:val="005868D5"/>
    <w:rsid w:val="005868F5"/>
    <w:rsid w:val="0058690E"/>
    <w:rsid w:val="005869E2"/>
    <w:rsid w:val="00586A1D"/>
    <w:rsid w:val="00586A4D"/>
    <w:rsid w:val="00586A85"/>
    <w:rsid w:val="00586A8C"/>
    <w:rsid w:val="00586AE2"/>
    <w:rsid w:val="00586B19"/>
    <w:rsid w:val="00586B6E"/>
    <w:rsid w:val="00586BD8"/>
    <w:rsid w:val="00586C7A"/>
    <w:rsid w:val="00586CC8"/>
    <w:rsid w:val="00586D88"/>
    <w:rsid w:val="00586DDA"/>
    <w:rsid w:val="00586E93"/>
    <w:rsid w:val="00586EC3"/>
    <w:rsid w:val="0058700B"/>
    <w:rsid w:val="0058705F"/>
    <w:rsid w:val="00587082"/>
    <w:rsid w:val="005870EF"/>
    <w:rsid w:val="0058733C"/>
    <w:rsid w:val="0058738C"/>
    <w:rsid w:val="005873EF"/>
    <w:rsid w:val="005873FD"/>
    <w:rsid w:val="00587405"/>
    <w:rsid w:val="00587440"/>
    <w:rsid w:val="00587442"/>
    <w:rsid w:val="0058752E"/>
    <w:rsid w:val="0058769B"/>
    <w:rsid w:val="005876B7"/>
    <w:rsid w:val="0058778A"/>
    <w:rsid w:val="00587805"/>
    <w:rsid w:val="00587850"/>
    <w:rsid w:val="0058786F"/>
    <w:rsid w:val="0058787D"/>
    <w:rsid w:val="00587A1C"/>
    <w:rsid w:val="00587A6B"/>
    <w:rsid w:val="00587CA7"/>
    <w:rsid w:val="00587F15"/>
    <w:rsid w:val="00587F48"/>
    <w:rsid w:val="0059008C"/>
    <w:rsid w:val="005901FB"/>
    <w:rsid w:val="00590252"/>
    <w:rsid w:val="00590295"/>
    <w:rsid w:val="005902B9"/>
    <w:rsid w:val="00590302"/>
    <w:rsid w:val="0059034E"/>
    <w:rsid w:val="00590396"/>
    <w:rsid w:val="00590483"/>
    <w:rsid w:val="00590499"/>
    <w:rsid w:val="005907D0"/>
    <w:rsid w:val="005907D4"/>
    <w:rsid w:val="00590817"/>
    <w:rsid w:val="0059087A"/>
    <w:rsid w:val="00590907"/>
    <w:rsid w:val="00590984"/>
    <w:rsid w:val="00590989"/>
    <w:rsid w:val="005909E4"/>
    <w:rsid w:val="00590A84"/>
    <w:rsid w:val="00590ABA"/>
    <w:rsid w:val="00590C03"/>
    <w:rsid w:val="00590C89"/>
    <w:rsid w:val="00590CEB"/>
    <w:rsid w:val="00590D7A"/>
    <w:rsid w:val="00590DDE"/>
    <w:rsid w:val="00590E4B"/>
    <w:rsid w:val="00590F64"/>
    <w:rsid w:val="00590F88"/>
    <w:rsid w:val="0059106D"/>
    <w:rsid w:val="005910BC"/>
    <w:rsid w:val="0059117D"/>
    <w:rsid w:val="005911DF"/>
    <w:rsid w:val="00591300"/>
    <w:rsid w:val="00591380"/>
    <w:rsid w:val="0059142D"/>
    <w:rsid w:val="00591446"/>
    <w:rsid w:val="00591492"/>
    <w:rsid w:val="00591555"/>
    <w:rsid w:val="005915F6"/>
    <w:rsid w:val="00591628"/>
    <w:rsid w:val="00591639"/>
    <w:rsid w:val="0059164A"/>
    <w:rsid w:val="005916B1"/>
    <w:rsid w:val="0059170C"/>
    <w:rsid w:val="00591764"/>
    <w:rsid w:val="00591772"/>
    <w:rsid w:val="00591781"/>
    <w:rsid w:val="005917A8"/>
    <w:rsid w:val="005918F7"/>
    <w:rsid w:val="005918FC"/>
    <w:rsid w:val="00591961"/>
    <w:rsid w:val="00591978"/>
    <w:rsid w:val="00591985"/>
    <w:rsid w:val="005919F3"/>
    <w:rsid w:val="00591A04"/>
    <w:rsid w:val="00591A37"/>
    <w:rsid w:val="00591ADB"/>
    <w:rsid w:val="00591B64"/>
    <w:rsid w:val="00591BCB"/>
    <w:rsid w:val="00591C6C"/>
    <w:rsid w:val="00591D31"/>
    <w:rsid w:val="00591D66"/>
    <w:rsid w:val="00591D7F"/>
    <w:rsid w:val="00591D81"/>
    <w:rsid w:val="00591DF8"/>
    <w:rsid w:val="00591E6D"/>
    <w:rsid w:val="00591EB0"/>
    <w:rsid w:val="0059202C"/>
    <w:rsid w:val="00592133"/>
    <w:rsid w:val="00592229"/>
    <w:rsid w:val="0059228E"/>
    <w:rsid w:val="005922B4"/>
    <w:rsid w:val="00592363"/>
    <w:rsid w:val="005923C2"/>
    <w:rsid w:val="00592482"/>
    <w:rsid w:val="0059249D"/>
    <w:rsid w:val="00592661"/>
    <w:rsid w:val="005926A4"/>
    <w:rsid w:val="00592850"/>
    <w:rsid w:val="005928DC"/>
    <w:rsid w:val="005928FD"/>
    <w:rsid w:val="00592962"/>
    <w:rsid w:val="00592A3C"/>
    <w:rsid w:val="00592A45"/>
    <w:rsid w:val="00592B51"/>
    <w:rsid w:val="00592B67"/>
    <w:rsid w:val="00592C90"/>
    <w:rsid w:val="00592CA7"/>
    <w:rsid w:val="00592CCE"/>
    <w:rsid w:val="00592CF0"/>
    <w:rsid w:val="00592D70"/>
    <w:rsid w:val="00592DA6"/>
    <w:rsid w:val="00592E9F"/>
    <w:rsid w:val="00592ECA"/>
    <w:rsid w:val="00592F2F"/>
    <w:rsid w:val="00592F98"/>
    <w:rsid w:val="00592FA8"/>
    <w:rsid w:val="005930A2"/>
    <w:rsid w:val="005930F5"/>
    <w:rsid w:val="0059310D"/>
    <w:rsid w:val="005931AD"/>
    <w:rsid w:val="005931CC"/>
    <w:rsid w:val="005932BF"/>
    <w:rsid w:val="00593477"/>
    <w:rsid w:val="00593528"/>
    <w:rsid w:val="00593600"/>
    <w:rsid w:val="005936B3"/>
    <w:rsid w:val="00593712"/>
    <w:rsid w:val="00593752"/>
    <w:rsid w:val="005937CF"/>
    <w:rsid w:val="00593927"/>
    <w:rsid w:val="00593B77"/>
    <w:rsid w:val="00593BD0"/>
    <w:rsid w:val="00593BE7"/>
    <w:rsid w:val="00593C3F"/>
    <w:rsid w:val="00593D36"/>
    <w:rsid w:val="00593D43"/>
    <w:rsid w:val="00593D9A"/>
    <w:rsid w:val="00593DCE"/>
    <w:rsid w:val="00593DE6"/>
    <w:rsid w:val="00593DFE"/>
    <w:rsid w:val="00593E18"/>
    <w:rsid w:val="00593E87"/>
    <w:rsid w:val="00593EAB"/>
    <w:rsid w:val="00593F40"/>
    <w:rsid w:val="00593F57"/>
    <w:rsid w:val="00593FF3"/>
    <w:rsid w:val="005941AD"/>
    <w:rsid w:val="005941C3"/>
    <w:rsid w:val="005941C9"/>
    <w:rsid w:val="00594218"/>
    <w:rsid w:val="00594229"/>
    <w:rsid w:val="00594352"/>
    <w:rsid w:val="0059440A"/>
    <w:rsid w:val="0059448B"/>
    <w:rsid w:val="0059456B"/>
    <w:rsid w:val="005945D5"/>
    <w:rsid w:val="0059462F"/>
    <w:rsid w:val="0059463D"/>
    <w:rsid w:val="005946DC"/>
    <w:rsid w:val="00594746"/>
    <w:rsid w:val="00594915"/>
    <w:rsid w:val="0059499D"/>
    <w:rsid w:val="00594A96"/>
    <w:rsid w:val="00594AA3"/>
    <w:rsid w:val="00594AE9"/>
    <w:rsid w:val="00594B3C"/>
    <w:rsid w:val="00594B79"/>
    <w:rsid w:val="00594BC8"/>
    <w:rsid w:val="00594BEC"/>
    <w:rsid w:val="00594C14"/>
    <w:rsid w:val="00594E04"/>
    <w:rsid w:val="00594E0F"/>
    <w:rsid w:val="00594E2A"/>
    <w:rsid w:val="00594E83"/>
    <w:rsid w:val="00594EAE"/>
    <w:rsid w:val="00594ECF"/>
    <w:rsid w:val="00594F16"/>
    <w:rsid w:val="00594F22"/>
    <w:rsid w:val="00594F34"/>
    <w:rsid w:val="00594F8D"/>
    <w:rsid w:val="00594FAC"/>
    <w:rsid w:val="00594FC5"/>
    <w:rsid w:val="00595073"/>
    <w:rsid w:val="005950B4"/>
    <w:rsid w:val="0059517A"/>
    <w:rsid w:val="005951A7"/>
    <w:rsid w:val="005951CF"/>
    <w:rsid w:val="0059529B"/>
    <w:rsid w:val="005952BC"/>
    <w:rsid w:val="005952F7"/>
    <w:rsid w:val="0059533B"/>
    <w:rsid w:val="00595424"/>
    <w:rsid w:val="005954A0"/>
    <w:rsid w:val="00595532"/>
    <w:rsid w:val="00595565"/>
    <w:rsid w:val="00595649"/>
    <w:rsid w:val="00595700"/>
    <w:rsid w:val="00595721"/>
    <w:rsid w:val="0059578D"/>
    <w:rsid w:val="0059581E"/>
    <w:rsid w:val="005958CE"/>
    <w:rsid w:val="005959E3"/>
    <w:rsid w:val="005959EE"/>
    <w:rsid w:val="00595AD0"/>
    <w:rsid w:val="00595AD5"/>
    <w:rsid w:val="00595B28"/>
    <w:rsid w:val="00595C36"/>
    <w:rsid w:val="00595C40"/>
    <w:rsid w:val="00595D0B"/>
    <w:rsid w:val="00595D2D"/>
    <w:rsid w:val="00595DDA"/>
    <w:rsid w:val="00595E00"/>
    <w:rsid w:val="00595E1F"/>
    <w:rsid w:val="00595FAF"/>
    <w:rsid w:val="00595FF2"/>
    <w:rsid w:val="0059600E"/>
    <w:rsid w:val="00596048"/>
    <w:rsid w:val="0059605C"/>
    <w:rsid w:val="0059607E"/>
    <w:rsid w:val="005960F8"/>
    <w:rsid w:val="005960FA"/>
    <w:rsid w:val="00596123"/>
    <w:rsid w:val="00596280"/>
    <w:rsid w:val="005962AE"/>
    <w:rsid w:val="005963BC"/>
    <w:rsid w:val="00596439"/>
    <w:rsid w:val="005964F6"/>
    <w:rsid w:val="0059652C"/>
    <w:rsid w:val="005965EC"/>
    <w:rsid w:val="00596610"/>
    <w:rsid w:val="00596612"/>
    <w:rsid w:val="00596643"/>
    <w:rsid w:val="005966DB"/>
    <w:rsid w:val="00596753"/>
    <w:rsid w:val="00596775"/>
    <w:rsid w:val="005967B5"/>
    <w:rsid w:val="005967CE"/>
    <w:rsid w:val="0059683A"/>
    <w:rsid w:val="005968A0"/>
    <w:rsid w:val="00596930"/>
    <w:rsid w:val="00596968"/>
    <w:rsid w:val="00596979"/>
    <w:rsid w:val="005969C6"/>
    <w:rsid w:val="00596A6B"/>
    <w:rsid w:val="00596AB5"/>
    <w:rsid w:val="00596ACB"/>
    <w:rsid w:val="00596B0C"/>
    <w:rsid w:val="00596B18"/>
    <w:rsid w:val="00596B45"/>
    <w:rsid w:val="00596C26"/>
    <w:rsid w:val="00596CE6"/>
    <w:rsid w:val="00596D06"/>
    <w:rsid w:val="00596D3B"/>
    <w:rsid w:val="00596E1C"/>
    <w:rsid w:val="00596E23"/>
    <w:rsid w:val="00596E42"/>
    <w:rsid w:val="00596E66"/>
    <w:rsid w:val="00596F0B"/>
    <w:rsid w:val="0059702B"/>
    <w:rsid w:val="005971CE"/>
    <w:rsid w:val="0059720D"/>
    <w:rsid w:val="0059729E"/>
    <w:rsid w:val="005973CA"/>
    <w:rsid w:val="00597440"/>
    <w:rsid w:val="0059749A"/>
    <w:rsid w:val="005974A7"/>
    <w:rsid w:val="005974EE"/>
    <w:rsid w:val="005974FB"/>
    <w:rsid w:val="00597557"/>
    <w:rsid w:val="005975DB"/>
    <w:rsid w:val="00597676"/>
    <w:rsid w:val="005976BF"/>
    <w:rsid w:val="00597733"/>
    <w:rsid w:val="00597938"/>
    <w:rsid w:val="00597943"/>
    <w:rsid w:val="005979B1"/>
    <w:rsid w:val="00597A21"/>
    <w:rsid w:val="00597B49"/>
    <w:rsid w:val="00597C80"/>
    <w:rsid w:val="00597D97"/>
    <w:rsid w:val="00597E37"/>
    <w:rsid w:val="00597E82"/>
    <w:rsid w:val="00597EC1"/>
    <w:rsid w:val="00597F80"/>
    <w:rsid w:val="00597FA8"/>
    <w:rsid w:val="00597FB4"/>
    <w:rsid w:val="00597FFD"/>
    <w:rsid w:val="005A001A"/>
    <w:rsid w:val="005A00AC"/>
    <w:rsid w:val="005A0276"/>
    <w:rsid w:val="005A02DE"/>
    <w:rsid w:val="005A0398"/>
    <w:rsid w:val="005A03AD"/>
    <w:rsid w:val="005A03C3"/>
    <w:rsid w:val="005A0454"/>
    <w:rsid w:val="005A0521"/>
    <w:rsid w:val="005A055A"/>
    <w:rsid w:val="005A057C"/>
    <w:rsid w:val="005A06B8"/>
    <w:rsid w:val="005A06C8"/>
    <w:rsid w:val="005A0846"/>
    <w:rsid w:val="005A0894"/>
    <w:rsid w:val="005A096D"/>
    <w:rsid w:val="005A0A97"/>
    <w:rsid w:val="005A0B16"/>
    <w:rsid w:val="005A0B84"/>
    <w:rsid w:val="005A0C89"/>
    <w:rsid w:val="005A0CA1"/>
    <w:rsid w:val="005A0CAF"/>
    <w:rsid w:val="005A0CD7"/>
    <w:rsid w:val="005A0DDC"/>
    <w:rsid w:val="005A0E33"/>
    <w:rsid w:val="005A0E43"/>
    <w:rsid w:val="005A0E60"/>
    <w:rsid w:val="005A0EC3"/>
    <w:rsid w:val="005A0EC7"/>
    <w:rsid w:val="005A0FA1"/>
    <w:rsid w:val="005A0FC6"/>
    <w:rsid w:val="005A1010"/>
    <w:rsid w:val="005A1040"/>
    <w:rsid w:val="005A109F"/>
    <w:rsid w:val="005A10CE"/>
    <w:rsid w:val="005A1171"/>
    <w:rsid w:val="005A11AA"/>
    <w:rsid w:val="005A11E0"/>
    <w:rsid w:val="005A11F4"/>
    <w:rsid w:val="005A1249"/>
    <w:rsid w:val="005A12CE"/>
    <w:rsid w:val="005A1321"/>
    <w:rsid w:val="005A132D"/>
    <w:rsid w:val="005A1424"/>
    <w:rsid w:val="005A14D4"/>
    <w:rsid w:val="005A155F"/>
    <w:rsid w:val="005A1605"/>
    <w:rsid w:val="005A164D"/>
    <w:rsid w:val="005A1702"/>
    <w:rsid w:val="005A1794"/>
    <w:rsid w:val="005A17AB"/>
    <w:rsid w:val="005A17E5"/>
    <w:rsid w:val="005A1828"/>
    <w:rsid w:val="005A188A"/>
    <w:rsid w:val="005A1898"/>
    <w:rsid w:val="005A18D4"/>
    <w:rsid w:val="005A1944"/>
    <w:rsid w:val="005A1969"/>
    <w:rsid w:val="005A1982"/>
    <w:rsid w:val="005A1A05"/>
    <w:rsid w:val="005A1A8C"/>
    <w:rsid w:val="005A1A93"/>
    <w:rsid w:val="005A1AAD"/>
    <w:rsid w:val="005A1AAF"/>
    <w:rsid w:val="005A1ABE"/>
    <w:rsid w:val="005A1AC1"/>
    <w:rsid w:val="005A1B37"/>
    <w:rsid w:val="005A1BA4"/>
    <w:rsid w:val="005A1CB6"/>
    <w:rsid w:val="005A1DA2"/>
    <w:rsid w:val="005A1DBE"/>
    <w:rsid w:val="005A1DF0"/>
    <w:rsid w:val="005A1F90"/>
    <w:rsid w:val="005A2011"/>
    <w:rsid w:val="005A2088"/>
    <w:rsid w:val="005A23FD"/>
    <w:rsid w:val="005A24AE"/>
    <w:rsid w:val="005A2558"/>
    <w:rsid w:val="005A2583"/>
    <w:rsid w:val="005A25AD"/>
    <w:rsid w:val="005A26A0"/>
    <w:rsid w:val="005A26AB"/>
    <w:rsid w:val="005A26FE"/>
    <w:rsid w:val="005A279D"/>
    <w:rsid w:val="005A27F4"/>
    <w:rsid w:val="005A2823"/>
    <w:rsid w:val="005A296E"/>
    <w:rsid w:val="005A2A09"/>
    <w:rsid w:val="005A2A46"/>
    <w:rsid w:val="005A2AF6"/>
    <w:rsid w:val="005A2CDD"/>
    <w:rsid w:val="005A2CEB"/>
    <w:rsid w:val="005A2D2E"/>
    <w:rsid w:val="005A2D55"/>
    <w:rsid w:val="005A2DA3"/>
    <w:rsid w:val="005A2DB4"/>
    <w:rsid w:val="005A2EA2"/>
    <w:rsid w:val="005A2F1B"/>
    <w:rsid w:val="005A2FA4"/>
    <w:rsid w:val="005A3005"/>
    <w:rsid w:val="005A305B"/>
    <w:rsid w:val="005A3100"/>
    <w:rsid w:val="005A3146"/>
    <w:rsid w:val="005A314B"/>
    <w:rsid w:val="005A3199"/>
    <w:rsid w:val="005A323C"/>
    <w:rsid w:val="005A32EF"/>
    <w:rsid w:val="005A331D"/>
    <w:rsid w:val="005A3383"/>
    <w:rsid w:val="005A33EB"/>
    <w:rsid w:val="005A33F7"/>
    <w:rsid w:val="005A3561"/>
    <w:rsid w:val="005A358E"/>
    <w:rsid w:val="005A35A1"/>
    <w:rsid w:val="005A360B"/>
    <w:rsid w:val="005A363B"/>
    <w:rsid w:val="005A36F9"/>
    <w:rsid w:val="005A3708"/>
    <w:rsid w:val="005A371F"/>
    <w:rsid w:val="005A3963"/>
    <w:rsid w:val="005A3B6C"/>
    <w:rsid w:val="005A3C25"/>
    <w:rsid w:val="005A3D55"/>
    <w:rsid w:val="005A3D5D"/>
    <w:rsid w:val="005A3D99"/>
    <w:rsid w:val="005A3DA4"/>
    <w:rsid w:val="005A3DAE"/>
    <w:rsid w:val="005A3E1D"/>
    <w:rsid w:val="005A3E4B"/>
    <w:rsid w:val="005A3E96"/>
    <w:rsid w:val="005A3F93"/>
    <w:rsid w:val="005A40BC"/>
    <w:rsid w:val="005A4120"/>
    <w:rsid w:val="005A4142"/>
    <w:rsid w:val="005A4246"/>
    <w:rsid w:val="005A42BD"/>
    <w:rsid w:val="005A4423"/>
    <w:rsid w:val="005A4483"/>
    <w:rsid w:val="005A453F"/>
    <w:rsid w:val="005A45C5"/>
    <w:rsid w:val="005A4603"/>
    <w:rsid w:val="005A4713"/>
    <w:rsid w:val="005A4753"/>
    <w:rsid w:val="005A488B"/>
    <w:rsid w:val="005A4891"/>
    <w:rsid w:val="005A48AB"/>
    <w:rsid w:val="005A48B9"/>
    <w:rsid w:val="005A4916"/>
    <w:rsid w:val="005A49F1"/>
    <w:rsid w:val="005A4A6B"/>
    <w:rsid w:val="005A4A7D"/>
    <w:rsid w:val="005A4AC0"/>
    <w:rsid w:val="005A4AEF"/>
    <w:rsid w:val="005A4BA1"/>
    <w:rsid w:val="005A4BCF"/>
    <w:rsid w:val="005A4BE4"/>
    <w:rsid w:val="005A4C7D"/>
    <w:rsid w:val="005A4E2F"/>
    <w:rsid w:val="005A4F23"/>
    <w:rsid w:val="005A4F90"/>
    <w:rsid w:val="005A4FC2"/>
    <w:rsid w:val="005A505C"/>
    <w:rsid w:val="005A5096"/>
    <w:rsid w:val="005A51BC"/>
    <w:rsid w:val="005A529B"/>
    <w:rsid w:val="005A52CA"/>
    <w:rsid w:val="005A532B"/>
    <w:rsid w:val="005A5379"/>
    <w:rsid w:val="005A53C3"/>
    <w:rsid w:val="005A5495"/>
    <w:rsid w:val="005A54B2"/>
    <w:rsid w:val="005A54EC"/>
    <w:rsid w:val="005A54FF"/>
    <w:rsid w:val="005A5529"/>
    <w:rsid w:val="005A5599"/>
    <w:rsid w:val="005A55CB"/>
    <w:rsid w:val="005A561F"/>
    <w:rsid w:val="005A5675"/>
    <w:rsid w:val="005A5697"/>
    <w:rsid w:val="005A56E9"/>
    <w:rsid w:val="005A576F"/>
    <w:rsid w:val="005A5811"/>
    <w:rsid w:val="005A5812"/>
    <w:rsid w:val="005A5896"/>
    <w:rsid w:val="005A58AA"/>
    <w:rsid w:val="005A5946"/>
    <w:rsid w:val="005A5B3B"/>
    <w:rsid w:val="005A5BC5"/>
    <w:rsid w:val="005A5BCA"/>
    <w:rsid w:val="005A5C02"/>
    <w:rsid w:val="005A5C68"/>
    <w:rsid w:val="005A5C78"/>
    <w:rsid w:val="005A5D84"/>
    <w:rsid w:val="005A5D8D"/>
    <w:rsid w:val="005A5DEB"/>
    <w:rsid w:val="005A5DFD"/>
    <w:rsid w:val="005A5E45"/>
    <w:rsid w:val="005A5EDB"/>
    <w:rsid w:val="005A5FC1"/>
    <w:rsid w:val="005A605B"/>
    <w:rsid w:val="005A6090"/>
    <w:rsid w:val="005A614A"/>
    <w:rsid w:val="005A6166"/>
    <w:rsid w:val="005A61C2"/>
    <w:rsid w:val="005A61D6"/>
    <w:rsid w:val="005A627A"/>
    <w:rsid w:val="005A6427"/>
    <w:rsid w:val="005A6507"/>
    <w:rsid w:val="005A657E"/>
    <w:rsid w:val="005A6676"/>
    <w:rsid w:val="005A66D0"/>
    <w:rsid w:val="005A66F5"/>
    <w:rsid w:val="005A672A"/>
    <w:rsid w:val="005A680B"/>
    <w:rsid w:val="005A6842"/>
    <w:rsid w:val="005A6875"/>
    <w:rsid w:val="005A697A"/>
    <w:rsid w:val="005A69F9"/>
    <w:rsid w:val="005A6A0E"/>
    <w:rsid w:val="005A6A30"/>
    <w:rsid w:val="005A6BA2"/>
    <w:rsid w:val="005A6C22"/>
    <w:rsid w:val="005A6D0C"/>
    <w:rsid w:val="005A6E14"/>
    <w:rsid w:val="005A6EA1"/>
    <w:rsid w:val="005A6EE5"/>
    <w:rsid w:val="005A70CA"/>
    <w:rsid w:val="005A71A2"/>
    <w:rsid w:val="005A71AF"/>
    <w:rsid w:val="005A723E"/>
    <w:rsid w:val="005A72B0"/>
    <w:rsid w:val="005A72B8"/>
    <w:rsid w:val="005A7344"/>
    <w:rsid w:val="005A73EB"/>
    <w:rsid w:val="005A7403"/>
    <w:rsid w:val="005A745E"/>
    <w:rsid w:val="005A7462"/>
    <w:rsid w:val="005A74A4"/>
    <w:rsid w:val="005A7598"/>
    <w:rsid w:val="005A77CD"/>
    <w:rsid w:val="005A77F1"/>
    <w:rsid w:val="005A77F2"/>
    <w:rsid w:val="005A7840"/>
    <w:rsid w:val="005A78E3"/>
    <w:rsid w:val="005A7929"/>
    <w:rsid w:val="005A79A0"/>
    <w:rsid w:val="005A79F8"/>
    <w:rsid w:val="005A7A35"/>
    <w:rsid w:val="005A7BBC"/>
    <w:rsid w:val="005A7C66"/>
    <w:rsid w:val="005A7C75"/>
    <w:rsid w:val="005A7C8C"/>
    <w:rsid w:val="005A7CCC"/>
    <w:rsid w:val="005A7D5B"/>
    <w:rsid w:val="005A7E1B"/>
    <w:rsid w:val="005A7E79"/>
    <w:rsid w:val="005A7F22"/>
    <w:rsid w:val="005A7F48"/>
    <w:rsid w:val="005A7F88"/>
    <w:rsid w:val="005A7FF3"/>
    <w:rsid w:val="005B009B"/>
    <w:rsid w:val="005B0111"/>
    <w:rsid w:val="005B0187"/>
    <w:rsid w:val="005B0233"/>
    <w:rsid w:val="005B0279"/>
    <w:rsid w:val="005B02E5"/>
    <w:rsid w:val="005B0370"/>
    <w:rsid w:val="005B03A1"/>
    <w:rsid w:val="005B03A5"/>
    <w:rsid w:val="005B03A7"/>
    <w:rsid w:val="005B0443"/>
    <w:rsid w:val="005B047D"/>
    <w:rsid w:val="005B04E5"/>
    <w:rsid w:val="005B058F"/>
    <w:rsid w:val="005B0614"/>
    <w:rsid w:val="005B069A"/>
    <w:rsid w:val="005B06AC"/>
    <w:rsid w:val="005B07C7"/>
    <w:rsid w:val="005B080A"/>
    <w:rsid w:val="005B0956"/>
    <w:rsid w:val="005B098F"/>
    <w:rsid w:val="005B0A80"/>
    <w:rsid w:val="005B0B01"/>
    <w:rsid w:val="005B0C72"/>
    <w:rsid w:val="005B0C73"/>
    <w:rsid w:val="005B0DC1"/>
    <w:rsid w:val="005B0DDA"/>
    <w:rsid w:val="005B0E1C"/>
    <w:rsid w:val="005B0EFF"/>
    <w:rsid w:val="005B0FCA"/>
    <w:rsid w:val="005B100D"/>
    <w:rsid w:val="005B1107"/>
    <w:rsid w:val="005B1203"/>
    <w:rsid w:val="005B1224"/>
    <w:rsid w:val="005B12A4"/>
    <w:rsid w:val="005B12A7"/>
    <w:rsid w:val="005B12BF"/>
    <w:rsid w:val="005B12E0"/>
    <w:rsid w:val="005B135F"/>
    <w:rsid w:val="005B13D2"/>
    <w:rsid w:val="005B147F"/>
    <w:rsid w:val="005B14A2"/>
    <w:rsid w:val="005B15FB"/>
    <w:rsid w:val="005B163E"/>
    <w:rsid w:val="005B1836"/>
    <w:rsid w:val="005B186A"/>
    <w:rsid w:val="005B19B3"/>
    <w:rsid w:val="005B19BF"/>
    <w:rsid w:val="005B19E3"/>
    <w:rsid w:val="005B1A18"/>
    <w:rsid w:val="005B1A33"/>
    <w:rsid w:val="005B1AC7"/>
    <w:rsid w:val="005B1B38"/>
    <w:rsid w:val="005B1BA0"/>
    <w:rsid w:val="005B1BB7"/>
    <w:rsid w:val="005B1C67"/>
    <w:rsid w:val="005B1D0F"/>
    <w:rsid w:val="005B1D1B"/>
    <w:rsid w:val="005B1D82"/>
    <w:rsid w:val="005B1DDD"/>
    <w:rsid w:val="005B1E04"/>
    <w:rsid w:val="005B1EB6"/>
    <w:rsid w:val="005B1F48"/>
    <w:rsid w:val="005B1F77"/>
    <w:rsid w:val="005B2055"/>
    <w:rsid w:val="005B2096"/>
    <w:rsid w:val="005B2147"/>
    <w:rsid w:val="005B21FF"/>
    <w:rsid w:val="005B2219"/>
    <w:rsid w:val="005B2233"/>
    <w:rsid w:val="005B2263"/>
    <w:rsid w:val="005B227E"/>
    <w:rsid w:val="005B22DC"/>
    <w:rsid w:val="005B22F9"/>
    <w:rsid w:val="005B236E"/>
    <w:rsid w:val="005B2408"/>
    <w:rsid w:val="005B24F1"/>
    <w:rsid w:val="005B24FE"/>
    <w:rsid w:val="005B25C4"/>
    <w:rsid w:val="005B2668"/>
    <w:rsid w:val="005B269C"/>
    <w:rsid w:val="005B26D2"/>
    <w:rsid w:val="005B272E"/>
    <w:rsid w:val="005B2743"/>
    <w:rsid w:val="005B27F9"/>
    <w:rsid w:val="005B28E9"/>
    <w:rsid w:val="005B2999"/>
    <w:rsid w:val="005B29CE"/>
    <w:rsid w:val="005B2A37"/>
    <w:rsid w:val="005B2ADD"/>
    <w:rsid w:val="005B2AEA"/>
    <w:rsid w:val="005B2B0B"/>
    <w:rsid w:val="005B2BF2"/>
    <w:rsid w:val="005B3007"/>
    <w:rsid w:val="005B301C"/>
    <w:rsid w:val="005B30E5"/>
    <w:rsid w:val="005B3107"/>
    <w:rsid w:val="005B3117"/>
    <w:rsid w:val="005B31E6"/>
    <w:rsid w:val="005B328E"/>
    <w:rsid w:val="005B32DE"/>
    <w:rsid w:val="005B3321"/>
    <w:rsid w:val="005B3327"/>
    <w:rsid w:val="005B3475"/>
    <w:rsid w:val="005B34D5"/>
    <w:rsid w:val="005B3550"/>
    <w:rsid w:val="005B3555"/>
    <w:rsid w:val="005B35AE"/>
    <w:rsid w:val="005B35BF"/>
    <w:rsid w:val="005B35EB"/>
    <w:rsid w:val="005B36D3"/>
    <w:rsid w:val="005B36E9"/>
    <w:rsid w:val="005B3A14"/>
    <w:rsid w:val="005B3A22"/>
    <w:rsid w:val="005B3C20"/>
    <w:rsid w:val="005B3C36"/>
    <w:rsid w:val="005B3D5B"/>
    <w:rsid w:val="005B3D80"/>
    <w:rsid w:val="005B3D9E"/>
    <w:rsid w:val="005B3E50"/>
    <w:rsid w:val="005B3EFE"/>
    <w:rsid w:val="005B3F34"/>
    <w:rsid w:val="005B3FCA"/>
    <w:rsid w:val="005B3FCD"/>
    <w:rsid w:val="005B4016"/>
    <w:rsid w:val="005B4206"/>
    <w:rsid w:val="005B4207"/>
    <w:rsid w:val="005B422C"/>
    <w:rsid w:val="005B429E"/>
    <w:rsid w:val="005B437A"/>
    <w:rsid w:val="005B4406"/>
    <w:rsid w:val="005B4433"/>
    <w:rsid w:val="005B4530"/>
    <w:rsid w:val="005B4538"/>
    <w:rsid w:val="005B4566"/>
    <w:rsid w:val="005B4595"/>
    <w:rsid w:val="005B4789"/>
    <w:rsid w:val="005B482A"/>
    <w:rsid w:val="005B486B"/>
    <w:rsid w:val="005B4889"/>
    <w:rsid w:val="005B4899"/>
    <w:rsid w:val="005B48EE"/>
    <w:rsid w:val="005B4908"/>
    <w:rsid w:val="005B490F"/>
    <w:rsid w:val="005B4973"/>
    <w:rsid w:val="005B4A59"/>
    <w:rsid w:val="005B4A7A"/>
    <w:rsid w:val="005B4D4F"/>
    <w:rsid w:val="005B4DB5"/>
    <w:rsid w:val="005B4DEA"/>
    <w:rsid w:val="005B4E34"/>
    <w:rsid w:val="005B4EF0"/>
    <w:rsid w:val="005B4F2A"/>
    <w:rsid w:val="005B4F78"/>
    <w:rsid w:val="005B5110"/>
    <w:rsid w:val="005B5115"/>
    <w:rsid w:val="005B5179"/>
    <w:rsid w:val="005B518C"/>
    <w:rsid w:val="005B52B0"/>
    <w:rsid w:val="005B5301"/>
    <w:rsid w:val="005B5452"/>
    <w:rsid w:val="005B5461"/>
    <w:rsid w:val="005B54FA"/>
    <w:rsid w:val="005B552C"/>
    <w:rsid w:val="005B5542"/>
    <w:rsid w:val="005B5555"/>
    <w:rsid w:val="005B5593"/>
    <w:rsid w:val="005B559A"/>
    <w:rsid w:val="005B55DD"/>
    <w:rsid w:val="005B560D"/>
    <w:rsid w:val="005B5635"/>
    <w:rsid w:val="005B56B1"/>
    <w:rsid w:val="005B56E2"/>
    <w:rsid w:val="005B570D"/>
    <w:rsid w:val="005B573D"/>
    <w:rsid w:val="005B575C"/>
    <w:rsid w:val="005B57BB"/>
    <w:rsid w:val="005B57C2"/>
    <w:rsid w:val="005B5877"/>
    <w:rsid w:val="005B588B"/>
    <w:rsid w:val="005B58D0"/>
    <w:rsid w:val="005B5947"/>
    <w:rsid w:val="005B598A"/>
    <w:rsid w:val="005B5998"/>
    <w:rsid w:val="005B59D1"/>
    <w:rsid w:val="005B5A10"/>
    <w:rsid w:val="005B5A52"/>
    <w:rsid w:val="005B5B7A"/>
    <w:rsid w:val="005B5D08"/>
    <w:rsid w:val="005B5D0E"/>
    <w:rsid w:val="005B5D24"/>
    <w:rsid w:val="005B5D77"/>
    <w:rsid w:val="005B5E0A"/>
    <w:rsid w:val="005B5E27"/>
    <w:rsid w:val="005B5E8D"/>
    <w:rsid w:val="005B5F02"/>
    <w:rsid w:val="005B5F08"/>
    <w:rsid w:val="005B5F12"/>
    <w:rsid w:val="005B5F1B"/>
    <w:rsid w:val="005B5F20"/>
    <w:rsid w:val="005B5F24"/>
    <w:rsid w:val="005B5F4A"/>
    <w:rsid w:val="005B601F"/>
    <w:rsid w:val="005B612D"/>
    <w:rsid w:val="005B6190"/>
    <w:rsid w:val="005B61A2"/>
    <w:rsid w:val="005B6274"/>
    <w:rsid w:val="005B62DC"/>
    <w:rsid w:val="005B6307"/>
    <w:rsid w:val="005B6594"/>
    <w:rsid w:val="005B6631"/>
    <w:rsid w:val="005B664C"/>
    <w:rsid w:val="005B66E3"/>
    <w:rsid w:val="005B6720"/>
    <w:rsid w:val="005B6750"/>
    <w:rsid w:val="005B677B"/>
    <w:rsid w:val="005B68E7"/>
    <w:rsid w:val="005B6906"/>
    <w:rsid w:val="005B690B"/>
    <w:rsid w:val="005B6943"/>
    <w:rsid w:val="005B697A"/>
    <w:rsid w:val="005B699A"/>
    <w:rsid w:val="005B6B29"/>
    <w:rsid w:val="005B6B6F"/>
    <w:rsid w:val="005B6BD8"/>
    <w:rsid w:val="005B6CF5"/>
    <w:rsid w:val="005B6D21"/>
    <w:rsid w:val="005B6F17"/>
    <w:rsid w:val="005B70CF"/>
    <w:rsid w:val="005B70EE"/>
    <w:rsid w:val="005B715F"/>
    <w:rsid w:val="005B716B"/>
    <w:rsid w:val="005B71B4"/>
    <w:rsid w:val="005B723A"/>
    <w:rsid w:val="005B7242"/>
    <w:rsid w:val="005B726B"/>
    <w:rsid w:val="005B727A"/>
    <w:rsid w:val="005B7336"/>
    <w:rsid w:val="005B73F1"/>
    <w:rsid w:val="005B7487"/>
    <w:rsid w:val="005B74AB"/>
    <w:rsid w:val="005B74B1"/>
    <w:rsid w:val="005B74EB"/>
    <w:rsid w:val="005B751E"/>
    <w:rsid w:val="005B7597"/>
    <w:rsid w:val="005B75CA"/>
    <w:rsid w:val="005B75EB"/>
    <w:rsid w:val="005B7609"/>
    <w:rsid w:val="005B76A8"/>
    <w:rsid w:val="005B777C"/>
    <w:rsid w:val="005B77E7"/>
    <w:rsid w:val="005B781A"/>
    <w:rsid w:val="005B7854"/>
    <w:rsid w:val="005B78F4"/>
    <w:rsid w:val="005B7937"/>
    <w:rsid w:val="005B799F"/>
    <w:rsid w:val="005B7A01"/>
    <w:rsid w:val="005B7A44"/>
    <w:rsid w:val="005B7B01"/>
    <w:rsid w:val="005B7B63"/>
    <w:rsid w:val="005B7B6E"/>
    <w:rsid w:val="005B7D73"/>
    <w:rsid w:val="005B7DAF"/>
    <w:rsid w:val="005B7DDC"/>
    <w:rsid w:val="005B7E38"/>
    <w:rsid w:val="005B7EC7"/>
    <w:rsid w:val="005B7EE8"/>
    <w:rsid w:val="005B7F71"/>
    <w:rsid w:val="005C0085"/>
    <w:rsid w:val="005C00A3"/>
    <w:rsid w:val="005C00C3"/>
    <w:rsid w:val="005C00CE"/>
    <w:rsid w:val="005C00DA"/>
    <w:rsid w:val="005C012C"/>
    <w:rsid w:val="005C019B"/>
    <w:rsid w:val="005C01A7"/>
    <w:rsid w:val="005C01F4"/>
    <w:rsid w:val="005C0320"/>
    <w:rsid w:val="005C0372"/>
    <w:rsid w:val="005C03B3"/>
    <w:rsid w:val="005C03EC"/>
    <w:rsid w:val="005C0537"/>
    <w:rsid w:val="005C053F"/>
    <w:rsid w:val="005C0574"/>
    <w:rsid w:val="005C058C"/>
    <w:rsid w:val="005C062D"/>
    <w:rsid w:val="005C063D"/>
    <w:rsid w:val="005C06AD"/>
    <w:rsid w:val="005C077C"/>
    <w:rsid w:val="005C07A3"/>
    <w:rsid w:val="005C07DE"/>
    <w:rsid w:val="005C0817"/>
    <w:rsid w:val="005C086C"/>
    <w:rsid w:val="005C0AB1"/>
    <w:rsid w:val="005C0B2B"/>
    <w:rsid w:val="005C0BDD"/>
    <w:rsid w:val="005C0BEA"/>
    <w:rsid w:val="005C0C50"/>
    <w:rsid w:val="005C0C91"/>
    <w:rsid w:val="005C0CA2"/>
    <w:rsid w:val="005C0DBF"/>
    <w:rsid w:val="005C0E06"/>
    <w:rsid w:val="005C0F0A"/>
    <w:rsid w:val="005C0FB3"/>
    <w:rsid w:val="005C1074"/>
    <w:rsid w:val="005C1151"/>
    <w:rsid w:val="005C1206"/>
    <w:rsid w:val="005C120F"/>
    <w:rsid w:val="005C1228"/>
    <w:rsid w:val="005C1245"/>
    <w:rsid w:val="005C12CA"/>
    <w:rsid w:val="005C1359"/>
    <w:rsid w:val="005C1413"/>
    <w:rsid w:val="005C144A"/>
    <w:rsid w:val="005C1453"/>
    <w:rsid w:val="005C1567"/>
    <w:rsid w:val="005C15E2"/>
    <w:rsid w:val="005C168F"/>
    <w:rsid w:val="005C16A2"/>
    <w:rsid w:val="005C16B5"/>
    <w:rsid w:val="005C1724"/>
    <w:rsid w:val="005C18BA"/>
    <w:rsid w:val="005C18EB"/>
    <w:rsid w:val="005C1933"/>
    <w:rsid w:val="005C1A9C"/>
    <w:rsid w:val="005C1B04"/>
    <w:rsid w:val="005C1B7E"/>
    <w:rsid w:val="005C1BC0"/>
    <w:rsid w:val="005C1C97"/>
    <w:rsid w:val="005C1E1C"/>
    <w:rsid w:val="005C1F66"/>
    <w:rsid w:val="005C1F84"/>
    <w:rsid w:val="005C1F97"/>
    <w:rsid w:val="005C1FAF"/>
    <w:rsid w:val="005C1FEF"/>
    <w:rsid w:val="005C2078"/>
    <w:rsid w:val="005C2091"/>
    <w:rsid w:val="005C20AA"/>
    <w:rsid w:val="005C213A"/>
    <w:rsid w:val="005C21AF"/>
    <w:rsid w:val="005C243D"/>
    <w:rsid w:val="005C2461"/>
    <w:rsid w:val="005C2489"/>
    <w:rsid w:val="005C24E2"/>
    <w:rsid w:val="005C25DF"/>
    <w:rsid w:val="005C25FE"/>
    <w:rsid w:val="005C2612"/>
    <w:rsid w:val="005C2680"/>
    <w:rsid w:val="005C269E"/>
    <w:rsid w:val="005C26A8"/>
    <w:rsid w:val="005C26C8"/>
    <w:rsid w:val="005C270D"/>
    <w:rsid w:val="005C2765"/>
    <w:rsid w:val="005C2769"/>
    <w:rsid w:val="005C2796"/>
    <w:rsid w:val="005C27AF"/>
    <w:rsid w:val="005C27C1"/>
    <w:rsid w:val="005C2801"/>
    <w:rsid w:val="005C2816"/>
    <w:rsid w:val="005C286E"/>
    <w:rsid w:val="005C2945"/>
    <w:rsid w:val="005C298C"/>
    <w:rsid w:val="005C29F3"/>
    <w:rsid w:val="005C2A38"/>
    <w:rsid w:val="005C2AD2"/>
    <w:rsid w:val="005C2C5C"/>
    <w:rsid w:val="005C2D54"/>
    <w:rsid w:val="005C2E00"/>
    <w:rsid w:val="005C2E15"/>
    <w:rsid w:val="005C2F2A"/>
    <w:rsid w:val="005C2FAC"/>
    <w:rsid w:val="005C308D"/>
    <w:rsid w:val="005C30E4"/>
    <w:rsid w:val="005C30ED"/>
    <w:rsid w:val="005C315A"/>
    <w:rsid w:val="005C322E"/>
    <w:rsid w:val="005C3248"/>
    <w:rsid w:val="005C3414"/>
    <w:rsid w:val="005C3548"/>
    <w:rsid w:val="005C3738"/>
    <w:rsid w:val="005C3861"/>
    <w:rsid w:val="005C38B9"/>
    <w:rsid w:val="005C38F3"/>
    <w:rsid w:val="005C3982"/>
    <w:rsid w:val="005C39E6"/>
    <w:rsid w:val="005C3A4D"/>
    <w:rsid w:val="005C3A6C"/>
    <w:rsid w:val="005C3A95"/>
    <w:rsid w:val="005C3A9F"/>
    <w:rsid w:val="005C3B16"/>
    <w:rsid w:val="005C3B20"/>
    <w:rsid w:val="005C3B23"/>
    <w:rsid w:val="005C3B2D"/>
    <w:rsid w:val="005C3B39"/>
    <w:rsid w:val="005C3C6A"/>
    <w:rsid w:val="005C3CC7"/>
    <w:rsid w:val="005C3D62"/>
    <w:rsid w:val="005C3DA4"/>
    <w:rsid w:val="005C3E16"/>
    <w:rsid w:val="005C3E52"/>
    <w:rsid w:val="005C3E85"/>
    <w:rsid w:val="005C3F76"/>
    <w:rsid w:val="005C3F7A"/>
    <w:rsid w:val="005C3F85"/>
    <w:rsid w:val="005C3F8F"/>
    <w:rsid w:val="005C3FEE"/>
    <w:rsid w:val="005C4026"/>
    <w:rsid w:val="005C40A8"/>
    <w:rsid w:val="005C4199"/>
    <w:rsid w:val="005C41EC"/>
    <w:rsid w:val="005C41FE"/>
    <w:rsid w:val="005C4254"/>
    <w:rsid w:val="005C42B8"/>
    <w:rsid w:val="005C4313"/>
    <w:rsid w:val="005C431E"/>
    <w:rsid w:val="005C4365"/>
    <w:rsid w:val="005C4383"/>
    <w:rsid w:val="005C43CF"/>
    <w:rsid w:val="005C44D6"/>
    <w:rsid w:val="005C450C"/>
    <w:rsid w:val="005C45D2"/>
    <w:rsid w:val="005C4601"/>
    <w:rsid w:val="005C4636"/>
    <w:rsid w:val="005C4668"/>
    <w:rsid w:val="005C468E"/>
    <w:rsid w:val="005C46D1"/>
    <w:rsid w:val="005C46D2"/>
    <w:rsid w:val="005C4727"/>
    <w:rsid w:val="005C48F0"/>
    <w:rsid w:val="005C493C"/>
    <w:rsid w:val="005C4AD7"/>
    <w:rsid w:val="005C4AE2"/>
    <w:rsid w:val="005C4B60"/>
    <w:rsid w:val="005C4BDA"/>
    <w:rsid w:val="005C4C79"/>
    <w:rsid w:val="005C4C83"/>
    <w:rsid w:val="005C4C9C"/>
    <w:rsid w:val="005C4CE2"/>
    <w:rsid w:val="005C4DC3"/>
    <w:rsid w:val="005C4DF9"/>
    <w:rsid w:val="005C4F01"/>
    <w:rsid w:val="005C4F3E"/>
    <w:rsid w:val="005C4F7A"/>
    <w:rsid w:val="005C504D"/>
    <w:rsid w:val="005C53B5"/>
    <w:rsid w:val="005C540B"/>
    <w:rsid w:val="005C547A"/>
    <w:rsid w:val="005C559D"/>
    <w:rsid w:val="005C55E3"/>
    <w:rsid w:val="005C56E7"/>
    <w:rsid w:val="005C5890"/>
    <w:rsid w:val="005C5935"/>
    <w:rsid w:val="005C5A79"/>
    <w:rsid w:val="005C5AA5"/>
    <w:rsid w:val="005C5AFE"/>
    <w:rsid w:val="005C5B2C"/>
    <w:rsid w:val="005C5D79"/>
    <w:rsid w:val="005C5D8C"/>
    <w:rsid w:val="005C5E2A"/>
    <w:rsid w:val="005C5FF1"/>
    <w:rsid w:val="005C618D"/>
    <w:rsid w:val="005C61BA"/>
    <w:rsid w:val="005C61C7"/>
    <w:rsid w:val="005C6356"/>
    <w:rsid w:val="005C63C9"/>
    <w:rsid w:val="005C649F"/>
    <w:rsid w:val="005C6539"/>
    <w:rsid w:val="005C6584"/>
    <w:rsid w:val="005C67A8"/>
    <w:rsid w:val="005C68C6"/>
    <w:rsid w:val="005C6918"/>
    <w:rsid w:val="005C6987"/>
    <w:rsid w:val="005C69ED"/>
    <w:rsid w:val="005C6A17"/>
    <w:rsid w:val="005C6A3C"/>
    <w:rsid w:val="005C6A5E"/>
    <w:rsid w:val="005C6B07"/>
    <w:rsid w:val="005C6C06"/>
    <w:rsid w:val="005C6C72"/>
    <w:rsid w:val="005C6C9D"/>
    <w:rsid w:val="005C6CED"/>
    <w:rsid w:val="005C6D97"/>
    <w:rsid w:val="005C6E1F"/>
    <w:rsid w:val="005C6E46"/>
    <w:rsid w:val="005C6EBC"/>
    <w:rsid w:val="005C6F47"/>
    <w:rsid w:val="005C6F96"/>
    <w:rsid w:val="005C7053"/>
    <w:rsid w:val="005C705D"/>
    <w:rsid w:val="005C70B9"/>
    <w:rsid w:val="005C7117"/>
    <w:rsid w:val="005C725A"/>
    <w:rsid w:val="005C7390"/>
    <w:rsid w:val="005C73E4"/>
    <w:rsid w:val="005C73ED"/>
    <w:rsid w:val="005C7434"/>
    <w:rsid w:val="005C7477"/>
    <w:rsid w:val="005C74B1"/>
    <w:rsid w:val="005C74D5"/>
    <w:rsid w:val="005C7686"/>
    <w:rsid w:val="005C777B"/>
    <w:rsid w:val="005C777C"/>
    <w:rsid w:val="005C778C"/>
    <w:rsid w:val="005C77B3"/>
    <w:rsid w:val="005C77CA"/>
    <w:rsid w:val="005C77EA"/>
    <w:rsid w:val="005C7894"/>
    <w:rsid w:val="005C78B6"/>
    <w:rsid w:val="005C78DE"/>
    <w:rsid w:val="005C792B"/>
    <w:rsid w:val="005C795E"/>
    <w:rsid w:val="005C796E"/>
    <w:rsid w:val="005C79A0"/>
    <w:rsid w:val="005C7AC4"/>
    <w:rsid w:val="005C7AEF"/>
    <w:rsid w:val="005C7AF4"/>
    <w:rsid w:val="005C7B1F"/>
    <w:rsid w:val="005C7C3B"/>
    <w:rsid w:val="005C7CCD"/>
    <w:rsid w:val="005C7CE5"/>
    <w:rsid w:val="005C7D92"/>
    <w:rsid w:val="005C7DB7"/>
    <w:rsid w:val="005C7DF1"/>
    <w:rsid w:val="005C7E1E"/>
    <w:rsid w:val="005C7E5F"/>
    <w:rsid w:val="005C7F2F"/>
    <w:rsid w:val="005C7FEB"/>
    <w:rsid w:val="005D006B"/>
    <w:rsid w:val="005D00AC"/>
    <w:rsid w:val="005D01A4"/>
    <w:rsid w:val="005D01B5"/>
    <w:rsid w:val="005D0221"/>
    <w:rsid w:val="005D02EB"/>
    <w:rsid w:val="005D02EC"/>
    <w:rsid w:val="005D036F"/>
    <w:rsid w:val="005D0456"/>
    <w:rsid w:val="005D048D"/>
    <w:rsid w:val="005D04BA"/>
    <w:rsid w:val="005D04C1"/>
    <w:rsid w:val="005D0566"/>
    <w:rsid w:val="005D05BC"/>
    <w:rsid w:val="005D066C"/>
    <w:rsid w:val="005D082C"/>
    <w:rsid w:val="005D08DA"/>
    <w:rsid w:val="005D0954"/>
    <w:rsid w:val="005D0992"/>
    <w:rsid w:val="005D0A37"/>
    <w:rsid w:val="005D0A72"/>
    <w:rsid w:val="005D0BA2"/>
    <w:rsid w:val="005D0BE4"/>
    <w:rsid w:val="005D0C6E"/>
    <w:rsid w:val="005D0CBA"/>
    <w:rsid w:val="005D0DBB"/>
    <w:rsid w:val="005D0E2A"/>
    <w:rsid w:val="005D0E2F"/>
    <w:rsid w:val="005D0E6E"/>
    <w:rsid w:val="005D0ED0"/>
    <w:rsid w:val="005D0F36"/>
    <w:rsid w:val="005D0F46"/>
    <w:rsid w:val="005D0F75"/>
    <w:rsid w:val="005D0F85"/>
    <w:rsid w:val="005D0F9A"/>
    <w:rsid w:val="005D0FB1"/>
    <w:rsid w:val="005D1089"/>
    <w:rsid w:val="005D118C"/>
    <w:rsid w:val="005D121D"/>
    <w:rsid w:val="005D12BD"/>
    <w:rsid w:val="005D139D"/>
    <w:rsid w:val="005D14E5"/>
    <w:rsid w:val="005D1539"/>
    <w:rsid w:val="005D1576"/>
    <w:rsid w:val="005D15CA"/>
    <w:rsid w:val="005D1619"/>
    <w:rsid w:val="005D169D"/>
    <w:rsid w:val="005D1903"/>
    <w:rsid w:val="005D1919"/>
    <w:rsid w:val="005D1A18"/>
    <w:rsid w:val="005D1A52"/>
    <w:rsid w:val="005D1AB2"/>
    <w:rsid w:val="005D1AF3"/>
    <w:rsid w:val="005D1B03"/>
    <w:rsid w:val="005D1B2A"/>
    <w:rsid w:val="005D1B51"/>
    <w:rsid w:val="005D1B8D"/>
    <w:rsid w:val="005D1C00"/>
    <w:rsid w:val="005D1C3E"/>
    <w:rsid w:val="005D1C66"/>
    <w:rsid w:val="005D1C9E"/>
    <w:rsid w:val="005D1E7B"/>
    <w:rsid w:val="005D1F61"/>
    <w:rsid w:val="005D1F8A"/>
    <w:rsid w:val="005D1FCE"/>
    <w:rsid w:val="005D2053"/>
    <w:rsid w:val="005D20EB"/>
    <w:rsid w:val="005D20F9"/>
    <w:rsid w:val="005D2156"/>
    <w:rsid w:val="005D218E"/>
    <w:rsid w:val="005D2213"/>
    <w:rsid w:val="005D22E8"/>
    <w:rsid w:val="005D2426"/>
    <w:rsid w:val="005D2448"/>
    <w:rsid w:val="005D2489"/>
    <w:rsid w:val="005D25C6"/>
    <w:rsid w:val="005D268D"/>
    <w:rsid w:val="005D26FB"/>
    <w:rsid w:val="005D270B"/>
    <w:rsid w:val="005D272C"/>
    <w:rsid w:val="005D2731"/>
    <w:rsid w:val="005D275F"/>
    <w:rsid w:val="005D27F2"/>
    <w:rsid w:val="005D2812"/>
    <w:rsid w:val="005D283B"/>
    <w:rsid w:val="005D287F"/>
    <w:rsid w:val="005D28C0"/>
    <w:rsid w:val="005D2933"/>
    <w:rsid w:val="005D2984"/>
    <w:rsid w:val="005D29D8"/>
    <w:rsid w:val="005D29EF"/>
    <w:rsid w:val="005D2A40"/>
    <w:rsid w:val="005D2AA4"/>
    <w:rsid w:val="005D2ADB"/>
    <w:rsid w:val="005D2B04"/>
    <w:rsid w:val="005D2BE2"/>
    <w:rsid w:val="005D2BF0"/>
    <w:rsid w:val="005D2C40"/>
    <w:rsid w:val="005D2C50"/>
    <w:rsid w:val="005D2DC6"/>
    <w:rsid w:val="005D2EB4"/>
    <w:rsid w:val="005D2EC4"/>
    <w:rsid w:val="005D2EF2"/>
    <w:rsid w:val="005D2FE9"/>
    <w:rsid w:val="005D3087"/>
    <w:rsid w:val="005D30E0"/>
    <w:rsid w:val="005D30E6"/>
    <w:rsid w:val="005D3109"/>
    <w:rsid w:val="005D3138"/>
    <w:rsid w:val="005D314C"/>
    <w:rsid w:val="005D3180"/>
    <w:rsid w:val="005D3360"/>
    <w:rsid w:val="005D3377"/>
    <w:rsid w:val="005D3400"/>
    <w:rsid w:val="005D355E"/>
    <w:rsid w:val="005D3635"/>
    <w:rsid w:val="005D3702"/>
    <w:rsid w:val="005D3708"/>
    <w:rsid w:val="005D3833"/>
    <w:rsid w:val="005D38E4"/>
    <w:rsid w:val="005D3963"/>
    <w:rsid w:val="005D39BF"/>
    <w:rsid w:val="005D3A51"/>
    <w:rsid w:val="005D3A9C"/>
    <w:rsid w:val="005D3AA4"/>
    <w:rsid w:val="005D3AA5"/>
    <w:rsid w:val="005D3AB8"/>
    <w:rsid w:val="005D3B04"/>
    <w:rsid w:val="005D3B05"/>
    <w:rsid w:val="005D3B52"/>
    <w:rsid w:val="005D3BF1"/>
    <w:rsid w:val="005D3C37"/>
    <w:rsid w:val="005D3C50"/>
    <w:rsid w:val="005D3C5B"/>
    <w:rsid w:val="005D3C9B"/>
    <w:rsid w:val="005D3CC9"/>
    <w:rsid w:val="005D3D77"/>
    <w:rsid w:val="005D3E8B"/>
    <w:rsid w:val="005D3ECF"/>
    <w:rsid w:val="005D3F5C"/>
    <w:rsid w:val="005D3F78"/>
    <w:rsid w:val="005D3F89"/>
    <w:rsid w:val="005D3F96"/>
    <w:rsid w:val="005D3F9D"/>
    <w:rsid w:val="005D407F"/>
    <w:rsid w:val="005D40FE"/>
    <w:rsid w:val="005D4163"/>
    <w:rsid w:val="005D4256"/>
    <w:rsid w:val="005D42CC"/>
    <w:rsid w:val="005D4495"/>
    <w:rsid w:val="005D44B3"/>
    <w:rsid w:val="005D44FE"/>
    <w:rsid w:val="005D452A"/>
    <w:rsid w:val="005D453A"/>
    <w:rsid w:val="005D4598"/>
    <w:rsid w:val="005D4706"/>
    <w:rsid w:val="005D4732"/>
    <w:rsid w:val="005D4754"/>
    <w:rsid w:val="005D4822"/>
    <w:rsid w:val="005D4840"/>
    <w:rsid w:val="005D488A"/>
    <w:rsid w:val="005D4898"/>
    <w:rsid w:val="005D496C"/>
    <w:rsid w:val="005D4A01"/>
    <w:rsid w:val="005D4BC3"/>
    <w:rsid w:val="005D4BC4"/>
    <w:rsid w:val="005D4BE9"/>
    <w:rsid w:val="005D4BFC"/>
    <w:rsid w:val="005D4D7E"/>
    <w:rsid w:val="005D4EB6"/>
    <w:rsid w:val="005D4FFF"/>
    <w:rsid w:val="005D501A"/>
    <w:rsid w:val="005D51C0"/>
    <w:rsid w:val="005D5208"/>
    <w:rsid w:val="005D522A"/>
    <w:rsid w:val="005D524E"/>
    <w:rsid w:val="005D5260"/>
    <w:rsid w:val="005D52A3"/>
    <w:rsid w:val="005D52FC"/>
    <w:rsid w:val="005D536D"/>
    <w:rsid w:val="005D5379"/>
    <w:rsid w:val="005D539B"/>
    <w:rsid w:val="005D53DC"/>
    <w:rsid w:val="005D560C"/>
    <w:rsid w:val="005D5774"/>
    <w:rsid w:val="005D5851"/>
    <w:rsid w:val="005D587D"/>
    <w:rsid w:val="005D591A"/>
    <w:rsid w:val="005D5934"/>
    <w:rsid w:val="005D593C"/>
    <w:rsid w:val="005D595E"/>
    <w:rsid w:val="005D5988"/>
    <w:rsid w:val="005D5A3C"/>
    <w:rsid w:val="005D5B35"/>
    <w:rsid w:val="005D5B5E"/>
    <w:rsid w:val="005D5C2C"/>
    <w:rsid w:val="005D5C82"/>
    <w:rsid w:val="005D5D77"/>
    <w:rsid w:val="005D5F3D"/>
    <w:rsid w:val="005D5F87"/>
    <w:rsid w:val="005D5F8B"/>
    <w:rsid w:val="005D604C"/>
    <w:rsid w:val="005D62D5"/>
    <w:rsid w:val="005D62F0"/>
    <w:rsid w:val="005D632E"/>
    <w:rsid w:val="005D6332"/>
    <w:rsid w:val="005D633C"/>
    <w:rsid w:val="005D6485"/>
    <w:rsid w:val="005D648C"/>
    <w:rsid w:val="005D64CA"/>
    <w:rsid w:val="005D65C5"/>
    <w:rsid w:val="005D65D0"/>
    <w:rsid w:val="005D65E5"/>
    <w:rsid w:val="005D6644"/>
    <w:rsid w:val="005D66E9"/>
    <w:rsid w:val="005D6815"/>
    <w:rsid w:val="005D6823"/>
    <w:rsid w:val="005D6967"/>
    <w:rsid w:val="005D697C"/>
    <w:rsid w:val="005D69A2"/>
    <w:rsid w:val="005D69E6"/>
    <w:rsid w:val="005D6B19"/>
    <w:rsid w:val="005D6C9D"/>
    <w:rsid w:val="005D6D32"/>
    <w:rsid w:val="005D6D42"/>
    <w:rsid w:val="005D6D6E"/>
    <w:rsid w:val="005D6DF1"/>
    <w:rsid w:val="005D6EC9"/>
    <w:rsid w:val="005D6EFD"/>
    <w:rsid w:val="005D6F5C"/>
    <w:rsid w:val="005D701C"/>
    <w:rsid w:val="005D707E"/>
    <w:rsid w:val="005D70B4"/>
    <w:rsid w:val="005D70FB"/>
    <w:rsid w:val="005D710A"/>
    <w:rsid w:val="005D7142"/>
    <w:rsid w:val="005D7167"/>
    <w:rsid w:val="005D71C1"/>
    <w:rsid w:val="005D71F9"/>
    <w:rsid w:val="005D7253"/>
    <w:rsid w:val="005D72AC"/>
    <w:rsid w:val="005D72C5"/>
    <w:rsid w:val="005D72CE"/>
    <w:rsid w:val="005D74CF"/>
    <w:rsid w:val="005D74D8"/>
    <w:rsid w:val="005D7585"/>
    <w:rsid w:val="005D763B"/>
    <w:rsid w:val="005D768A"/>
    <w:rsid w:val="005D771F"/>
    <w:rsid w:val="005D78D4"/>
    <w:rsid w:val="005D79C4"/>
    <w:rsid w:val="005D7A14"/>
    <w:rsid w:val="005D7A53"/>
    <w:rsid w:val="005D7AAF"/>
    <w:rsid w:val="005D7B0F"/>
    <w:rsid w:val="005D7BAD"/>
    <w:rsid w:val="005D7BC3"/>
    <w:rsid w:val="005D7C79"/>
    <w:rsid w:val="005D7C83"/>
    <w:rsid w:val="005D7D48"/>
    <w:rsid w:val="005D7D68"/>
    <w:rsid w:val="005D7DA3"/>
    <w:rsid w:val="005D7EE0"/>
    <w:rsid w:val="005D7EE6"/>
    <w:rsid w:val="005D7EFA"/>
    <w:rsid w:val="005D7F0D"/>
    <w:rsid w:val="005D7F25"/>
    <w:rsid w:val="005D7F2D"/>
    <w:rsid w:val="005D7F7B"/>
    <w:rsid w:val="005D93B1"/>
    <w:rsid w:val="005E000D"/>
    <w:rsid w:val="005E009E"/>
    <w:rsid w:val="005E00C7"/>
    <w:rsid w:val="005E00F4"/>
    <w:rsid w:val="005E01DB"/>
    <w:rsid w:val="005E024A"/>
    <w:rsid w:val="005E027D"/>
    <w:rsid w:val="005E030E"/>
    <w:rsid w:val="005E0369"/>
    <w:rsid w:val="005E03CB"/>
    <w:rsid w:val="005E03EA"/>
    <w:rsid w:val="005E0420"/>
    <w:rsid w:val="005E04AF"/>
    <w:rsid w:val="005E04FC"/>
    <w:rsid w:val="005E0525"/>
    <w:rsid w:val="005E05F5"/>
    <w:rsid w:val="005E063B"/>
    <w:rsid w:val="005E072A"/>
    <w:rsid w:val="005E075F"/>
    <w:rsid w:val="005E076E"/>
    <w:rsid w:val="005E0849"/>
    <w:rsid w:val="005E086E"/>
    <w:rsid w:val="005E0873"/>
    <w:rsid w:val="005E0881"/>
    <w:rsid w:val="005E08C0"/>
    <w:rsid w:val="005E09AE"/>
    <w:rsid w:val="005E09B0"/>
    <w:rsid w:val="005E0B2B"/>
    <w:rsid w:val="005E0B4F"/>
    <w:rsid w:val="005E0BAB"/>
    <w:rsid w:val="005E0BBA"/>
    <w:rsid w:val="005E0BFF"/>
    <w:rsid w:val="005E0C34"/>
    <w:rsid w:val="005E0CC9"/>
    <w:rsid w:val="005E0D9E"/>
    <w:rsid w:val="005E0E08"/>
    <w:rsid w:val="005E0E60"/>
    <w:rsid w:val="005E0F34"/>
    <w:rsid w:val="005E0F59"/>
    <w:rsid w:val="005E0F68"/>
    <w:rsid w:val="005E0F93"/>
    <w:rsid w:val="005E0F99"/>
    <w:rsid w:val="005E0FB0"/>
    <w:rsid w:val="005E0FC7"/>
    <w:rsid w:val="005E1009"/>
    <w:rsid w:val="005E102A"/>
    <w:rsid w:val="005E105E"/>
    <w:rsid w:val="005E1063"/>
    <w:rsid w:val="005E10D0"/>
    <w:rsid w:val="005E10E4"/>
    <w:rsid w:val="005E1113"/>
    <w:rsid w:val="005E1114"/>
    <w:rsid w:val="005E114F"/>
    <w:rsid w:val="005E1214"/>
    <w:rsid w:val="005E1232"/>
    <w:rsid w:val="005E1248"/>
    <w:rsid w:val="005E1263"/>
    <w:rsid w:val="005E129A"/>
    <w:rsid w:val="005E13A3"/>
    <w:rsid w:val="005E13EF"/>
    <w:rsid w:val="005E1489"/>
    <w:rsid w:val="005E154B"/>
    <w:rsid w:val="005E1551"/>
    <w:rsid w:val="005E15A9"/>
    <w:rsid w:val="005E15AB"/>
    <w:rsid w:val="005E15B5"/>
    <w:rsid w:val="005E15F8"/>
    <w:rsid w:val="005E1688"/>
    <w:rsid w:val="005E16F6"/>
    <w:rsid w:val="005E18C4"/>
    <w:rsid w:val="005E1983"/>
    <w:rsid w:val="005E1A93"/>
    <w:rsid w:val="005E1B0E"/>
    <w:rsid w:val="005E1B56"/>
    <w:rsid w:val="005E1C78"/>
    <w:rsid w:val="005E1EA9"/>
    <w:rsid w:val="005E1F3F"/>
    <w:rsid w:val="005E1F94"/>
    <w:rsid w:val="005E1FB9"/>
    <w:rsid w:val="005E2008"/>
    <w:rsid w:val="005E2098"/>
    <w:rsid w:val="005E20F7"/>
    <w:rsid w:val="005E2189"/>
    <w:rsid w:val="005E2195"/>
    <w:rsid w:val="005E21B0"/>
    <w:rsid w:val="005E21DD"/>
    <w:rsid w:val="005E21EB"/>
    <w:rsid w:val="005E2299"/>
    <w:rsid w:val="005E22C1"/>
    <w:rsid w:val="005E232A"/>
    <w:rsid w:val="005E23D3"/>
    <w:rsid w:val="005E251A"/>
    <w:rsid w:val="005E252E"/>
    <w:rsid w:val="005E257A"/>
    <w:rsid w:val="005E273C"/>
    <w:rsid w:val="005E2741"/>
    <w:rsid w:val="005E2768"/>
    <w:rsid w:val="005E279A"/>
    <w:rsid w:val="005E27F7"/>
    <w:rsid w:val="005E280B"/>
    <w:rsid w:val="005E28F4"/>
    <w:rsid w:val="005E29F4"/>
    <w:rsid w:val="005E2A01"/>
    <w:rsid w:val="005E2A25"/>
    <w:rsid w:val="005E2B0E"/>
    <w:rsid w:val="005E2C17"/>
    <w:rsid w:val="005E2C37"/>
    <w:rsid w:val="005E2CB0"/>
    <w:rsid w:val="005E2DC7"/>
    <w:rsid w:val="005E2DD5"/>
    <w:rsid w:val="005E2DE7"/>
    <w:rsid w:val="005E2E0D"/>
    <w:rsid w:val="005E2E6B"/>
    <w:rsid w:val="005E3047"/>
    <w:rsid w:val="005E304A"/>
    <w:rsid w:val="005E3124"/>
    <w:rsid w:val="005E3147"/>
    <w:rsid w:val="005E3233"/>
    <w:rsid w:val="005E3373"/>
    <w:rsid w:val="005E3429"/>
    <w:rsid w:val="005E3455"/>
    <w:rsid w:val="005E358C"/>
    <w:rsid w:val="005E35A6"/>
    <w:rsid w:val="005E35B9"/>
    <w:rsid w:val="005E36F0"/>
    <w:rsid w:val="005E3708"/>
    <w:rsid w:val="005E372C"/>
    <w:rsid w:val="005E38B3"/>
    <w:rsid w:val="005E38EC"/>
    <w:rsid w:val="005E3A2F"/>
    <w:rsid w:val="005E3B42"/>
    <w:rsid w:val="005E3C1D"/>
    <w:rsid w:val="005E3CAA"/>
    <w:rsid w:val="005E3CAD"/>
    <w:rsid w:val="005E3D71"/>
    <w:rsid w:val="005E3D7D"/>
    <w:rsid w:val="005E3DA4"/>
    <w:rsid w:val="005E3E7D"/>
    <w:rsid w:val="005E3F5B"/>
    <w:rsid w:val="005E3F92"/>
    <w:rsid w:val="005E40F9"/>
    <w:rsid w:val="005E4115"/>
    <w:rsid w:val="005E4127"/>
    <w:rsid w:val="005E4149"/>
    <w:rsid w:val="005E4155"/>
    <w:rsid w:val="005E418B"/>
    <w:rsid w:val="005E4193"/>
    <w:rsid w:val="005E41A6"/>
    <w:rsid w:val="005E4397"/>
    <w:rsid w:val="005E43EC"/>
    <w:rsid w:val="005E441B"/>
    <w:rsid w:val="005E443E"/>
    <w:rsid w:val="005E452A"/>
    <w:rsid w:val="005E4700"/>
    <w:rsid w:val="005E4728"/>
    <w:rsid w:val="005E472F"/>
    <w:rsid w:val="005E4827"/>
    <w:rsid w:val="005E4891"/>
    <w:rsid w:val="005E48B7"/>
    <w:rsid w:val="005E48E6"/>
    <w:rsid w:val="005E48FC"/>
    <w:rsid w:val="005E4A23"/>
    <w:rsid w:val="005E4B82"/>
    <w:rsid w:val="005E4CC1"/>
    <w:rsid w:val="005E4D0C"/>
    <w:rsid w:val="005E4D73"/>
    <w:rsid w:val="005E4D80"/>
    <w:rsid w:val="005E4DA9"/>
    <w:rsid w:val="005E4E11"/>
    <w:rsid w:val="005E4E12"/>
    <w:rsid w:val="005E4E1C"/>
    <w:rsid w:val="005E4E79"/>
    <w:rsid w:val="005E4E85"/>
    <w:rsid w:val="005E4EB3"/>
    <w:rsid w:val="005E4F5D"/>
    <w:rsid w:val="005E4FE3"/>
    <w:rsid w:val="005E5089"/>
    <w:rsid w:val="005E51AA"/>
    <w:rsid w:val="005E51B8"/>
    <w:rsid w:val="005E540C"/>
    <w:rsid w:val="005E5583"/>
    <w:rsid w:val="005E5616"/>
    <w:rsid w:val="005E56B8"/>
    <w:rsid w:val="005E570F"/>
    <w:rsid w:val="005E5770"/>
    <w:rsid w:val="005E577D"/>
    <w:rsid w:val="005E5787"/>
    <w:rsid w:val="005E578B"/>
    <w:rsid w:val="005E57EE"/>
    <w:rsid w:val="005E5808"/>
    <w:rsid w:val="005E5848"/>
    <w:rsid w:val="005E5970"/>
    <w:rsid w:val="005E59ED"/>
    <w:rsid w:val="005E5A3A"/>
    <w:rsid w:val="005E5A66"/>
    <w:rsid w:val="005E5AE9"/>
    <w:rsid w:val="005E5B61"/>
    <w:rsid w:val="005E5C21"/>
    <w:rsid w:val="005E5C63"/>
    <w:rsid w:val="005E5C91"/>
    <w:rsid w:val="005E5D8A"/>
    <w:rsid w:val="005E5DB4"/>
    <w:rsid w:val="005E615F"/>
    <w:rsid w:val="005E61E6"/>
    <w:rsid w:val="005E61EF"/>
    <w:rsid w:val="005E629C"/>
    <w:rsid w:val="005E62B9"/>
    <w:rsid w:val="005E62BB"/>
    <w:rsid w:val="005E62D0"/>
    <w:rsid w:val="005E62D4"/>
    <w:rsid w:val="005E62DC"/>
    <w:rsid w:val="005E62E3"/>
    <w:rsid w:val="005E6338"/>
    <w:rsid w:val="005E63C3"/>
    <w:rsid w:val="005E63C9"/>
    <w:rsid w:val="005E6402"/>
    <w:rsid w:val="005E6411"/>
    <w:rsid w:val="005E6438"/>
    <w:rsid w:val="005E6461"/>
    <w:rsid w:val="005E6529"/>
    <w:rsid w:val="005E654C"/>
    <w:rsid w:val="005E661A"/>
    <w:rsid w:val="005E6625"/>
    <w:rsid w:val="005E6686"/>
    <w:rsid w:val="005E66BA"/>
    <w:rsid w:val="005E6716"/>
    <w:rsid w:val="005E67EE"/>
    <w:rsid w:val="005E67FE"/>
    <w:rsid w:val="005E687D"/>
    <w:rsid w:val="005E68C4"/>
    <w:rsid w:val="005E69F6"/>
    <w:rsid w:val="005E6A52"/>
    <w:rsid w:val="005E6B5F"/>
    <w:rsid w:val="005E6B6C"/>
    <w:rsid w:val="005E6B9C"/>
    <w:rsid w:val="005E6CAF"/>
    <w:rsid w:val="005E6D05"/>
    <w:rsid w:val="005E6EBA"/>
    <w:rsid w:val="005E6EC9"/>
    <w:rsid w:val="005E6EF3"/>
    <w:rsid w:val="005E6F44"/>
    <w:rsid w:val="005E7305"/>
    <w:rsid w:val="005E732E"/>
    <w:rsid w:val="005E7422"/>
    <w:rsid w:val="005E75F5"/>
    <w:rsid w:val="005E7626"/>
    <w:rsid w:val="005E7734"/>
    <w:rsid w:val="005E776E"/>
    <w:rsid w:val="005E77DD"/>
    <w:rsid w:val="005E78D3"/>
    <w:rsid w:val="005E78E4"/>
    <w:rsid w:val="005E7967"/>
    <w:rsid w:val="005E7988"/>
    <w:rsid w:val="005E7AF1"/>
    <w:rsid w:val="005E7C0A"/>
    <w:rsid w:val="005E7C96"/>
    <w:rsid w:val="005E7C9C"/>
    <w:rsid w:val="005E7D52"/>
    <w:rsid w:val="005E7D79"/>
    <w:rsid w:val="005E7D81"/>
    <w:rsid w:val="005E7DF4"/>
    <w:rsid w:val="005E7E4E"/>
    <w:rsid w:val="005E7E7E"/>
    <w:rsid w:val="005E7F0A"/>
    <w:rsid w:val="005F000F"/>
    <w:rsid w:val="005F00F7"/>
    <w:rsid w:val="005F014A"/>
    <w:rsid w:val="005F015D"/>
    <w:rsid w:val="005F0248"/>
    <w:rsid w:val="005F02D5"/>
    <w:rsid w:val="005F046E"/>
    <w:rsid w:val="005F04A0"/>
    <w:rsid w:val="005F05BF"/>
    <w:rsid w:val="005F05FA"/>
    <w:rsid w:val="005F0647"/>
    <w:rsid w:val="005F0669"/>
    <w:rsid w:val="005F06E0"/>
    <w:rsid w:val="005F077B"/>
    <w:rsid w:val="005F07C7"/>
    <w:rsid w:val="005F07F4"/>
    <w:rsid w:val="005F0814"/>
    <w:rsid w:val="005F0857"/>
    <w:rsid w:val="005F08E5"/>
    <w:rsid w:val="005F0964"/>
    <w:rsid w:val="005F09BA"/>
    <w:rsid w:val="005F0A78"/>
    <w:rsid w:val="005F0BA9"/>
    <w:rsid w:val="005F0C00"/>
    <w:rsid w:val="005F0D2F"/>
    <w:rsid w:val="005F0DB0"/>
    <w:rsid w:val="005F0E6D"/>
    <w:rsid w:val="005F0E70"/>
    <w:rsid w:val="005F0E79"/>
    <w:rsid w:val="005F0EBE"/>
    <w:rsid w:val="005F0F21"/>
    <w:rsid w:val="005F0F4A"/>
    <w:rsid w:val="005F0FEA"/>
    <w:rsid w:val="005F0FF6"/>
    <w:rsid w:val="005F102C"/>
    <w:rsid w:val="005F1068"/>
    <w:rsid w:val="005F106A"/>
    <w:rsid w:val="005F10B0"/>
    <w:rsid w:val="005F1151"/>
    <w:rsid w:val="005F129A"/>
    <w:rsid w:val="005F12A7"/>
    <w:rsid w:val="005F12C3"/>
    <w:rsid w:val="005F136D"/>
    <w:rsid w:val="005F13E9"/>
    <w:rsid w:val="005F14FB"/>
    <w:rsid w:val="005F153A"/>
    <w:rsid w:val="005F15FE"/>
    <w:rsid w:val="005F16C9"/>
    <w:rsid w:val="005F16EC"/>
    <w:rsid w:val="005F173F"/>
    <w:rsid w:val="005F177A"/>
    <w:rsid w:val="005F17AB"/>
    <w:rsid w:val="005F187F"/>
    <w:rsid w:val="005F1896"/>
    <w:rsid w:val="005F1986"/>
    <w:rsid w:val="005F1988"/>
    <w:rsid w:val="005F1A3A"/>
    <w:rsid w:val="005F1AFC"/>
    <w:rsid w:val="005F1C34"/>
    <w:rsid w:val="005F1C4F"/>
    <w:rsid w:val="005F1E4E"/>
    <w:rsid w:val="005F1E5A"/>
    <w:rsid w:val="005F2084"/>
    <w:rsid w:val="005F2115"/>
    <w:rsid w:val="005F2224"/>
    <w:rsid w:val="005F2258"/>
    <w:rsid w:val="005F2318"/>
    <w:rsid w:val="005F2377"/>
    <w:rsid w:val="005F23F1"/>
    <w:rsid w:val="005F23F3"/>
    <w:rsid w:val="005F2416"/>
    <w:rsid w:val="005F243A"/>
    <w:rsid w:val="005F249B"/>
    <w:rsid w:val="005F24C3"/>
    <w:rsid w:val="005F2527"/>
    <w:rsid w:val="005F259D"/>
    <w:rsid w:val="005F2635"/>
    <w:rsid w:val="005F26C5"/>
    <w:rsid w:val="005F26D3"/>
    <w:rsid w:val="005F278B"/>
    <w:rsid w:val="005F27C7"/>
    <w:rsid w:val="005F27D9"/>
    <w:rsid w:val="005F2907"/>
    <w:rsid w:val="005F2969"/>
    <w:rsid w:val="005F296B"/>
    <w:rsid w:val="005F298D"/>
    <w:rsid w:val="005F2B2B"/>
    <w:rsid w:val="005F2C16"/>
    <w:rsid w:val="005F2C60"/>
    <w:rsid w:val="005F2C91"/>
    <w:rsid w:val="005F2CAE"/>
    <w:rsid w:val="005F2CBB"/>
    <w:rsid w:val="005F2CE1"/>
    <w:rsid w:val="005F2D18"/>
    <w:rsid w:val="005F2D36"/>
    <w:rsid w:val="005F2D76"/>
    <w:rsid w:val="005F2DB9"/>
    <w:rsid w:val="005F2EE0"/>
    <w:rsid w:val="005F2F0A"/>
    <w:rsid w:val="005F2F22"/>
    <w:rsid w:val="005F2FA8"/>
    <w:rsid w:val="005F2FFD"/>
    <w:rsid w:val="005F301C"/>
    <w:rsid w:val="005F30BE"/>
    <w:rsid w:val="005F321C"/>
    <w:rsid w:val="005F3238"/>
    <w:rsid w:val="005F325A"/>
    <w:rsid w:val="005F33E4"/>
    <w:rsid w:val="005F343C"/>
    <w:rsid w:val="005F3491"/>
    <w:rsid w:val="005F34A5"/>
    <w:rsid w:val="005F34E9"/>
    <w:rsid w:val="005F3588"/>
    <w:rsid w:val="005F35FD"/>
    <w:rsid w:val="005F361B"/>
    <w:rsid w:val="005F36C2"/>
    <w:rsid w:val="005F3760"/>
    <w:rsid w:val="005F3779"/>
    <w:rsid w:val="005F37A1"/>
    <w:rsid w:val="005F3807"/>
    <w:rsid w:val="005F384A"/>
    <w:rsid w:val="005F38CA"/>
    <w:rsid w:val="005F3934"/>
    <w:rsid w:val="005F396C"/>
    <w:rsid w:val="005F3A14"/>
    <w:rsid w:val="005F3A1E"/>
    <w:rsid w:val="005F3A2B"/>
    <w:rsid w:val="005F3A4F"/>
    <w:rsid w:val="005F3A68"/>
    <w:rsid w:val="005F3A72"/>
    <w:rsid w:val="005F3B30"/>
    <w:rsid w:val="005F3C28"/>
    <w:rsid w:val="005F3C97"/>
    <w:rsid w:val="005F3CAC"/>
    <w:rsid w:val="005F3D32"/>
    <w:rsid w:val="005F3D63"/>
    <w:rsid w:val="005F3E13"/>
    <w:rsid w:val="005F3E67"/>
    <w:rsid w:val="005F3E6C"/>
    <w:rsid w:val="005F3EAC"/>
    <w:rsid w:val="005F4066"/>
    <w:rsid w:val="005F40A7"/>
    <w:rsid w:val="005F4276"/>
    <w:rsid w:val="005F42B8"/>
    <w:rsid w:val="005F42E3"/>
    <w:rsid w:val="005F4310"/>
    <w:rsid w:val="005F43AA"/>
    <w:rsid w:val="005F43E9"/>
    <w:rsid w:val="005F4480"/>
    <w:rsid w:val="005F44FA"/>
    <w:rsid w:val="005F450A"/>
    <w:rsid w:val="005F45B6"/>
    <w:rsid w:val="005F45DC"/>
    <w:rsid w:val="005F4662"/>
    <w:rsid w:val="005F470B"/>
    <w:rsid w:val="005F4714"/>
    <w:rsid w:val="005F4771"/>
    <w:rsid w:val="005F48B3"/>
    <w:rsid w:val="005F48BB"/>
    <w:rsid w:val="005F497B"/>
    <w:rsid w:val="005F4990"/>
    <w:rsid w:val="005F4AAA"/>
    <w:rsid w:val="005F4AB3"/>
    <w:rsid w:val="005F4B20"/>
    <w:rsid w:val="005F4B85"/>
    <w:rsid w:val="005F4D8F"/>
    <w:rsid w:val="005F4DED"/>
    <w:rsid w:val="005F4E06"/>
    <w:rsid w:val="005F4E35"/>
    <w:rsid w:val="005F4E4E"/>
    <w:rsid w:val="005F4EB8"/>
    <w:rsid w:val="005F4F13"/>
    <w:rsid w:val="005F4F20"/>
    <w:rsid w:val="005F4F81"/>
    <w:rsid w:val="005F4F82"/>
    <w:rsid w:val="005F4FF4"/>
    <w:rsid w:val="005F4FFC"/>
    <w:rsid w:val="005F50DD"/>
    <w:rsid w:val="005F50FC"/>
    <w:rsid w:val="005F510D"/>
    <w:rsid w:val="005F5119"/>
    <w:rsid w:val="005F516A"/>
    <w:rsid w:val="005F5173"/>
    <w:rsid w:val="005F51BE"/>
    <w:rsid w:val="005F5212"/>
    <w:rsid w:val="005F5243"/>
    <w:rsid w:val="005F52C2"/>
    <w:rsid w:val="005F535C"/>
    <w:rsid w:val="005F5386"/>
    <w:rsid w:val="005F5465"/>
    <w:rsid w:val="005F54F8"/>
    <w:rsid w:val="005F5530"/>
    <w:rsid w:val="005F558A"/>
    <w:rsid w:val="005F55D0"/>
    <w:rsid w:val="005F56D6"/>
    <w:rsid w:val="005F575F"/>
    <w:rsid w:val="005F584F"/>
    <w:rsid w:val="005F5882"/>
    <w:rsid w:val="005F5A09"/>
    <w:rsid w:val="005F5A90"/>
    <w:rsid w:val="005F5AB0"/>
    <w:rsid w:val="005F5AE4"/>
    <w:rsid w:val="005F5BCE"/>
    <w:rsid w:val="005F5CAA"/>
    <w:rsid w:val="005F5CE8"/>
    <w:rsid w:val="005F5CF2"/>
    <w:rsid w:val="005F5D4E"/>
    <w:rsid w:val="005F5D77"/>
    <w:rsid w:val="005F5D7B"/>
    <w:rsid w:val="005F5D9D"/>
    <w:rsid w:val="005F5ECB"/>
    <w:rsid w:val="005F5FA6"/>
    <w:rsid w:val="005F5FDF"/>
    <w:rsid w:val="005F600C"/>
    <w:rsid w:val="005F608E"/>
    <w:rsid w:val="005F60D7"/>
    <w:rsid w:val="005F613D"/>
    <w:rsid w:val="005F6149"/>
    <w:rsid w:val="005F6166"/>
    <w:rsid w:val="005F6189"/>
    <w:rsid w:val="005F61D0"/>
    <w:rsid w:val="005F623C"/>
    <w:rsid w:val="005F6253"/>
    <w:rsid w:val="005F627A"/>
    <w:rsid w:val="005F6318"/>
    <w:rsid w:val="005F6330"/>
    <w:rsid w:val="005F6366"/>
    <w:rsid w:val="005F63F2"/>
    <w:rsid w:val="005F6436"/>
    <w:rsid w:val="005F6588"/>
    <w:rsid w:val="005F6592"/>
    <w:rsid w:val="005F66DC"/>
    <w:rsid w:val="005F67F9"/>
    <w:rsid w:val="005F6846"/>
    <w:rsid w:val="005F6852"/>
    <w:rsid w:val="005F6860"/>
    <w:rsid w:val="005F68DB"/>
    <w:rsid w:val="005F69DD"/>
    <w:rsid w:val="005F6A3E"/>
    <w:rsid w:val="005F6B09"/>
    <w:rsid w:val="005F6B51"/>
    <w:rsid w:val="005F6BFF"/>
    <w:rsid w:val="005F6C81"/>
    <w:rsid w:val="005F6CD7"/>
    <w:rsid w:val="005F6D05"/>
    <w:rsid w:val="005F6D40"/>
    <w:rsid w:val="005F6D79"/>
    <w:rsid w:val="005F6D82"/>
    <w:rsid w:val="005F6DDD"/>
    <w:rsid w:val="005F6EA0"/>
    <w:rsid w:val="005F6EBD"/>
    <w:rsid w:val="005F6F8B"/>
    <w:rsid w:val="005F7082"/>
    <w:rsid w:val="005F7088"/>
    <w:rsid w:val="005F712D"/>
    <w:rsid w:val="005F71D5"/>
    <w:rsid w:val="005F725D"/>
    <w:rsid w:val="005F7347"/>
    <w:rsid w:val="005F7374"/>
    <w:rsid w:val="005F7414"/>
    <w:rsid w:val="005F7511"/>
    <w:rsid w:val="005F759B"/>
    <w:rsid w:val="005F75E5"/>
    <w:rsid w:val="005F7612"/>
    <w:rsid w:val="005F76B5"/>
    <w:rsid w:val="005F77F9"/>
    <w:rsid w:val="005F782B"/>
    <w:rsid w:val="005F78BD"/>
    <w:rsid w:val="005F7953"/>
    <w:rsid w:val="005F7978"/>
    <w:rsid w:val="005F79A7"/>
    <w:rsid w:val="005F7A29"/>
    <w:rsid w:val="005F7A86"/>
    <w:rsid w:val="005F7B8D"/>
    <w:rsid w:val="005F7BC6"/>
    <w:rsid w:val="005F7C94"/>
    <w:rsid w:val="005F7D31"/>
    <w:rsid w:val="005F7D5B"/>
    <w:rsid w:val="005F7DAC"/>
    <w:rsid w:val="005F7E01"/>
    <w:rsid w:val="005F7E9F"/>
    <w:rsid w:val="005F7EE5"/>
    <w:rsid w:val="0060000A"/>
    <w:rsid w:val="006000C8"/>
    <w:rsid w:val="00600140"/>
    <w:rsid w:val="0060020F"/>
    <w:rsid w:val="00600233"/>
    <w:rsid w:val="006003B8"/>
    <w:rsid w:val="0060046D"/>
    <w:rsid w:val="006004E0"/>
    <w:rsid w:val="00600752"/>
    <w:rsid w:val="00600850"/>
    <w:rsid w:val="00600920"/>
    <w:rsid w:val="00600A92"/>
    <w:rsid w:val="00600B97"/>
    <w:rsid w:val="00600BA4"/>
    <w:rsid w:val="00600BCB"/>
    <w:rsid w:val="00600C2C"/>
    <w:rsid w:val="00600CAA"/>
    <w:rsid w:val="00600CFE"/>
    <w:rsid w:val="00600D06"/>
    <w:rsid w:val="00600D0A"/>
    <w:rsid w:val="00600D2D"/>
    <w:rsid w:val="00600D6B"/>
    <w:rsid w:val="00600E1D"/>
    <w:rsid w:val="00600E73"/>
    <w:rsid w:val="00601041"/>
    <w:rsid w:val="00601089"/>
    <w:rsid w:val="0060109B"/>
    <w:rsid w:val="006010AB"/>
    <w:rsid w:val="006010C1"/>
    <w:rsid w:val="00601150"/>
    <w:rsid w:val="0060118E"/>
    <w:rsid w:val="0060121B"/>
    <w:rsid w:val="006012ED"/>
    <w:rsid w:val="00601385"/>
    <w:rsid w:val="0060143C"/>
    <w:rsid w:val="0060147A"/>
    <w:rsid w:val="006014BE"/>
    <w:rsid w:val="0060156B"/>
    <w:rsid w:val="0060158C"/>
    <w:rsid w:val="006016F0"/>
    <w:rsid w:val="0060191C"/>
    <w:rsid w:val="0060194D"/>
    <w:rsid w:val="00601A3E"/>
    <w:rsid w:val="00601AD9"/>
    <w:rsid w:val="00601BBF"/>
    <w:rsid w:val="00601C62"/>
    <w:rsid w:val="00601CE1"/>
    <w:rsid w:val="00601E84"/>
    <w:rsid w:val="00601ECA"/>
    <w:rsid w:val="00601FBF"/>
    <w:rsid w:val="00601FC2"/>
    <w:rsid w:val="00601FEA"/>
    <w:rsid w:val="006021F2"/>
    <w:rsid w:val="006021FA"/>
    <w:rsid w:val="00602211"/>
    <w:rsid w:val="006022C8"/>
    <w:rsid w:val="006023CD"/>
    <w:rsid w:val="006023F8"/>
    <w:rsid w:val="00602413"/>
    <w:rsid w:val="0060247F"/>
    <w:rsid w:val="006024A3"/>
    <w:rsid w:val="00602527"/>
    <w:rsid w:val="00602530"/>
    <w:rsid w:val="00602579"/>
    <w:rsid w:val="00602858"/>
    <w:rsid w:val="0060292A"/>
    <w:rsid w:val="0060292D"/>
    <w:rsid w:val="006029D9"/>
    <w:rsid w:val="00602AC3"/>
    <w:rsid w:val="00602AED"/>
    <w:rsid w:val="00602D72"/>
    <w:rsid w:val="00602DCD"/>
    <w:rsid w:val="00602E3E"/>
    <w:rsid w:val="00602E87"/>
    <w:rsid w:val="00602FAD"/>
    <w:rsid w:val="00602FE2"/>
    <w:rsid w:val="00603033"/>
    <w:rsid w:val="0060304A"/>
    <w:rsid w:val="006031B4"/>
    <w:rsid w:val="00603250"/>
    <w:rsid w:val="00603285"/>
    <w:rsid w:val="00603477"/>
    <w:rsid w:val="006034D0"/>
    <w:rsid w:val="0060365C"/>
    <w:rsid w:val="006036CE"/>
    <w:rsid w:val="006036D2"/>
    <w:rsid w:val="0060373C"/>
    <w:rsid w:val="00603791"/>
    <w:rsid w:val="0060383A"/>
    <w:rsid w:val="0060383E"/>
    <w:rsid w:val="006038A9"/>
    <w:rsid w:val="006039D3"/>
    <w:rsid w:val="00603A75"/>
    <w:rsid w:val="00603A99"/>
    <w:rsid w:val="00603B17"/>
    <w:rsid w:val="00603BB2"/>
    <w:rsid w:val="00603C8B"/>
    <w:rsid w:val="00603CC0"/>
    <w:rsid w:val="00603D41"/>
    <w:rsid w:val="00603D57"/>
    <w:rsid w:val="00603DD7"/>
    <w:rsid w:val="00603EC6"/>
    <w:rsid w:val="00603F9F"/>
    <w:rsid w:val="00603FEB"/>
    <w:rsid w:val="00603FF3"/>
    <w:rsid w:val="00604003"/>
    <w:rsid w:val="006040A6"/>
    <w:rsid w:val="006040C3"/>
    <w:rsid w:val="00604126"/>
    <w:rsid w:val="006041EB"/>
    <w:rsid w:val="00604245"/>
    <w:rsid w:val="006042C8"/>
    <w:rsid w:val="0060438A"/>
    <w:rsid w:val="0060438B"/>
    <w:rsid w:val="006043C4"/>
    <w:rsid w:val="006044BD"/>
    <w:rsid w:val="006046D2"/>
    <w:rsid w:val="006046DF"/>
    <w:rsid w:val="006046EC"/>
    <w:rsid w:val="00604767"/>
    <w:rsid w:val="00604912"/>
    <w:rsid w:val="0060492A"/>
    <w:rsid w:val="00604932"/>
    <w:rsid w:val="00604A16"/>
    <w:rsid w:val="00604A55"/>
    <w:rsid w:val="00604A98"/>
    <w:rsid w:val="00604AD4"/>
    <w:rsid w:val="00604B37"/>
    <w:rsid w:val="00604B65"/>
    <w:rsid w:val="00604C00"/>
    <w:rsid w:val="00604C5C"/>
    <w:rsid w:val="00604CA3"/>
    <w:rsid w:val="00604DBC"/>
    <w:rsid w:val="00604E9D"/>
    <w:rsid w:val="00604EC5"/>
    <w:rsid w:val="00604FD4"/>
    <w:rsid w:val="00604FEE"/>
    <w:rsid w:val="00605096"/>
    <w:rsid w:val="00605119"/>
    <w:rsid w:val="00605187"/>
    <w:rsid w:val="00605244"/>
    <w:rsid w:val="00605266"/>
    <w:rsid w:val="00605272"/>
    <w:rsid w:val="006052C5"/>
    <w:rsid w:val="006052F6"/>
    <w:rsid w:val="006053C1"/>
    <w:rsid w:val="006053D5"/>
    <w:rsid w:val="00605474"/>
    <w:rsid w:val="006054B1"/>
    <w:rsid w:val="006054BC"/>
    <w:rsid w:val="006054D8"/>
    <w:rsid w:val="0060556B"/>
    <w:rsid w:val="006055B5"/>
    <w:rsid w:val="006055C4"/>
    <w:rsid w:val="00605616"/>
    <w:rsid w:val="00605633"/>
    <w:rsid w:val="00605679"/>
    <w:rsid w:val="00605697"/>
    <w:rsid w:val="0060578A"/>
    <w:rsid w:val="006057B4"/>
    <w:rsid w:val="006057B7"/>
    <w:rsid w:val="006057B9"/>
    <w:rsid w:val="0060584C"/>
    <w:rsid w:val="0060595A"/>
    <w:rsid w:val="00605974"/>
    <w:rsid w:val="00605AEC"/>
    <w:rsid w:val="00605B77"/>
    <w:rsid w:val="00605C42"/>
    <w:rsid w:val="00605D02"/>
    <w:rsid w:val="00605D14"/>
    <w:rsid w:val="00605F00"/>
    <w:rsid w:val="00605F28"/>
    <w:rsid w:val="00605F66"/>
    <w:rsid w:val="00605F68"/>
    <w:rsid w:val="00606054"/>
    <w:rsid w:val="0060606B"/>
    <w:rsid w:val="00606088"/>
    <w:rsid w:val="0060609C"/>
    <w:rsid w:val="006060FF"/>
    <w:rsid w:val="00606147"/>
    <w:rsid w:val="006061AB"/>
    <w:rsid w:val="006061F7"/>
    <w:rsid w:val="00606213"/>
    <w:rsid w:val="006062D5"/>
    <w:rsid w:val="00606314"/>
    <w:rsid w:val="00606443"/>
    <w:rsid w:val="0060648E"/>
    <w:rsid w:val="00606504"/>
    <w:rsid w:val="006065AB"/>
    <w:rsid w:val="00606606"/>
    <w:rsid w:val="0060671A"/>
    <w:rsid w:val="006067D7"/>
    <w:rsid w:val="00606818"/>
    <w:rsid w:val="00606893"/>
    <w:rsid w:val="006068DB"/>
    <w:rsid w:val="00606922"/>
    <w:rsid w:val="0060696D"/>
    <w:rsid w:val="00606986"/>
    <w:rsid w:val="00606A4D"/>
    <w:rsid w:val="00606ABA"/>
    <w:rsid w:val="00606B89"/>
    <w:rsid w:val="00606BF6"/>
    <w:rsid w:val="00606C79"/>
    <w:rsid w:val="00606CF4"/>
    <w:rsid w:val="00606D6B"/>
    <w:rsid w:val="00606DB0"/>
    <w:rsid w:val="00606E37"/>
    <w:rsid w:val="00606F10"/>
    <w:rsid w:val="00606F25"/>
    <w:rsid w:val="00607039"/>
    <w:rsid w:val="00607065"/>
    <w:rsid w:val="0060714B"/>
    <w:rsid w:val="006073BF"/>
    <w:rsid w:val="00607538"/>
    <w:rsid w:val="006075D7"/>
    <w:rsid w:val="006075F4"/>
    <w:rsid w:val="00607605"/>
    <w:rsid w:val="00607606"/>
    <w:rsid w:val="00607759"/>
    <w:rsid w:val="006078CE"/>
    <w:rsid w:val="00607901"/>
    <w:rsid w:val="00607917"/>
    <w:rsid w:val="00607B32"/>
    <w:rsid w:val="00607C75"/>
    <w:rsid w:val="00607D17"/>
    <w:rsid w:val="00607D38"/>
    <w:rsid w:val="00607DC3"/>
    <w:rsid w:val="00607F43"/>
    <w:rsid w:val="00607F65"/>
    <w:rsid w:val="00607F96"/>
    <w:rsid w:val="0061009A"/>
    <w:rsid w:val="006100F5"/>
    <w:rsid w:val="006101AC"/>
    <w:rsid w:val="006101DC"/>
    <w:rsid w:val="0061025D"/>
    <w:rsid w:val="006102AD"/>
    <w:rsid w:val="006102FC"/>
    <w:rsid w:val="0061030A"/>
    <w:rsid w:val="00610330"/>
    <w:rsid w:val="006103C6"/>
    <w:rsid w:val="0061058B"/>
    <w:rsid w:val="0061064C"/>
    <w:rsid w:val="0061066F"/>
    <w:rsid w:val="006106F2"/>
    <w:rsid w:val="0061073D"/>
    <w:rsid w:val="00610786"/>
    <w:rsid w:val="00610833"/>
    <w:rsid w:val="00610882"/>
    <w:rsid w:val="006108AF"/>
    <w:rsid w:val="006109AF"/>
    <w:rsid w:val="00610CA8"/>
    <w:rsid w:val="00610CAA"/>
    <w:rsid w:val="00610CDB"/>
    <w:rsid w:val="00610CDF"/>
    <w:rsid w:val="00610D41"/>
    <w:rsid w:val="00610E3A"/>
    <w:rsid w:val="00610E9F"/>
    <w:rsid w:val="00610EAE"/>
    <w:rsid w:val="00610F23"/>
    <w:rsid w:val="00611028"/>
    <w:rsid w:val="00611034"/>
    <w:rsid w:val="0061103D"/>
    <w:rsid w:val="0061108A"/>
    <w:rsid w:val="00611091"/>
    <w:rsid w:val="0061109B"/>
    <w:rsid w:val="006110B3"/>
    <w:rsid w:val="006110DB"/>
    <w:rsid w:val="00611136"/>
    <w:rsid w:val="00611212"/>
    <w:rsid w:val="00611239"/>
    <w:rsid w:val="00611381"/>
    <w:rsid w:val="00611383"/>
    <w:rsid w:val="006114CC"/>
    <w:rsid w:val="00611525"/>
    <w:rsid w:val="00611581"/>
    <w:rsid w:val="0061167D"/>
    <w:rsid w:val="00611773"/>
    <w:rsid w:val="0061185C"/>
    <w:rsid w:val="0061186C"/>
    <w:rsid w:val="00611872"/>
    <w:rsid w:val="006119DE"/>
    <w:rsid w:val="00611A17"/>
    <w:rsid w:val="00611A89"/>
    <w:rsid w:val="00611B4A"/>
    <w:rsid w:val="00611C86"/>
    <w:rsid w:val="00611CBF"/>
    <w:rsid w:val="00611D5B"/>
    <w:rsid w:val="00611DE2"/>
    <w:rsid w:val="00611E0B"/>
    <w:rsid w:val="00611ECF"/>
    <w:rsid w:val="00611F6C"/>
    <w:rsid w:val="00612240"/>
    <w:rsid w:val="006122D7"/>
    <w:rsid w:val="006122F1"/>
    <w:rsid w:val="00612337"/>
    <w:rsid w:val="00612341"/>
    <w:rsid w:val="00612345"/>
    <w:rsid w:val="0061238D"/>
    <w:rsid w:val="0061238E"/>
    <w:rsid w:val="006123AD"/>
    <w:rsid w:val="0061240C"/>
    <w:rsid w:val="00612537"/>
    <w:rsid w:val="0061257D"/>
    <w:rsid w:val="006125EC"/>
    <w:rsid w:val="0061261C"/>
    <w:rsid w:val="00612626"/>
    <w:rsid w:val="00612691"/>
    <w:rsid w:val="00612781"/>
    <w:rsid w:val="006127C9"/>
    <w:rsid w:val="006127D0"/>
    <w:rsid w:val="006127D4"/>
    <w:rsid w:val="006127F3"/>
    <w:rsid w:val="006128DA"/>
    <w:rsid w:val="006129CE"/>
    <w:rsid w:val="006129D7"/>
    <w:rsid w:val="00612AE3"/>
    <w:rsid w:val="00612BB5"/>
    <w:rsid w:val="00612E0C"/>
    <w:rsid w:val="00612EC8"/>
    <w:rsid w:val="00612ED9"/>
    <w:rsid w:val="00612EDE"/>
    <w:rsid w:val="00613037"/>
    <w:rsid w:val="0061306B"/>
    <w:rsid w:val="0061309C"/>
    <w:rsid w:val="006130C1"/>
    <w:rsid w:val="0061312A"/>
    <w:rsid w:val="006131F3"/>
    <w:rsid w:val="00613264"/>
    <w:rsid w:val="006132A3"/>
    <w:rsid w:val="006132A7"/>
    <w:rsid w:val="006132AC"/>
    <w:rsid w:val="006132CB"/>
    <w:rsid w:val="006132E6"/>
    <w:rsid w:val="0061332A"/>
    <w:rsid w:val="00613330"/>
    <w:rsid w:val="0061333D"/>
    <w:rsid w:val="00613372"/>
    <w:rsid w:val="0061342E"/>
    <w:rsid w:val="00613553"/>
    <w:rsid w:val="006135C9"/>
    <w:rsid w:val="006135F0"/>
    <w:rsid w:val="006136A2"/>
    <w:rsid w:val="006136E6"/>
    <w:rsid w:val="006136E9"/>
    <w:rsid w:val="00613729"/>
    <w:rsid w:val="00613782"/>
    <w:rsid w:val="0061378E"/>
    <w:rsid w:val="0061399C"/>
    <w:rsid w:val="006139CA"/>
    <w:rsid w:val="006139D0"/>
    <w:rsid w:val="00613A6F"/>
    <w:rsid w:val="00613AA6"/>
    <w:rsid w:val="00613ACF"/>
    <w:rsid w:val="00613BF1"/>
    <w:rsid w:val="00613D3F"/>
    <w:rsid w:val="00613DBC"/>
    <w:rsid w:val="00613DCE"/>
    <w:rsid w:val="00613E11"/>
    <w:rsid w:val="00613E23"/>
    <w:rsid w:val="00613E69"/>
    <w:rsid w:val="00613ECF"/>
    <w:rsid w:val="00613FB8"/>
    <w:rsid w:val="00614057"/>
    <w:rsid w:val="0061409F"/>
    <w:rsid w:val="00614227"/>
    <w:rsid w:val="00614240"/>
    <w:rsid w:val="006143B0"/>
    <w:rsid w:val="006143F3"/>
    <w:rsid w:val="006144C6"/>
    <w:rsid w:val="00614580"/>
    <w:rsid w:val="006145A2"/>
    <w:rsid w:val="0061471E"/>
    <w:rsid w:val="0061479C"/>
    <w:rsid w:val="006147B9"/>
    <w:rsid w:val="006147FC"/>
    <w:rsid w:val="00614863"/>
    <w:rsid w:val="006148AF"/>
    <w:rsid w:val="006148CA"/>
    <w:rsid w:val="006148EA"/>
    <w:rsid w:val="00614ACD"/>
    <w:rsid w:val="00614B98"/>
    <w:rsid w:val="00614D00"/>
    <w:rsid w:val="00614D08"/>
    <w:rsid w:val="00614D64"/>
    <w:rsid w:val="00614DDC"/>
    <w:rsid w:val="00614F10"/>
    <w:rsid w:val="00614F40"/>
    <w:rsid w:val="00614FB2"/>
    <w:rsid w:val="006150FE"/>
    <w:rsid w:val="00615162"/>
    <w:rsid w:val="00615165"/>
    <w:rsid w:val="0061516A"/>
    <w:rsid w:val="0061517E"/>
    <w:rsid w:val="00615195"/>
    <w:rsid w:val="00615280"/>
    <w:rsid w:val="006152A6"/>
    <w:rsid w:val="006152FB"/>
    <w:rsid w:val="00615426"/>
    <w:rsid w:val="00615523"/>
    <w:rsid w:val="006155A0"/>
    <w:rsid w:val="006155C1"/>
    <w:rsid w:val="0061565A"/>
    <w:rsid w:val="006156A6"/>
    <w:rsid w:val="006156D0"/>
    <w:rsid w:val="0061573B"/>
    <w:rsid w:val="00615765"/>
    <w:rsid w:val="006157C4"/>
    <w:rsid w:val="006157F3"/>
    <w:rsid w:val="006157F8"/>
    <w:rsid w:val="00615838"/>
    <w:rsid w:val="00615842"/>
    <w:rsid w:val="006158AA"/>
    <w:rsid w:val="006158C0"/>
    <w:rsid w:val="006158C1"/>
    <w:rsid w:val="00615938"/>
    <w:rsid w:val="006159ED"/>
    <w:rsid w:val="00615A28"/>
    <w:rsid w:val="00615A98"/>
    <w:rsid w:val="00615AD6"/>
    <w:rsid w:val="00615B79"/>
    <w:rsid w:val="00615BDC"/>
    <w:rsid w:val="00615BEC"/>
    <w:rsid w:val="00615D2F"/>
    <w:rsid w:val="00615DE7"/>
    <w:rsid w:val="00615DF3"/>
    <w:rsid w:val="00615F58"/>
    <w:rsid w:val="00615FA7"/>
    <w:rsid w:val="0061602F"/>
    <w:rsid w:val="0061603B"/>
    <w:rsid w:val="00616089"/>
    <w:rsid w:val="006160A2"/>
    <w:rsid w:val="006160C0"/>
    <w:rsid w:val="006160D1"/>
    <w:rsid w:val="0061619C"/>
    <w:rsid w:val="0061623C"/>
    <w:rsid w:val="00616317"/>
    <w:rsid w:val="0061635B"/>
    <w:rsid w:val="0061638F"/>
    <w:rsid w:val="0061639A"/>
    <w:rsid w:val="0061647F"/>
    <w:rsid w:val="00616518"/>
    <w:rsid w:val="006165A6"/>
    <w:rsid w:val="00616615"/>
    <w:rsid w:val="00616686"/>
    <w:rsid w:val="006168DE"/>
    <w:rsid w:val="00616A4D"/>
    <w:rsid w:val="00616A7A"/>
    <w:rsid w:val="00616AB4"/>
    <w:rsid w:val="00616C19"/>
    <w:rsid w:val="00616C52"/>
    <w:rsid w:val="00616C66"/>
    <w:rsid w:val="00616CA3"/>
    <w:rsid w:val="00616D14"/>
    <w:rsid w:val="00616D6D"/>
    <w:rsid w:val="00616DBB"/>
    <w:rsid w:val="00616DDB"/>
    <w:rsid w:val="00616DF7"/>
    <w:rsid w:val="00616E99"/>
    <w:rsid w:val="00616F3E"/>
    <w:rsid w:val="00616F53"/>
    <w:rsid w:val="0061705E"/>
    <w:rsid w:val="00617062"/>
    <w:rsid w:val="00617174"/>
    <w:rsid w:val="00617194"/>
    <w:rsid w:val="006171AC"/>
    <w:rsid w:val="006171D7"/>
    <w:rsid w:val="006171F1"/>
    <w:rsid w:val="0061722B"/>
    <w:rsid w:val="00617397"/>
    <w:rsid w:val="006173D8"/>
    <w:rsid w:val="006173E2"/>
    <w:rsid w:val="00617481"/>
    <w:rsid w:val="006174A0"/>
    <w:rsid w:val="006174AE"/>
    <w:rsid w:val="006174FB"/>
    <w:rsid w:val="00617500"/>
    <w:rsid w:val="006175D6"/>
    <w:rsid w:val="006175DE"/>
    <w:rsid w:val="00617695"/>
    <w:rsid w:val="00617708"/>
    <w:rsid w:val="0061784C"/>
    <w:rsid w:val="00617855"/>
    <w:rsid w:val="00617873"/>
    <w:rsid w:val="006178F4"/>
    <w:rsid w:val="0061791E"/>
    <w:rsid w:val="00617950"/>
    <w:rsid w:val="00617C35"/>
    <w:rsid w:val="00617D37"/>
    <w:rsid w:val="00617D66"/>
    <w:rsid w:val="00617EAB"/>
    <w:rsid w:val="00617EB5"/>
    <w:rsid w:val="00617F05"/>
    <w:rsid w:val="00617F46"/>
    <w:rsid w:val="00617FA8"/>
    <w:rsid w:val="0062007F"/>
    <w:rsid w:val="0062017A"/>
    <w:rsid w:val="006202B8"/>
    <w:rsid w:val="0062034F"/>
    <w:rsid w:val="00620363"/>
    <w:rsid w:val="00620406"/>
    <w:rsid w:val="006204BF"/>
    <w:rsid w:val="006204FC"/>
    <w:rsid w:val="00620526"/>
    <w:rsid w:val="0062069E"/>
    <w:rsid w:val="006206CF"/>
    <w:rsid w:val="00620792"/>
    <w:rsid w:val="0062080F"/>
    <w:rsid w:val="00620841"/>
    <w:rsid w:val="006209B9"/>
    <w:rsid w:val="00620AAF"/>
    <w:rsid w:val="00620ADD"/>
    <w:rsid w:val="00620AFB"/>
    <w:rsid w:val="00620B43"/>
    <w:rsid w:val="00620CF0"/>
    <w:rsid w:val="00620D09"/>
    <w:rsid w:val="00620D58"/>
    <w:rsid w:val="00620DC6"/>
    <w:rsid w:val="00620E19"/>
    <w:rsid w:val="00620E7B"/>
    <w:rsid w:val="00620EF6"/>
    <w:rsid w:val="00620F2A"/>
    <w:rsid w:val="00620FE0"/>
    <w:rsid w:val="0062133C"/>
    <w:rsid w:val="00621367"/>
    <w:rsid w:val="006214C1"/>
    <w:rsid w:val="006214FD"/>
    <w:rsid w:val="0062155F"/>
    <w:rsid w:val="006215F0"/>
    <w:rsid w:val="0062161A"/>
    <w:rsid w:val="00621647"/>
    <w:rsid w:val="006216E8"/>
    <w:rsid w:val="006216FC"/>
    <w:rsid w:val="0062181B"/>
    <w:rsid w:val="0062186D"/>
    <w:rsid w:val="006218AB"/>
    <w:rsid w:val="006219DB"/>
    <w:rsid w:val="006219E9"/>
    <w:rsid w:val="006219F8"/>
    <w:rsid w:val="00621A20"/>
    <w:rsid w:val="00621A2F"/>
    <w:rsid w:val="00621B41"/>
    <w:rsid w:val="00621B56"/>
    <w:rsid w:val="00621B62"/>
    <w:rsid w:val="00621C1C"/>
    <w:rsid w:val="00621C76"/>
    <w:rsid w:val="00621C8C"/>
    <w:rsid w:val="00621D43"/>
    <w:rsid w:val="00621E45"/>
    <w:rsid w:val="00621ED1"/>
    <w:rsid w:val="00621F21"/>
    <w:rsid w:val="00621F8C"/>
    <w:rsid w:val="00621F9C"/>
    <w:rsid w:val="006220F6"/>
    <w:rsid w:val="0062225C"/>
    <w:rsid w:val="00622391"/>
    <w:rsid w:val="0062245B"/>
    <w:rsid w:val="006224B0"/>
    <w:rsid w:val="006224C0"/>
    <w:rsid w:val="00622705"/>
    <w:rsid w:val="006227A3"/>
    <w:rsid w:val="006227F4"/>
    <w:rsid w:val="00622846"/>
    <w:rsid w:val="006228C3"/>
    <w:rsid w:val="006228DB"/>
    <w:rsid w:val="00622980"/>
    <w:rsid w:val="00622AE8"/>
    <w:rsid w:val="00622B06"/>
    <w:rsid w:val="00622B3B"/>
    <w:rsid w:val="00622B41"/>
    <w:rsid w:val="00622B7B"/>
    <w:rsid w:val="00622BA4"/>
    <w:rsid w:val="00622BA7"/>
    <w:rsid w:val="00622BBA"/>
    <w:rsid w:val="00622C54"/>
    <w:rsid w:val="00622CFF"/>
    <w:rsid w:val="00622E29"/>
    <w:rsid w:val="00622E9F"/>
    <w:rsid w:val="006230A3"/>
    <w:rsid w:val="00623214"/>
    <w:rsid w:val="00623295"/>
    <w:rsid w:val="006232F8"/>
    <w:rsid w:val="00623326"/>
    <w:rsid w:val="006233FB"/>
    <w:rsid w:val="0062348E"/>
    <w:rsid w:val="0062349E"/>
    <w:rsid w:val="006234B7"/>
    <w:rsid w:val="0062353B"/>
    <w:rsid w:val="00623568"/>
    <w:rsid w:val="00623570"/>
    <w:rsid w:val="0062358D"/>
    <w:rsid w:val="006235AA"/>
    <w:rsid w:val="00623632"/>
    <w:rsid w:val="00623636"/>
    <w:rsid w:val="00623723"/>
    <w:rsid w:val="0062376E"/>
    <w:rsid w:val="006237E0"/>
    <w:rsid w:val="0062385F"/>
    <w:rsid w:val="0062390C"/>
    <w:rsid w:val="00623B6E"/>
    <w:rsid w:val="00623BB7"/>
    <w:rsid w:val="00623C31"/>
    <w:rsid w:val="00623D20"/>
    <w:rsid w:val="00623D8C"/>
    <w:rsid w:val="00623DB2"/>
    <w:rsid w:val="00623E13"/>
    <w:rsid w:val="00623F3C"/>
    <w:rsid w:val="00623F45"/>
    <w:rsid w:val="00623F66"/>
    <w:rsid w:val="00623F7B"/>
    <w:rsid w:val="00623FB3"/>
    <w:rsid w:val="0062400B"/>
    <w:rsid w:val="00624021"/>
    <w:rsid w:val="006240B2"/>
    <w:rsid w:val="006240B9"/>
    <w:rsid w:val="006240C2"/>
    <w:rsid w:val="006240C4"/>
    <w:rsid w:val="006240EA"/>
    <w:rsid w:val="00624108"/>
    <w:rsid w:val="0062425A"/>
    <w:rsid w:val="00624335"/>
    <w:rsid w:val="00624344"/>
    <w:rsid w:val="0062434B"/>
    <w:rsid w:val="0062443D"/>
    <w:rsid w:val="006245B8"/>
    <w:rsid w:val="006245CE"/>
    <w:rsid w:val="0062465B"/>
    <w:rsid w:val="00624671"/>
    <w:rsid w:val="006246BA"/>
    <w:rsid w:val="0062472B"/>
    <w:rsid w:val="0062476F"/>
    <w:rsid w:val="006247D0"/>
    <w:rsid w:val="006248A9"/>
    <w:rsid w:val="006248E3"/>
    <w:rsid w:val="0062490F"/>
    <w:rsid w:val="00624981"/>
    <w:rsid w:val="00624AAF"/>
    <w:rsid w:val="00624AB0"/>
    <w:rsid w:val="00624AFA"/>
    <w:rsid w:val="00624B63"/>
    <w:rsid w:val="00624C2B"/>
    <w:rsid w:val="00624C2C"/>
    <w:rsid w:val="00624C60"/>
    <w:rsid w:val="00624C6D"/>
    <w:rsid w:val="00624CAD"/>
    <w:rsid w:val="00624DB7"/>
    <w:rsid w:val="00624DEE"/>
    <w:rsid w:val="00624E4F"/>
    <w:rsid w:val="00624EEF"/>
    <w:rsid w:val="00624FEE"/>
    <w:rsid w:val="00625023"/>
    <w:rsid w:val="0062502E"/>
    <w:rsid w:val="0062505C"/>
    <w:rsid w:val="00625076"/>
    <w:rsid w:val="006250B8"/>
    <w:rsid w:val="0062510D"/>
    <w:rsid w:val="006251B3"/>
    <w:rsid w:val="006252AF"/>
    <w:rsid w:val="006253EE"/>
    <w:rsid w:val="006254C4"/>
    <w:rsid w:val="00625569"/>
    <w:rsid w:val="00625650"/>
    <w:rsid w:val="0062574B"/>
    <w:rsid w:val="0062580F"/>
    <w:rsid w:val="00625851"/>
    <w:rsid w:val="00625927"/>
    <w:rsid w:val="006259C4"/>
    <w:rsid w:val="00625A03"/>
    <w:rsid w:val="00625A3C"/>
    <w:rsid w:val="00625A53"/>
    <w:rsid w:val="00625A56"/>
    <w:rsid w:val="00625ADB"/>
    <w:rsid w:val="00625B71"/>
    <w:rsid w:val="00625C0D"/>
    <w:rsid w:val="00625C1B"/>
    <w:rsid w:val="00625CE5"/>
    <w:rsid w:val="00625E39"/>
    <w:rsid w:val="00625E71"/>
    <w:rsid w:val="00625EB6"/>
    <w:rsid w:val="00625EC4"/>
    <w:rsid w:val="00625EDE"/>
    <w:rsid w:val="00625F66"/>
    <w:rsid w:val="00625FB9"/>
    <w:rsid w:val="00626111"/>
    <w:rsid w:val="0062613F"/>
    <w:rsid w:val="00626145"/>
    <w:rsid w:val="00626183"/>
    <w:rsid w:val="006261FE"/>
    <w:rsid w:val="0062620A"/>
    <w:rsid w:val="0062622C"/>
    <w:rsid w:val="00626252"/>
    <w:rsid w:val="00626288"/>
    <w:rsid w:val="00626612"/>
    <w:rsid w:val="006266E7"/>
    <w:rsid w:val="00626709"/>
    <w:rsid w:val="006267D9"/>
    <w:rsid w:val="00626834"/>
    <w:rsid w:val="006268BC"/>
    <w:rsid w:val="006268DB"/>
    <w:rsid w:val="0062694F"/>
    <w:rsid w:val="00626958"/>
    <w:rsid w:val="00626A5A"/>
    <w:rsid w:val="00626AB7"/>
    <w:rsid w:val="00626AEE"/>
    <w:rsid w:val="00626B4D"/>
    <w:rsid w:val="00626C70"/>
    <w:rsid w:val="00626CA6"/>
    <w:rsid w:val="00626CC4"/>
    <w:rsid w:val="00626CD2"/>
    <w:rsid w:val="00626D7A"/>
    <w:rsid w:val="00626ECC"/>
    <w:rsid w:val="00626F25"/>
    <w:rsid w:val="00626F3B"/>
    <w:rsid w:val="006270D7"/>
    <w:rsid w:val="00627167"/>
    <w:rsid w:val="0062729D"/>
    <w:rsid w:val="00627503"/>
    <w:rsid w:val="0062751F"/>
    <w:rsid w:val="0062759F"/>
    <w:rsid w:val="006275CF"/>
    <w:rsid w:val="0062760E"/>
    <w:rsid w:val="0062763C"/>
    <w:rsid w:val="00627758"/>
    <w:rsid w:val="00627807"/>
    <w:rsid w:val="00627814"/>
    <w:rsid w:val="006278F0"/>
    <w:rsid w:val="0062797F"/>
    <w:rsid w:val="00627A22"/>
    <w:rsid w:val="00627B0D"/>
    <w:rsid w:val="00627CC2"/>
    <w:rsid w:val="00627DCB"/>
    <w:rsid w:val="00627DE4"/>
    <w:rsid w:val="00627F13"/>
    <w:rsid w:val="00627F4B"/>
    <w:rsid w:val="00627FE1"/>
    <w:rsid w:val="006300B1"/>
    <w:rsid w:val="00630145"/>
    <w:rsid w:val="0063019D"/>
    <w:rsid w:val="006301C9"/>
    <w:rsid w:val="00630267"/>
    <w:rsid w:val="006302E7"/>
    <w:rsid w:val="006302F8"/>
    <w:rsid w:val="0063042A"/>
    <w:rsid w:val="00630449"/>
    <w:rsid w:val="00630480"/>
    <w:rsid w:val="006304C2"/>
    <w:rsid w:val="00630578"/>
    <w:rsid w:val="006305A5"/>
    <w:rsid w:val="0063061C"/>
    <w:rsid w:val="00630641"/>
    <w:rsid w:val="006306B2"/>
    <w:rsid w:val="006306DD"/>
    <w:rsid w:val="00630714"/>
    <w:rsid w:val="006307A5"/>
    <w:rsid w:val="006307C9"/>
    <w:rsid w:val="0063081A"/>
    <w:rsid w:val="00630884"/>
    <w:rsid w:val="00630940"/>
    <w:rsid w:val="00630968"/>
    <w:rsid w:val="006309C2"/>
    <w:rsid w:val="00630B17"/>
    <w:rsid w:val="00630B1A"/>
    <w:rsid w:val="00630B69"/>
    <w:rsid w:val="00630BC0"/>
    <w:rsid w:val="00630BC3"/>
    <w:rsid w:val="00630BD1"/>
    <w:rsid w:val="00630BED"/>
    <w:rsid w:val="00630C8C"/>
    <w:rsid w:val="00630CF6"/>
    <w:rsid w:val="00630DA7"/>
    <w:rsid w:val="00630E05"/>
    <w:rsid w:val="00630E53"/>
    <w:rsid w:val="00630ED6"/>
    <w:rsid w:val="00630EDF"/>
    <w:rsid w:val="00630FF1"/>
    <w:rsid w:val="006310F4"/>
    <w:rsid w:val="00631120"/>
    <w:rsid w:val="00631121"/>
    <w:rsid w:val="00631167"/>
    <w:rsid w:val="00631267"/>
    <w:rsid w:val="00631372"/>
    <w:rsid w:val="00631472"/>
    <w:rsid w:val="00631593"/>
    <w:rsid w:val="006315A3"/>
    <w:rsid w:val="006315B7"/>
    <w:rsid w:val="006316C2"/>
    <w:rsid w:val="006317F1"/>
    <w:rsid w:val="006317FC"/>
    <w:rsid w:val="00631872"/>
    <w:rsid w:val="0063189F"/>
    <w:rsid w:val="00631937"/>
    <w:rsid w:val="0063196C"/>
    <w:rsid w:val="0063199A"/>
    <w:rsid w:val="00631AF0"/>
    <w:rsid w:val="00631B0B"/>
    <w:rsid w:val="00631B39"/>
    <w:rsid w:val="00631BAC"/>
    <w:rsid w:val="00631BD8"/>
    <w:rsid w:val="00631CEB"/>
    <w:rsid w:val="00631DB8"/>
    <w:rsid w:val="00631E00"/>
    <w:rsid w:val="00631EFE"/>
    <w:rsid w:val="00631EFF"/>
    <w:rsid w:val="00631FFC"/>
    <w:rsid w:val="00632018"/>
    <w:rsid w:val="0063210B"/>
    <w:rsid w:val="006321A7"/>
    <w:rsid w:val="00632253"/>
    <w:rsid w:val="00632369"/>
    <w:rsid w:val="006323D4"/>
    <w:rsid w:val="00632403"/>
    <w:rsid w:val="006324C1"/>
    <w:rsid w:val="006324F0"/>
    <w:rsid w:val="0063251D"/>
    <w:rsid w:val="00632553"/>
    <w:rsid w:val="006326C1"/>
    <w:rsid w:val="00632798"/>
    <w:rsid w:val="00632993"/>
    <w:rsid w:val="006329D6"/>
    <w:rsid w:val="006329F6"/>
    <w:rsid w:val="00632A4B"/>
    <w:rsid w:val="00632B1C"/>
    <w:rsid w:val="00632B52"/>
    <w:rsid w:val="00632B82"/>
    <w:rsid w:val="00632B94"/>
    <w:rsid w:val="00632D6A"/>
    <w:rsid w:val="00632D79"/>
    <w:rsid w:val="00632E6F"/>
    <w:rsid w:val="00632EB9"/>
    <w:rsid w:val="00632ECA"/>
    <w:rsid w:val="00632F51"/>
    <w:rsid w:val="00633000"/>
    <w:rsid w:val="00633044"/>
    <w:rsid w:val="00633163"/>
    <w:rsid w:val="00633228"/>
    <w:rsid w:val="0063323A"/>
    <w:rsid w:val="00633260"/>
    <w:rsid w:val="00633295"/>
    <w:rsid w:val="006332C2"/>
    <w:rsid w:val="006333EE"/>
    <w:rsid w:val="00633419"/>
    <w:rsid w:val="0063344B"/>
    <w:rsid w:val="00633573"/>
    <w:rsid w:val="00633574"/>
    <w:rsid w:val="006335BD"/>
    <w:rsid w:val="006337B3"/>
    <w:rsid w:val="006337B5"/>
    <w:rsid w:val="006339D2"/>
    <w:rsid w:val="006339F7"/>
    <w:rsid w:val="00633A06"/>
    <w:rsid w:val="00633A79"/>
    <w:rsid w:val="00633A9C"/>
    <w:rsid w:val="00633AB3"/>
    <w:rsid w:val="00633B25"/>
    <w:rsid w:val="00633BE7"/>
    <w:rsid w:val="00633C04"/>
    <w:rsid w:val="00633D09"/>
    <w:rsid w:val="00633D64"/>
    <w:rsid w:val="00633DA0"/>
    <w:rsid w:val="00633DD2"/>
    <w:rsid w:val="00633DD8"/>
    <w:rsid w:val="00633DFA"/>
    <w:rsid w:val="00633E2F"/>
    <w:rsid w:val="00633EB9"/>
    <w:rsid w:val="00633EDA"/>
    <w:rsid w:val="00633EEE"/>
    <w:rsid w:val="00634045"/>
    <w:rsid w:val="006340A4"/>
    <w:rsid w:val="00634102"/>
    <w:rsid w:val="00634151"/>
    <w:rsid w:val="00634199"/>
    <w:rsid w:val="00634290"/>
    <w:rsid w:val="006342FA"/>
    <w:rsid w:val="00634371"/>
    <w:rsid w:val="006343A2"/>
    <w:rsid w:val="006343DC"/>
    <w:rsid w:val="00634403"/>
    <w:rsid w:val="00634449"/>
    <w:rsid w:val="0063444E"/>
    <w:rsid w:val="00634458"/>
    <w:rsid w:val="006345C3"/>
    <w:rsid w:val="00634645"/>
    <w:rsid w:val="00634650"/>
    <w:rsid w:val="0063465A"/>
    <w:rsid w:val="00634775"/>
    <w:rsid w:val="00634817"/>
    <w:rsid w:val="00634826"/>
    <w:rsid w:val="006348A4"/>
    <w:rsid w:val="006348A7"/>
    <w:rsid w:val="00634984"/>
    <w:rsid w:val="00634B0A"/>
    <w:rsid w:val="00634B5A"/>
    <w:rsid w:val="00634B62"/>
    <w:rsid w:val="00634BB3"/>
    <w:rsid w:val="00634C0D"/>
    <w:rsid w:val="00634C40"/>
    <w:rsid w:val="00634C70"/>
    <w:rsid w:val="00634D14"/>
    <w:rsid w:val="00634D43"/>
    <w:rsid w:val="00634DDF"/>
    <w:rsid w:val="00634E02"/>
    <w:rsid w:val="00634EA1"/>
    <w:rsid w:val="00634ECE"/>
    <w:rsid w:val="00634EDD"/>
    <w:rsid w:val="00634FCC"/>
    <w:rsid w:val="00634FD4"/>
    <w:rsid w:val="0063509A"/>
    <w:rsid w:val="00635182"/>
    <w:rsid w:val="006353BF"/>
    <w:rsid w:val="006353E4"/>
    <w:rsid w:val="00635405"/>
    <w:rsid w:val="00635471"/>
    <w:rsid w:val="0063552F"/>
    <w:rsid w:val="00635553"/>
    <w:rsid w:val="0063555F"/>
    <w:rsid w:val="00635584"/>
    <w:rsid w:val="00635671"/>
    <w:rsid w:val="0063567E"/>
    <w:rsid w:val="0063577C"/>
    <w:rsid w:val="0063589E"/>
    <w:rsid w:val="00635959"/>
    <w:rsid w:val="006359D9"/>
    <w:rsid w:val="00635A63"/>
    <w:rsid w:val="00635A87"/>
    <w:rsid w:val="00635A8A"/>
    <w:rsid w:val="00635AD2"/>
    <w:rsid w:val="00635B4E"/>
    <w:rsid w:val="00635B69"/>
    <w:rsid w:val="00635BA1"/>
    <w:rsid w:val="00635BB2"/>
    <w:rsid w:val="00635C93"/>
    <w:rsid w:val="00635CF1"/>
    <w:rsid w:val="00635DE5"/>
    <w:rsid w:val="00635E51"/>
    <w:rsid w:val="00635EAB"/>
    <w:rsid w:val="00635EBA"/>
    <w:rsid w:val="00635F7A"/>
    <w:rsid w:val="00635FD3"/>
    <w:rsid w:val="00636054"/>
    <w:rsid w:val="006360C3"/>
    <w:rsid w:val="006360ED"/>
    <w:rsid w:val="00636115"/>
    <w:rsid w:val="006361A5"/>
    <w:rsid w:val="006361CD"/>
    <w:rsid w:val="006361E0"/>
    <w:rsid w:val="00636366"/>
    <w:rsid w:val="0063642E"/>
    <w:rsid w:val="00636591"/>
    <w:rsid w:val="00636694"/>
    <w:rsid w:val="006367AB"/>
    <w:rsid w:val="006367FD"/>
    <w:rsid w:val="00636826"/>
    <w:rsid w:val="00636883"/>
    <w:rsid w:val="0063690A"/>
    <w:rsid w:val="0063699A"/>
    <w:rsid w:val="00636A36"/>
    <w:rsid w:val="00636A45"/>
    <w:rsid w:val="00636A51"/>
    <w:rsid w:val="00636B61"/>
    <w:rsid w:val="00636BDE"/>
    <w:rsid w:val="00636C9B"/>
    <w:rsid w:val="00636CA0"/>
    <w:rsid w:val="00636CA4"/>
    <w:rsid w:val="00636D73"/>
    <w:rsid w:val="00636FDC"/>
    <w:rsid w:val="00636FE3"/>
    <w:rsid w:val="00637047"/>
    <w:rsid w:val="0063705A"/>
    <w:rsid w:val="006370B7"/>
    <w:rsid w:val="00637131"/>
    <w:rsid w:val="006371F1"/>
    <w:rsid w:val="00637206"/>
    <w:rsid w:val="0063726C"/>
    <w:rsid w:val="006372DB"/>
    <w:rsid w:val="006372F2"/>
    <w:rsid w:val="0063742B"/>
    <w:rsid w:val="00637438"/>
    <w:rsid w:val="006374AC"/>
    <w:rsid w:val="006374B1"/>
    <w:rsid w:val="00637589"/>
    <w:rsid w:val="006375AC"/>
    <w:rsid w:val="0063777B"/>
    <w:rsid w:val="00637791"/>
    <w:rsid w:val="006377D8"/>
    <w:rsid w:val="00637839"/>
    <w:rsid w:val="0063792C"/>
    <w:rsid w:val="00637AAC"/>
    <w:rsid w:val="00637AFB"/>
    <w:rsid w:val="00637B13"/>
    <w:rsid w:val="00637D04"/>
    <w:rsid w:val="00637F70"/>
    <w:rsid w:val="0064001E"/>
    <w:rsid w:val="0064006B"/>
    <w:rsid w:val="00640077"/>
    <w:rsid w:val="006400B4"/>
    <w:rsid w:val="006400FF"/>
    <w:rsid w:val="00640133"/>
    <w:rsid w:val="0064018A"/>
    <w:rsid w:val="0064043F"/>
    <w:rsid w:val="00640622"/>
    <w:rsid w:val="006406B3"/>
    <w:rsid w:val="006406D2"/>
    <w:rsid w:val="00640767"/>
    <w:rsid w:val="00640893"/>
    <w:rsid w:val="00640899"/>
    <w:rsid w:val="00640917"/>
    <w:rsid w:val="0064091B"/>
    <w:rsid w:val="0064092D"/>
    <w:rsid w:val="00640971"/>
    <w:rsid w:val="00640A1B"/>
    <w:rsid w:val="00640AA4"/>
    <w:rsid w:val="00640AFC"/>
    <w:rsid w:val="00640B72"/>
    <w:rsid w:val="00640B95"/>
    <w:rsid w:val="00640C44"/>
    <w:rsid w:val="00640C6F"/>
    <w:rsid w:val="00640D02"/>
    <w:rsid w:val="00640D82"/>
    <w:rsid w:val="00640DB4"/>
    <w:rsid w:val="00640F27"/>
    <w:rsid w:val="0064100E"/>
    <w:rsid w:val="00641013"/>
    <w:rsid w:val="00641031"/>
    <w:rsid w:val="0064107F"/>
    <w:rsid w:val="00641084"/>
    <w:rsid w:val="006410DA"/>
    <w:rsid w:val="006410EF"/>
    <w:rsid w:val="00641136"/>
    <w:rsid w:val="00641168"/>
    <w:rsid w:val="006411BB"/>
    <w:rsid w:val="00641262"/>
    <w:rsid w:val="006413BC"/>
    <w:rsid w:val="00641419"/>
    <w:rsid w:val="0064145C"/>
    <w:rsid w:val="0064146E"/>
    <w:rsid w:val="0064161F"/>
    <w:rsid w:val="006416BE"/>
    <w:rsid w:val="0064184D"/>
    <w:rsid w:val="00641878"/>
    <w:rsid w:val="00641886"/>
    <w:rsid w:val="00641A37"/>
    <w:rsid w:val="00641A5B"/>
    <w:rsid w:val="00641AB3"/>
    <w:rsid w:val="00641AB6"/>
    <w:rsid w:val="00641AEA"/>
    <w:rsid w:val="00641B67"/>
    <w:rsid w:val="00641BDF"/>
    <w:rsid w:val="00641C21"/>
    <w:rsid w:val="00641D09"/>
    <w:rsid w:val="00641D5B"/>
    <w:rsid w:val="00641DE7"/>
    <w:rsid w:val="00641E9B"/>
    <w:rsid w:val="00641F9B"/>
    <w:rsid w:val="00642188"/>
    <w:rsid w:val="006421F1"/>
    <w:rsid w:val="006422EB"/>
    <w:rsid w:val="00642380"/>
    <w:rsid w:val="006423CB"/>
    <w:rsid w:val="006423CD"/>
    <w:rsid w:val="0064245E"/>
    <w:rsid w:val="006424AD"/>
    <w:rsid w:val="00642610"/>
    <w:rsid w:val="00642658"/>
    <w:rsid w:val="006426A3"/>
    <w:rsid w:val="006426B9"/>
    <w:rsid w:val="00642750"/>
    <w:rsid w:val="00642811"/>
    <w:rsid w:val="006428B6"/>
    <w:rsid w:val="0064292A"/>
    <w:rsid w:val="0064294C"/>
    <w:rsid w:val="00642A0C"/>
    <w:rsid w:val="00642A2F"/>
    <w:rsid w:val="00642A3C"/>
    <w:rsid w:val="00642B09"/>
    <w:rsid w:val="00642BA9"/>
    <w:rsid w:val="00642C54"/>
    <w:rsid w:val="00642DBC"/>
    <w:rsid w:val="00643054"/>
    <w:rsid w:val="0064308A"/>
    <w:rsid w:val="006430E2"/>
    <w:rsid w:val="0064311C"/>
    <w:rsid w:val="00643188"/>
    <w:rsid w:val="00643190"/>
    <w:rsid w:val="0064322F"/>
    <w:rsid w:val="00643284"/>
    <w:rsid w:val="006432D8"/>
    <w:rsid w:val="00643356"/>
    <w:rsid w:val="006433B4"/>
    <w:rsid w:val="00643496"/>
    <w:rsid w:val="00643518"/>
    <w:rsid w:val="0064352A"/>
    <w:rsid w:val="00643598"/>
    <w:rsid w:val="006435A8"/>
    <w:rsid w:val="006435C2"/>
    <w:rsid w:val="0064379B"/>
    <w:rsid w:val="006437AD"/>
    <w:rsid w:val="006437B3"/>
    <w:rsid w:val="006437B9"/>
    <w:rsid w:val="006437EB"/>
    <w:rsid w:val="0064387E"/>
    <w:rsid w:val="00643893"/>
    <w:rsid w:val="006439C4"/>
    <w:rsid w:val="006439E2"/>
    <w:rsid w:val="00643A39"/>
    <w:rsid w:val="00643A5E"/>
    <w:rsid w:val="00643B01"/>
    <w:rsid w:val="00643B04"/>
    <w:rsid w:val="00643B5B"/>
    <w:rsid w:val="00643D01"/>
    <w:rsid w:val="00643D99"/>
    <w:rsid w:val="00643E5E"/>
    <w:rsid w:val="00643F19"/>
    <w:rsid w:val="00643F93"/>
    <w:rsid w:val="00643FB0"/>
    <w:rsid w:val="00644014"/>
    <w:rsid w:val="0064406E"/>
    <w:rsid w:val="006441A8"/>
    <w:rsid w:val="006441B8"/>
    <w:rsid w:val="006441D8"/>
    <w:rsid w:val="00644232"/>
    <w:rsid w:val="00644272"/>
    <w:rsid w:val="00644374"/>
    <w:rsid w:val="0064447A"/>
    <w:rsid w:val="00644553"/>
    <w:rsid w:val="0064465A"/>
    <w:rsid w:val="0064466E"/>
    <w:rsid w:val="00644684"/>
    <w:rsid w:val="00644699"/>
    <w:rsid w:val="00644743"/>
    <w:rsid w:val="0064474D"/>
    <w:rsid w:val="006448C8"/>
    <w:rsid w:val="00644968"/>
    <w:rsid w:val="0064499C"/>
    <w:rsid w:val="006449B7"/>
    <w:rsid w:val="00644A19"/>
    <w:rsid w:val="00644A3E"/>
    <w:rsid w:val="00644B32"/>
    <w:rsid w:val="00644B42"/>
    <w:rsid w:val="00644BEB"/>
    <w:rsid w:val="00644BFF"/>
    <w:rsid w:val="00644C4A"/>
    <w:rsid w:val="00644E85"/>
    <w:rsid w:val="00644E8C"/>
    <w:rsid w:val="00644EBE"/>
    <w:rsid w:val="00644FF2"/>
    <w:rsid w:val="0064500A"/>
    <w:rsid w:val="00645156"/>
    <w:rsid w:val="006451B8"/>
    <w:rsid w:val="00645246"/>
    <w:rsid w:val="006452A0"/>
    <w:rsid w:val="00645302"/>
    <w:rsid w:val="00645448"/>
    <w:rsid w:val="00645486"/>
    <w:rsid w:val="006454DF"/>
    <w:rsid w:val="006455B0"/>
    <w:rsid w:val="006455ED"/>
    <w:rsid w:val="00645601"/>
    <w:rsid w:val="00645660"/>
    <w:rsid w:val="006457E7"/>
    <w:rsid w:val="0064584D"/>
    <w:rsid w:val="006458C4"/>
    <w:rsid w:val="00645940"/>
    <w:rsid w:val="0064597A"/>
    <w:rsid w:val="00645AAB"/>
    <w:rsid w:val="00645C41"/>
    <w:rsid w:val="00645CB4"/>
    <w:rsid w:val="00645CF6"/>
    <w:rsid w:val="00645D47"/>
    <w:rsid w:val="00645D79"/>
    <w:rsid w:val="00645DCC"/>
    <w:rsid w:val="00645E47"/>
    <w:rsid w:val="00645F13"/>
    <w:rsid w:val="00645F89"/>
    <w:rsid w:val="006460B5"/>
    <w:rsid w:val="00646117"/>
    <w:rsid w:val="006461D3"/>
    <w:rsid w:val="006462BA"/>
    <w:rsid w:val="006462DC"/>
    <w:rsid w:val="00646315"/>
    <w:rsid w:val="006463F1"/>
    <w:rsid w:val="00646584"/>
    <w:rsid w:val="00646685"/>
    <w:rsid w:val="006466E7"/>
    <w:rsid w:val="00646706"/>
    <w:rsid w:val="00646709"/>
    <w:rsid w:val="0064679C"/>
    <w:rsid w:val="00646876"/>
    <w:rsid w:val="00646887"/>
    <w:rsid w:val="006468A4"/>
    <w:rsid w:val="006468C3"/>
    <w:rsid w:val="006468CD"/>
    <w:rsid w:val="00646940"/>
    <w:rsid w:val="00646970"/>
    <w:rsid w:val="00646985"/>
    <w:rsid w:val="006469A0"/>
    <w:rsid w:val="00646A50"/>
    <w:rsid w:val="00646B14"/>
    <w:rsid w:val="00646BC3"/>
    <w:rsid w:val="00646C23"/>
    <w:rsid w:val="00646CF7"/>
    <w:rsid w:val="00646DA6"/>
    <w:rsid w:val="00646EAF"/>
    <w:rsid w:val="00646FF3"/>
    <w:rsid w:val="00647137"/>
    <w:rsid w:val="0064714B"/>
    <w:rsid w:val="0064715F"/>
    <w:rsid w:val="0064723E"/>
    <w:rsid w:val="006472AF"/>
    <w:rsid w:val="006472B2"/>
    <w:rsid w:val="006472BF"/>
    <w:rsid w:val="006472CD"/>
    <w:rsid w:val="0064739A"/>
    <w:rsid w:val="00647400"/>
    <w:rsid w:val="0064744C"/>
    <w:rsid w:val="006474D5"/>
    <w:rsid w:val="006474EE"/>
    <w:rsid w:val="00647532"/>
    <w:rsid w:val="00647720"/>
    <w:rsid w:val="0064779E"/>
    <w:rsid w:val="00647828"/>
    <w:rsid w:val="00647854"/>
    <w:rsid w:val="00647874"/>
    <w:rsid w:val="00647877"/>
    <w:rsid w:val="006478BD"/>
    <w:rsid w:val="006478ED"/>
    <w:rsid w:val="00647956"/>
    <w:rsid w:val="0064796B"/>
    <w:rsid w:val="00647A14"/>
    <w:rsid w:val="00647A7F"/>
    <w:rsid w:val="00647B03"/>
    <w:rsid w:val="00647B57"/>
    <w:rsid w:val="00647B72"/>
    <w:rsid w:val="00647BBC"/>
    <w:rsid w:val="00647BF3"/>
    <w:rsid w:val="00647C15"/>
    <w:rsid w:val="00647C63"/>
    <w:rsid w:val="00647CB4"/>
    <w:rsid w:val="00647D55"/>
    <w:rsid w:val="00647DF6"/>
    <w:rsid w:val="00647E70"/>
    <w:rsid w:val="00647FF8"/>
    <w:rsid w:val="00650018"/>
    <w:rsid w:val="00650059"/>
    <w:rsid w:val="006500BD"/>
    <w:rsid w:val="006500F5"/>
    <w:rsid w:val="00650195"/>
    <w:rsid w:val="006501AA"/>
    <w:rsid w:val="00650209"/>
    <w:rsid w:val="0065020E"/>
    <w:rsid w:val="0065030E"/>
    <w:rsid w:val="0065044E"/>
    <w:rsid w:val="0065059C"/>
    <w:rsid w:val="006505AC"/>
    <w:rsid w:val="006505EF"/>
    <w:rsid w:val="006506CC"/>
    <w:rsid w:val="0065072E"/>
    <w:rsid w:val="00650783"/>
    <w:rsid w:val="006507A9"/>
    <w:rsid w:val="006507C8"/>
    <w:rsid w:val="00650865"/>
    <w:rsid w:val="00650955"/>
    <w:rsid w:val="006509EB"/>
    <w:rsid w:val="00650A01"/>
    <w:rsid w:val="00650A43"/>
    <w:rsid w:val="00650A74"/>
    <w:rsid w:val="00650A7E"/>
    <w:rsid w:val="00650BE1"/>
    <w:rsid w:val="00650CAC"/>
    <w:rsid w:val="00650CEE"/>
    <w:rsid w:val="00650D14"/>
    <w:rsid w:val="00650D8B"/>
    <w:rsid w:val="00650DA3"/>
    <w:rsid w:val="00650EA7"/>
    <w:rsid w:val="0065106E"/>
    <w:rsid w:val="00651139"/>
    <w:rsid w:val="006511EC"/>
    <w:rsid w:val="006512B7"/>
    <w:rsid w:val="006512DB"/>
    <w:rsid w:val="00651318"/>
    <w:rsid w:val="006513FF"/>
    <w:rsid w:val="00651458"/>
    <w:rsid w:val="00651585"/>
    <w:rsid w:val="0065167C"/>
    <w:rsid w:val="0065170F"/>
    <w:rsid w:val="0065173E"/>
    <w:rsid w:val="00651755"/>
    <w:rsid w:val="0065180B"/>
    <w:rsid w:val="006518E1"/>
    <w:rsid w:val="0065193E"/>
    <w:rsid w:val="00651B09"/>
    <w:rsid w:val="00651C30"/>
    <w:rsid w:val="00651C9B"/>
    <w:rsid w:val="00651D17"/>
    <w:rsid w:val="00651D27"/>
    <w:rsid w:val="00651D88"/>
    <w:rsid w:val="00651D8C"/>
    <w:rsid w:val="00651DA2"/>
    <w:rsid w:val="00651E03"/>
    <w:rsid w:val="00651E8F"/>
    <w:rsid w:val="00651EBB"/>
    <w:rsid w:val="00651F5F"/>
    <w:rsid w:val="00652028"/>
    <w:rsid w:val="00652072"/>
    <w:rsid w:val="006520CB"/>
    <w:rsid w:val="006520D5"/>
    <w:rsid w:val="006520F6"/>
    <w:rsid w:val="00652125"/>
    <w:rsid w:val="00652147"/>
    <w:rsid w:val="006521FA"/>
    <w:rsid w:val="0065222B"/>
    <w:rsid w:val="006522E4"/>
    <w:rsid w:val="006522EA"/>
    <w:rsid w:val="00652327"/>
    <w:rsid w:val="006523FA"/>
    <w:rsid w:val="00652511"/>
    <w:rsid w:val="00652512"/>
    <w:rsid w:val="00652608"/>
    <w:rsid w:val="0065267D"/>
    <w:rsid w:val="0065269B"/>
    <w:rsid w:val="006526BF"/>
    <w:rsid w:val="006526EA"/>
    <w:rsid w:val="006528BC"/>
    <w:rsid w:val="00652928"/>
    <w:rsid w:val="0065297A"/>
    <w:rsid w:val="00652982"/>
    <w:rsid w:val="00652A36"/>
    <w:rsid w:val="00652A95"/>
    <w:rsid w:val="00652CC6"/>
    <w:rsid w:val="00652D70"/>
    <w:rsid w:val="00652DB3"/>
    <w:rsid w:val="00652DB8"/>
    <w:rsid w:val="00652DDB"/>
    <w:rsid w:val="00652ECF"/>
    <w:rsid w:val="00652F14"/>
    <w:rsid w:val="00652F6A"/>
    <w:rsid w:val="00652F6C"/>
    <w:rsid w:val="00652FE8"/>
    <w:rsid w:val="00653125"/>
    <w:rsid w:val="006531B9"/>
    <w:rsid w:val="00653235"/>
    <w:rsid w:val="00653240"/>
    <w:rsid w:val="00653284"/>
    <w:rsid w:val="0065328B"/>
    <w:rsid w:val="00653298"/>
    <w:rsid w:val="0065335D"/>
    <w:rsid w:val="00653363"/>
    <w:rsid w:val="006533CE"/>
    <w:rsid w:val="006533E3"/>
    <w:rsid w:val="006533E7"/>
    <w:rsid w:val="006533FD"/>
    <w:rsid w:val="00653411"/>
    <w:rsid w:val="0065345E"/>
    <w:rsid w:val="0065347F"/>
    <w:rsid w:val="00653480"/>
    <w:rsid w:val="00653550"/>
    <w:rsid w:val="006535ED"/>
    <w:rsid w:val="0065368A"/>
    <w:rsid w:val="00653697"/>
    <w:rsid w:val="00653714"/>
    <w:rsid w:val="00653748"/>
    <w:rsid w:val="0065375C"/>
    <w:rsid w:val="006537A3"/>
    <w:rsid w:val="006538B0"/>
    <w:rsid w:val="0065395C"/>
    <w:rsid w:val="00653971"/>
    <w:rsid w:val="006539CF"/>
    <w:rsid w:val="00653A66"/>
    <w:rsid w:val="00653B81"/>
    <w:rsid w:val="00653BF1"/>
    <w:rsid w:val="00653C56"/>
    <w:rsid w:val="00653CFF"/>
    <w:rsid w:val="00653D8F"/>
    <w:rsid w:val="00653F4C"/>
    <w:rsid w:val="00654249"/>
    <w:rsid w:val="006542CE"/>
    <w:rsid w:val="00654395"/>
    <w:rsid w:val="006543D1"/>
    <w:rsid w:val="0065442A"/>
    <w:rsid w:val="0065445D"/>
    <w:rsid w:val="006544DA"/>
    <w:rsid w:val="006545BF"/>
    <w:rsid w:val="00654646"/>
    <w:rsid w:val="00654692"/>
    <w:rsid w:val="006546CD"/>
    <w:rsid w:val="0065471F"/>
    <w:rsid w:val="00654727"/>
    <w:rsid w:val="00654799"/>
    <w:rsid w:val="006547B5"/>
    <w:rsid w:val="00654802"/>
    <w:rsid w:val="00654887"/>
    <w:rsid w:val="00654989"/>
    <w:rsid w:val="00654B0E"/>
    <w:rsid w:val="00654B60"/>
    <w:rsid w:val="00654C24"/>
    <w:rsid w:val="00654C2A"/>
    <w:rsid w:val="00654CA0"/>
    <w:rsid w:val="00654CFC"/>
    <w:rsid w:val="00654D2D"/>
    <w:rsid w:val="00654D4A"/>
    <w:rsid w:val="00654D9E"/>
    <w:rsid w:val="00654F20"/>
    <w:rsid w:val="00655042"/>
    <w:rsid w:val="00655105"/>
    <w:rsid w:val="0065512C"/>
    <w:rsid w:val="0065515A"/>
    <w:rsid w:val="006552B8"/>
    <w:rsid w:val="0065532B"/>
    <w:rsid w:val="0065534A"/>
    <w:rsid w:val="006553E7"/>
    <w:rsid w:val="00655423"/>
    <w:rsid w:val="00655472"/>
    <w:rsid w:val="0065549E"/>
    <w:rsid w:val="006554B5"/>
    <w:rsid w:val="006555CD"/>
    <w:rsid w:val="006556C4"/>
    <w:rsid w:val="0065570F"/>
    <w:rsid w:val="00655720"/>
    <w:rsid w:val="00655761"/>
    <w:rsid w:val="00655810"/>
    <w:rsid w:val="00655817"/>
    <w:rsid w:val="0065588B"/>
    <w:rsid w:val="00655999"/>
    <w:rsid w:val="006559B7"/>
    <w:rsid w:val="00655A23"/>
    <w:rsid w:val="00655B10"/>
    <w:rsid w:val="00655CB9"/>
    <w:rsid w:val="00655DFC"/>
    <w:rsid w:val="00655E51"/>
    <w:rsid w:val="00655E6D"/>
    <w:rsid w:val="00655E88"/>
    <w:rsid w:val="00655EBE"/>
    <w:rsid w:val="00655F09"/>
    <w:rsid w:val="00655F39"/>
    <w:rsid w:val="00655F83"/>
    <w:rsid w:val="00655FF6"/>
    <w:rsid w:val="00656051"/>
    <w:rsid w:val="00656068"/>
    <w:rsid w:val="006561A9"/>
    <w:rsid w:val="0065626D"/>
    <w:rsid w:val="00656330"/>
    <w:rsid w:val="006563D2"/>
    <w:rsid w:val="00656599"/>
    <w:rsid w:val="006565E5"/>
    <w:rsid w:val="00656608"/>
    <w:rsid w:val="00656691"/>
    <w:rsid w:val="006566A4"/>
    <w:rsid w:val="00656961"/>
    <w:rsid w:val="00656995"/>
    <w:rsid w:val="006569A1"/>
    <w:rsid w:val="006569DC"/>
    <w:rsid w:val="00656A54"/>
    <w:rsid w:val="00656B9D"/>
    <w:rsid w:val="00656B9F"/>
    <w:rsid w:val="00656BD2"/>
    <w:rsid w:val="00656C20"/>
    <w:rsid w:val="00656C47"/>
    <w:rsid w:val="00656CC2"/>
    <w:rsid w:val="00656D3F"/>
    <w:rsid w:val="00656D6A"/>
    <w:rsid w:val="00656D9C"/>
    <w:rsid w:val="006570D3"/>
    <w:rsid w:val="006570DE"/>
    <w:rsid w:val="0065710D"/>
    <w:rsid w:val="00657112"/>
    <w:rsid w:val="006571B6"/>
    <w:rsid w:val="006571D4"/>
    <w:rsid w:val="006571FC"/>
    <w:rsid w:val="00657399"/>
    <w:rsid w:val="006573AD"/>
    <w:rsid w:val="006573DE"/>
    <w:rsid w:val="006573E9"/>
    <w:rsid w:val="00657466"/>
    <w:rsid w:val="006574AB"/>
    <w:rsid w:val="00657528"/>
    <w:rsid w:val="00657602"/>
    <w:rsid w:val="00657748"/>
    <w:rsid w:val="006577E1"/>
    <w:rsid w:val="0065784F"/>
    <w:rsid w:val="00657894"/>
    <w:rsid w:val="00657902"/>
    <w:rsid w:val="0065793C"/>
    <w:rsid w:val="00657BAD"/>
    <w:rsid w:val="00657C62"/>
    <w:rsid w:val="00657C9B"/>
    <w:rsid w:val="00657CBE"/>
    <w:rsid w:val="00657DA0"/>
    <w:rsid w:val="00657E02"/>
    <w:rsid w:val="00657E46"/>
    <w:rsid w:val="00657E54"/>
    <w:rsid w:val="00657F2B"/>
    <w:rsid w:val="00660023"/>
    <w:rsid w:val="00660098"/>
    <w:rsid w:val="006600AB"/>
    <w:rsid w:val="00660177"/>
    <w:rsid w:val="006602D6"/>
    <w:rsid w:val="00660347"/>
    <w:rsid w:val="00660365"/>
    <w:rsid w:val="006603C6"/>
    <w:rsid w:val="00660414"/>
    <w:rsid w:val="00660479"/>
    <w:rsid w:val="00660564"/>
    <w:rsid w:val="00660577"/>
    <w:rsid w:val="00660580"/>
    <w:rsid w:val="006605B5"/>
    <w:rsid w:val="006605D7"/>
    <w:rsid w:val="006605FA"/>
    <w:rsid w:val="006606F5"/>
    <w:rsid w:val="006606FA"/>
    <w:rsid w:val="00660745"/>
    <w:rsid w:val="0066075A"/>
    <w:rsid w:val="006609BA"/>
    <w:rsid w:val="00660A34"/>
    <w:rsid w:val="00660B8A"/>
    <w:rsid w:val="00660B92"/>
    <w:rsid w:val="00660BB9"/>
    <w:rsid w:val="00660BF6"/>
    <w:rsid w:val="00660C11"/>
    <w:rsid w:val="00660CB1"/>
    <w:rsid w:val="00660CD5"/>
    <w:rsid w:val="00660CDD"/>
    <w:rsid w:val="00660DA8"/>
    <w:rsid w:val="00660DCF"/>
    <w:rsid w:val="00660DEA"/>
    <w:rsid w:val="00660E26"/>
    <w:rsid w:val="00660E35"/>
    <w:rsid w:val="00660ED1"/>
    <w:rsid w:val="00661051"/>
    <w:rsid w:val="00661125"/>
    <w:rsid w:val="00661133"/>
    <w:rsid w:val="0066123F"/>
    <w:rsid w:val="00661253"/>
    <w:rsid w:val="006612AB"/>
    <w:rsid w:val="006612DF"/>
    <w:rsid w:val="006613CF"/>
    <w:rsid w:val="006613D6"/>
    <w:rsid w:val="0066146A"/>
    <w:rsid w:val="006614C1"/>
    <w:rsid w:val="0066151B"/>
    <w:rsid w:val="0066161D"/>
    <w:rsid w:val="00661646"/>
    <w:rsid w:val="00661648"/>
    <w:rsid w:val="0066175A"/>
    <w:rsid w:val="00661765"/>
    <w:rsid w:val="0066180D"/>
    <w:rsid w:val="00661964"/>
    <w:rsid w:val="00661A7B"/>
    <w:rsid w:val="00661AE1"/>
    <w:rsid w:val="00661AFF"/>
    <w:rsid w:val="00661B02"/>
    <w:rsid w:val="00661B1B"/>
    <w:rsid w:val="00661B37"/>
    <w:rsid w:val="00661B9B"/>
    <w:rsid w:val="00661BA0"/>
    <w:rsid w:val="00661C22"/>
    <w:rsid w:val="00661C3D"/>
    <w:rsid w:val="00661C74"/>
    <w:rsid w:val="00661CCD"/>
    <w:rsid w:val="00661D08"/>
    <w:rsid w:val="00661DDA"/>
    <w:rsid w:val="00661DF7"/>
    <w:rsid w:val="00661E12"/>
    <w:rsid w:val="00661EDF"/>
    <w:rsid w:val="00661F00"/>
    <w:rsid w:val="00661F65"/>
    <w:rsid w:val="00661F76"/>
    <w:rsid w:val="00661F86"/>
    <w:rsid w:val="00661FAA"/>
    <w:rsid w:val="00661FE3"/>
    <w:rsid w:val="00662003"/>
    <w:rsid w:val="00662010"/>
    <w:rsid w:val="00662020"/>
    <w:rsid w:val="0066202B"/>
    <w:rsid w:val="0066205D"/>
    <w:rsid w:val="00662093"/>
    <w:rsid w:val="006621F6"/>
    <w:rsid w:val="00662220"/>
    <w:rsid w:val="0066223C"/>
    <w:rsid w:val="00662308"/>
    <w:rsid w:val="00662357"/>
    <w:rsid w:val="00662370"/>
    <w:rsid w:val="006623D5"/>
    <w:rsid w:val="006623FF"/>
    <w:rsid w:val="0066243A"/>
    <w:rsid w:val="0066258B"/>
    <w:rsid w:val="006625D1"/>
    <w:rsid w:val="006626A0"/>
    <w:rsid w:val="006626EE"/>
    <w:rsid w:val="00662780"/>
    <w:rsid w:val="0066283C"/>
    <w:rsid w:val="0066286A"/>
    <w:rsid w:val="0066292D"/>
    <w:rsid w:val="00662941"/>
    <w:rsid w:val="00662A2E"/>
    <w:rsid w:val="00662AC1"/>
    <w:rsid w:val="00662B6F"/>
    <w:rsid w:val="00662B77"/>
    <w:rsid w:val="00662BE3"/>
    <w:rsid w:val="00662C42"/>
    <w:rsid w:val="00662C60"/>
    <w:rsid w:val="00662D24"/>
    <w:rsid w:val="00662D38"/>
    <w:rsid w:val="00662D9E"/>
    <w:rsid w:val="00662DA6"/>
    <w:rsid w:val="00662DDB"/>
    <w:rsid w:val="00662EB1"/>
    <w:rsid w:val="00662ED8"/>
    <w:rsid w:val="00662EDD"/>
    <w:rsid w:val="00662F2D"/>
    <w:rsid w:val="00662F9E"/>
    <w:rsid w:val="006631A8"/>
    <w:rsid w:val="00663265"/>
    <w:rsid w:val="00663274"/>
    <w:rsid w:val="006632C9"/>
    <w:rsid w:val="006632EB"/>
    <w:rsid w:val="0066335F"/>
    <w:rsid w:val="0066336F"/>
    <w:rsid w:val="006633E5"/>
    <w:rsid w:val="00663437"/>
    <w:rsid w:val="00663446"/>
    <w:rsid w:val="006634F3"/>
    <w:rsid w:val="00663518"/>
    <w:rsid w:val="006635C5"/>
    <w:rsid w:val="0066378A"/>
    <w:rsid w:val="006637BD"/>
    <w:rsid w:val="00663817"/>
    <w:rsid w:val="00663842"/>
    <w:rsid w:val="00663901"/>
    <w:rsid w:val="00663946"/>
    <w:rsid w:val="00663972"/>
    <w:rsid w:val="00663994"/>
    <w:rsid w:val="00663A18"/>
    <w:rsid w:val="00663AFE"/>
    <w:rsid w:val="00663B26"/>
    <w:rsid w:val="00663C83"/>
    <w:rsid w:val="00663CA4"/>
    <w:rsid w:val="00663CE8"/>
    <w:rsid w:val="00663D9E"/>
    <w:rsid w:val="00663DDB"/>
    <w:rsid w:val="00663DE3"/>
    <w:rsid w:val="00663EBE"/>
    <w:rsid w:val="00663ED9"/>
    <w:rsid w:val="00663F2C"/>
    <w:rsid w:val="00663FE0"/>
    <w:rsid w:val="00664048"/>
    <w:rsid w:val="0066406A"/>
    <w:rsid w:val="00664085"/>
    <w:rsid w:val="006640AE"/>
    <w:rsid w:val="00664149"/>
    <w:rsid w:val="0066415D"/>
    <w:rsid w:val="006641B5"/>
    <w:rsid w:val="00664217"/>
    <w:rsid w:val="00664257"/>
    <w:rsid w:val="00664316"/>
    <w:rsid w:val="006643C9"/>
    <w:rsid w:val="00664418"/>
    <w:rsid w:val="00664438"/>
    <w:rsid w:val="0066444D"/>
    <w:rsid w:val="00664571"/>
    <w:rsid w:val="00664723"/>
    <w:rsid w:val="00664735"/>
    <w:rsid w:val="0066473C"/>
    <w:rsid w:val="00664927"/>
    <w:rsid w:val="006649A6"/>
    <w:rsid w:val="006649F3"/>
    <w:rsid w:val="00664B9F"/>
    <w:rsid w:val="00664C36"/>
    <w:rsid w:val="00664C4F"/>
    <w:rsid w:val="00664D2E"/>
    <w:rsid w:val="00664E1D"/>
    <w:rsid w:val="00664E25"/>
    <w:rsid w:val="00664E4A"/>
    <w:rsid w:val="00664EBF"/>
    <w:rsid w:val="00664EE9"/>
    <w:rsid w:val="0066518C"/>
    <w:rsid w:val="006651AF"/>
    <w:rsid w:val="006651E0"/>
    <w:rsid w:val="006652C0"/>
    <w:rsid w:val="0066543E"/>
    <w:rsid w:val="00665490"/>
    <w:rsid w:val="00665494"/>
    <w:rsid w:val="006654D6"/>
    <w:rsid w:val="00665526"/>
    <w:rsid w:val="00665527"/>
    <w:rsid w:val="006655D9"/>
    <w:rsid w:val="006655F7"/>
    <w:rsid w:val="00665675"/>
    <w:rsid w:val="00665691"/>
    <w:rsid w:val="00665693"/>
    <w:rsid w:val="0066573E"/>
    <w:rsid w:val="006657D8"/>
    <w:rsid w:val="00665892"/>
    <w:rsid w:val="006658A3"/>
    <w:rsid w:val="006658B6"/>
    <w:rsid w:val="0066591A"/>
    <w:rsid w:val="006659E3"/>
    <w:rsid w:val="00665A4D"/>
    <w:rsid w:val="00665B7C"/>
    <w:rsid w:val="00665B85"/>
    <w:rsid w:val="00665BAE"/>
    <w:rsid w:val="00665BC2"/>
    <w:rsid w:val="00665C4E"/>
    <w:rsid w:val="00665C5B"/>
    <w:rsid w:val="00665C74"/>
    <w:rsid w:val="00665C89"/>
    <w:rsid w:val="00665D19"/>
    <w:rsid w:val="00665D1C"/>
    <w:rsid w:val="00665DA1"/>
    <w:rsid w:val="00665F20"/>
    <w:rsid w:val="00665F4F"/>
    <w:rsid w:val="00665F92"/>
    <w:rsid w:val="00666120"/>
    <w:rsid w:val="006661A1"/>
    <w:rsid w:val="006663F2"/>
    <w:rsid w:val="00666401"/>
    <w:rsid w:val="00666416"/>
    <w:rsid w:val="006664BF"/>
    <w:rsid w:val="00666531"/>
    <w:rsid w:val="00666563"/>
    <w:rsid w:val="006665FE"/>
    <w:rsid w:val="006667B4"/>
    <w:rsid w:val="00666849"/>
    <w:rsid w:val="0066688D"/>
    <w:rsid w:val="0066688F"/>
    <w:rsid w:val="006668D1"/>
    <w:rsid w:val="00666977"/>
    <w:rsid w:val="0066699A"/>
    <w:rsid w:val="0066699E"/>
    <w:rsid w:val="006669E0"/>
    <w:rsid w:val="00666A20"/>
    <w:rsid w:val="00666C0B"/>
    <w:rsid w:val="00666CAB"/>
    <w:rsid w:val="00666CD1"/>
    <w:rsid w:val="00666CE6"/>
    <w:rsid w:val="00666D03"/>
    <w:rsid w:val="00666D14"/>
    <w:rsid w:val="00666D9B"/>
    <w:rsid w:val="00666DAE"/>
    <w:rsid w:val="00666E01"/>
    <w:rsid w:val="00666E13"/>
    <w:rsid w:val="00666F01"/>
    <w:rsid w:val="00666F30"/>
    <w:rsid w:val="006670DA"/>
    <w:rsid w:val="006670DD"/>
    <w:rsid w:val="006672E3"/>
    <w:rsid w:val="00667369"/>
    <w:rsid w:val="00667381"/>
    <w:rsid w:val="006673DB"/>
    <w:rsid w:val="006673E9"/>
    <w:rsid w:val="006673F0"/>
    <w:rsid w:val="0066748D"/>
    <w:rsid w:val="006674D0"/>
    <w:rsid w:val="00667502"/>
    <w:rsid w:val="00667566"/>
    <w:rsid w:val="00667572"/>
    <w:rsid w:val="00667654"/>
    <w:rsid w:val="0066766F"/>
    <w:rsid w:val="00667674"/>
    <w:rsid w:val="00667682"/>
    <w:rsid w:val="006676AA"/>
    <w:rsid w:val="0066771C"/>
    <w:rsid w:val="0066771F"/>
    <w:rsid w:val="00667730"/>
    <w:rsid w:val="0066774C"/>
    <w:rsid w:val="00667762"/>
    <w:rsid w:val="00667881"/>
    <w:rsid w:val="00667987"/>
    <w:rsid w:val="006679B1"/>
    <w:rsid w:val="006679F0"/>
    <w:rsid w:val="00667A3C"/>
    <w:rsid w:val="00667A7B"/>
    <w:rsid w:val="00667AC7"/>
    <w:rsid w:val="00667B41"/>
    <w:rsid w:val="00667B42"/>
    <w:rsid w:val="00667B64"/>
    <w:rsid w:val="00667B7B"/>
    <w:rsid w:val="00667BBB"/>
    <w:rsid w:val="00667C4B"/>
    <w:rsid w:val="00667D9C"/>
    <w:rsid w:val="00667EE4"/>
    <w:rsid w:val="00667F47"/>
    <w:rsid w:val="00670048"/>
    <w:rsid w:val="00670078"/>
    <w:rsid w:val="006700CC"/>
    <w:rsid w:val="006701DE"/>
    <w:rsid w:val="00670222"/>
    <w:rsid w:val="00670249"/>
    <w:rsid w:val="006702C0"/>
    <w:rsid w:val="006702C1"/>
    <w:rsid w:val="006702FD"/>
    <w:rsid w:val="00670340"/>
    <w:rsid w:val="0067034B"/>
    <w:rsid w:val="00670392"/>
    <w:rsid w:val="006703A7"/>
    <w:rsid w:val="006703ED"/>
    <w:rsid w:val="0067043F"/>
    <w:rsid w:val="00670468"/>
    <w:rsid w:val="0067047E"/>
    <w:rsid w:val="00670482"/>
    <w:rsid w:val="006704B2"/>
    <w:rsid w:val="006704CC"/>
    <w:rsid w:val="006704E8"/>
    <w:rsid w:val="00670529"/>
    <w:rsid w:val="006705D4"/>
    <w:rsid w:val="00670794"/>
    <w:rsid w:val="00670838"/>
    <w:rsid w:val="00670852"/>
    <w:rsid w:val="0067087E"/>
    <w:rsid w:val="00670887"/>
    <w:rsid w:val="00670993"/>
    <w:rsid w:val="006709BF"/>
    <w:rsid w:val="00670ABC"/>
    <w:rsid w:val="00670BB2"/>
    <w:rsid w:val="00670C7E"/>
    <w:rsid w:val="00670D1C"/>
    <w:rsid w:val="00670D5D"/>
    <w:rsid w:val="00670E6B"/>
    <w:rsid w:val="00670F7B"/>
    <w:rsid w:val="00670FD5"/>
    <w:rsid w:val="00671031"/>
    <w:rsid w:val="00671082"/>
    <w:rsid w:val="00671387"/>
    <w:rsid w:val="006713B7"/>
    <w:rsid w:val="006714FB"/>
    <w:rsid w:val="006715D7"/>
    <w:rsid w:val="006715E3"/>
    <w:rsid w:val="00671609"/>
    <w:rsid w:val="0067166D"/>
    <w:rsid w:val="0067168A"/>
    <w:rsid w:val="006716B9"/>
    <w:rsid w:val="006716BB"/>
    <w:rsid w:val="006716CE"/>
    <w:rsid w:val="006716E3"/>
    <w:rsid w:val="00671758"/>
    <w:rsid w:val="0067178A"/>
    <w:rsid w:val="00671796"/>
    <w:rsid w:val="00671832"/>
    <w:rsid w:val="00671896"/>
    <w:rsid w:val="006718D2"/>
    <w:rsid w:val="00671926"/>
    <w:rsid w:val="00671999"/>
    <w:rsid w:val="00671A54"/>
    <w:rsid w:val="00671ACB"/>
    <w:rsid w:val="00671B31"/>
    <w:rsid w:val="00671B4C"/>
    <w:rsid w:val="00671BFF"/>
    <w:rsid w:val="00671CCC"/>
    <w:rsid w:val="00671E4B"/>
    <w:rsid w:val="00671E61"/>
    <w:rsid w:val="00671E86"/>
    <w:rsid w:val="00671F0C"/>
    <w:rsid w:val="00671F14"/>
    <w:rsid w:val="00671FB9"/>
    <w:rsid w:val="00671FC1"/>
    <w:rsid w:val="00672058"/>
    <w:rsid w:val="00672189"/>
    <w:rsid w:val="006721D8"/>
    <w:rsid w:val="00672267"/>
    <w:rsid w:val="00672457"/>
    <w:rsid w:val="0067256D"/>
    <w:rsid w:val="00672589"/>
    <w:rsid w:val="006725F2"/>
    <w:rsid w:val="00672685"/>
    <w:rsid w:val="0067272C"/>
    <w:rsid w:val="00672759"/>
    <w:rsid w:val="0067275D"/>
    <w:rsid w:val="0067279C"/>
    <w:rsid w:val="00672805"/>
    <w:rsid w:val="0067280F"/>
    <w:rsid w:val="0067284D"/>
    <w:rsid w:val="00672961"/>
    <w:rsid w:val="00672B4C"/>
    <w:rsid w:val="00672BB2"/>
    <w:rsid w:val="00672BEE"/>
    <w:rsid w:val="00672C52"/>
    <w:rsid w:val="00672C60"/>
    <w:rsid w:val="00672D36"/>
    <w:rsid w:val="00672DFF"/>
    <w:rsid w:val="00672E49"/>
    <w:rsid w:val="00672E6E"/>
    <w:rsid w:val="00672E70"/>
    <w:rsid w:val="00672E81"/>
    <w:rsid w:val="00672EA2"/>
    <w:rsid w:val="00672F2B"/>
    <w:rsid w:val="00672F91"/>
    <w:rsid w:val="00672FB9"/>
    <w:rsid w:val="00672FCB"/>
    <w:rsid w:val="00672FED"/>
    <w:rsid w:val="0067300C"/>
    <w:rsid w:val="00673047"/>
    <w:rsid w:val="0067318F"/>
    <w:rsid w:val="0067326F"/>
    <w:rsid w:val="0067331A"/>
    <w:rsid w:val="0067344E"/>
    <w:rsid w:val="00673527"/>
    <w:rsid w:val="00673543"/>
    <w:rsid w:val="00673580"/>
    <w:rsid w:val="00673583"/>
    <w:rsid w:val="0067366E"/>
    <w:rsid w:val="00673671"/>
    <w:rsid w:val="00673744"/>
    <w:rsid w:val="006737E7"/>
    <w:rsid w:val="0067387E"/>
    <w:rsid w:val="006738AB"/>
    <w:rsid w:val="00673927"/>
    <w:rsid w:val="0067396B"/>
    <w:rsid w:val="006739F1"/>
    <w:rsid w:val="006739FF"/>
    <w:rsid w:val="00673A04"/>
    <w:rsid w:val="00673AE0"/>
    <w:rsid w:val="00673B0C"/>
    <w:rsid w:val="00673B10"/>
    <w:rsid w:val="00673BB8"/>
    <w:rsid w:val="00673BE0"/>
    <w:rsid w:val="00673C0B"/>
    <w:rsid w:val="00673E0B"/>
    <w:rsid w:val="00673E70"/>
    <w:rsid w:val="00673E93"/>
    <w:rsid w:val="00673FC7"/>
    <w:rsid w:val="0067402A"/>
    <w:rsid w:val="00674038"/>
    <w:rsid w:val="00674041"/>
    <w:rsid w:val="0067407B"/>
    <w:rsid w:val="0067408A"/>
    <w:rsid w:val="006740BC"/>
    <w:rsid w:val="006740D8"/>
    <w:rsid w:val="006740E8"/>
    <w:rsid w:val="0067413A"/>
    <w:rsid w:val="006741EB"/>
    <w:rsid w:val="0067448B"/>
    <w:rsid w:val="006746B6"/>
    <w:rsid w:val="0067471C"/>
    <w:rsid w:val="00674793"/>
    <w:rsid w:val="006747C8"/>
    <w:rsid w:val="00674853"/>
    <w:rsid w:val="00674856"/>
    <w:rsid w:val="006748D6"/>
    <w:rsid w:val="006748F7"/>
    <w:rsid w:val="006749E7"/>
    <w:rsid w:val="00674A11"/>
    <w:rsid w:val="00674A4F"/>
    <w:rsid w:val="00674AF1"/>
    <w:rsid w:val="00674B11"/>
    <w:rsid w:val="00674B65"/>
    <w:rsid w:val="00674B7A"/>
    <w:rsid w:val="00674BA9"/>
    <w:rsid w:val="00674BB0"/>
    <w:rsid w:val="00674CA2"/>
    <w:rsid w:val="00674D76"/>
    <w:rsid w:val="00674D85"/>
    <w:rsid w:val="00674DE7"/>
    <w:rsid w:val="00674DF7"/>
    <w:rsid w:val="00674EA1"/>
    <w:rsid w:val="00674F14"/>
    <w:rsid w:val="00674F95"/>
    <w:rsid w:val="00675010"/>
    <w:rsid w:val="006750A9"/>
    <w:rsid w:val="0067512E"/>
    <w:rsid w:val="0067516E"/>
    <w:rsid w:val="00675177"/>
    <w:rsid w:val="0067521B"/>
    <w:rsid w:val="00675235"/>
    <w:rsid w:val="00675286"/>
    <w:rsid w:val="00675308"/>
    <w:rsid w:val="00675389"/>
    <w:rsid w:val="006753BD"/>
    <w:rsid w:val="006754CD"/>
    <w:rsid w:val="006756AE"/>
    <w:rsid w:val="00675779"/>
    <w:rsid w:val="006757B0"/>
    <w:rsid w:val="00675A00"/>
    <w:rsid w:val="00675B5A"/>
    <w:rsid w:val="00675B69"/>
    <w:rsid w:val="00675B79"/>
    <w:rsid w:val="00675D2F"/>
    <w:rsid w:val="00675D47"/>
    <w:rsid w:val="00675D91"/>
    <w:rsid w:val="00675D9F"/>
    <w:rsid w:val="00675E31"/>
    <w:rsid w:val="00675E5D"/>
    <w:rsid w:val="00675F1B"/>
    <w:rsid w:val="00675F4B"/>
    <w:rsid w:val="00675F64"/>
    <w:rsid w:val="00676013"/>
    <w:rsid w:val="00676055"/>
    <w:rsid w:val="0067606C"/>
    <w:rsid w:val="006760F3"/>
    <w:rsid w:val="006760FF"/>
    <w:rsid w:val="00676125"/>
    <w:rsid w:val="00676169"/>
    <w:rsid w:val="006761A1"/>
    <w:rsid w:val="0067629B"/>
    <w:rsid w:val="00676375"/>
    <w:rsid w:val="006763D9"/>
    <w:rsid w:val="00676493"/>
    <w:rsid w:val="00676524"/>
    <w:rsid w:val="0067661C"/>
    <w:rsid w:val="0067668E"/>
    <w:rsid w:val="006766FF"/>
    <w:rsid w:val="00676741"/>
    <w:rsid w:val="00676776"/>
    <w:rsid w:val="006767A0"/>
    <w:rsid w:val="00676855"/>
    <w:rsid w:val="00676869"/>
    <w:rsid w:val="006768DF"/>
    <w:rsid w:val="00676965"/>
    <w:rsid w:val="00676973"/>
    <w:rsid w:val="006769F2"/>
    <w:rsid w:val="00676A7E"/>
    <w:rsid w:val="00676A82"/>
    <w:rsid w:val="00676B31"/>
    <w:rsid w:val="00676BB0"/>
    <w:rsid w:val="00676BF5"/>
    <w:rsid w:val="00676C1A"/>
    <w:rsid w:val="00676D06"/>
    <w:rsid w:val="00676D23"/>
    <w:rsid w:val="00676D42"/>
    <w:rsid w:val="00676D87"/>
    <w:rsid w:val="00676E07"/>
    <w:rsid w:val="00676E66"/>
    <w:rsid w:val="00676E9E"/>
    <w:rsid w:val="00676EC9"/>
    <w:rsid w:val="00676F84"/>
    <w:rsid w:val="00676FEC"/>
    <w:rsid w:val="00677015"/>
    <w:rsid w:val="0067703A"/>
    <w:rsid w:val="0067705B"/>
    <w:rsid w:val="006770C6"/>
    <w:rsid w:val="006770CF"/>
    <w:rsid w:val="0067710D"/>
    <w:rsid w:val="0067714B"/>
    <w:rsid w:val="006771C5"/>
    <w:rsid w:val="0067727E"/>
    <w:rsid w:val="0067729B"/>
    <w:rsid w:val="0067733D"/>
    <w:rsid w:val="006773B8"/>
    <w:rsid w:val="006773D3"/>
    <w:rsid w:val="006773E2"/>
    <w:rsid w:val="00677434"/>
    <w:rsid w:val="00677488"/>
    <w:rsid w:val="0067756F"/>
    <w:rsid w:val="006775E9"/>
    <w:rsid w:val="006776EE"/>
    <w:rsid w:val="00677777"/>
    <w:rsid w:val="006778AD"/>
    <w:rsid w:val="00677931"/>
    <w:rsid w:val="006779BC"/>
    <w:rsid w:val="00677A12"/>
    <w:rsid w:val="00677A20"/>
    <w:rsid w:val="00677B05"/>
    <w:rsid w:val="00677B52"/>
    <w:rsid w:val="00677DC4"/>
    <w:rsid w:val="00677DD3"/>
    <w:rsid w:val="00677E0B"/>
    <w:rsid w:val="00677E86"/>
    <w:rsid w:val="00677F06"/>
    <w:rsid w:val="00677F84"/>
    <w:rsid w:val="0068000A"/>
    <w:rsid w:val="00680054"/>
    <w:rsid w:val="00680057"/>
    <w:rsid w:val="006800EB"/>
    <w:rsid w:val="00680141"/>
    <w:rsid w:val="00680142"/>
    <w:rsid w:val="00680198"/>
    <w:rsid w:val="006801DB"/>
    <w:rsid w:val="00680233"/>
    <w:rsid w:val="00680297"/>
    <w:rsid w:val="00680298"/>
    <w:rsid w:val="00680302"/>
    <w:rsid w:val="00680333"/>
    <w:rsid w:val="0068040B"/>
    <w:rsid w:val="00680470"/>
    <w:rsid w:val="00680475"/>
    <w:rsid w:val="00680494"/>
    <w:rsid w:val="00680520"/>
    <w:rsid w:val="006805C1"/>
    <w:rsid w:val="006806BB"/>
    <w:rsid w:val="006806F8"/>
    <w:rsid w:val="00680704"/>
    <w:rsid w:val="0068071C"/>
    <w:rsid w:val="00680783"/>
    <w:rsid w:val="006808CE"/>
    <w:rsid w:val="0068099D"/>
    <w:rsid w:val="006809D8"/>
    <w:rsid w:val="006809E6"/>
    <w:rsid w:val="00680A26"/>
    <w:rsid w:val="00680B8D"/>
    <w:rsid w:val="00680B96"/>
    <w:rsid w:val="00680BA5"/>
    <w:rsid w:val="00680BD3"/>
    <w:rsid w:val="00680CEA"/>
    <w:rsid w:val="00680DE9"/>
    <w:rsid w:val="00680E8B"/>
    <w:rsid w:val="00680E91"/>
    <w:rsid w:val="00680E96"/>
    <w:rsid w:val="00680EBF"/>
    <w:rsid w:val="00680F27"/>
    <w:rsid w:val="0068102B"/>
    <w:rsid w:val="0068105F"/>
    <w:rsid w:val="00681128"/>
    <w:rsid w:val="00681148"/>
    <w:rsid w:val="0068119A"/>
    <w:rsid w:val="006811E9"/>
    <w:rsid w:val="006812E0"/>
    <w:rsid w:val="0068139D"/>
    <w:rsid w:val="006813E6"/>
    <w:rsid w:val="00681432"/>
    <w:rsid w:val="006814A0"/>
    <w:rsid w:val="00681532"/>
    <w:rsid w:val="00681592"/>
    <w:rsid w:val="0068164C"/>
    <w:rsid w:val="00681676"/>
    <w:rsid w:val="0068167E"/>
    <w:rsid w:val="006816A8"/>
    <w:rsid w:val="006816D7"/>
    <w:rsid w:val="0068173B"/>
    <w:rsid w:val="00681774"/>
    <w:rsid w:val="0068177D"/>
    <w:rsid w:val="006817C0"/>
    <w:rsid w:val="00681841"/>
    <w:rsid w:val="006818B0"/>
    <w:rsid w:val="0068191B"/>
    <w:rsid w:val="00681976"/>
    <w:rsid w:val="00681994"/>
    <w:rsid w:val="00681A47"/>
    <w:rsid w:val="00681B06"/>
    <w:rsid w:val="00681B0A"/>
    <w:rsid w:val="00681B46"/>
    <w:rsid w:val="00681CA2"/>
    <w:rsid w:val="00681CA8"/>
    <w:rsid w:val="00681D13"/>
    <w:rsid w:val="00681EC5"/>
    <w:rsid w:val="00682007"/>
    <w:rsid w:val="00682035"/>
    <w:rsid w:val="0068207F"/>
    <w:rsid w:val="0068218A"/>
    <w:rsid w:val="006821CC"/>
    <w:rsid w:val="0068224F"/>
    <w:rsid w:val="006822E4"/>
    <w:rsid w:val="006822EC"/>
    <w:rsid w:val="006823C4"/>
    <w:rsid w:val="00682417"/>
    <w:rsid w:val="0068242B"/>
    <w:rsid w:val="0068242E"/>
    <w:rsid w:val="006824B4"/>
    <w:rsid w:val="006825D8"/>
    <w:rsid w:val="006825E6"/>
    <w:rsid w:val="0068273C"/>
    <w:rsid w:val="00682830"/>
    <w:rsid w:val="00682862"/>
    <w:rsid w:val="00682881"/>
    <w:rsid w:val="006828EF"/>
    <w:rsid w:val="006828F5"/>
    <w:rsid w:val="0068295D"/>
    <w:rsid w:val="00682A59"/>
    <w:rsid w:val="00682A63"/>
    <w:rsid w:val="00682A7B"/>
    <w:rsid w:val="00682AA3"/>
    <w:rsid w:val="00682AF9"/>
    <w:rsid w:val="00682AFC"/>
    <w:rsid w:val="00682B06"/>
    <w:rsid w:val="00682BB7"/>
    <w:rsid w:val="00682CEE"/>
    <w:rsid w:val="00682D27"/>
    <w:rsid w:val="00682D96"/>
    <w:rsid w:val="00682EC9"/>
    <w:rsid w:val="00682F97"/>
    <w:rsid w:val="00682FC0"/>
    <w:rsid w:val="00683035"/>
    <w:rsid w:val="0068318E"/>
    <w:rsid w:val="006831B4"/>
    <w:rsid w:val="0068320E"/>
    <w:rsid w:val="00683300"/>
    <w:rsid w:val="006833E4"/>
    <w:rsid w:val="006833E9"/>
    <w:rsid w:val="0068341B"/>
    <w:rsid w:val="00683447"/>
    <w:rsid w:val="006834A0"/>
    <w:rsid w:val="00683531"/>
    <w:rsid w:val="00683546"/>
    <w:rsid w:val="006835D0"/>
    <w:rsid w:val="00683712"/>
    <w:rsid w:val="00683A01"/>
    <w:rsid w:val="00683A41"/>
    <w:rsid w:val="00683A92"/>
    <w:rsid w:val="00683AD8"/>
    <w:rsid w:val="00683B05"/>
    <w:rsid w:val="00683B4B"/>
    <w:rsid w:val="00683B74"/>
    <w:rsid w:val="00683D1A"/>
    <w:rsid w:val="00683D1C"/>
    <w:rsid w:val="00683D51"/>
    <w:rsid w:val="00683D6C"/>
    <w:rsid w:val="00684020"/>
    <w:rsid w:val="0068407B"/>
    <w:rsid w:val="0068412A"/>
    <w:rsid w:val="00684155"/>
    <w:rsid w:val="0068417B"/>
    <w:rsid w:val="006841EB"/>
    <w:rsid w:val="0068435D"/>
    <w:rsid w:val="006843D9"/>
    <w:rsid w:val="006843FB"/>
    <w:rsid w:val="00684419"/>
    <w:rsid w:val="0068442E"/>
    <w:rsid w:val="00684489"/>
    <w:rsid w:val="00684626"/>
    <w:rsid w:val="0068463E"/>
    <w:rsid w:val="00684697"/>
    <w:rsid w:val="00684719"/>
    <w:rsid w:val="006848C5"/>
    <w:rsid w:val="0068499E"/>
    <w:rsid w:val="006849DA"/>
    <w:rsid w:val="00684A6B"/>
    <w:rsid w:val="00684AAD"/>
    <w:rsid w:val="00684AD6"/>
    <w:rsid w:val="00684B43"/>
    <w:rsid w:val="00684CA2"/>
    <w:rsid w:val="00684CC4"/>
    <w:rsid w:val="00684CDB"/>
    <w:rsid w:val="00684D76"/>
    <w:rsid w:val="00684DF7"/>
    <w:rsid w:val="00684F0F"/>
    <w:rsid w:val="00684F21"/>
    <w:rsid w:val="00684F45"/>
    <w:rsid w:val="00684F8E"/>
    <w:rsid w:val="00685001"/>
    <w:rsid w:val="006850BC"/>
    <w:rsid w:val="0068519D"/>
    <w:rsid w:val="006851B0"/>
    <w:rsid w:val="00685474"/>
    <w:rsid w:val="0068549A"/>
    <w:rsid w:val="0068552A"/>
    <w:rsid w:val="006855B9"/>
    <w:rsid w:val="006855E1"/>
    <w:rsid w:val="006856E5"/>
    <w:rsid w:val="0068579E"/>
    <w:rsid w:val="006857F5"/>
    <w:rsid w:val="0068591B"/>
    <w:rsid w:val="0068594E"/>
    <w:rsid w:val="00685A4D"/>
    <w:rsid w:val="00685A8D"/>
    <w:rsid w:val="00685B36"/>
    <w:rsid w:val="00685BF7"/>
    <w:rsid w:val="00685C05"/>
    <w:rsid w:val="00685CB2"/>
    <w:rsid w:val="00685D76"/>
    <w:rsid w:val="00685D7A"/>
    <w:rsid w:val="00685DCF"/>
    <w:rsid w:val="00685DEE"/>
    <w:rsid w:val="00685DF7"/>
    <w:rsid w:val="00686008"/>
    <w:rsid w:val="006860CA"/>
    <w:rsid w:val="006860E9"/>
    <w:rsid w:val="00686162"/>
    <w:rsid w:val="006861C0"/>
    <w:rsid w:val="00686316"/>
    <w:rsid w:val="00686364"/>
    <w:rsid w:val="00686560"/>
    <w:rsid w:val="0068664C"/>
    <w:rsid w:val="0068668E"/>
    <w:rsid w:val="006866FC"/>
    <w:rsid w:val="006867C8"/>
    <w:rsid w:val="006867CC"/>
    <w:rsid w:val="00686865"/>
    <w:rsid w:val="006868E2"/>
    <w:rsid w:val="0068697B"/>
    <w:rsid w:val="00686A61"/>
    <w:rsid w:val="00686A9B"/>
    <w:rsid w:val="00686ACC"/>
    <w:rsid w:val="00686B1B"/>
    <w:rsid w:val="00686B43"/>
    <w:rsid w:val="00686B4C"/>
    <w:rsid w:val="00686B6A"/>
    <w:rsid w:val="00686B6D"/>
    <w:rsid w:val="00686B74"/>
    <w:rsid w:val="00686BA3"/>
    <w:rsid w:val="00686BF2"/>
    <w:rsid w:val="00686C72"/>
    <w:rsid w:val="00686C77"/>
    <w:rsid w:val="00686C82"/>
    <w:rsid w:val="00686CE4"/>
    <w:rsid w:val="00686D4F"/>
    <w:rsid w:val="00686DF6"/>
    <w:rsid w:val="00686E70"/>
    <w:rsid w:val="00686F7C"/>
    <w:rsid w:val="00686FA6"/>
    <w:rsid w:val="00687033"/>
    <w:rsid w:val="00687192"/>
    <w:rsid w:val="00687245"/>
    <w:rsid w:val="006872CF"/>
    <w:rsid w:val="00687583"/>
    <w:rsid w:val="006875F1"/>
    <w:rsid w:val="0068763F"/>
    <w:rsid w:val="006876D1"/>
    <w:rsid w:val="006876E5"/>
    <w:rsid w:val="0068774C"/>
    <w:rsid w:val="00687770"/>
    <w:rsid w:val="006877DA"/>
    <w:rsid w:val="00687869"/>
    <w:rsid w:val="00687A17"/>
    <w:rsid w:val="00687ACD"/>
    <w:rsid w:val="00687AF9"/>
    <w:rsid w:val="00687B53"/>
    <w:rsid w:val="00687BD0"/>
    <w:rsid w:val="00687BEA"/>
    <w:rsid w:val="00687C83"/>
    <w:rsid w:val="00687D81"/>
    <w:rsid w:val="00687DB5"/>
    <w:rsid w:val="00687E72"/>
    <w:rsid w:val="00687F7D"/>
    <w:rsid w:val="00687FD8"/>
    <w:rsid w:val="00687FEB"/>
    <w:rsid w:val="006900B2"/>
    <w:rsid w:val="006900CC"/>
    <w:rsid w:val="0069019F"/>
    <w:rsid w:val="006901C6"/>
    <w:rsid w:val="00690318"/>
    <w:rsid w:val="0069036D"/>
    <w:rsid w:val="00690458"/>
    <w:rsid w:val="00690486"/>
    <w:rsid w:val="00690495"/>
    <w:rsid w:val="00690514"/>
    <w:rsid w:val="00690617"/>
    <w:rsid w:val="00690676"/>
    <w:rsid w:val="00690681"/>
    <w:rsid w:val="006906F1"/>
    <w:rsid w:val="006907A0"/>
    <w:rsid w:val="00690809"/>
    <w:rsid w:val="006908D2"/>
    <w:rsid w:val="00690945"/>
    <w:rsid w:val="006909B7"/>
    <w:rsid w:val="00690A0A"/>
    <w:rsid w:val="00690A92"/>
    <w:rsid w:val="00690B28"/>
    <w:rsid w:val="00690B56"/>
    <w:rsid w:val="00690BFF"/>
    <w:rsid w:val="00690C25"/>
    <w:rsid w:val="00690C81"/>
    <w:rsid w:val="00690D2F"/>
    <w:rsid w:val="00690E4F"/>
    <w:rsid w:val="00690F1E"/>
    <w:rsid w:val="00690F34"/>
    <w:rsid w:val="00691146"/>
    <w:rsid w:val="006911BF"/>
    <w:rsid w:val="0069129A"/>
    <w:rsid w:val="006912AF"/>
    <w:rsid w:val="006912BC"/>
    <w:rsid w:val="0069136B"/>
    <w:rsid w:val="00691377"/>
    <w:rsid w:val="006913D3"/>
    <w:rsid w:val="00691413"/>
    <w:rsid w:val="0069146C"/>
    <w:rsid w:val="00691502"/>
    <w:rsid w:val="0069154B"/>
    <w:rsid w:val="0069157E"/>
    <w:rsid w:val="006915AF"/>
    <w:rsid w:val="006915BB"/>
    <w:rsid w:val="00691629"/>
    <w:rsid w:val="006917FE"/>
    <w:rsid w:val="00691853"/>
    <w:rsid w:val="00691854"/>
    <w:rsid w:val="006919A3"/>
    <w:rsid w:val="006919C0"/>
    <w:rsid w:val="006919C3"/>
    <w:rsid w:val="00691A65"/>
    <w:rsid w:val="00691A98"/>
    <w:rsid w:val="00691A9F"/>
    <w:rsid w:val="00691AF4"/>
    <w:rsid w:val="00691B1A"/>
    <w:rsid w:val="00691B86"/>
    <w:rsid w:val="00691C3E"/>
    <w:rsid w:val="00691CB1"/>
    <w:rsid w:val="00691D5A"/>
    <w:rsid w:val="00691E15"/>
    <w:rsid w:val="00691E76"/>
    <w:rsid w:val="00691EB9"/>
    <w:rsid w:val="0069206B"/>
    <w:rsid w:val="0069208D"/>
    <w:rsid w:val="006921C5"/>
    <w:rsid w:val="006921D5"/>
    <w:rsid w:val="0069228A"/>
    <w:rsid w:val="006922EF"/>
    <w:rsid w:val="0069232D"/>
    <w:rsid w:val="00692398"/>
    <w:rsid w:val="006923F5"/>
    <w:rsid w:val="00692418"/>
    <w:rsid w:val="0069242C"/>
    <w:rsid w:val="00692452"/>
    <w:rsid w:val="006924E3"/>
    <w:rsid w:val="00692512"/>
    <w:rsid w:val="00692652"/>
    <w:rsid w:val="0069267C"/>
    <w:rsid w:val="00692680"/>
    <w:rsid w:val="00692688"/>
    <w:rsid w:val="006926D8"/>
    <w:rsid w:val="006926E9"/>
    <w:rsid w:val="006926F1"/>
    <w:rsid w:val="00692743"/>
    <w:rsid w:val="00692807"/>
    <w:rsid w:val="00692840"/>
    <w:rsid w:val="006928CE"/>
    <w:rsid w:val="006929BD"/>
    <w:rsid w:val="00692AA9"/>
    <w:rsid w:val="00692B39"/>
    <w:rsid w:val="00692BA8"/>
    <w:rsid w:val="00692BC0"/>
    <w:rsid w:val="00692BDA"/>
    <w:rsid w:val="00692D21"/>
    <w:rsid w:val="00692D6D"/>
    <w:rsid w:val="00692EEE"/>
    <w:rsid w:val="00692F55"/>
    <w:rsid w:val="00692F88"/>
    <w:rsid w:val="00693068"/>
    <w:rsid w:val="006930CF"/>
    <w:rsid w:val="006930E3"/>
    <w:rsid w:val="0069311F"/>
    <w:rsid w:val="00693158"/>
    <w:rsid w:val="0069316B"/>
    <w:rsid w:val="00693174"/>
    <w:rsid w:val="006931B4"/>
    <w:rsid w:val="00693251"/>
    <w:rsid w:val="00693298"/>
    <w:rsid w:val="006932CC"/>
    <w:rsid w:val="0069343D"/>
    <w:rsid w:val="00693447"/>
    <w:rsid w:val="0069359F"/>
    <w:rsid w:val="006935A2"/>
    <w:rsid w:val="00693600"/>
    <w:rsid w:val="006936A2"/>
    <w:rsid w:val="006937C3"/>
    <w:rsid w:val="00693809"/>
    <w:rsid w:val="0069383B"/>
    <w:rsid w:val="0069385A"/>
    <w:rsid w:val="006939D7"/>
    <w:rsid w:val="00693AB7"/>
    <w:rsid w:val="00693B67"/>
    <w:rsid w:val="00693BD1"/>
    <w:rsid w:val="00693C30"/>
    <w:rsid w:val="00693CCB"/>
    <w:rsid w:val="00693D08"/>
    <w:rsid w:val="00693D31"/>
    <w:rsid w:val="00693D99"/>
    <w:rsid w:val="00693DD7"/>
    <w:rsid w:val="00693DE3"/>
    <w:rsid w:val="00693EB0"/>
    <w:rsid w:val="00693EE7"/>
    <w:rsid w:val="00693F74"/>
    <w:rsid w:val="00693FC6"/>
    <w:rsid w:val="00694007"/>
    <w:rsid w:val="006940E4"/>
    <w:rsid w:val="006940F7"/>
    <w:rsid w:val="00694140"/>
    <w:rsid w:val="00694151"/>
    <w:rsid w:val="006941D7"/>
    <w:rsid w:val="006942AB"/>
    <w:rsid w:val="006942B7"/>
    <w:rsid w:val="00694322"/>
    <w:rsid w:val="00694394"/>
    <w:rsid w:val="00694522"/>
    <w:rsid w:val="006947BD"/>
    <w:rsid w:val="00694853"/>
    <w:rsid w:val="00694869"/>
    <w:rsid w:val="00694875"/>
    <w:rsid w:val="00694900"/>
    <w:rsid w:val="0069496B"/>
    <w:rsid w:val="006949A6"/>
    <w:rsid w:val="006949CC"/>
    <w:rsid w:val="00694B2E"/>
    <w:rsid w:val="00694B4E"/>
    <w:rsid w:val="00694B98"/>
    <w:rsid w:val="00694BC3"/>
    <w:rsid w:val="00694C1B"/>
    <w:rsid w:val="00694C55"/>
    <w:rsid w:val="00694D1C"/>
    <w:rsid w:val="00694D5C"/>
    <w:rsid w:val="00694DB2"/>
    <w:rsid w:val="00694E27"/>
    <w:rsid w:val="00694F71"/>
    <w:rsid w:val="00694FD1"/>
    <w:rsid w:val="00695131"/>
    <w:rsid w:val="0069514F"/>
    <w:rsid w:val="00695169"/>
    <w:rsid w:val="0069516E"/>
    <w:rsid w:val="00695182"/>
    <w:rsid w:val="0069524D"/>
    <w:rsid w:val="006952A9"/>
    <w:rsid w:val="006953EC"/>
    <w:rsid w:val="006954D9"/>
    <w:rsid w:val="006954EC"/>
    <w:rsid w:val="0069564C"/>
    <w:rsid w:val="00695688"/>
    <w:rsid w:val="0069581D"/>
    <w:rsid w:val="00695865"/>
    <w:rsid w:val="00695898"/>
    <w:rsid w:val="006958ED"/>
    <w:rsid w:val="0069595A"/>
    <w:rsid w:val="006959DD"/>
    <w:rsid w:val="00695A34"/>
    <w:rsid w:val="00695B32"/>
    <w:rsid w:val="00695B3B"/>
    <w:rsid w:val="00695B86"/>
    <w:rsid w:val="00695C22"/>
    <w:rsid w:val="00695CAB"/>
    <w:rsid w:val="00695CAF"/>
    <w:rsid w:val="00695CF3"/>
    <w:rsid w:val="00695D88"/>
    <w:rsid w:val="00695DA4"/>
    <w:rsid w:val="00695E79"/>
    <w:rsid w:val="00695F52"/>
    <w:rsid w:val="00695F6E"/>
    <w:rsid w:val="00696050"/>
    <w:rsid w:val="006960B0"/>
    <w:rsid w:val="00696104"/>
    <w:rsid w:val="0069610A"/>
    <w:rsid w:val="00696113"/>
    <w:rsid w:val="006961B4"/>
    <w:rsid w:val="00696227"/>
    <w:rsid w:val="00696290"/>
    <w:rsid w:val="006962C3"/>
    <w:rsid w:val="00696314"/>
    <w:rsid w:val="006964F4"/>
    <w:rsid w:val="0069669A"/>
    <w:rsid w:val="00696755"/>
    <w:rsid w:val="0069678C"/>
    <w:rsid w:val="0069695B"/>
    <w:rsid w:val="00696A42"/>
    <w:rsid w:val="00696A98"/>
    <w:rsid w:val="00696B24"/>
    <w:rsid w:val="00696C51"/>
    <w:rsid w:val="00696C60"/>
    <w:rsid w:val="00696DCA"/>
    <w:rsid w:val="00696ED8"/>
    <w:rsid w:val="00696F01"/>
    <w:rsid w:val="00696F20"/>
    <w:rsid w:val="00696F67"/>
    <w:rsid w:val="0069715C"/>
    <w:rsid w:val="00697294"/>
    <w:rsid w:val="006972A0"/>
    <w:rsid w:val="00697389"/>
    <w:rsid w:val="006974FC"/>
    <w:rsid w:val="006975B0"/>
    <w:rsid w:val="006975C9"/>
    <w:rsid w:val="0069763C"/>
    <w:rsid w:val="0069764D"/>
    <w:rsid w:val="006976FE"/>
    <w:rsid w:val="00697763"/>
    <w:rsid w:val="00697795"/>
    <w:rsid w:val="006977A8"/>
    <w:rsid w:val="006977EC"/>
    <w:rsid w:val="00697816"/>
    <w:rsid w:val="0069785A"/>
    <w:rsid w:val="0069789F"/>
    <w:rsid w:val="006978BF"/>
    <w:rsid w:val="006979A1"/>
    <w:rsid w:val="006979A5"/>
    <w:rsid w:val="006979CF"/>
    <w:rsid w:val="00697AF7"/>
    <w:rsid w:val="00697C90"/>
    <w:rsid w:val="00697CB2"/>
    <w:rsid w:val="00697D03"/>
    <w:rsid w:val="00697DEF"/>
    <w:rsid w:val="00697E0F"/>
    <w:rsid w:val="00697E5B"/>
    <w:rsid w:val="00697E5D"/>
    <w:rsid w:val="00697E7A"/>
    <w:rsid w:val="00697E8F"/>
    <w:rsid w:val="00697EAC"/>
    <w:rsid w:val="00697EED"/>
    <w:rsid w:val="00697F4D"/>
    <w:rsid w:val="006A00D1"/>
    <w:rsid w:val="006A011C"/>
    <w:rsid w:val="006A0193"/>
    <w:rsid w:val="006A01CF"/>
    <w:rsid w:val="006A0203"/>
    <w:rsid w:val="006A02C4"/>
    <w:rsid w:val="006A0301"/>
    <w:rsid w:val="006A0317"/>
    <w:rsid w:val="006A0385"/>
    <w:rsid w:val="006A038B"/>
    <w:rsid w:val="006A039D"/>
    <w:rsid w:val="006A054F"/>
    <w:rsid w:val="006A06AE"/>
    <w:rsid w:val="006A0768"/>
    <w:rsid w:val="006A0820"/>
    <w:rsid w:val="006A082A"/>
    <w:rsid w:val="006A0890"/>
    <w:rsid w:val="006A08EA"/>
    <w:rsid w:val="006A0950"/>
    <w:rsid w:val="006A0971"/>
    <w:rsid w:val="006A09CB"/>
    <w:rsid w:val="006A0A02"/>
    <w:rsid w:val="006A0A0E"/>
    <w:rsid w:val="006A0A50"/>
    <w:rsid w:val="006A0A6B"/>
    <w:rsid w:val="006A0A81"/>
    <w:rsid w:val="006A0B2B"/>
    <w:rsid w:val="006A0B33"/>
    <w:rsid w:val="006A0B68"/>
    <w:rsid w:val="006A0D0E"/>
    <w:rsid w:val="006A0D94"/>
    <w:rsid w:val="006A0DC5"/>
    <w:rsid w:val="006A0E01"/>
    <w:rsid w:val="006A0EE7"/>
    <w:rsid w:val="006A0F64"/>
    <w:rsid w:val="006A0FC6"/>
    <w:rsid w:val="006A10CE"/>
    <w:rsid w:val="006A10E7"/>
    <w:rsid w:val="006A117E"/>
    <w:rsid w:val="006A11FB"/>
    <w:rsid w:val="006A1266"/>
    <w:rsid w:val="006A12B8"/>
    <w:rsid w:val="006A12D1"/>
    <w:rsid w:val="006A12D3"/>
    <w:rsid w:val="006A137D"/>
    <w:rsid w:val="006A1384"/>
    <w:rsid w:val="006A141D"/>
    <w:rsid w:val="006A141F"/>
    <w:rsid w:val="006A142F"/>
    <w:rsid w:val="006A14C4"/>
    <w:rsid w:val="006A14DA"/>
    <w:rsid w:val="006A154F"/>
    <w:rsid w:val="006A15F0"/>
    <w:rsid w:val="006A15F2"/>
    <w:rsid w:val="006A160D"/>
    <w:rsid w:val="006A1626"/>
    <w:rsid w:val="006A162A"/>
    <w:rsid w:val="006A1662"/>
    <w:rsid w:val="006A1775"/>
    <w:rsid w:val="006A179C"/>
    <w:rsid w:val="006A17EF"/>
    <w:rsid w:val="006A1821"/>
    <w:rsid w:val="006A182B"/>
    <w:rsid w:val="006A1840"/>
    <w:rsid w:val="006A1844"/>
    <w:rsid w:val="006A1896"/>
    <w:rsid w:val="006A18A1"/>
    <w:rsid w:val="006A18C5"/>
    <w:rsid w:val="006A18E7"/>
    <w:rsid w:val="006A1909"/>
    <w:rsid w:val="006A1952"/>
    <w:rsid w:val="006A1982"/>
    <w:rsid w:val="006A1A41"/>
    <w:rsid w:val="006A1A6D"/>
    <w:rsid w:val="006A1B0E"/>
    <w:rsid w:val="006A1B56"/>
    <w:rsid w:val="006A1CF4"/>
    <w:rsid w:val="006A1D0B"/>
    <w:rsid w:val="006A1D79"/>
    <w:rsid w:val="006A1DC3"/>
    <w:rsid w:val="006A1E43"/>
    <w:rsid w:val="006A1E4C"/>
    <w:rsid w:val="006A1E9A"/>
    <w:rsid w:val="006A1F37"/>
    <w:rsid w:val="006A1F49"/>
    <w:rsid w:val="006A2010"/>
    <w:rsid w:val="006A20CC"/>
    <w:rsid w:val="006A21B1"/>
    <w:rsid w:val="006A21BA"/>
    <w:rsid w:val="006A21CB"/>
    <w:rsid w:val="006A223D"/>
    <w:rsid w:val="006A22D8"/>
    <w:rsid w:val="006A23E6"/>
    <w:rsid w:val="006A243E"/>
    <w:rsid w:val="006A2440"/>
    <w:rsid w:val="006A2477"/>
    <w:rsid w:val="006A2530"/>
    <w:rsid w:val="006A25FE"/>
    <w:rsid w:val="006A28AF"/>
    <w:rsid w:val="006A28E5"/>
    <w:rsid w:val="006A2973"/>
    <w:rsid w:val="006A29DA"/>
    <w:rsid w:val="006A2A95"/>
    <w:rsid w:val="006A2AD6"/>
    <w:rsid w:val="006A2AFC"/>
    <w:rsid w:val="006A2B0D"/>
    <w:rsid w:val="006A2CCF"/>
    <w:rsid w:val="006A2CDB"/>
    <w:rsid w:val="006A2D0C"/>
    <w:rsid w:val="006A2DB0"/>
    <w:rsid w:val="006A2E4F"/>
    <w:rsid w:val="006A2FCE"/>
    <w:rsid w:val="006A2FEA"/>
    <w:rsid w:val="006A3092"/>
    <w:rsid w:val="006A3116"/>
    <w:rsid w:val="006A3185"/>
    <w:rsid w:val="006A31E5"/>
    <w:rsid w:val="006A3208"/>
    <w:rsid w:val="006A3240"/>
    <w:rsid w:val="006A326B"/>
    <w:rsid w:val="006A32A0"/>
    <w:rsid w:val="006A3388"/>
    <w:rsid w:val="006A33C2"/>
    <w:rsid w:val="006A33E7"/>
    <w:rsid w:val="006A34A5"/>
    <w:rsid w:val="006A34C9"/>
    <w:rsid w:val="006A365D"/>
    <w:rsid w:val="006A36D4"/>
    <w:rsid w:val="006A36F8"/>
    <w:rsid w:val="006A3749"/>
    <w:rsid w:val="006A37A6"/>
    <w:rsid w:val="006A3839"/>
    <w:rsid w:val="006A38D2"/>
    <w:rsid w:val="006A3965"/>
    <w:rsid w:val="006A39FE"/>
    <w:rsid w:val="006A3A13"/>
    <w:rsid w:val="006A3AE8"/>
    <w:rsid w:val="006A3B2B"/>
    <w:rsid w:val="006A3BDB"/>
    <w:rsid w:val="006A3C49"/>
    <w:rsid w:val="006A3CB1"/>
    <w:rsid w:val="006A3CB8"/>
    <w:rsid w:val="006A3DA3"/>
    <w:rsid w:val="006A3DAD"/>
    <w:rsid w:val="006A3E23"/>
    <w:rsid w:val="006A3E2F"/>
    <w:rsid w:val="006A3E62"/>
    <w:rsid w:val="006A3ED7"/>
    <w:rsid w:val="006A4063"/>
    <w:rsid w:val="006A40BC"/>
    <w:rsid w:val="006A4104"/>
    <w:rsid w:val="006A4121"/>
    <w:rsid w:val="006A436F"/>
    <w:rsid w:val="006A43A7"/>
    <w:rsid w:val="006A44FE"/>
    <w:rsid w:val="006A4532"/>
    <w:rsid w:val="006A4542"/>
    <w:rsid w:val="006A463C"/>
    <w:rsid w:val="006A4680"/>
    <w:rsid w:val="006A46CA"/>
    <w:rsid w:val="006A474E"/>
    <w:rsid w:val="006A47E5"/>
    <w:rsid w:val="006A4814"/>
    <w:rsid w:val="006A4981"/>
    <w:rsid w:val="006A4A11"/>
    <w:rsid w:val="006A4A85"/>
    <w:rsid w:val="006A4A8A"/>
    <w:rsid w:val="006A4AA3"/>
    <w:rsid w:val="006A4B5C"/>
    <w:rsid w:val="006A4D75"/>
    <w:rsid w:val="006A4E7E"/>
    <w:rsid w:val="006A4E9B"/>
    <w:rsid w:val="006A4EC7"/>
    <w:rsid w:val="006A4EE1"/>
    <w:rsid w:val="006A522F"/>
    <w:rsid w:val="006A5277"/>
    <w:rsid w:val="006A5319"/>
    <w:rsid w:val="006A535C"/>
    <w:rsid w:val="006A53C3"/>
    <w:rsid w:val="006A53E7"/>
    <w:rsid w:val="006A5422"/>
    <w:rsid w:val="006A5487"/>
    <w:rsid w:val="006A54C3"/>
    <w:rsid w:val="006A5583"/>
    <w:rsid w:val="006A55BB"/>
    <w:rsid w:val="006A589D"/>
    <w:rsid w:val="006A5911"/>
    <w:rsid w:val="006A599C"/>
    <w:rsid w:val="006A59CD"/>
    <w:rsid w:val="006A5ABE"/>
    <w:rsid w:val="006A5CE7"/>
    <w:rsid w:val="006A5DA1"/>
    <w:rsid w:val="006A5E63"/>
    <w:rsid w:val="006A5ECC"/>
    <w:rsid w:val="006A5F76"/>
    <w:rsid w:val="006A60A0"/>
    <w:rsid w:val="006A6117"/>
    <w:rsid w:val="006A62B6"/>
    <w:rsid w:val="006A6429"/>
    <w:rsid w:val="006A642D"/>
    <w:rsid w:val="006A64C8"/>
    <w:rsid w:val="006A6553"/>
    <w:rsid w:val="006A6559"/>
    <w:rsid w:val="006A6578"/>
    <w:rsid w:val="006A6621"/>
    <w:rsid w:val="006A6732"/>
    <w:rsid w:val="006A6785"/>
    <w:rsid w:val="006A6794"/>
    <w:rsid w:val="006A67A8"/>
    <w:rsid w:val="006A6901"/>
    <w:rsid w:val="006A69FE"/>
    <w:rsid w:val="006A6B1F"/>
    <w:rsid w:val="006A6B2E"/>
    <w:rsid w:val="006A6C14"/>
    <w:rsid w:val="006A6C30"/>
    <w:rsid w:val="006A6C56"/>
    <w:rsid w:val="006A6C95"/>
    <w:rsid w:val="006A6CA3"/>
    <w:rsid w:val="006A6CB3"/>
    <w:rsid w:val="006A6DFC"/>
    <w:rsid w:val="006A6E96"/>
    <w:rsid w:val="006A6EC0"/>
    <w:rsid w:val="006A6FAF"/>
    <w:rsid w:val="006A701C"/>
    <w:rsid w:val="006A701D"/>
    <w:rsid w:val="006A715C"/>
    <w:rsid w:val="006A717C"/>
    <w:rsid w:val="006A71F0"/>
    <w:rsid w:val="006A7268"/>
    <w:rsid w:val="006A734C"/>
    <w:rsid w:val="006A7439"/>
    <w:rsid w:val="006A7593"/>
    <w:rsid w:val="006A7639"/>
    <w:rsid w:val="006A7684"/>
    <w:rsid w:val="006A77B5"/>
    <w:rsid w:val="006A77BD"/>
    <w:rsid w:val="006A77C3"/>
    <w:rsid w:val="006A7806"/>
    <w:rsid w:val="006A7AB9"/>
    <w:rsid w:val="006A7ABD"/>
    <w:rsid w:val="006A7B4F"/>
    <w:rsid w:val="006A7B80"/>
    <w:rsid w:val="006A7BDF"/>
    <w:rsid w:val="006A7C0B"/>
    <w:rsid w:val="006A7DA9"/>
    <w:rsid w:val="006A7F4C"/>
    <w:rsid w:val="006B0084"/>
    <w:rsid w:val="006B00B5"/>
    <w:rsid w:val="006B0237"/>
    <w:rsid w:val="006B0257"/>
    <w:rsid w:val="006B0278"/>
    <w:rsid w:val="006B04DD"/>
    <w:rsid w:val="006B04E8"/>
    <w:rsid w:val="006B052B"/>
    <w:rsid w:val="006B061D"/>
    <w:rsid w:val="006B072E"/>
    <w:rsid w:val="006B0837"/>
    <w:rsid w:val="006B0A53"/>
    <w:rsid w:val="006B0A82"/>
    <w:rsid w:val="006B0A99"/>
    <w:rsid w:val="006B0AFC"/>
    <w:rsid w:val="006B0CA5"/>
    <w:rsid w:val="006B0D57"/>
    <w:rsid w:val="006B0D5E"/>
    <w:rsid w:val="006B0D8F"/>
    <w:rsid w:val="006B0D93"/>
    <w:rsid w:val="006B0D94"/>
    <w:rsid w:val="006B0DC7"/>
    <w:rsid w:val="006B0E44"/>
    <w:rsid w:val="006B0E93"/>
    <w:rsid w:val="006B0ED5"/>
    <w:rsid w:val="006B0F23"/>
    <w:rsid w:val="006B0F2E"/>
    <w:rsid w:val="006B0F6B"/>
    <w:rsid w:val="006B0F95"/>
    <w:rsid w:val="006B102E"/>
    <w:rsid w:val="006B107C"/>
    <w:rsid w:val="006B1115"/>
    <w:rsid w:val="006B12C1"/>
    <w:rsid w:val="006B12F6"/>
    <w:rsid w:val="006B1378"/>
    <w:rsid w:val="006B14F9"/>
    <w:rsid w:val="006B1565"/>
    <w:rsid w:val="006B1568"/>
    <w:rsid w:val="006B15B1"/>
    <w:rsid w:val="006B161A"/>
    <w:rsid w:val="006B163A"/>
    <w:rsid w:val="006B1660"/>
    <w:rsid w:val="006B166B"/>
    <w:rsid w:val="006B172D"/>
    <w:rsid w:val="006B17AA"/>
    <w:rsid w:val="006B18DC"/>
    <w:rsid w:val="006B1999"/>
    <w:rsid w:val="006B1A90"/>
    <w:rsid w:val="006B1B40"/>
    <w:rsid w:val="006B1BC3"/>
    <w:rsid w:val="006B1D31"/>
    <w:rsid w:val="006B1D54"/>
    <w:rsid w:val="006B1D8B"/>
    <w:rsid w:val="006B1DAE"/>
    <w:rsid w:val="006B1E24"/>
    <w:rsid w:val="006B1E8E"/>
    <w:rsid w:val="006B1EBF"/>
    <w:rsid w:val="006B1F1A"/>
    <w:rsid w:val="006B1F1F"/>
    <w:rsid w:val="006B2001"/>
    <w:rsid w:val="006B2046"/>
    <w:rsid w:val="006B2052"/>
    <w:rsid w:val="006B205E"/>
    <w:rsid w:val="006B2131"/>
    <w:rsid w:val="006B2314"/>
    <w:rsid w:val="006B238C"/>
    <w:rsid w:val="006B23B2"/>
    <w:rsid w:val="006B23E1"/>
    <w:rsid w:val="006B2409"/>
    <w:rsid w:val="006B24FE"/>
    <w:rsid w:val="006B251A"/>
    <w:rsid w:val="006B25F2"/>
    <w:rsid w:val="006B2682"/>
    <w:rsid w:val="006B2741"/>
    <w:rsid w:val="006B278E"/>
    <w:rsid w:val="006B27AC"/>
    <w:rsid w:val="006B27F0"/>
    <w:rsid w:val="006B284F"/>
    <w:rsid w:val="006B2859"/>
    <w:rsid w:val="006B28FA"/>
    <w:rsid w:val="006B2911"/>
    <w:rsid w:val="006B29B7"/>
    <w:rsid w:val="006B2A63"/>
    <w:rsid w:val="006B2A89"/>
    <w:rsid w:val="006B2A9D"/>
    <w:rsid w:val="006B2B24"/>
    <w:rsid w:val="006B2B33"/>
    <w:rsid w:val="006B2B38"/>
    <w:rsid w:val="006B2B54"/>
    <w:rsid w:val="006B2C88"/>
    <w:rsid w:val="006B2DB8"/>
    <w:rsid w:val="006B2DF2"/>
    <w:rsid w:val="006B2F1C"/>
    <w:rsid w:val="006B3064"/>
    <w:rsid w:val="006B3065"/>
    <w:rsid w:val="006B3165"/>
    <w:rsid w:val="006B31E0"/>
    <w:rsid w:val="006B325A"/>
    <w:rsid w:val="006B327B"/>
    <w:rsid w:val="006B3286"/>
    <w:rsid w:val="006B32E0"/>
    <w:rsid w:val="006B3319"/>
    <w:rsid w:val="006B3374"/>
    <w:rsid w:val="006B338B"/>
    <w:rsid w:val="006B348B"/>
    <w:rsid w:val="006B34D2"/>
    <w:rsid w:val="006B34EE"/>
    <w:rsid w:val="006B353C"/>
    <w:rsid w:val="006B3586"/>
    <w:rsid w:val="006B35E5"/>
    <w:rsid w:val="006B3649"/>
    <w:rsid w:val="006B369D"/>
    <w:rsid w:val="006B36AB"/>
    <w:rsid w:val="006B3707"/>
    <w:rsid w:val="006B3912"/>
    <w:rsid w:val="006B392D"/>
    <w:rsid w:val="006B3956"/>
    <w:rsid w:val="006B3A27"/>
    <w:rsid w:val="006B3AA2"/>
    <w:rsid w:val="006B3AD1"/>
    <w:rsid w:val="006B3B04"/>
    <w:rsid w:val="006B3B3E"/>
    <w:rsid w:val="006B3B9D"/>
    <w:rsid w:val="006B3C50"/>
    <w:rsid w:val="006B3D88"/>
    <w:rsid w:val="006B3D90"/>
    <w:rsid w:val="006B3E9C"/>
    <w:rsid w:val="006B3EAA"/>
    <w:rsid w:val="006B3ED3"/>
    <w:rsid w:val="006B407A"/>
    <w:rsid w:val="006B411A"/>
    <w:rsid w:val="006B4120"/>
    <w:rsid w:val="006B41B3"/>
    <w:rsid w:val="006B423D"/>
    <w:rsid w:val="006B4252"/>
    <w:rsid w:val="006B42EB"/>
    <w:rsid w:val="006B4311"/>
    <w:rsid w:val="006B4365"/>
    <w:rsid w:val="006B438A"/>
    <w:rsid w:val="006B43B0"/>
    <w:rsid w:val="006B43BF"/>
    <w:rsid w:val="006B4475"/>
    <w:rsid w:val="006B447B"/>
    <w:rsid w:val="006B4544"/>
    <w:rsid w:val="006B4552"/>
    <w:rsid w:val="006B4584"/>
    <w:rsid w:val="006B462B"/>
    <w:rsid w:val="006B4707"/>
    <w:rsid w:val="006B47A3"/>
    <w:rsid w:val="006B47D2"/>
    <w:rsid w:val="006B48C5"/>
    <w:rsid w:val="006B48ED"/>
    <w:rsid w:val="006B4B15"/>
    <w:rsid w:val="006B4B49"/>
    <w:rsid w:val="006B4B7A"/>
    <w:rsid w:val="006B4B7E"/>
    <w:rsid w:val="006B4BD8"/>
    <w:rsid w:val="006B4C95"/>
    <w:rsid w:val="006B4CBA"/>
    <w:rsid w:val="006B4DE1"/>
    <w:rsid w:val="006B4E2B"/>
    <w:rsid w:val="006B4EF7"/>
    <w:rsid w:val="006B4F2D"/>
    <w:rsid w:val="006B50E8"/>
    <w:rsid w:val="006B5101"/>
    <w:rsid w:val="006B5133"/>
    <w:rsid w:val="006B526C"/>
    <w:rsid w:val="006B52B7"/>
    <w:rsid w:val="006B52BA"/>
    <w:rsid w:val="006B52E2"/>
    <w:rsid w:val="006B537C"/>
    <w:rsid w:val="006B53A9"/>
    <w:rsid w:val="006B53C1"/>
    <w:rsid w:val="006B5414"/>
    <w:rsid w:val="006B5632"/>
    <w:rsid w:val="006B5706"/>
    <w:rsid w:val="006B5751"/>
    <w:rsid w:val="006B5773"/>
    <w:rsid w:val="006B578E"/>
    <w:rsid w:val="006B5798"/>
    <w:rsid w:val="006B57A8"/>
    <w:rsid w:val="006B57B7"/>
    <w:rsid w:val="006B57D6"/>
    <w:rsid w:val="006B5860"/>
    <w:rsid w:val="006B587A"/>
    <w:rsid w:val="006B5890"/>
    <w:rsid w:val="006B5898"/>
    <w:rsid w:val="006B589F"/>
    <w:rsid w:val="006B58DF"/>
    <w:rsid w:val="006B58F4"/>
    <w:rsid w:val="006B591E"/>
    <w:rsid w:val="006B5971"/>
    <w:rsid w:val="006B5A25"/>
    <w:rsid w:val="006B5A88"/>
    <w:rsid w:val="006B5B76"/>
    <w:rsid w:val="006B5C79"/>
    <w:rsid w:val="006B5D17"/>
    <w:rsid w:val="006B5D2A"/>
    <w:rsid w:val="006B5D73"/>
    <w:rsid w:val="006B5D75"/>
    <w:rsid w:val="006B5DD8"/>
    <w:rsid w:val="006B5DEF"/>
    <w:rsid w:val="006B5EA4"/>
    <w:rsid w:val="006B5ED5"/>
    <w:rsid w:val="006B619F"/>
    <w:rsid w:val="006B61E2"/>
    <w:rsid w:val="006B6257"/>
    <w:rsid w:val="006B625D"/>
    <w:rsid w:val="006B6266"/>
    <w:rsid w:val="006B6342"/>
    <w:rsid w:val="006B63BC"/>
    <w:rsid w:val="006B647B"/>
    <w:rsid w:val="006B64B3"/>
    <w:rsid w:val="006B64C4"/>
    <w:rsid w:val="006B64D4"/>
    <w:rsid w:val="006B6552"/>
    <w:rsid w:val="006B65F6"/>
    <w:rsid w:val="006B6666"/>
    <w:rsid w:val="006B676C"/>
    <w:rsid w:val="006B67A8"/>
    <w:rsid w:val="006B67C7"/>
    <w:rsid w:val="006B682D"/>
    <w:rsid w:val="006B68C3"/>
    <w:rsid w:val="006B6900"/>
    <w:rsid w:val="006B6980"/>
    <w:rsid w:val="006B6BAF"/>
    <w:rsid w:val="006B6C2E"/>
    <w:rsid w:val="006B6C99"/>
    <w:rsid w:val="006B6CDA"/>
    <w:rsid w:val="006B6D14"/>
    <w:rsid w:val="006B6EB8"/>
    <w:rsid w:val="006B6EE6"/>
    <w:rsid w:val="006B6F29"/>
    <w:rsid w:val="006B6FC9"/>
    <w:rsid w:val="006B6FF5"/>
    <w:rsid w:val="006B70DC"/>
    <w:rsid w:val="006B7142"/>
    <w:rsid w:val="006B7227"/>
    <w:rsid w:val="006B727B"/>
    <w:rsid w:val="006B7364"/>
    <w:rsid w:val="006B73BB"/>
    <w:rsid w:val="006B7410"/>
    <w:rsid w:val="006B7455"/>
    <w:rsid w:val="006B759B"/>
    <w:rsid w:val="006B767C"/>
    <w:rsid w:val="006B77AB"/>
    <w:rsid w:val="006B77C4"/>
    <w:rsid w:val="006B786F"/>
    <w:rsid w:val="006B7893"/>
    <w:rsid w:val="006B78A2"/>
    <w:rsid w:val="006B78CE"/>
    <w:rsid w:val="006B7917"/>
    <w:rsid w:val="006B79A0"/>
    <w:rsid w:val="006B79BA"/>
    <w:rsid w:val="006B7A0B"/>
    <w:rsid w:val="006B7B3F"/>
    <w:rsid w:val="006B7B8B"/>
    <w:rsid w:val="006B7BBF"/>
    <w:rsid w:val="006B7D51"/>
    <w:rsid w:val="006B7D9F"/>
    <w:rsid w:val="006B7DF6"/>
    <w:rsid w:val="006B7E73"/>
    <w:rsid w:val="006B7EC5"/>
    <w:rsid w:val="006C0069"/>
    <w:rsid w:val="006C009F"/>
    <w:rsid w:val="006C01F1"/>
    <w:rsid w:val="006C020D"/>
    <w:rsid w:val="006C03AC"/>
    <w:rsid w:val="006C03E1"/>
    <w:rsid w:val="006C0453"/>
    <w:rsid w:val="006C0565"/>
    <w:rsid w:val="006C0595"/>
    <w:rsid w:val="006C05C6"/>
    <w:rsid w:val="006C0639"/>
    <w:rsid w:val="006C0668"/>
    <w:rsid w:val="006C07CA"/>
    <w:rsid w:val="006C08FC"/>
    <w:rsid w:val="006C097E"/>
    <w:rsid w:val="006C09AE"/>
    <w:rsid w:val="006C09F0"/>
    <w:rsid w:val="006C09F3"/>
    <w:rsid w:val="006C0A02"/>
    <w:rsid w:val="006C0A4A"/>
    <w:rsid w:val="006C0AA2"/>
    <w:rsid w:val="006C0AC2"/>
    <w:rsid w:val="006C0B8D"/>
    <w:rsid w:val="006C0C4A"/>
    <w:rsid w:val="006C0C90"/>
    <w:rsid w:val="006C0C97"/>
    <w:rsid w:val="006C0C9C"/>
    <w:rsid w:val="006C0D7D"/>
    <w:rsid w:val="006C0DFE"/>
    <w:rsid w:val="006C0E45"/>
    <w:rsid w:val="006C1007"/>
    <w:rsid w:val="006C10F6"/>
    <w:rsid w:val="006C1181"/>
    <w:rsid w:val="006C11B4"/>
    <w:rsid w:val="006C11FD"/>
    <w:rsid w:val="006C1255"/>
    <w:rsid w:val="006C134B"/>
    <w:rsid w:val="006C13BB"/>
    <w:rsid w:val="006C13CD"/>
    <w:rsid w:val="006C13E0"/>
    <w:rsid w:val="006C1458"/>
    <w:rsid w:val="006C1462"/>
    <w:rsid w:val="006C1478"/>
    <w:rsid w:val="006C14D6"/>
    <w:rsid w:val="006C14E6"/>
    <w:rsid w:val="006C14FD"/>
    <w:rsid w:val="006C157E"/>
    <w:rsid w:val="006C1590"/>
    <w:rsid w:val="006C15AC"/>
    <w:rsid w:val="006C15C7"/>
    <w:rsid w:val="006C1657"/>
    <w:rsid w:val="006C16DB"/>
    <w:rsid w:val="006C1756"/>
    <w:rsid w:val="006C177D"/>
    <w:rsid w:val="006C1964"/>
    <w:rsid w:val="006C1972"/>
    <w:rsid w:val="006C1983"/>
    <w:rsid w:val="006C1A5A"/>
    <w:rsid w:val="006C1A5E"/>
    <w:rsid w:val="006C1AE1"/>
    <w:rsid w:val="006C1B5D"/>
    <w:rsid w:val="006C1BA8"/>
    <w:rsid w:val="006C1C10"/>
    <w:rsid w:val="006C1C12"/>
    <w:rsid w:val="006C1C16"/>
    <w:rsid w:val="006C1C3D"/>
    <w:rsid w:val="006C1C44"/>
    <w:rsid w:val="006C1CF7"/>
    <w:rsid w:val="006C1D1F"/>
    <w:rsid w:val="006C1D9F"/>
    <w:rsid w:val="006C1DC2"/>
    <w:rsid w:val="006C1F40"/>
    <w:rsid w:val="006C20D7"/>
    <w:rsid w:val="006C21BB"/>
    <w:rsid w:val="006C21D3"/>
    <w:rsid w:val="006C2348"/>
    <w:rsid w:val="006C23F6"/>
    <w:rsid w:val="006C2487"/>
    <w:rsid w:val="006C2493"/>
    <w:rsid w:val="006C24E4"/>
    <w:rsid w:val="006C24EC"/>
    <w:rsid w:val="006C2629"/>
    <w:rsid w:val="006C26E9"/>
    <w:rsid w:val="006C2729"/>
    <w:rsid w:val="006C2790"/>
    <w:rsid w:val="006C27CD"/>
    <w:rsid w:val="006C2888"/>
    <w:rsid w:val="006C28E0"/>
    <w:rsid w:val="006C28FF"/>
    <w:rsid w:val="006C2926"/>
    <w:rsid w:val="006C29B7"/>
    <w:rsid w:val="006C29C6"/>
    <w:rsid w:val="006C2A09"/>
    <w:rsid w:val="006C2B3F"/>
    <w:rsid w:val="006C2BF0"/>
    <w:rsid w:val="006C2C2C"/>
    <w:rsid w:val="006C2E03"/>
    <w:rsid w:val="006C2E36"/>
    <w:rsid w:val="006C2E46"/>
    <w:rsid w:val="006C2F95"/>
    <w:rsid w:val="006C2FCB"/>
    <w:rsid w:val="006C306F"/>
    <w:rsid w:val="006C3079"/>
    <w:rsid w:val="006C3134"/>
    <w:rsid w:val="006C3167"/>
    <w:rsid w:val="006C3335"/>
    <w:rsid w:val="006C33FF"/>
    <w:rsid w:val="006C351B"/>
    <w:rsid w:val="006C359C"/>
    <w:rsid w:val="006C3665"/>
    <w:rsid w:val="006C3669"/>
    <w:rsid w:val="006C3719"/>
    <w:rsid w:val="006C3797"/>
    <w:rsid w:val="006C379F"/>
    <w:rsid w:val="006C387C"/>
    <w:rsid w:val="006C38C2"/>
    <w:rsid w:val="006C39EC"/>
    <w:rsid w:val="006C3A5A"/>
    <w:rsid w:val="006C3A84"/>
    <w:rsid w:val="006C3AC4"/>
    <w:rsid w:val="006C3AFC"/>
    <w:rsid w:val="006C3B7D"/>
    <w:rsid w:val="006C3BD1"/>
    <w:rsid w:val="006C3BD4"/>
    <w:rsid w:val="006C3C9A"/>
    <w:rsid w:val="006C3CDB"/>
    <w:rsid w:val="006C3D75"/>
    <w:rsid w:val="006C3D76"/>
    <w:rsid w:val="006C3D79"/>
    <w:rsid w:val="006C3E71"/>
    <w:rsid w:val="006C3F26"/>
    <w:rsid w:val="006C3F56"/>
    <w:rsid w:val="006C3FD3"/>
    <w:rsid w:val="006C4048"/>
    <w:rsid w:val="006C410C"/>
    <w:rsid w:val="006C4115"/>
    <w:rsid w:val="006C4184"/>
    <w:rsid w:val="006C4215"/>
    <w:rsid w:val="006C4258"/>
    <w:rsid w:val="006C428B"/>
    <w:rsid w:val="006C42BC"/>
    <w:rsid w:val="006C42F9"/>
    <w:rsid w:val="006C43F1"/>
    <w:rsid w:val="006C4402"/>
    <w:rsid w:val="006C4552"/>
    <w:rsid w:val="006C46A3"/>
    <w:rsid w:val="006C4772"/>
    <w:rsid w:val="006C479E"/>
    <w:rsid w:val="006C481A"/>
    <w:rsid w:val="006C488A"/>
    <w:rsid w:val="006C48BD"/>
    <w:rsid w:val="006C490C"/>
    <w:rsid w:val="006C492D"/>
    <w:rsid w:val="006C4978"/>
    <w:rsid w:val="006C4A20"/>
    <w:rsid w:val="006C4B0B"/>
    <w:rsid w:val="006C4B34"/>
    <w:rsid w:val="006C4C7F"/>
    <w:rsid w:val="006C4D28"/>
    <w:rsid w:val="006C4D70"/>
    <w:rsid w:val="006C4E28"/>
    <w:rsid w:val="006C4E30"/>
    <w:rsid w:val="006C4E6C"/>
    <w:rsid w:val="006C4E7A"/>
    <w:rsid w:val="006C4EAF"/>
    <w:rsid w:val="006C4EC4"/>
    <w:rsid w:val="006C4F99"/>
    <w:rsid w:val="006C4F9E"/>
    <w:rsid w:val="006C5007"/>
    <w:rsid w:val="006C5095"/>
    <w:rsid w:val="006C50BA"/>
    <w:rsid w:val="006C5154"/>
    <w:rsid w:val="006C52C3"/>
    <w:rsid w:val="006C532C"/>
    <w:rsid w:val="006C5382"/>
    <w:rsid w:val="006C54B8"/>
    <w:rsid w:val="006C54E2"/>
    <w:rsid w:val="006C5576"/>
    <w:rsid w:val="006C558E"/>
    <w:rsid w:val="006C55A7"/>
    <w:rsid w:val="006C5637"/>
    <w:rsid w:val="006C5699"/>
    <w:rsid w:val="006C5704"/>
    <w:rsid w:val="006C5727"/>
    <w:rsid w:val="006C57E6"/>
    <w:rsid w:val="006C57EC"/>
    <w:rsid w:val="006C581F"/>
    <w:rsid w:val="006C5848"/>
    <w:rsid w:val="006C58CE"/>
    <w:rsid w:val="006C5981"/>
    <w:rsid w:val="006C5998"/>
    <w:rsid w:val="006C5A4B"/>
    <w:rsid w:val="006C5A52"/>
    <w:rsid w:val="006C5A57"/>
    <w:rsid w:val="006C5AB2"/>
    <w:rsid w:val="006C5AF4"/>
    <w:rsid w:val="006C5BD9"/>
    <w:rsid w:val="006C5C5E"/>
    <w:rsid w:val="006C5CFA"/>
    <w:rsid w:val="006C5D6F"/>
    <w:rsid w:val="006C5E66"/>
    <w:rsid w:val="006C5F32"/>
    <w:rsid w:val="006C6081"/>
    <w:rsid w:val="006C620D"/>
    <w:rsid w:val="006C6210"/>
    <w:rsid w:val="006C6257"/>
    <w:rsid w:val="006C62F8"/>
    <w:rsid w:val="006C635B"/>
    <w:rsid w:val="006C63CD"/>
    <w:rsid w:val="006C63DF"/>
    <w:rsid w:val="006C640B"/>
    <w:rsid w:val="006C6506"/>
    <w:rsid w:val="006C6760"/>
    <w:rsid w:val="006C67D9"/>
    <w:rsid w:val="006C67F4"/>
    <w:rsid w:val="006C6987"/>
    <w:rsid w:val="006C6A46"/>
    <w:rsid w:val="006C6B2C"/>
    <w:rsid w:val="006C6B3A"/>
    <w:rsid w:val="006C6BE9"/>
    <w:rsid w:val="006C6C30"/>
    <w:rsid w:val="006C6C37"/>
    <w:rsid w:val="006C6C3F"/>
    <w:rsid w:val="006C6CBB"/>
    <w:rsid w:val="006C6E3F"/>
    <w:rsid w:val="006C6EDF"/>
    <w:rsid w:val="006C7035"/>
    <w:rsid w:val="006C7047"/>
    <w:rsid w:val="006C70C7"/>
    <w:rsid w:val="006C710B"/>
    <w:rsid w:val="006C710C"/>
    <w:rsid w:val="006C7251"/>
    <w:rsid w:val="006C725C"/>
    <w:rsid w:val="006C7270"/>
    <w:rsid w:val="006C732C"/>
    <w:rsid w:val="006C73B9"/>
    <w:rsid w:val="006C75DF"/>
    <w:rsid w:val="006C76CE"/>
    <w:rsid w:val="006C774E"/>
    <w:rsid w:val="006C776D"/>
    <w:rsid w:val="006C7895"/>
    <w:rsid w:val="006C78A8"/>
    <w:rsid w:val="006C79DE"/>
    <w:rsid w:val="006C7A9E"/>
    <w:rsid w:val="006C7AD4"/>
    <w:rsid w:val="006C7AF2"/>
    <w:rsid w:val="006C7B3A"/>
    <w:rsid w:val="006C7BFA"/>
    <w:rsid w:val="006C7C3B"/>
    <w:rsid w:val="006C7CE0"/>
    <w:rsid w:val="006C7CED"/>
    <w:rsid w:val="006C7E79"/>
    <w:rsid w:val="006C7EC7"/>
    <w:rsid w:val="006C7EE5"/>
    <w:rsid w:val="006C7EF7"/>
    <w:rsid w:val="006C7EFD"/>
    <w:rsid w:val="006C7F0F"/>
    <w:rsid w:val="006D00D6"/>
    <w:rsid w:val="006D0122"/>
    <w:rsid w:val="006D0293"/>
    <w:rsid w:val="006D0297"/>
    <w:rsid w:val="006D033F"/>
    <w:rsid w:val="006D0346"/>
    <w:rsid w:val="006D0420"/>
    <w:rsid w:val="006D0557"/>
    <w:rsid w:val="006D05C7"/>
    <w:rsid w:val="006D0759"/>
    <w:rsid w:val="006D0760"/>
    <w:rsid w:val="006D0834"/>
    <w:rsid w:val="006D0846"/>
    <w:rsid w:val="006D0878"/>
    <w:rsid w:val="006D0A25"/>
    <w:rsid w:val="006D0A6F"/>
    <w:rsid w:val="006D0AB6"/>
    <w:rsid w:val="006D0AE2"/>
    <w:rsid w:val="006D0AFC"/>
    <w:rsid w:val="006D0B3A"/>
    <w:rsid w:val="006D0C90"/>
    <w:rsid w:val="006D0CBE"/>
    <w:rsid w:val="006D0CC0"/>
    <w:rsid w:val="006D0D75"/>
    <w:rsid w:val="006D0D93"/>
    <w:rsid w:val="006D0DA2"/>
    <w:rsid w:val="006D0EA9"/>
    <w:rsid w:val="006D0EC3"/>
    <w:rsid w:val="006D0F28"/>
    <w:rsid w:val="006D0F4C"/>
    <w:rsid w:val="006D1054"/>
    <w:rsid w:val="006D10EB"/>
    <w:rsid w:val="006D1131"/>
    <w:rsid w:val="006D1150"/>
    <w:rsid w:val="006D115E"/>
    <w:rsid w:val="006D124A"/>
    <w:rsid w:val="006D12D0"/>
    <w:rsid w:val="006D12DE"/>
    <w:rsid w:val="006D138D"/>
    <w:rsid w:val="006D1481"/>
    <w:rsid w:val="006D1503"/>
    <w:rsid w:val="006D1642"/>
    <w:rsid w:val="006D17C1"/>
    <w:rsid w:val="006D1891"/>
    <w:rsid w:val="006D18D0"/>
    <w:rsid w:val="006D19EA"/>
    <w:rsid w:val="006D19F9"/>
    <w:rsid w:val="006D1A5E"/>
    <w:rsid w:val="006D1A89"/>
    <w:rsid w:val="006D1AFB"/>
    <w:rsid w:val="006D1B97"/>
    <w:rsid w:val="006D1BB5"/>
    <w:rsid w:val="006D1BBD"/>
    <w:rsid w:val="006D1D52"/>
    <w:rsid w:val="006D1DD2"/>
    <w:rsid w:val="006D1E2D"/>
    <w:rsid w:val="006D1E40"/>
    <w:rsid w:val="006D1E6A"/>
    <w:rsid w:val="006D1E9B"/>
    <w:rsid w:val="006D1F17"/>
    <w:rsid w:val="006D206D"/>
    <w:rsid w:val="006D2072"/>
    <w:rsid w:val="006D2091"/>
    <w:rsid w:val="006D209D"/>
    <w:rsid w:val="006D2220"/>
    <w:rsid w:val="006D22A5"/>
    <w:rsid w:val="006D22BA"/>
    <w:rsid w:val="006D22E6"/>
    <w:rsid w:val="006D23A0"/>
    <w:rsid w:val="006D23C0"/>
    <w:rsid w:val="006D2498"/>
    <w:rsid w:val="006D249D"/>
    <w:rsid w:val="006D24CD"/>
    <w:rsid w:val="006D2581"/>
    <w:rsid w:val="006D25C5"/>
    <w:rsid w:val="006D262E"/>
    <w:rsid w:val="006D2635"/>
    <w:rsid w:val="006D26D9"/>
    <w:rsid w:val="006D271C"/>
    <w:rsid w:val="006D2777"/>
    <w:rsid w:val="006D27A8"/>
    <w:rsid w:val="006D2838"/>
    <w:rsid w:val="006D2859"/>
    <w:rsid w:val="006D292E"/>
    <w:rsid w:val="006D29F5"/>
    <w:rsid w:val="006D29FB"/>
    <w:rsid w:val="006D2BF7"/>
    <w:rsid w:val="006D2D51"/>
    <w:rsid w:val="006D2D88"/>
    <w:rsid w:val="006D2DA3"/>
    <w:rsid w:val="006D2ECD"/>
    <w:rsid w:val="006D2F62"/>
    <w:rsid w:val="006D3029"/>
    <w:rsid w:val="006D3039"/>
    <w:rsid w:val="006D3051"/>
    <w:rsid w:val="006D3077"/>
    <w:rsid w:val="006D3087"/>
    <w:rsid w:val="006D30FD"/>
    <w:rsid w:val="006D325B"/>
    <w:rsid w:val="006D32BE"/>
    <w:rsid w:val="006D32F4"/>
    <w:rsid w:val="006D3326"/>
    <w:rsid w:val="006D339B"/>
    <w:rsid w:val="006D3445"/>
    <w:rsid w:val="006D35E2"/>
    <w:rsid w:val="006D3617"/>
    <w:rsid w:val="006D36D0"/>
    <w:rsid w:val="006D36D8"/>
    <w:rsid w:val="006D3749"/>
    <w:rsid w:val="006D3789"/>
    <w:rsid w:val="006D378E"/>
    <w:rsid w:val="006D38BA"/>
    <w:rsid w:val="006D38EA"/>
    <w:rsid w:val="006D3977"/>
    <w:rsid w:val="006D39DB"/>
    <w:rsid w:val="006D39E0"/>
    <w:rsid w:val="006D3A18"/>
    <w:rsid w:val="006D3A44"/>
    <w:rsid w:val="006D3A4B"/>
    <w:rsid w:val="006D3AAE"/>
    <w:rsid w:val="006D3B31"/>
    <w:rsid w:val="006D3B41"/>
    <w:rsid w:val="006D3BCC"/>
    <w:rsid w:val="006D3C8A"/>
    <w:rsid w:val="006D3C8D"/>
    <w:rsid w:val="006D3D14"/>
    <w:rsid w:val="006D3DC2"/>
    <w:rsid w:val="006D3E14"/>
    <w:rsid w:val="006D3EFA"/>
    <w:rsid w:val="006D3F7F"/>
    <w:rsid w:val="006D3FA2"/>
    <w:rsid w:val="006D3FC3"/>
    <w:rsid w:val="006D3FFD"/>
    <w:rsid w:val="006D400B"/>
    <w:rsid w:val="006D40AD"/>
    <w:rsid w:val="006D410E"/>
    <w:rsid w:val="006D4169"/>
    <w:rsid w:val="006D4243"/>
    <w:rsid w:val="006D4265"/>
    <w:rsid w:val="006D4267"/>
    <w:rsid w:val="006D42B9"/>
    <w:rsid w:val="006D4304"/>
    <w:rsid w:val="006D4388"/>
    <w:rsid w:val="006D440F"/>
    <w:rsid w:val="006D44A7"/>
    <w:rsid w:val="006D464B"/>
    <w:rsid w:val="006D4699"/>
    <w:rsid w:val="006D47A2"/>
    <w:rsid w:val="006D47B1"/>
    <w:rsid w:val="006D4CCC"/>
    <w:rsid w:val="006D4D31"/>
    <w:rsid w:val="006D4D9A"/>
    <w:rsid w:val="006D4E35"/>
    <w:rsid w:val="006D4EB5"/>
    <w:rsid w:val="006D4F50"/>
    <w:rsid w:val="006D4F66"/>
    <w:rsid w:val="006D4F89"/>
    <w:rsid w:val="006D4FD3"/>
    <w:rsid w:val="006D516D"/>
    <w:rsid w:val="006D5172"/>
    <w:rsid w:val="006D5228"/>
    <w:rsid w:val="006D526C"/>
    <w:rsid w:val="006D52CD"/>
    <w:rsid w:val="006D5388"/>
    <w:rsid w:val="006D54DD"/>
    <w:rsid w:val="006D5526"/>
    <w:rsid w:val="006D554A"/>
    <w:rsid w:val="006D561B"/>
    <w:rsid w:val="006D5667"/>
    <w:rsid w:val="006D5686"/>
    <w:rsid w:val="006D56F4"/>
    <w:rsid w:val="006D573F"/>
    <w:rsid w:val="006D5785"/>
    <w:rsid w:val="006D5794"/>
    <w:rsid w:val="006D5819"/>
    <w:rsid w:val="006D589F"/>
    <w:rsid w:val="006D5992"/>
    <w:rsid w:val="006D59CE"/>
    <w:rsid w:val="006D5ABA"/>
    <w:rsid w:val="006D5B19"/>
    <w:rsid w:val="006D5B36"/>
    <w:rsid w:val="006D5B43"/>
    <w:rsid w:val="006D5B81"/>
    <w:rsid w:val="006D5BC1"/>
    <w:rsid w:val="006D5C18"/>
    <w:rsid w:val="006D5C38"/>
    <w:rsid w:val="006D5C9C"/>
    <w:rsid w:val="006D5CB1"/>
    <w:rsid w:val="006D5D12"/>
    <w:rsid w:val="006D5D41"/>
    <w:rsid w:val="006D5D77"/>
    <w:rsid w:val="006D5DE1"/>
    <w:rsid w:val="006D5E5B"/>
    <w:rsid w:val="006D5E8C"/>
    <w:rsid w:val="006D5F0E"/>
    <w:rsid w:val="006D5F4C"/>
    <w:rsid w:val="006D5F7D"/>
    <w:rsid w:val="006D6018"/>
    <w:rsid w:val="006D6095"/>
    <w:rsid w:val="006D60F8"/>
    <w:rsid w:val="006D61A6"/>
    <w:rsid w:val="006D61BA"/>
    <w:rsid w:val="006D6388"/>
    <w:rsid w:val="006D642F"/>
    <w:rsid w:val="006D6503"/>
    <w:rsid w:val="006D6590"/>
    <w:rsid w:val="006D65A1"/>
    <w:rsid w:val="006D65AE"/>
    <w:rsid w:val="006D65B0"/>
    <w:rsid w:val="006D65D2"/>
    <w:rsid w:val="006D65D5"/>
    <w:rsid w:val="006D66A6"/>
    <w:rsid w:val="006D675F"/>
    <w:rsid w:val="006D677B"/>
    <w:rsid w:val="006D67E3"/>
    <w:rsid w:val="006D6862"/>
    <w:rsid w:val="006D68ED"/>
    <w:rsid w:val="006D69C0"/>
    <w:rsid w:val="006D69D0"/>
    <w:rsid w:val="006D6A1D"/>
    <w:rsid w:val="006D6A76"/>
    <w:rsid w:val="006D6AD2"/>
    <w:rsid w:val="006D6BBF"/>
    <w:rsid w:val="006D6C45"/>
    <w:rsid w:val="006D6D3C"/>
    <w:rsid w:val="006D6D75"/>
    <w:rsid w:val="006D6E8C"/>
    <w:rsid w:val="006D6E92"/>
    <w:rsid w:val="006D6F1A"/>
    <w:rsid w:val="006D6FAB"/>
    <w:rsid w:val="006D707F"/>
    <w:rsid w:val="006D729C"/>
    <w:rsid w:val="006D7358"/>
    <w:rsid w:val="006D73AF"/>
    <w:rsid w:val="006D73CF"/>
    <w:rsid w:val="006D73DA"/>
    <w:rsid w:val="006D7412"/>
    <w:rsid w:val="006D7454"/>
    <w:rsid w:val="006D7532"/>
    <w:rsid w:val="006D75B1"/>
    <w:rsid w:val="006D75D9"/>
    <w:rsid w:val="006D75EF"/>
    <w:rsid w:val="006D769E"/>
    <w:rsid w:val="006D7857"/>
    <w:rsid w:val="006D78A6"/>
    <w:rsid w:val="006D78BB"/>
    <w:rsid w:val="006D7904"/>
    <w:rsid w:val="006D79FD"/>
    <w:rsid w:val="006D7B75"/>
    <w:rsid w:val="006D7B8D"/>
    <w:rsid w:val="006D7B94"/>
    <w:rsid w:val="006D7C84"/>
    <w:rsid w:val="006D7CCD"/>
    <w:rsid w:val="006D7DF1"/>
    <w:rsid w:val="006D7E47"/>
    <w:rsid w:val="006D7E95"/>
    <w:rsid w:val="006D7F09"/>
    <w:rsid w:val="006D7F22"/>
    <w:rsid w:val="006D7F28"/>
    <w:rsid w:val="006E001D"/>
    <w:rsid w:val="006E003A"/>
    <w:rsid w:val="006E00AA"/>
    <w:rsid w:val="006E0108"/>
    <w:rsid w:val="006E01D5"/>
    <w:rsid w:val="006E0264"/>
    <w:rsid w:val="006E02E9"/>
    <w:rsid w:val="006E0386"/>
    <w:rsid w:val="006E03F2"/>
    <w:rsid w:val="006E03FD"/>
    <w:rsid w:val="006E0460"/>
    <w:rsid w:val="006E047F"/>
    <w:rsid w:val="006E04E3"/>
    <w:rsid w:val="006E0518"/>
    <w:rsid w:val="006E0599"/>
    <w:rsid w:val="006E068D"/>
    <w:rsid w:val="006E06A7"/>
    <w:rsid w:val="006E06AC"/>
    <w:rsid w:val="006E071A"/>
    <w:rsid w:val="006E071C"/>
    <w:rsid w:val="006E0746"/>
    <w:rsid w:val="006E07B7"/>
    <w:rsid w:val="006E0891"/>
    <w:rsid w:val="006E08A3"/>
    <w:rsid w:val="006E08DA"/>
    <w:rsid w:val="006E0934"/>
    <w:rsid w:val="006E0949"/>
    <w:rsid w:val="006E0978"/>
    <w:rsid w:val="006E09A7"/>
    <w:rsid w:val="006E0A86"/>
    <w:rsid w:val="006E0AC9"/>
    <w:rsid w:val="006E0C88"/>
    <w:rsid w:val="006E0D08"/>
    <w:rsid w:val="006E0DDE"/>
    <w:rsid w:val="006E0DEB"/>
    <w:rsid w:val="006E0E19"/>
    <w:rsid w:val="006E0EE0"/>
    <w:rsid w:val="006E0FBC"/>
    <w:rsid w:val="006E1028"/>
    <w:rsid w:val="006E11CF"/>
    <w:rsid w:val="006E1267"/>
    <w:rsid w:val="006E128C"/>
    <w:rsid w:val="006E143F"/>
    <w:rsid w:val="006E144B"/>
    <w:rsid w:val="006E14DF"/>
    <w:rsid w:val="006E1565"/>
    <w:rsid w:val="006E15ED"/>
    <w:rsid w:val="006E164E"/>
    <w:rsid w:val="006E16F0"/>
    <w:rsid w:val="006E16FE"/>
    <w:rsid w:val="006E178B"/>
    <w:rsid w:val="006E17D4"/>
    <w:rsid w:val="006E17E9"/>
    <w:rsid w:val="006E1805"/>
    <w:rsid w:val="006E1878"/>
    <w:rsid w:val="006E1881"/>
    <w:rsid w:val="006E18BE"/>
    <w:rsid w:val="006E191A"/>
    <w:rsid w:val="006E1939"/>
    <w:rsid w:val="006E19A5"/>
    <w:rsid w:val="006E1A0B"/>
    <w:rsid w:val="006E1A0C"/>
    <w:rsid w:val="006E1A2E"/>
    <w:rsid w:val="006E1AD3"/>
    <w:rsid w:val="006E1AE5"/>
    <w:rsid w:val="006E1B4A"/>
    <w:rsid w:val="006E1CC6"/>
    <w:rsid w:val="006E1CD2"/>
    <w:rsid w:val="006E1E0B"/>
    <w:rsid w:val="006E1F17"/>
    <w:rsid w:val="006E1F4B"/>
    <w:rsid w:val="006E1FBA"/>
    <w:rsid w:val="006E2045"/>
    <w:rsid w:val="006E2132"/>
    <w:rsid w:val="006E21AE"/>
    <w:rsid w:val="006E22E2"/>
    <w:rsid w:val="006E2300"/>
    <w:rsid w:val="006E2344"/>
    <w:rsid w:val="006E2380"/>
    <w:rsid w:val="006E23B5"/>
    <w:rsid w:val="006E23F4"/>
    <w:rsid w:val="006E2400"/>
    <w:rsid w:val="006E244D"/>
    <w:rsid w:val="006E24C4"/>
    <w:rsid w:val="006E24D8"/>
    <w:rsid w:val="006E24F7"/>
    <w:rsid w:val="006E25C8"/>
    <w:rsid w:val="006E25D8"/>
    <w:rsid w:val="006E25DB"/>
    <w:rsid w:val="006E25F6"/>
    <w:rsid w:val="006E2608"/>
    <w:rsid w:val="006E2609"/>
    <w:rsid w:val="006E271C"/>
    <w:rsid w:val="006E2734"/>
    <w:rsid w:val="006E2764"/>
    <w:rsid w:val="006E278B"/>
    <w:rsid w:val="006E2871"/>
    <w:rsid w:val="006E2904"/>
    <w:rsid w:val="006E293A"/>
    <w:rsid w:val="006E2B18"/>
    <w:rsid w:val="006E2B5B"/>
    <w:rsid w:val="006E2BC2"/>
    <w:rsid w:val="006E2C3A"/>
    <w:rsid w:val="006E2CFE"/>
    <w:rsid w:val="006E2D27"/>
    <w:rsid w:val="006E2DBF"/>
    <w:rsid w:val="006E2E29"/>
    <w:rsid w:val="006E2ED4"/>
    <w:rsid w:val="006E2EDA"/>
    <w:rsid w:val="006E2EFC"/>
    <w:rsid w:val="006E2F32"/>
    <w:rsid w:val="006E2F67"/>
    <w:rsid w:val="006E2FBF"/>
    <w:rsid w:val="006E2FFF"/>
    <w:rsid w:val="006E3049"/>
    <w:rsid w:val="006E3051"/>
    <w:rsid w:val="006E3116"/>
    <w:rsid w:val="006E311A"/>
    <w:rsid w:val="006E312C"/>
    <w:rsid w:val="006E3252"/>
    <w:rsid w:val="006E325C"/>
    <w:rsid w:val="006E3296"/>
    <w:rsid w:val="006E3305"/>
    <w:rsid w:val="006E3322"/>
    <w:rsid w:val="006E333A"/>
    <w:rsid w:val="006E339E"/>
    <w:rsid w:val="006E3490"/>
    <w:rsid w:val="006E3532"/>
    <w:rsid w:val="006E3616"/>
    <w:rsid w:val="006E36F2"/>
    <w:rsid w:val="006E37CE"/>
    <w:rsid w:val="006E3865"/>
    <w:rsid w:val="006E38C4"/>
    <w:rsid w:val="006E38E0"/>
    <w:rsid w:val="006E396F"/>
    <w:rsid w:val="006E39B9"/>
    <w:rsid w:val="006E39FC"/>
    <w:rsid w:val="006E3A10"/>
    <w:rsid w:val="006E3A75"/>
    <w:rsid w:val="006E3B0B"/>
    <w:rsid w:val="006E3B10"/>
    <w:rsid w:val="006E3B80"/>
    <w:rsid w:val="006E3BE0"/>
    <w:rsid w:val="006E3C7B"/>
    <w:rsid w:val="006E3CC5"/>
    <w:rsid w:val="006E3D8C"/>
    <w:rsid w:val="006E3DB3"/>
    <w:rsid w:val="006E3DF4"/>
    <w:rsid w:val="006E3E52"/>
    <w:rsid w:val="006E3F20"/>
    <w:rsid w:val="006E3F49"/>
    <w:rsid w:val="006E3F59"/>
    <w:rsid w:val="006E4094"/>
    <w:rsid w:val="006E4200"/>
    <w:rsid w:val="006E420D"/>
    <w:rsid w:val="006E42F6"/>
    <w:rsid w:val="006E4322"/>
    <w:rsid w:val="006E43D9"/>
    <w:rsid w:val="006E43ED"/>
    <w:rsid w:val="006E43EF"/>
    <w:rsid w:val="006E44A0"/>
    <w:rsid w:val="006E4590"/>
    <w:rsid w:val="006E465D"/>
    <w:rsid w:val="006E4676"/>
    <w:rsid w:val="006E467F"/>
    <w:rsid w:val="006E4711"/>
    <w:rsid w:val="006E4797"/>
    <w:rsid w:val="006E47F6"/>
    <w:rsid w:val="006E4838"/>
    <w:rsid w:val="006E48E2"/>
    <w:rsid w:val="006E48F9"/>
    <w:rsid w:val="006E496E"/>
    <w:rsid w:val="006E4A31"/>
    <w:rsid w:val="006E4A55"/>
    <w:rsid w:val="006E4B5A"/>
    <w:rsid w:val="006E4B64"/>
    <w:rsid w:val="006E4B7C"/>
    <w:rsid w:val="006E4BF6"/>
    <w:rsid w:val="006E4C06"/>
    <w:rsid w:val="006E4D51"/>
    <w:rsid w:val="006E4DFB"/>
    <w:rsid w:val="006E4EA7"/>
    <w:rsid w:val="006E4F1F"/>
    <w:rsid w:val="006E4F32"/>
    <w:rsid w:val="006E4F8A"/>
    <w:rsid w:val="006E5068"/>
    <w:rsid w:val="006E5069"/>
    <w:rsid w:val="006E50D6"/>
    <w:rsid w:val="006E511C"/>
    <w:rsid w:val="006E5160"/>
    <w:rsid w:val="006E5195"/>
    <w:rsid w:val="006E51C2"/>
    <w:rsid w:val="006E51DC"/>
    <w:rsid w:val="006E5260"/>
    <w:rsid w:val="006E526C"/>
    <w:rsid w:val="006E533E"/>
    <w:rsid w:val="006E5380"/>
    <w:rsid w:val="006E539D"/>
    <w:rsid w:val="006E53F6"/>
    <w:rsid w:val="006E53F9"/>
    <w:rsid w:val="006E545D"/>
    <w:rsid w:val="006E5484"/>
    <w:rsid w:val="006E54BA"/>
    <w:rsid w:val="006E54F0"/>
    <w:rsid w:val="006E54FE"/>
    <w:rsid w:val="006E5528"/>
    <w:rsid w:val="006E55BC"/>
    <w:rsid w:val="006E568D"/>
    <w:rsid w:val="006E575E"/>
    <w:rsid w:val="006E57B5"/>
    <w:rsid w:val="006E57CB"/>
    <w:rsid w:val="006E587C"/>
    <w:rsid w:val="006E58A6"/>
    <w:rsid w:val="006E58B1"/>
    <w:rsid w:val="006E5999"/>
    <w:rsid w:val="006E59D6"/>
    <w:rsid w:val="006E5A05"/>
    <w:rsid w:val="006E5B33"/>
    <w:rsid w:val="006E5BB4"/>
    <w:rsid w:val="006E5CFE"/>
    <w:rsid w:val="006E5D2C"/>
    <w:rsid w:val="006E5D88"/>
    <w:rsid w:val="006E5DA6"/>
    <w:rsid w:val="006E5DC6"/>
    <w:rsid w:val="006E5E1E"/>
    <w:rsid w:val="006E5E41"/>
    <w:rsid w:val="006E5F93"/>
    <w:rsid w:val="006E5FC6"/>
    <w:rsid w:val="006E615F"/>
    <w:rsid w:val="006E619C"/>
    <w:rsid w:val="006E61F4"/>
    <w:rsid w:val="006E622A"/>
    <w:rsid w:val="006E6234"/>
    <w:rsid w:val="006E6255"/>
    <w:rsid w:val="006E626F"/>
    <w:rsid w:val="006E628D"/>
    <w:rsid w:val="006E62F0"/>
    <w:rsid w:val="006E6315"/>
    <w:rsid w:val="006E6371"/>
    <w:rsid w:val="006E63B7"/>
    <w:rsid w:val="006E644E"/>
    <w:rsid w:val="006E64A7"/>
    <w:rsid w:val="006E653E"/>
    <w:rsid w:val="006E656B"/>
    <w:rsid w:val="006E65E2"/>
    <w:rsid w:val="006E6708"/>
    <w:rsid w:val="006E670B"/>
    <w:rsid w:val="006E6963"/>
    <w:rsid w:val="006E6AF9"/>
    <w:rsid w:val="006E6C0F"/>
    <w:rsid w:val="006E6C5F"/>
    <w:rsid w:val="006E6C75"/>
    <w:rsid w:val="006E6D55"/>
    <w:rsid w:val="006E6D5B"/>
    <w:rsid w:val="006E6DDC"/>
    <w:rsid w:val="006E6E61"/>
    <w:rsid w:val="006E6E85"/>
    <w:rsid w:val="006E6EC7"/>
    <w:rsid w:val="006E6EF4"/>
    <w:rsid w:val="006E6F4B"/>
    <w:rsid w:val="006E6FC7"/>
    <w:rsid w:val="006E6FFF"/>
    <w:rsid w:val="006E7056"/>
    <w:rsid w:val="006E72CA"/>
    <w:rsid w:val="006E73A3"/>
    <w:rsid w:val="006E73BC"/>
    <w:rsid w:val="006E7404"/>
    <w:rsid w:val="006E7416"/>
    <w:rsid w:val="006E744F"/>
    <w:rsid w:val="006E7486"/>
    <w:rsid w:val="006E7581"/>
    <w:rsid w:val="006E75E4"/>
    <w:rsid w:val="006E763D"/>
    <w:rsid w:val="006E7640"/>
    <w:rsid w:val="006E76CC"/>
    <w:rsid w:val="006E7756"/>
    <w:rsid w:val="006E7769"/>
    <w:rsid w:val="006E784B"/>
    <w:rsid w:val="006E787C"/>
    <w:rsid w:val="006E796B"/>
    <w:rsid w:val="006E79C7"/>
    <w:rsid w:val="006E7AB0"/>
    <w:rsid w:val="006E7CBE"/>
    <w:rsid w:val="006E7CD4"/>
    <w:rsid w:val="006E7D1D"/>
    <w:rsid w:val="006E7D1F"/>
    <w:rsid w:val="006E7F1B"/>
    <w:rsid w:val="006E7FAC"/>
    <w:rsid w:val="006E7FBD"/>
    <w:rsid w:val="006F009E"/>
    <w:rsid w:val="006F00A7"/>
    <w:rsid w:val="006F00EF"/>
    <w:rsid w:val="006F0110"/>
    <w:rsid w:val="006F019A"/>
    <w:rsid w:val="006F020A"/>
    <w:rsid w:val="006F0248"/>
    <w:rsid w:val="006F0249"/>
    <w:rsid w:val="006F0262"/>
    <w:rsid w:val="006F027E"/>
    <w:rsid w:val="006F0343"/>
    <w:rsid w:val="006F037B"/>
    <w:rsid w:val="006F03CB"/>
    <w:rsid w:val="006F05A0"/>
    <w:rsid w:val="006F05CC"/>
    <w:rsid w:val="006F0693"/>
    <w:rsid w:val="006F06AA"/>
    <w:rsid w:val="006F06E9"/>
    <w:rsid w:val="006F06EF"/>
    <w:rsid w:val="006F075D"/>
    <w:rsid w:val="006F077A"/>
    <w:rsid w:val="006F0837"/>
    <w:rsid w:val="006F0998"/>
    <w:rsid w:val="006F0A11"/>
    <w:rsid w:val="006F0A3A"/>
    <w:rsid w:val="006F0A41"/>
    <w:rsid w:val="006F0A5A"/>
    <w:rsid w:val="006F0AB3"/>
    <w:rsid w:val="006F0B1A"/>
    <w:rsid w:val="006F0B2D"/>
    <w:rsid w:val="006F0B58"/>
    <w:rsid w:val="006F0BA8"/>
    <w:rsid w:val="006F0BE6"/>
    <w:rsid w:val="006F0C30"/>
    <w:rsid w:val="006F0C68"/>
    <w:rsid w:val="006F0CEB"/>
    <w:rsid w:val="006F0DA8"/>
    <w:rsid w:val="006F0E5C"/>
    <w:rsid w:val="006F0EAC"/>
    <w:rsid w:val="006F0EB8"/>
    <w:rsid w:val="006F0F30"/>
    <w:rsid w:val="006F0F65"/>
    <w:rsid w:val="006F10C0"/>
    <w:rsid w:val="006F11D5"/>
    <w:rsid w:val="006F11DD"/>
    <w:rsid w:val="006F11E5"/>
    <w:rsid w:val="006F13A4"/>
    <w:rsid w:val="006F13D2"/>
    <w:rsid w:val="006F146E"/>
    <w:rsid w:val="006F1581"/>
    <w:rsid w:val="006F16AB"/>
    <w:rsid w:val="006F16AE"/>
    <w:rsid w:val="006F16C7"/>
    <w:rsid w:val="006F17CF"/>
    <w:rsid w:val="006F1829"/>
    <w:rsid w:val="006F1864"/>
    <w:rsid w:val="006F18A1"/>
    <w:rsid w:val="006F19A2"/>
    <w:rsid w:val="006F19B2"/>
    <w:rsid w:val="006F1A96"/>
    <w:rsid w:val="006F1AB7"/>
    <w:rsid w:val="006F1B84"/>
    <w:rsid w:val="006F1BBF"/>
    <w:rsid w:val="006F1C05"/>
    <w:rsid w:val="006F1CA2"/>
    <w:rsid w:val="006F1D5A"/>
    <w:rsid w:val="006F1D69"/>
    <w:rsid w:val="006F1E71"/>
    <w:rsid w:val="006F1F1D"/>
    <w:rsid w:val="006F1F9D"/>
    <w:rsid w:val="006F1FC2"/>
    <w:rsid w:val="006F208D"/>
    <w:rsid w:val="006F2090"/>
    <w:rsid w:val="006F211F"/>
    <w:rsid w:val="006F213F"/>
    <w:rsid w:val="006F21A8"/>
    <w:rsid w:val="006F22B7"/>
    <w:rsid w:val="006F23AC"/>
    <w:rsid w:val="006F23F7"/>
    <w:rsid w:val="006F23FE"/>
    <w:rsid w:val="006F241B"/>
    <w:rsid w:val="006F241D"/>
    <w:rsid w:val="006F2432"/>
    <w:rsid w:val="006F249E"/>
    <w:rsid w:val="006F2664"/>
    <w:rsid w:val="006F268F"/>
    <w:rsid w:val="006F2709"/>
    <w:rsid w:val="006F272D"/>
    <w:rsid w:val="006F2781"/>
    <w:rsid w:val="006F27AD"/>
    <w:rsid w:val="006F27B1"/>
    <w:rsid w:val="006F28B9"/>
    <w:rsid w:val="006F290C"/>
    <w:rsid w:val="006F29F9"/>
    <w:rsid w:val="006F2A0E"/>
    <w:rsid w:val="006F2A1B"/>
    <w:rsid w:val="006F2A34"/>
    <w:rsid w:val="006F2AD8"/>
    <w:rsid w:val="006F2B33"/>
    <w:rsid w:val="006F2B7C"/>
    <w:rsid w:val="006F2BCF"/>
    <w:rsid w:val="006F2BD8"/>
    <w:rsid w:val="006F2C13"/>
    <w:rsid w:val="006F2CAE"/>
    <w:rsid w:val="006F2D2D"/>
    <w:rsid w:val="006F2D77"/>
    <w:rsid w:val="006F2DEC"/>
    <w:rsid w:val="006F2E2D"/>
    <w:rsid w:val="006F2E39"/>
    <w:rsid w:val="006F2E64"/>
    <w:rsid w:val="006F2E95"/>
    <w:rsid w:val="006F2EEF"/>
    <w:rsid w:val="006F2F62"/>
    <w:rsid w:val="006F2FD7"/>
    <w:rsid w:val="006F2FEF"/>
    <w:rsid w:val="006F303F"/>
    <w:rsid w:val="006F3082"/>
    <w:rsid w:val="006F31B2"/>
    <w:rsid w:val="006F3314"/>
    <w:rsid w:val="006F33DA"/>
    <w:rsid w:val="006F33E7"/>
    <w:rsid w:val="006F33FE"/>
    <w:rsid w:val="006F348A"/>
    <w:rsid w:val="006F34CD"/>
    <w:rsid w:val="006F34EB"/>
    <w:rsid w:val="006F34F9"/>
    <w:rsid w:val="006F354B"/>
    <w:rsid w:val="006F35EF"/>
    <w:rsid w:val="006F361A"/>
    <w:rsid w:val="006F365B"/>
    <w:rsid w:val="006F3685"/>
    <w:rsid w:val="006F3749"/>
    <w:rsid w:val="006F37EA"/>
    <w:rsid w:val="006F3806"/>
    <w:rsid w:val="006F3816"/>
    <w:rsid w:val="006F394C"/>
    <w:rsid w:val="006F39F4"/>
    <w:rsid w:val="006F3B00"/>
    <w:rsid w:val="006F3B5A"/>
    <w:rsid w:val="006F3B60"/>
    <w:rsid w:val="006F3B71"/>
    <w:rsid w:val="006F3C45"/>
    <w:rsid w:val="006F3D5A"/>
    <w:rsid w:val="006F3DE5"/>
    <w:rsid w:val="006F3E43"/>
    <w:rsid w:val="006F3EBE"/>
    <w:rsid w:val="006F3F93"/>
    <w:rsid w:val="006F40B9"/>
    <w:rsid w:val="006F4169"/>
    <w:rsid w:val="006F41C5"/>
    <w:rsid w:val="006F429E"/>
    <w:rsid w:val="006F434C"/>
    <w:rsid w:val="006F4390"/>
    <w:rsid w:val="006F4454"/>
    <w:rsid w:val="006F44FF"/>
    <w:rsid w:val="006F4565"/>
    <w:rsid w:val="006F45D1"/>
    <w:rsid w:val="006F4618"/>
    <w:rsid w:val="006F4627"/>
    <w:rsid w:val="006F462C"/>
    <w:rsid w:val="006F468B"/>
    <w:rsid w:val="006F473F"/>
    <w:rsid w:val="006F4744"/>
    <w:rsid w:val="006F47D5"/>
    <w:rsid w:val="006F4819"/>
    <w:rsid w:val="006F4835"/>
    <w:rsid w:val="006F4868"/>
    <w:rsid w:val="006F488F"/>
    <w:rsid w:val="006F48A8"/>
    <w:rsid w:val="006F48CF"/>
    <w:rsid w:val="006F4943"/>
    <w:rsid w:val="006F4947"/>
    <w:rsid w:val="006F4981"/>
    <w:rsid w:val="006F49B9"/>
    <w:rsid w:val="006F49CF"/>
    <w:rsid w:val="006F4A6C"/>
    <w:rsid w:val="006F4AE4"/>
    <w:rsid w:val="006F4B3B"/>
    <w:rsid w:val="006F4B56"/>
    <w:rsid w:val="006F4BEF"/>
    <w:rsid w:val="006F4C03"/>
    <w:rsid w:val="006F4CDC"/>
    <w:rsid w:val="006F4DA4"/>
    <w:rsid w:val="006F4DC7"/>
    <w:rsid w:val="006F4DF6"/>
    <w:rsid w:val="006F4E27"/>
    <w:rsid w:val="006F4E90"/>
    <w:rsid w:val="006F4E9F"/>
    <w:rsid w:val="006F4F24"/>
    <w:rsid w:val="006F4F33"/>
    <w:rsid w:val="006F4F56"/>
    <w:rsid w:val="006F4FFB"/>
    <w:rsid w:val="006F5063"/>
    <w:rsid w:val="006F50E5"/>
    <w:rsid w:val="006F5103"/>
    <w:rsid w:val="006F512A"/>
    <w:rsid w:val="006F5132"/>
    <w:rsid w:val="006F5152"/>
    <w:rsid w:val="006F51A6"/>
    <w:rsid w:val="006F5207"/>
    <w:rsid w:val="006F520B"/>
    <w:rsid w:val="006F52EA"/>
    <w:rsid w:val="006F5305"/>
    <w:rsid w:val="006F538F"/>
    <w:rsid w:val="006F5395"/>
    <w:rsid w:val="006F53B4"/>
    <w:rsid w:val="006F53E9"/>
    <w:rsid w:val="006F5414"/>
    <w:rsid w:val="006F54B7"/>
    <w:rsid w:val="006F54BD"/>
    <w:rsid w:val="006F5552"/>
    <w:rsid w:val="006F5584"/>
    <w:rsid w:val="006F55BC"/>
    <w:rsid w:val="006F55C0"/>
    <w:rsid w:val="006F565B"/>
    <w:rsid w:val="006F56D3"/>
    <w:rsid w:val="006F570A"/>
    <w:rsid w:val="006F58D3"/>
    <w:rsid w:val="006F58E5"/>
    <w:rsid w:val="006F5A04"/>
    <w:rsid w:val="006F5A07"/>
    <w:rsid w:val="006F5AB4"/>
    <w:rsid w:val="006F5AF7"/>
    <w:rsid w:val="006F5B08"/>
    <w:rsid w:val="006F5B65"/>
    <w:rsid w:val="006F5C7A"/>
    <w:rsid w:val="006F5D2D"/>
    <w:rsid w:val="006F5D47"/>
    <w:rsid w:val="006F5D6C"/>
    <w:rsid w:val="006F5D71"/>
    <w:rsid w:val="006F5DCC"/>
    <w:rsid w:val="006F5F42"/>
    <w:rsid w:val="006F5F48"/>
    <w:rsid w:val="006F5FA1"/>
    <w:rsid w:val="006F5FCA"/>
    <w:rsid w:val="006F6065"/>
    <w:rsid w:val="006F60FE"/>
    <w:rsid w:val="006F61B5"/>
    <w:rsid w:val="006F61D8"/>
    <w:rsid w:val="006F61E4"/>
    <w:rsid w:val="006F62BF"/>
    <w:rsid w:val="006F6423"/>
    <w:rsid w:val="006F6439"/>
    <w:rsid w:val="006F6477"/>
    <w:rsid w:val="006F64C1"/>
    <w:rsid w:val="006F6509"/>
    <w:rsid w:val="006F6574"/>
    <w:rsid w:val="006F657C"/>
    <w:rsid w:val="006F65FE"/>
    <w:rsid w:val="006F66DA"/>
    <w:rsid w:val="006F67ED"/>
    <w:rsid w:val="006F6827"/>
    <w:rsid w:val="006F6848"/>
    <w:rsid w:val="006F68AD"/>
    <w:rsid w:val="006F6928"/>
    <w:rsid w:val="006F6AC7"/>
    <w:rsid w:val="006F6AFB"/>
    <w:rsid w:val="006F6B04"/>
    <w:rsid w:val="006F6B81"/>
    <w:rsid w:val="006F6C99"/>
    <w:rsid w:val="006F6CEE"/>
    <w:rsid w:val="006F6CF8"/>
    <w:rsid w:val="006F6D84"/>
    <w:rsid w:val="006F6E1F"/>
    <w:rsid w:val="006F6EB8"/>
    <w:rsid w:val="006F6EFF"/>
    <w:rsid w:val="006F706C"/>
    <w:rsid w:val="006F7099"/>
    <w:rsid w:val="006F716F"/>
    <w:rsid w:val="006F71F2"/>
    <w:rsid w:val="006F71F7"/>
    <w:rsid w:val="006F728A"/>
    <w:rsid w:val="006F7371"/>
    <w:rsid w:val="006F738C"/>
    <w:rsid w:val="006F73AC"/>
    <w:rsid w:val="006F7465"/>
    <w:rsid w:val="006F74F2"/>
    <w:rsid w:val="006F75A0"/>
    <w:rsid w:val="006F77AE"/>
    <w:rsid w:val="006F7829"/>
    <w:rsid w:val="006F788E"/>
    <w:rsid w:val="006F78FF"/>
    <w:rsid w:val="006F7919"/>
    <w:rsid w:val="006F797B"/>
    <w:rsid w:val="006F7BBC"/>
    <w:rsid w:val="006F7BEC"/>
    <w:rsid w:val="006F7C2F"/>
    <w:rsid w:val="006F7C35"/>
    <w:rsid w:val="006F7CAF"/>
    <w:rsid w:val="006F7D52"/>
    <w:rsid w:val="006F7D87"/>
    <w:rsid w:val="006F7D94"/>
    <w:rsid w:val="006F7DC7"/>
    <w:rsid w:val="006F7E3E"/>
    <w:rsid w:val="006F7E78"/>
    <w:rsid w:val="006F7EA7"/>
    <w:rsid w:val="006F7F34"/>
    <w:rsid w:val="00700082"/>
    <w:rsid w:val="007001AD"/>
    <w:rsid w:val="007001B6"/>
    <w:rsid w:val="007001BD"/>
    <w:rsid w:val="00700211"/>
    <w:rsid w:val="00700243"/>
    <w:rsid w:val="0070034C"/>
    <w:rsid w:val="007003EF"/>
    <w:rsid w:val="007004BD"/>
    <w:rsid w:val="00700561"/>
    <w:rsid w:val="007005BB"/>
    <w:rsid w:val="00700611"/>
    <w:rsid w:val="00700646"/>
    <w:rsid w:val="007006CC"/>
    <w:rsid w:val="007006D8"/>
    <w:rsid w:val="0070074F"/>
    <w:rsid w:val="00700954"/>
    <w:rsid w:val="00700997"/>
    <w:rsid w:val="007009C4"/>
    <w:rsid w:val="00700B17"/>
    <w:rsid w:val="00700BD0"/>
    <w:rsid w:val="00700C06"/>
    <w:rsid w:val="00700C21"/>
    <w:rsid w:val="00700C66"/>
    <w:rsid w:val="00700CA6"/>
    <w:rsid w:val="00700E15"/>
    <w:rsid w:val="00700E42"/>
    <w:rsid w:val="00700E64"/>
    <w:rsid w:val="00700F63"/>
    <w:rsid w:val="00700F71"/>
    <w:rsid w:val="00700F72"/>
    <w:rsid w:val="00700F97"/>
    <w:rsid w:val="00700FF8"/>
    <w:rsid w:val="00701035"/>
    <w:rsid w:val="00701109"/>
    <w:rsid w:val="0070119D"/>
    <w:rsid w:val="007011A2"/>
    <w:rsid w:val="007013B0"/>
    <w:rsid w:val="00701409"/>
    <w:rsid w:val="00701506"/>
    <w:rsid w:val="00701542"/>
    <w:rsid w:val="00701556"/>
    <w:rsid w:val="007015E2"/>
    <w:rsid w:val="00701664"/>
    <w:rsid w:val="007016F5"/>
    <w:rsid w:val="0070171E"/>
    <w:rsid w:val="00701735"/>
    <w:rsid w:val="0070173D"/>
    <w:rsid w:val="00701752"/>
    <w:rsid w:val="007017C8"/>
    <w:rsid w:val="0070180C"/>
    <w:rsid w:val="0070182E"/>
    <w:rsid w:val="007018C3"/>
    <w:rsid w:val="00701912"/>
    <w:rsid w:val="00701979"/>
    <w:rsid w:val="007019F9"/>
    <w:rsid w:val="00701A00"/>
    <w:rsid w:val="00701A32"/>
    <w:rsid w:val="00701A69"/>
    <w:rsid w:val="00701A77"/>
    <w:rsid w:val="00701A9A"/>
    <w:rsid w:val="00701AA4"/>
    <w:rsid w:val="00701B1C"/>
    <w:rsid w:val="00701B37"/>
    <w:rsid w:val="00701B68"/>
    <w:rsid w:val="00701BAE"/>
    <w:rsid w:val="00701C13"/>
    <w:rsid w:val="00701C46"/>
    <w:rsid w:val="00701CB5"/>
    <w:rsid w:val="00701CCB"/>
    <w:rsid w:val="00702023"/>
    <w:rsid w:val="007021A7"/>
    <w:rsid w:val="007021A9"/>
    <w:rsid w:val="007021B2"/>
    <w:rsid w:val="007021D5"/>
    <w:rsid w:val="0070233F"/>
    <w:rsid w:val="00702355"/>
    <w:rsid w:val="00702372"/>
    <w:rsid w:val="0070241D"/>
    <w:rsid w:val="007024F3"/>
    <w:rsid w:val="0070255C"/>
    <w:rsid w:val="007025AD"/>
    <w:rsid w:val="007025DE"/>
    <w:rsid w:val="007025EC"/>
    <w:rsid w:val="007026A0"/>
    <w:rsid w:val="007026A8"/>
    <w:rsid w:val="007026E9"/>
    <w:rsid w:val="007027E5"/>
    <w:rsid w:val="007027F6"/>
    <w:rsid w:val="0070286D"/>
    <w:rsid w:val="007029CC"/>
    <w:rsid w:val="007029E8"/>
    <w:rsid w:val="00702A0B"/>
    <w:rsid w:val="00702A57"/>
    <w:rsid w:val="00702A82"/>
    <w:rsid w:val="00702ADD"/>
    <w:rsid w:val="00702B0B"/>
    <w:rsid w:val="00702B68"/>
    <w:rsid w:val="00702C43"/>
    <w:rsid w:val="00702D54"/>
    <w:rsid w:val="00702D56"/>
    <w:rsid w:val="00702D64"/>
    <w:rsid w:val="00702ECF"/>
    <w:rsid w:val="00702F20"/>
    <w:rsid w:val="00702F4D"/>
    <w:rsid w:val="00702FC8"/>
    <w:rsid w:val="00703093"/>
    <w:rsid w:val="007030E5"/>
    <w:rsid w:val="00703153"/>
    <w:rsid w:val="007031D7"/>
    <w:rsid w:val="007031ED"/>
    <w:rsid w:val="007031EE"/>
    <w:rsid w:val="00703206"/>
    <w:rsid w:val="007032DC"/>
    <w:rsid w:val="00703307"/>
    <w:rsid w:val="007033C4"/>
    <w:rsid w:val="0070347E"/>
    <w:rsid w:val="007034C2"/>
    <w:rsid w:val="00703590"/>
    <w:rsid w:val="007035ED"/>
    <w:rsid w:val="0070371C"/>
    <w:rsid w:val="007037A1"/>
    <w:rsid w:val="007038C4"/>
    <w:rsid w:val="00703989"/>
    <w:rsid w:val="007039AA"/>
    <w:rsid w:val="007039C6"/>
    <w:rsid w:val="007039E2"/>
    <w:rsid w:val="007039FB"/>
    <w:rsid w:val="00703B7C"/>
    <w:rsid w:val="00703DC3"/>
    <w:rsid w:val="00703DE7"/>
    <w:rsid w:val="00703E9D"/>
    <w:rsid w:val="00703EAF"/>
    <w:rsid w:val="00703EEB"/>
    <w:rsid w:val="00703F40"/>
    <w:rsid w:val="00703FAF"/>
    <w:rsid w:val="00703FF7"/>
    <w:rsid w:val="007040C1"/>
    <w:rsid w:val="00704105"/>
    <w:rsid w:val="00704184"/>
    <w:rsid w:val="0070419E"/>
    <w:rsid w:val="0070427D"/>
    <w:rsid w:val="00704310"/>
    <w:rsid w:val="0070431A"/>
    <w:rsid w:val="0070436E"/>
    <w:rsid w:val="00704379"/>
    <w:rsid w:val="0070449F"/>
    <w:rsid w:val="007044CE"/>
    <w:rsid w:val="0070450A"/>
    <w:rsid w:val="0070451C"/>
    <w:rsid w:val="007045CF"/>
    <w:rsid w:val="0070464F"/>
    <w:rsid w:val="00704705"/>
    <w:rsid w:val="00704757"/>
    <w:rsid w:val="00704789"/>
    <w:rsid w:val="007047AD"/>
    <w:rsid w:val="007047C2"/>
    <w:rsid w:val="0070483C"/>
    <w:rsid w:val="007048BD"/>
    <w:rsid w:val="00704AB4"/>
    <w:rsid w:val="00704CAA"/>
    <w:rsid w:val="00704CAF"/>
    <w:rsid w:val="00704CB5"/>
    <w:rsid w:val="00704DF3"/>
    <w:rsid w:val="00704E25"/>
    <w:rsid w:val="00704E73"/>
    <w:rsid w:val="00704EA1"/>
    <w:rsid w:val="00704F80"/>
    <w:rsid w:val="00705056"/>
    <w:rsid w:val="007050E2"/>
    <w:rsid w:val="007051C3"/>
    <w:rsid w:val="007051EF"/>
    <w:rsid w:val="00705237"/>
    <w:rsid w:val="0070536D"/>
    <w:rsid w:val="00705376"/>
    <w:rsid w:val="0070542E"/>
    <w:rsid w:val="007054CD"/>
    <w:rsid w:val="00705729"/>
    <w:rsid w:val="0070575E"/>
    <w:rsid w:val="007057E3"/>
    <w:rsid w:val="0070580F"/>
    <w:rsid w:val="00705893"/>
    <w:rsid w:val="007058ED"/>
    <w:rsid w:val="00705930"/>
    <w:rsid w:val="007059D2"/>
    <w:rsid w:val="00705B5F"/>
    <w:rsid w:val="00705BA4"/>
    <w:rsid w:val="00705C09"/>
    <w:rsid w:val="00705C3A"/>
    <w:rsid w:val="00705CE7"/>
    <w:rsid w:val="00705D0C"/>
    <w:rsid w:val="00705D57"/>
    <w:rsid w:val="00705D59"/>
    <w:rsid w:val="00705DC0"/>
    <w:rsid w:val="00705DF3"/>
    <w:rsid w:val="00705EBB"/>
    <w:rsid w:val="00705EEC"/>
    <w:rsid w:val="007061DA"/>
    <w:rsid w:val="007062C7"/>
    <w:rsid w:val="007062F7"/>
    <w:rsid w:val="00706336"/>
    <w:rsid w:val="0070640E"/>
    <w:rsid w:val="00706476"/>
    <w:rsid w:val="007064DC"/>
    <w:rsid w:val="0070655A"/>
    <w:rsid w:val="007065C8"/>
    <w:rsid w:val="0070664E"/>
    <w:rsid w:val="00706669"/>
    <w:rsid w:val="007066C0"/>
    <w:rsid w:val="007066E3"/>
    <w:rsid w:val="00706731"/>
    <w:rsid w:val="00706764"/>
    <w:rsid w:val="007067A1"/>
    <w:rsid w:val="007067B8"/>
    <w:rsid w:val="007067F9"/>
    <w:rsid w:val="0070684D"/>
    <w:rsid w:val="00706869"/>
    <w:rsid w:val="00706880"/>
    <w:rsid w:val="007068FA"/>
    <w:rsid w:val="007068FF"/>
    <w:rsid w:val="00706A78"/>
    <w:rsid w:val="00706B26"/>
    <w:rsid w:val="00706BB7"/>
    <w:rsid w:val="00706BC0"/>
    <w:rsid w:val="00706BF4"/>
    <w:rsid w:val="00706CEA"/>
    <w:rsid w:val="00706CED"/>
    <w:rsid w:val="00706DD9"/>
    <w:rsid w:val="00706DFC"/>
    <w:rsid w:val="00706F1D"/>
    <w:rsid w:val="00706F20"/>
    <w:rsid w:val="00707108"/>
    <w:rsid w:val="00707114"/>
    <w:rsid w:val="0070724E"/>
    <w:rsid w:val="00707394"/>
    <w:rsid w:val="007073A6"/>
    <w:rsid w:val="00707523"/>
    <w:rsid w:val="00707536"/>
    <w:rsid w:val="0070770A"/>
    <w:rsid w:val="00707733"/>
    <w:rsid w:val="007077D2"/>
    <w:rsid w:val="007077F5"/>
    <w:rsid w:val="0070795A"/>
    <w:rsid w:val="007079C0"/>
    <w:rsid w:val="00707A46"/>
    <w:rsid w:val="00707AA9"/>
    <w:rsid w:val="00707BB7"/>
    <w:rsid w:val="00707C08"/>
    <w:rsid w:val="00707C44"/>
    <w:rsid w:val="00707CF7"/>
    <w:rsid w:val="00707D2C"/>
    <w:rsid w:val="00707D35"/>
    <w:rsid w:val="00707D4B"/>
    <w:rsid w:val="00707D5A"/>
    <w:rsid w:val="00707D76"/>
    <w:rsid w:val="00707DD3"/>
    <w:rsid w:val="00707DFC"/>
    <w:rsid w:val="00707EF4"/>
    <w:rsid w:val="0071001B"/>
    <w:rsid w:val="007100FA"/>
    <w:rsid w:val="0071011A"/>
    <w:rsid w:val="007101C3"/>
    <w:rsid w:val="0071022E"/>
    <w:rsid w:val="00710263"/>
    <w:rsid w:val="00710288"/>
    <w:rsid w:val="00710296"/>
    <w:rsid w:val="0071029E"/>
    <w:rsid w:val="007102FB"/>
    <w:rsid w:val="00710322"/>
    <w:rsid w:val="00710379"/>
    <w:rsid w:val="00710381"/>
    <w:rsid w:val="007103E0"/>
    <w:rsid w:val="0071046D"/>
    <w:rsid w:val="007104DF"/>
    <w:rsid w:val="007104E0"/>
    <w:rsid w:val="0071053A"/>
    <w:rsid w:val="007105C1"/>
    <w:rsid w:val="007106F3"/>
    <w:rsid w:val="00710763"/>
    <w:rsid w:val="00710853"/>
    <w:rsid w:val="00710894"/>
    <w:rsid w:val="007108D5"/>
    <w:rsid w:val="007108E7"/>
    <w:rsid w:val="007109A8"/>
    <w:rsid w:val="00710AA3"/>
    <w:rsid w:val="00710B6A"/>
    <w:rsid w:val="00710BAA"/>
    <w:rsid w:val="00710BFE"/>
    <w:rsid w:val="00710BFF"/>
    <w:rsid w:val="00710C88"/>
    <w:rsid w:val="00710CA2"/>
    <w:rsid w:val="00710CCE"/>
    <w:rsid w:val="00710D4B"/>
    <w:rsid w:val="00710EC6"/>
    <w:rsid w:val="0071100C"/>
    <w:rsid w:val="00711015"/>
    <w:rsid w:val="00711068"/>
    <w:rsid w:val="00711101"/>
    <w:rsid w:val="0071111B"/>
    <w:rsid w:val="00711178"/>
    <w:rsid w:val="00711241"/>
    <w:rsid w:val="0071127E"/>
    <w:rsid w:val="00711304"/>
    <w:rsid w:val="00711484"/>
    <w:rsid w:val="007114BA"/>
    <w:rsid w:val="007114FF"/>
    <w:rsid w:val="0071154B"/>
    <w:rsid w:val="00711626"/>
    <w:rsid w:val="00711657"/>
    <w:rsid w:val="00711673"/>
    <w:rsid w:val="0071188F"/>
    <w:rsid w:val="007119F8"/>
    <w:rsid w:val="00711A32"/>
    <w:rsid w:val="00711A73"/>
    <w:rsid w:val="00711AF1"/>
    <w:rsid w:val="00711B8C"/>
    <w:rsid w:val="00711BAD"/>
    <w:rsid w:val="00711CA0"/>
    <w:rsid w:val="00711D02"/>
    <w:rsid w:val="00711DB8"/>
    <w:rsid w:val="00711ED2"/>
    <w:rsid w:val="00711F90"/>
    <w:rsid w:val="00712024"/>
    <w:rsid w:val="0071205C"/>
    <w:rsid w:val="007120CA"/>
    <w:rsid w:val="007120DF"/>
    <w:rsid w:val="00712176"/>
    <w:rsid w:val="0071226F"/>
    <w:rsid w:val="0071228B"/>
    <w:rsid w:val="007122AF"/>
    <w:rsid w:val="007122D0"/>
    <w:rsid w:val="0071236B"/>
    <w:rsid w:val="00712385"/>
    <w:rsid w:val="0071243B"/>
    <w:rsid w:val="0071255A"/>
    <w:rsid w:val="007125AA"/>
    <w:rsid w:val="007125F7"/>
    <w:rsid w:val="00712627"/>
    <w:rsid w:val="0071263C"/>
    <w:rsid w:val="0071268B"/>
    <w:rsid w:val="007126CC"/>
    <w:rsid w:val="00712719"/>
    <w:rsid w:val="00712767"/>
    <w:rsid w:val="0071284D"/>
    <w:rsid w:val="00712881"/>
    <w:rsid w:val="0071294A"/>
    <w:rsid w:val="00712A05"/>
    <w:rsid w:val="00712A2B"/>
    <w:rsid w:val="00712AA8"/>
    <w:rsid w:val="00712B49"/>
    <w:rsid w:val="00712B81"/>
    <w:rsid w:val="00712BBC"/>
    <w:rsid w:val="00712BC4"/>
    <w:rsid w:val="00712BFA"/>
    <w:rsid w:val="00712CA4"/>
    <w:rsid w:val="00712D26"/>
    <w:rsid w:val="00712D31"/>
    <w:rsid w:val="00712D40"/>
    <w:rsid w:val="00712D4A"/>
    <w:rsid w:val="00712F64"/>
    <w:rsid w:val="00712F89"/>
    <w:rsid w:val="00712FEA"/>
    <w:rsid w:val="00713051"/>
    <w:rsid w:val="00713104"/>
    <w:rsid w:val="00713175"/>
    <w:rsid w:val="00713343"/>
    <w:rsid w:val="0071338B"/>
    <w:rsid w:val="0071346D"/>
    <w:rsid w:val="00713477"/>
    <w:rsid w:val="00713532"/>
    <w:rsid w:val="0071353B"/>
    <w:rsid w:val="007135D2"/>
    <w:rsid w:val="00713647"/>
    <w:rsid w:val="00713698"/>
    <w:rsid w:val="007136D7"/>
    <w:rsid w:val="00713703"/>
    <w:rsid w:val="0071374E"/>
    <w:rsid w:val="00713756"/>
    <w:rsid w:val="007137E0"/>
    <w:rsid w:val="0071388E"/>
    <w:rsid w:val="00713899"/>
    <w:rsid w:val="007138C0"/>
    <w:rsid w:val="0071392D"/>
    <w:rsid w:val="00713B30"/>
    <w:rsid w:val="00713B64"/>
    <w:rsid w:val="00713C0D"/>
    <w:rsid w:val="00713CD4"/>
    <w:rsid w:val="00713DB4"/>
    <w:rsid w:val="00713EBC"/>
    <w:rsid w:val="00714027"/>
    <w:rsid w:val="007140C9"/>
    <w:rsid w:val="007140F4"/>
    <w:rsid w:val="0071412B"/>
    <w:rsid w:val="00714213"/>
    <w:rsid w:val="00714232"/>
    <w:rsid w:val="0071437A"/>
    <w:rsid w:val="00714392"/>
    <w:rsid w:val="007143C3"/>
    <w:rsid w:val="007143FE"/>
    <w:rsid w:val="00714450"/>
    <w:rsid w:val="00714473"/>
    <w:rsid w:val="00714482"/>
    <w:rsid w:val="007144BF"/>
    <w:rsid w:val="007144DF"/>
    <w:rsid w:val="00714519"/>
    <w:rsid w:val="007145C1"/>
    <w:rsid w:val="007145C5"/>
    <w:rsid w:val="00714671"/>
    <w:rsid w:val="007146CF"/>
    <w:rsid w:val="0071470E"/>
    <w:rsid w:val="00714842"/>
    <w:rsid w:val="00714849"/>
    <w:rsid w:val="007149A1"/>
    <w:rsid w:val="007149E6"/>
    <w:rsid w:val="007149E9"/>
    <w:rsid w:val="00714A0A"/>
    <w:rsid w:val="00714A22"/>
    <w:rsid w:val="00714A42"/>
    <w:rsid w:val="00714AB4"/>
    <w:rsid w:val="00714B98"/>
    <w:rsid w:val="00714ECC"/>
    <w:rsid w:val="00714F94"/>
    <w:rsid w:val="00715046"/>
    <w:rsid w:val="0071513C"/>
    <w:rsid w:val="007151AD"/>
    <w:rsid w:val="007151D8"/>
    <w:rsid w:val="0071522D"/>
    <w:rsid w:val="00715259"/>
    <w:rsid w:val="00715287"/>
    <w:rsid w:val="007152A2"/>
    <w:rsid w:val="007152AC"/>
    <w:rsid w:val="007152C3"/>
    <w:rsid w:val="00715313"/>
    <w:rsid w:val="0071531B"/>
    <w:rsid w:val="00715338"/>
    <w:rsid w:val="007153DB"/>
    <w:rsid w:val="00715436"/>
    <w:rsid w:val="00715443"/>
    <w:rsid w:val="007154C9"/>
    <w:rsid w:val="00715579"/>
    <w:rsid w:val="00715588"/>
    <w:rsid w:val="0071561D"/>
    <w:rsid w:val="00715711"/>
    <w:rsid w:val="00715750"/>
    <w:rsid w:val="00715851"/>
    <w:rsid w:val="0071586B"/>
    <w:rsid w:val="007159FB"/>
    <w:rsid w:val="00715A67"/>
    <w:rsid w:val="00715B30"/>
    <w:rsid w:val="00715BA0"/>
    <w:rsid w:val="00715BB3"/>
    <w:rsid w:val="00715C3A"/>
    <w:rsid w:val="00715C87"/>
    <w:rsid w:val="00715CAF"/>
    <w:rsid w:val="00715D15"/>
    <w:rsid w:val="00715E03"/>
    <w:rsid w:val="00716066"/>
    <w:rsid w:val="00716105"/>
    <w:rsid w:val="007162E5"/>
    <w:rsid w:val="007162FF"/>
    <w:rsid w:val="007163CE"/>
    <w:rsid w:val="00716438"/>
    <w:rsid w:val="0071654D"/>
    <w:rsid w:val="00716660"/>
    <w:rsid w:val="00716678"/>
    <w:rsid w:val="007166D4"/>
    <w:rsid w:val="00716702"/>
    <w:rsid w:val="00716758"/>
    <w:rsid w:val="00716765"/>
    <w:rsid w:val="007168A9"/>
    <w:rsid w:val="007168AB"/>
    <w:rsid w:val="007168E7"/>
    <w:rsid w:val="00716969"/>
    <w:rsid w:val="0071699F"/>
    <w:rsid w:val="007169CF"/>
    <w:rsid w:val="007169F1"/>
    <w:rsid w:val="00716A40"/>
    <w:rsid w:val="00716AB6"/>
    <w:rsid w:val="00716D6A"/>
    <w:rsid w:val="00716E61"/>
    <w:rsid w:val="00716F4F"/>
    <w:rsid w:val="00716F79"/>
    <w:rsid w:val="00716FD6"/>
    <w:rsid w:val="00717006"/>
    <w:rsid w:val="00717060"/>
    <w:rsid w:val="00717080"/>
    <w:rsid w:val="007171BF"/>
    <w:rsid w:val="007172D1"/>
    <w:rsid w:val="007172DC"/>
    <w:rsid w:val="0071731D"/>
    <w:rsid w:val="00717345"/>
    <w:rsid w:val="00717422"/>
    <w:rsid w:val="00717436"/>
    <w:rsid w:val="00717490"/>
    <w:rsid w:val="0071756D"/>
    <w:rsid w:val="007176CD"/>
    <w:rsid w:val="007176D4"/>
    <w:rsid w:val="007177A8"/>
    <w:rsid w:val="007177BE"/>
    <w:rsid w:val="0071780D"/>
    <w:rsid w:val="0071782B"/>
    <w:rsid w:val="007178A9"/>
    <w:rsid w:val="007178C1"/>
    <w:rsid w:val="007178F4"/>
    <w:rsid w:val="0071794E"/>
    <w:rsid w:val="0071798D"/>
    <w:rsid w:val="007179CA"/>
    <w:rsid w:val="00717A57"/>
    <w:rsid w:val="00717AEC"/>
    <w:rsid w:val="00717B04"/>
    <w:rsid w:val="00717C10"/>
    <w:rsid w:val="00717C9F"/>
    <w:rsid w:val="00717D3D"/>
    <w:rsid w:val="00717E2D"/>
    <w:rsid w:val="00717E70"/>
    <w:rsid w:val="00717E75"/>
    <w:rsid w:val="00717EE4"/>
    <w:rsid w:val="007201C5"/>
    <w:rsid w:val="007201DE"/>
    <w:rsid w:val="007203E0"/>
    <w:rsid w:val="0072041A"/>
    <w:rsid w:val="0072063A"/>
    <w:rsid w:val="007206CA"/>
    <w:rsid w:val="007206EE"/>
    <w:rsid w:val="00720742"/>
    <w:rsid w:val="00720767"/>
    <w:rsid w:val="00720826"/>
    <w:rsid w:val="00720899"/>
    <w:rsid w:val="00720966"/>
    <w:rsid w:val="00720AEB"/>
    <w:rsid w:val="00720B56"/>
    <w:rsid w:val="00720BB2"/>
    <w:rsid w:val="00720BB4"/>
    <w:rsid w:val="00720C01"/>
    <w:rsid w:val="00720CD7"/>
    <w:rsid w:val="00720CD9"/>
    <w:rsid w:val="00720D3C"/>
    <w:rsid w:val="00720D71"/>
    <w:rsid w:val="00720E3E"/>
    <w:rsid w:val="00720F64"/>
    <w:rsid w:val="00721079"/>
    <w:rsid w:val="007210B0"/>
    <w:rsid w:val="00721186"/>
    <w:rsid w:val="00721259"/>
    <w:rsid w:val="00721285"/>
    <w:rsid w:val="007212FD"/>
    <w:rsid w:val="007213B2"/>
    <w:rsid w:val="007213C4"/>
    <w:rsid w:val="007213D9"/>
    <w:rsid w:val="00721407"/>
    <w:rsid w:val="007214CA"/>
    <w:rsid w:val="0072154A"/>
    <w:rsid w:val="0072154F"/>
    <w:rsid w:val="007215D5"/>
    <w:rsid w:val="00721625"/>
    <w:rsid w:val="0072164F"/>
    <w:rsid w:val="0072169D"/>
    <w:rsid w:val="007216A5"/>
    <w:rsid w:val="007216CC"/>
    <w:rsid w:val="007217D7"/>
    <w:rsid w:val="007217F1"/>
    <w:rsid w:val="00721837"/>
    <w:rsid w:val="00721852"/>
    <w:rsid w:val="007218CC"/>
    <w:rsid w:val="007219D2"/>
    <w:rsid w:val="007219DC"/>
    <w:rsid w:val="007219F1"/>
    <w:rsid w:val="00721AD0"/>
    <w:rsid w:val="00721B1F"/>
    <w:rsid w:val="00721B53"/>
    <w:rsid w:val="00721BC1"/>
    <w:rsid w:val="00721BEE"/>
    <w:rsid w:val="00721BF1"/>
    <w:rsid w:val="00721D03"/>
    <w:rsid w:val="00721D04"/>
    <w:rsid w:val="00721D78"/>
    <w:rsid w:val="00721E2D"/>
    <w:rsid w:val="00721EA9"/>
    <w:rsid w:val="00721EB8"/>
    <w:rsid w:val="00721FE3"/>
    <w:rsid w:val="0072202D"/>
    <w:rsid w:val="007220B1"/>
    <w:rsid w:val="007220B3"/>
    <w:rsid w:val="0072218A"/>
    <w:rsid w:val="0072220B"/>
    <w:rsid w:val="007222C2"/>
    <w:rsid w:val="007222FC"/>
    <w:rsid w:val="00722339"/>
    <w:rsid w:val="0072245F"/>
    <w:rsid w:val="0072253A"/>
    <w:rsid w:val="00722621"/>
    <w:rsid w:val="0072263A"/>
    <w:rsid w:val="00722646"/>
    <w:rsid w:val="007226EB"/>
    <w:rsid w:val="00722756"/>
    <w:rsid w:val="0072294C"/>
    <w:rsid w:val="007229CE"/>
    <w:rsid w:val="007229F6"/>
    <w:rsid w:val="007229FA"/>
    <w:rsid w:val="00722A4F"/>
    <w:rsid w:val="00722A7D"/>
    <w:rsid w:val="00722AD3"/>
    <w:rsid w:val="00722B3F"/>
    <w:rsid w:val="00722CCA"/>
    <w:rsid w:val="00722D0E"/>
    <w:rsid w:val="00722DA6"/>
    <w:rsid w:val="00722DA8"/>
    <w:rsid w:val="00722DF8"/>
    <w:rsid w:val="00722E60"/>
    <w:rsid w:val="00722E7F"/>
    <w:rsid w:val="00722E8E"/>
    <w:rsid w:val="00722EAA"/>
    <w:rsid w:val="00722EC6"/>
    <w:rsid w:val="00722F76"/>
    <w:rsid w:val="00722FBC"/>
    <w:rsid w:val="007230A8"/>
    <w:rsid w:val="0072312C"/>
    <w:rsid w:val="007231CB"/>
    <w:rsid w:val="00723227"/>
    <w:rsid w:val="0072322D"/>
    <w:rsid w:val="00723242"/>
    <w:rsid w:val="007232BB"/>
    <w:rsid w:val="00723305"/>
    <w:rsid w:val="0072336F"/>
    <w:rsid w:val="007233A1"/>
    <w:rsid w:val="007233CD"/>
    <w:rsid w:val="007234A4"/>
    <w:rsid w:val="00723715"/>
    <w:rsid w:val="0072371B"/>
    <w:rsid w:val="00723788"/>
    <w:rsid w:val="00723834"/>
    <w:rsid w:val="0072383D"/>
    <w:rsid w:val="00723879"/>
    <w:rsid w:val="0072388B"/>
    <w:rsid w:val="007238A5"/>
    <w:rsid w:val="007238C4"/>
    <w:rsid w:val="0072390C"/>
    <w:rsid w:val="0072393B"/>
    <w:rsid w:val="00723959"/>
    <w:rsid w:val="00723A10"/>
    <w:rsid w:val="00723A9C"/>
    <w:rsid w:val="00723AFA"/>
    <w:rsid w:val="00723B2C"/>
    <w:rsid w:val="00723BDD"/>
    <w:rsid w:val="00723C0B"/>
    <w:rsid w:val="00723C64"/>
    <w:rsid w:val="00723CB5"/>
    <w:rsid w:val="00723CD6"/>
    <w:rsid w:val="00723CD8"/>
    <w:rsid w:val="00723CE9"/>
    <w:rsid w:val="00723E8E"/>
    <w:rsid w:val="00723ECB"/>
    <w:rsid w:val="00723EDF"/>
    <w:rsid w:val="00723EE9"/>
    <w:rsid w:val="00723EF6"/>
    <w:rsid w:val="00723FAA"/>
    <w:rsid w:val="00724061"/>
    <w:rsid w:val="007240A0"/>
    <w:rsid w:val="00724189"/>
    <w:rsid w:val="007241A7"/>
    <w:rsid w:val="007241CA"/>
    <w:rsid w:val="0072424F"/>
    <w:rsid w:val="007242C0"/>
    <w:rsid w:val="0072432E"/>
    <w:rsid w:val="00724331"/>
    <w:rsid w:val="007243E2"/>
    <w:rsid w:val="00724428"/>
    <w:rsid w:val="007244C2"/>
    <w:rsid w:val="00724564"/>
    <w:rsid w:val="0072456A"/>
    <w:rsid w:val="007245B3"/>
    <w:rsid w:val="007245F5"/>
    <w:rsid w:val="0072462A"/>
    <w:rsid w:val="007246E9"/>
    <w:rsid w:val="007246FF"/>
    <w:rsid w:val="00724702"/>
    <w:rsid w:val="0072477D"/>
    <w:rsid w:val="007247A8"/>
    <w:rsid w:val="00724855"/>
    <w:rsid w:val="00724872"/>
    <w:rsid w:val="00724873"/>
    <w:rsid w:val="00724973"/>
    <w:rsid w:val="00724996"/>
    <w:rsid w:val="007249B1"/>
    <w:rsid w:val="007249E6"/>
    <w:rsid w:val="00724A32"/>
    <w:rsid w:val="00724A65"/>
    <w:rsid w:val="00724A6C"/>
    <w:rsid w:val="00724A93"/>
    <w:rsid w:val="00724AF6"/>
    <w:rsid w:val="00724B1A"/>
    <w:rsid w:val="00724B95"/>
    <w:rsid w:val="00724BBE"/>
    <w:rsid w:val="00724CC6"/>
    <w:rsid w:val="00724EE4"/>
    <w:rsid w:val="00724EF0"/>
    <w:rsid w:val="00724F17"/>
    <w:rsid w:val="00724FB2"/>
    <w:rsid w:val="0072511A"/>
    <w:rsid w:val="007251D9"/>
    <w:rsid w:val="00725239"/>
    <w:rsid w:val="007252FE"/>
    <w:rsid w:val="007253CA"/>
    <w:rsid w:val="00725404"/>
    <w:rsid w:val="0072540A"/>
    <w:rsid w:val="0072546D"/>
    <w:rsid w:val="007254D5"/>
    <w:rsid w:val="007254DE"/>
    <w:rsid w:val="007255B9"/>
    <w:rsid w:val="007255F5"/>
    <w:rsid w:val="00725676"/>
    <w:rsid w:val="0072588E"/>
    <w:rsid w:val="00725953"/>
    <w:rsid w:val="00725AA0"/>
    <w:rsid w:val="00725AB6"/>
    <w:rsid w:val="00725BC0"/>
    <w:rsid w:val="00725C65"/>
    <w:rsid w:val="00725CD2"/>
    <w:rsid w:val="00725CDC"/>
    <w:rsid w:val="00725D33"/>
    <w:rsid w:val="00725EB0"/>
    <w:rsid w:val="00725EE3"/>
    <w:rsid w:val="00725FBE"/>
    <w:rsid w:val="00725FC2"/>
    <w:rsid w:val="00726044"/>
    <w:rsid w:val="0072607A"/>
    <w:rsid w:val="007260D3"/>
    <w:rsid w:val="007260DD"/>
    <w:rsid w:val="0072610F"/>
    <w:rsid w:val="007261B4"/>
    <w:rsid w:val="0072627E"/>
    <w:rsid w:val="007262C1"/>
    <w:rsid w:val="00726317"/>
    <w:rsid w:val="00726329"/>
    <w:rsid w:val="00726349"/>
    <w:rsid w:val="00726544"/>
    <w:rsid w:val="00726548"/>
    <w:rsid w:val="007265FB"/>
    <w:rsid w:val="00726675"/>
    <w:rsid w:val="0072670F"/>
    <w:rsid w:val="0072672A"/>
    <w:rsid w:val="00726767"/>
    <w:rsid w:val="00726856"/>
    <w:rsid w:val="00726878"/>
    <w:rsid w:val="00726883"/>
    <w:rsid w:val="00726935"/>
    <w:rsid w:val="00726A0E"/>
    <w:rsid w:val="00726A5B"/>
    <w:rsid w:val="00726A96"/>
    <w:rsid w:val="00726AC2"/>
    <w:rsid w:val="00726B25"/>
    <w:rsid w:val="00726B62"/>
    <w:rsid w:val="00726B7E"/>
    <w:rsid w:val="00726B98"/>
    <w:rsid w:val="00726C0E"/>
    <w:rsid w:val="00726D19"/>
    <w:rsid w:val="00726D20"/>
    <w:rsid w:val="00726D60"/>
    <w:rsid w:val="00726DAB"/>
    <w:rsid w:val="00726DB8"/>
    <w:rsid w:val="00726DBE"/>
    <w:rsid w:val="00726E2C"/>
    <w:rsid w:val="00726E4C"/>
    <w:rsid w:val="00726EB0"/>
    <w:rsid w:val="00726EEC"/>
    <w:rsid w:val="00726F29"/>
    <w:rsid w:val="00726F74"/>
    <w:rsid w:val="00726F76"/>
    <w:rsid w:val="007270CB"/>
    <w:rsid w:val="007270D3"/>
    <w:rsid w:val="00727267"/>
    <w:rsid w:val="007272A4"/>
    <w:rsid w:val="007272B7"/>
    <w:rsid w:val="00727337"/>
    <w:rsid w:val="00727418"/>
    <w:rsid w:val="007275DB"/>
    <w:rsid w:val="00727604"/>
    <w:rsid w:val="0072766B"/>
    <w:rsid w:val="007276B1"/>
    <w:rsid w:val="0072771C"/>
    <w:rsid w:val="00727795"/>
    <w:rsid w:val="007277FC"/>
    <w:rsid w:val="0072780A"/>
    <w:rsid w:val="00727846"/>
    <w:rsid w:val="00727910"/>
    <w:rsid w:val="0072791B"/>
    <w:rsid w:val="007279C9"/>
    <w:rsid w:val="00727A37"/>
    <w:rsid w:val="00727B8E"/>
    <w:rsid w:val="00727C30"/>
    <w:rsid w:val="00727DD1"/>
    <w:rsid w:val="00727E6A"/>
    <w:rsid w:val="00727E8B"/>
    <w:rsid w:val="00727F01"/>
    <w:rsid w:val="00727FB2"/>
    <w:rsid w:val="0072C8E1"/>
    <w:rsid w:val="00730062"/>
    <w:rsid w:val="007300C4"/>
    <w:rsid w:val="007300E9"/>
    <w:rsid w:val="0073013F"/>
    <w:rsid w:val="00730160"/>
    <w:rsid w:val="00730179"/>
    <w:rsid w:val="00730227"/>
    <w:rsid w:val="00730236"/>
    <w:rsid w:val="00730362"/>
    <w:rsid w:val="007304B3"/>
    <w:rsid w:val="00730588"/>
    <w:rsid w:val="007305F7"/>
    <w:rsid w:val="007306EA"/>
    <w:rsid w:val="007306FA"/>
    <w:rsid w:val="00730764"/>
    <w:rsid w:val="007308D9"/>
    <w:rsid w:val="00730968"/>
    <w:rsid w:val="007309D1"/>
    <w:rsid w:val="007309FF"/>
    <w:rsid w:val="00730A7D"/>
    <w:rsid w:val="00730AD0"/>
    <w:rsid w:val="00730B4D"/>
    <w:rsid w:val="00730BBC"/>
    <w:rsid w:val="00730CBA"/>
    <w:rsid w:val="00730DF2"/>
    <w:rsid w:val="00730E07"/>
    <w:rsid w:val="00730E34"/>
    <w:rsid w:val="00730EE1"/>
    <w:rsid w:val="00730EEF"/>
    <w:rsid w:val="00730F6F"/>
    <w:rsid w:val="0073107B"/>
    <w:rsid w:val="0073107E"/>
    <w:rsid w:val="00731096"/>
    <w:rsid w:val="0073109F"/>
    <w:rsid w:val="0073115C"/>
    <w:rsid w:val="00731173"/>
    <w:rsid w:val="007311FB"/>
    <w:rsid w:val="00731246"/>
    <w:rsid w:val="00731258"/>
    <w:rsid w:val="00731513"/>
    <w:rsid w:val="00731589"/>
    <w:rsid w:val="00731610"/>
    <w:rsid w:val="00731656"/>
    <w:rsid w:val="0073166B"/>
    <w:rsid w:val="007317DE"/>
    <w:rsid w:val="00731820"/>
    <w:rsid w:val="0073191F"/>
    <w:rsid w:val="007319BE"/>
    <w:rsid w:val="00731A08"/>
    <w:rsid w:val="00731A5A"/>
    <w:rsid w:val="00731B24"/>
    <w:rsid w:val="00731D77"/>
    <w:rsid w:val="00731DC5"/>
    <w:rsid w:val="00731E87"/>
    <w:rsid w:val="00731EDD"/>
    <w:rsid w:val="00731F08"/>
    <w:rsid w:val="00731F37"/>
    <w:rsid w:val="00732003"/>
    <w:rsid w:val="00732018"/>
    <w:rsid w:val="0073219B"/>
    <w:rsid w:val="00732408"/>
    <w:rsid w:val="00732422"/>
    <w:rsid w:val="007325A5"/>
    <w:rsid w:val="00732686"/>
    <w:rsid w:val="0073270B"/>
    <w:rsid w:val="0073273C"/>
    <w:rsid w:val="0073278D"/>
    <w:rsid w:val="00732792"/>
    <w:rsid w:val="007328FD"/>
    <w:rsid w:val="00732970"/>
    <w:rsid w:val="0073297B"/>
    <w:rsid w:val="007329B5"/>
    <w:rsid w:val="00732A09"/>
    <w:rsid w:val="00732A25"/>
    <w:rsid w:val="00732B00"/>
    <w:rsid w:val="00732B03"/>
    <w:rsid w:val="00732B15"/>
    <w:rsid w:val="00732B23"/>
    <w:rsid w:val="00732B9D"/>
    <w:rsid w:val="00732CAA"/>
    <w:rsid w:val="00732CC0"/>
    <w:rsid w:val="00732D3A"/>
    <w:rsid w:val="00732DC3"/>
    <w:rsid w:val="00732E21"/>
    <w:rsid w:val="00732E3C"/>
    <w:rsid w:val="00732E67"/>
    <w:rsid w:val="00732EB4"/>
    <w:rsid w:val="00732F6F"/>
    <w:rsid w:val="00732F9D"/>
    <w:rsid w:val="00732FBC"/>
    <w:rsid w:val="00733065"/>
    <w:rsid w:val="0073308E"/>
    <w:rsid w:val="00733135"/>
    <w:rsid w:val="0073313A"/>
    <w:rsid w:val="00733182"/>
    <w:rsid w:val="00733195"/>
    <w:rsid w:val="007331DF"/>
    <w:rsid w:val="00733206"/>
    <w:rsid w:val="00733207"/>
    <w:rsid w:val="00733311"/>
    <w:rsid w:val="0073335C"/>
    <w:rsid w:val="007333DA"/>
    <w:rsid w:val="007334C1"/>
    <w:rsid w:val="007334EB"/>
    <w:rsid w:val="0073360A"/>
    <w:rsid w:val="007336C4"/>
    <w:rsid w:val="007336DA"/>
    <w:rsid w:val="00733721"/>
    <w:rsid w:val="007337A1"/>
    <w:rsid w:val="007337EE"/>
    <w:rsid w:val="0073394E"/>
    <w:rsid w:val="00733A4E"/>
    <w:rsid w:val="00733A61"/>
    <w:rsid w:val="00733B14"/>
    <w:rsid w:val="00733BE5"/>
    <w:rsid w:val="00733C2F"/>
    <w:rsid w:val="00733E19"/>
    <w:rsid w:val="00733E55"/>
    <w:rsid w:val="00733E8A"/>
    <w:rsid w:val="00733F0D"/>
    <w:rsid w:val="00733F18"/>
    <w:rsid w:val="00733F31"/>
    <w:rsid w:val="00733F85"/>
    <w:rsid w:val="00733F88"/>
    <w:rsid w:val="0073406D"/>
    <w:rsid w:val="007340C2"/>
    <w:rsid w:val="007340E7"/>
    <w:rsid w:val="0073415C"/>
    <w:rsid w:val="007341AD"/>
    <w:rsid w:val="007341D0"/>
    <w:rsid w:val="0073423F"/>
    <w:rsid w:val="00734301"/>
    <w:rsid w:val="00734312"/>
    <w:rsid w:val="0073431C"/>
    <w:rsid w:val="0073432C"/>
    <w:rsid w:val="00734360"/>
    <w:rsid w:val="007343E8"/>
    <w:rsid w:val="00734409"/>
    <w:rsid w:val="007344D3"/>
    <w:rsid w:val="00734509"/>
    <w:rsid w:val="0073451C"/>
    <w:rsid w:val="00734548"/>
    <w:rsid w:val="0073460A"/>
    <w:rsid w:val="007347E8"/>
    <w:rsid w:val="0073482B"/>
    <w:rsid w:val="00734856"/>
    <w:rsid w:val="0073486D"/>
    <w:rsid w:val="007348AB"/>
    <w:rsid w:val="007348C0"/>
    <w:rsid w:val="007348CC"/>
    <w:rsid w:val="0073491A"/>
    <w:rsid w:val="0073499B"/>
    <w:rsid w:val="007349F2"/>
    <w:rsid w:val="00734A4B"/>
    <w:rsid w:val="00734AB2"/>
    <w:rsid w:val="00734ADB"/>
    <w:rsid w:val="00734B2C"/>
    <w:rsid w:val="00734B4B"/>
    <w:rsid w:val="00734B90"/>
    <w:rsid w:val="00734C7F"/>
    <w:rsid w:val="00734CAA"/>
    <w:rsid w:val="00734CC8"/>
    <w:rsid w:val="00734D92"/>
    <w:rsid w:val="00734DE5"/>
    <w:rsid w:val="00734E62"/>
    <w:rsid w:val="00734FBA"/>
    <w:rsid w:val="0073505A"/>
    <w:rsid w:val="00735148"/>
    <w:rsid w:val="007353D1"/>
    <w:rsid w:val="00735422"/>
    <w:rsid w:val="00735446"/>
    <w:rsid w:val="00735447"/>
    <w:rsid w:val="00735468"/>
    <w:rsid w:val="0073546E"/>
    <w:rsid w:val="00735473"/>
    <w:rsid w:val="007354A2"/>
    <w:rsid w:val="007354BD"/>
    <w:rsid w:val="0073552A"/>
    <w:rsid w:val="0073553F"/>
    <w:rsid w:val="0073556E"/>
    <w:rsid w:val="007355B5"/>
    <w:rsid w:val="00735766"/>
    <w:rsid w:val="007357D5"/>
    <w:rsid w:val="00735811"/>
    <w:rsid w:val="00735939"/>
    <w:rsid w:val="00735947"/>
    <w:rsid w:val="00735969"/>
    <w:rsid w:val="00735A54"/>
    <w:rsid w:val="00735A91"/>
    <w:rsid w:val="00735AC2"/>
    <w:rsid w:val="00735B31"/>
    <w:rsid w:val="00735B57"/>
    <w:rsid w:val="00735B5B"/>
    <w:rsid w:val="00735B76"/>
    <w:rsid w:val="00735BAE"/>
    <w:rsid w:val="00735C8A"/>
    <w:rsid w:val="00735D05"/>
    <w:rsid w:val="00735D63"/>
    <w:rsid w:val="00735E29"/>
    <w:rsid w:val="00735E59"/>
    <w:rsid w:val="00735F3D"/>
    <w:rsid w:val="00735F57"/>
    <w:rsid w:val="00735FCE"/>
    <w:rsid w:val="00736001"/>
    <w:rsid w:val="0073607E"/>
    <w:rsid w:val="00736086"/>
    <w:rsid w:val="007360B0"/>
    <w:rsid w:val="0073615E"/>
    <w:rsid w:val="007361C0"/>
    <w:rsid w:val="007362C3"/>
    <w:rsid w:val="0073638B"/>
    <w:rsid w:val="00736423"/>
    <w:rsid w:val="00736480"/>
    <w:rsid w:val="00736494"/>
    <w:rsid w:val="007365EB"/>
    <w:rsid w:val="0073668F"/>
    <w:rsid w:val="00736695"/>
    <w:rsid w:val="007366E5"/>
    <w:rsid w:val="00736798"/>
    <w:rsid w:val="007367E8"/>
    <w:rsid w:val="007367FA"/>
    <w:rsid w:val="0073688F"/>
    <w:rsid w:val="0073698F"/>
    <w:rsid w:val="00736A6A"/>
    <w:rsid w:val="00736A7F"/>
    <w:rsid w:val="00736AD0"/>
    <w:rsid w:val="00736B57"/>
    <w:rsid w:val="00736C03"/>
    <w:rsid w:val="00736CD9"/>
    <w:rsid w:val="00736D07"/>
    <w:rsid w:val="00736D1B"/>
    <w:rsid w:val="00736D7F"/>
    <w:rsid w:val="00736DCF"/>
    <w:rsid w:val="00736E33"/>
    <w:rsid w:val="00736E34"/>
    <w:rsid w:val="00736F5A"/>
    <w:rsid w:val="0073705A"/>
    <w:rsid w:val="007370CC"/>
    <w:rsid w:val="0073716D"/>
    <w:rsid w:val="007372B6"/>
    <w:rsid w:val="007373A0"/>
    <w:rsid w:val="00737422"/>
    <w:rsid w:val="00737426"/>
    <w:rsid w:val="007374E5"/>
    <w:rsid w:val="00737627"/>
    <w:rsid w:val="007377B3"/>
    <w:rsid w:val="007378AD"/>
    <w:rsid w:val="007378BF"/>
    <w:rsid w:val="00737901"/>
    <w:rsid w:val="00737953"/>
    <w:rsid w:val="0073796A"/>
    <w:rsid w:val="00737A09"/>
    <w:rsid w:val="00737A37"/>
    <w:rsid w:val="00737A3B"/>
    <w:rsid w:val="00737A52"/>
    <w:rsid w:val="00737AA8"/>
    <w:rsid w:val="00737AE8"/>
    <w:rsid w:val="00737CE1"/>
    <w:rsid w:val="00737D5C"/>
    <w:rsid w:val="00737D7C"/>
    <w:rsid w:val="00737D92"/>
    <w:rsid w:val="00737D9B"/>
    <w:rsid w:val="00737DD2"/>
    <w:rsid w:val="00737F42"/>
    <w:rsid w:val="0074000D"/>
    <w:rsid w:val="00740138"/>
    <w:rsid w:val="0074013F"/>
    <w:rsid w:val="0074027F"/>
    <w:rsid w:val="007402D2"/>
    <w:rsid w:val="00740331"/>
    <w:rsid w:val="007404D4"/>
    <w:rsid w:val="0074053C"/>
    <w:rsid w:val="007405BA"/>
    <w:rsid w:val="00740611"/>
    <w:rsid w:val="007406B4"/>
    <w:rsid w:val="00740719"/>
    <w:rsid w:val="00740752"/>
    <w:rsid w:val="007407DB"/>
    <w:rsid w:val="0074085D"/>
    <w:rsid w:val="0074086F"/>
    <w:rsid w:val="007408C1"/>
    <w:rsid w:val="0074099E"/>
    <w:rsid w:val="007409A4"/>
    <w:rsid w:val="007409B4"/>
    <w:rsid w:val="00740A29"/>
    <w:rsid w:val="00740A6E"/>
    <w:rsid w:val="00740B5F"/>
    <w:rsid w:val="00740B7D"/>
    <w:rsid w:val="00740C49"/>
    <w:rsid w:val="00740C5B"/>
    <w:rsid w:val="00740CD7"/>
    <w:rsid w:val="00740D2F"/>
    <w:rsid w:val="00740D7C"/>
    <w:rsid w:val="00740E02"/>
    <w:rsid w:val="00740E5A"/>
    <w:rsid w:val="00740E96"/>
    <w:rsid w:val="00741071"/>
    <w:rsid w:val="007410D1"/>
    <w:rsid w:val="00741162"/>
    <w:rsid w:val="007411D3"/>
    <w:rsid w:val="007411E7"/>
    <w:rsid w:val="007411FC"/>
    <w:rsid w:val="0074127E"/>
    <w:rsid w:val="007412C8"/>
    <w:rsid w:val="0074139A"/>
    <w:rsid w:val="007413E2"/>
    <w:rsid w:val="00741455"/>
    <w:rsid w:val="007414C7"/>
    <w:rsid w:val="007414D3"/>
    <w:rsid w:val="007415BA"/>
    <w:rsid w:val="007415DD"/>
    <w:rsid w:val="00741613"/>
    <w:rsid w:val="00741695"/>
    <w:rsid w:val="007416F0"/>
    <w:rsid w:val="00741742"/>
    <w:rsid w:val="00741745"/>
    <w:rsid w:val="00741793"/>
    <w:rsid w:val="00741897"/>
    <w:rsid w:val="00741906"/>
    <w:rsid w:val="00741972"/>
    <w:rsid w:val="007419F9"/>
    <w:rsid w:val="00741A98"/>
    <w:rsid w:val="00741ABA"/>
    <w:rsid w:val="00741ACD"/>
    <w:rsid w:val="00741B18"/>
    <w:rsid w:val="00741C35"/>
    <w:rsid w:val="00741C42"/>
    <w:rsid w:val="00741C9D"/>
    <w:rsid w:val="00741D81"/>
    <w:rsid w:val="00741E64"/>
    <w:rsid w:val="00741E68"/>
    <w:rsid w:val="00741ED3"/>
    <w:rsid w:val="00741EE7"/>
    <w:rsid w:val="00741FD5"/>
    <w:rsid w:val="00742069"/>
    <w:rsid w:val="007420E0"/>
    <w:rsid w:val="00742131"/>
    <w:rsid w:val="00742153"/>
    <w:rsid w:val="00742180"/>
    <w:rsid w:val="0074231B"/>
    <w:rsid w:val="007423AC"/>
    <w:rsid w:val="007423F9"/>
    <w:rsid w:val="007424BA"/>
    <w:rsid w:val="007424C9"/>
    <w:rsid w:val="007424E1"/>
    <w:rsid w:val="0074255E"/>
    <w:rsid w:val="00742727"/>
    <w:rsid w:val="00742754"/>
    <w:rsid w:val="00742831"/>
    <w:rsid w:val="0074283A"/>
    <w:rsid w:val="007428E8"/>
    <w:rsid w:val="00742995"/>
    <w:rsid w:val="00742B89"/>
    <w:rsid w:val="00742B8F"/>
    <w:rsid w:val="00742C08"/>
    <w:rsid w:val="00742C24"/>
    <w:rsid w:val="00742C26"/>
    <w:rsid w:val="00742C76"/>
    <w:rsid w:val="00742CA8"/>
    <w:rsid w:val="00742CC1"/>
    <w:rsid w:val="00742D9A"/>
    <w:rsid w:val="00742DD5"/>
    <w:rsid w:val="00742E07"/>
    <w:rsid w:val="00742E16"/>
    <w:rsid w:val="00742E2D"/>
    <w:rsid w:val="00742EAF"/>
    <w:rsid w:val="00742EC0"/>
    <w:rsid w:val="00742EC4"/>
    <w:rsid w:val="007432B7"/>
    <w:rsid w:val="007432C1"/>
    <w:rsid w:val="007432C7"/>
    <w:rsid w:val="00743471"/>
    <w:rsid w:val="007434C1"/>
    <w:rsid w:val="007434DC"/>
    <w:rsid w:val="007434E5"/>
    <w:rsid w:val="007434F3"/>
    <w:rsid w:val="00743602"/>
    <w:rsid w:val="0074360A"/>
    <w:rsid w:val="00743686"/>
    <w:rsid w:val="0074368A"/>
    <w:rsid w:val="007436BA"/>
    <w:rsid w:val="007436CD"/>
    <w:rsid w:val="007436E1"/>
    <w:rsid w:val="0074376A"/>
    <w:rsid w:val="007437B6"/>
    <w:rsid w:val="007438C4"/>
    <w:rsid w:val="0074391D"/>
    <w:rsid w:val="00743923"/>
    <w:rsid w:val="00743978"/>
    <w:rsid w:val="007439B3"/>
    <w:rsid w:val="00743AF1"/>
    <w:rsid w:val="00743BD7"/>
    <w:rsid w:val="00743DDB"/>
    <w:rsid w:val="00743E20"/>
    <w:rsid w:val="00743E8C"/>
    <w:rsid w:val="00743EDA"/>
    <w:rsid w:val="00743FBC"/>
    <w:rsid w:val="00744024"/>
    <w:rsid w:val="0074402C"/>
    <w:rsid w:val="00744045"/>
    <w:rsid w:val="00744080"/>
    <w:rsid w:val="00744089"/>
    <w:rsid w:val="0074408F"/>
    <w:rsid w:val="00744250"/>
    <w:rsid w:val="007442ED"/>
    <w:rsid w:val="0074435E"/>
    <w:rsid w:val="00744425"/>
    <w:rsid w:val="00744479"/>
    <w:rsid w:val="00744491"/>
    <w:rsid w:val="007444FB"/>
    <w:rsid w:val="0074452C"/>
    <w:rsid w:val="007445B3"/>
    <w:rsid w:val="007445E0"/>
    <w:rsid w:val="0074464D"/>
    <w:rsid w:val="00744656"/>
    <w:rsid w:val="007446A9"/>
    <w:rsid w:val="007446EB"/>
    <w:rsid w:val="007446F2"/>
    <w:rsid w:val="007446F6"/>
    <w:rsid w:val="00744781"/>
    <w:rsid w:val="007448C2"/>
    <w:rsid w:val="00744906"/>
    <w:rsid w:val="00744976"/>
    <w:rsid w:val="00744A6A"/>
    <w:rsid w:val="00744A89"/>
    <w:rsid w:val="00744ACE"/>
    <w:rsid w:val="00744BC2"/>
    <w:rsid w:val="00744C8D"/>
    <w:rsid w:val="00744CA0"/>
    <w:rsid w:val="00744D0B"/>
    <w:rsid w:val="00744D5A"/>
    <w:rsid w:val="00744D86"/>
    <w:rsid w:val="00744DB6"/>
    <w:rsid w:val="00744F49"/>
    <w:rsid w:val="00744F60"/>
    <w:rsid w:val="00744F81"/>
    <w:rsid w:val="00744FAE"/>
    <w:rsid w:val="00744FCD"/>
    <w:rsid w:val="00745021"/>
    <w:rsid w:val="007450B7"/>
    <w:rsid w:val="007452D3"/>
    <w:rsid w:val="007452E5"/>
    <w:rsid w:val="0074530C"/>
    <w:rsid w:val="00745375"/>
    <w:rsid w:val="00745384"/>
    <w:rsid w:val="007453A1"/>
    <w:rsid w:val="00745514"/>
    <w:rsid w:val="007455F6"/>
    <w:rsid w:val="00745692"/>
    <w:rsid w:val="007456A7"/>
    <w:rsid w:val="0074578B"/>
    <w:rsid w:val="00745811"/>
    <w:rsid w:val="007458AC"/>
    <w:rsid w:val="00745948"/>
    <w:rsid w:val="00745959"/>
    <w:rsid w:val="007459CA"/>
    <w:rsid w:val="00745A1E"/>
    <w:rsid w:val="00745A87"/>
    <w:rsid w:val="00745B3D"/>
    <w:rsid w:val="00745B8D"/>
    <w:rsid w:val="00745BE1"/>
    <w:rsid w:val="00745BE4"/>
    <w:rsid w:val="00745C6B"/>
    <w:rsid w:val="00745C8F"/>
    <w:rsid w:val="00745D50"/>
    <w:rsid w:val="00745D7F"/>
    <w:rsid w:val="00745DFE"/>
    <w:rsid w:val="00745E24"/>
    <w:rsid w:val="00745E48"/>
    <w:rsid w:val="00745E6B"/>
    <w:rsid w:val="00745EF8"/>
    <w:rsid w:val="00745F1D"/>
    <w:rsid w:val="00745FB2"/>
    <w:rsid w:val="00745FCD"/>
    <w:rsid w:val="00745FF6"/>
    <w:rsid w:val="007460B5"/>
    <w:rsid w:val="00746126"/>
    <w:rsid w:val="00746187"/>
    <w:rsid w:val="007461F7"/>
    <w:rsid w:val="0074622A"/>
    <w:rsid w:val="0074623A"/>
    <w:rsid w:val="00746332"/>
    <w:rsid w:val="007463E5"/>
    <w:rsid w:val="00746416"/>
    <w:rsid w:val="00746459"/>
    <w:rsid w:val="007464A4"/>
    <w:rsid w:val="007464CA"/>
    <w:rsid w:val="00746524"/>
    <w:rsid w:val="00746658"/>
    <w:rsid w:val="00746699"/>
    <w:rsid w:val="007466B5"/>
    <w:rsid w:val="007466B8"/>
    <w:rsid w:val="0074675D"/>
    <w:rsid w:val="00746852"/>
    <w:rsid w:val="0074686A"/>
    <w:rsid w:val="00746903"/>
    <w:rsid w:val="00746972"/>
    <w:rsid w:val="007469BD"/>
    <w:rsid w:val="00746AB7"/>
    <w:rsid w:val="00746ACF"/>
    <w:rsid w:val="00746AE4"/>
    <w:rsid w:val="00746B18"/>
    <w:rsid w:val="00746B8C"/>
    <w:rsid w:val="00746BDF"/>
    <w:rsid w:val="00746DA0"/>
    <w:rsid w:val="00746EA4"/>
    <w:rsid w:val="00746EE5"/>
    <w:rsid w:val="00746F87"/>
    <w:rsid w:val="00746FB1"/>
    <w:rsid w:val="00746FE3"/>
    <w:rsid w:val="007470C5"/>
    <w:rsid w:val="007471FC"/>
    <w:rsid w:val="00747239"/>
    <w:rsid w:val="00747285"/>
    <w:rsid w:val="007472B3"/>
    <w:rsid w:val="00747405"/>
    <w:rsid w:val="0074756E"/>
    <w:rsid w:val="0074769E"/>
    <w:rsid w:val="0074777D"/>
    <w:rsid w:val="0074783E"/>
    <w:rsid w:val="007478A2"/>
    <w:rsid w:val="00747941"/>
    <w:rsid w:val="0074796F"/>
    <w:rsid w:val="00747A85"/>
    <w:rsid w:val="00747A92"/>
    <w:rsid w:val="00747AB2"/>
    <w:rsid w:val="00747D3A"/>
    <w:rsid w:val="00747D4E"/>
    <w:rsid w:val="00750001"/>
    <w:rsid w:val="0075000E"/>
    <w:rsid w:val="007500F7"/>
    <w:rsid w:val="007501E6"/>
    <w:rsid w:val="0075020A"/>
    <w:rsid w:val="00750320"/>
    <w:rsid w:val="007503A6"/>
    <w:rsid w:val="007503CB"/>
    <w:rsid w:val="007503FD"/>
    <w:rsid w:val="007504D7"/>
    <w:rsid w:val="007504F5"/>
    <w:rsid w:val="0075051F"/>
    <w:rsid w:val="007505D3"/>
    <w:rsid w:val="00750684"/>
    <w:rsid w:val="0075070F"/>
    <w:rsid w:val="00750711"/>
    <w:rsid w:val="0075078A"/>
    <w:rsid w:val="007507AF"/>
    <w:rsid w:val="00750813"/>
    <w:rsid w:val="00750A3F"/>
    <w:rsid w:val="00750B5A"/>
    <w:rsid w:val="00750BA0"/>
    <w:rsid w:val="00750BC5"/>
    <w:rsid w:val="00750CC4"/>
    <w:rsid w:val="00750D26"/>
    <w:rsid w:val="00750D53"/>
    <w:rsid w:val="00750D5D"/>
    <w:rsid w:val="00750E94"/>
    <w:rsid w:val="00750EF7"/>
    <w:rsid w:val="00750EFA"/>
    <w:rsid w:val="00750F28"/>
    <w:rsid w:val="00750FF7"/>
    <w:rsid w:val="00751002"/>
    <w:rsid w:val="00751014"/>
    <w:rsid w:val="00751099"/>
    <w:rsid w:val="007510D1"/>
    <w:rsid w:val="007510DE"/>
    <w:rsid w:val="00751144"/>
    <w:rsid w:val="00751153"/>
    <w:rsid w:val="00751305"/>
    <w:rsid w:val="00751402"/>
    <w:rsid w:val="00751425"/>
    <w:rsid w:val="00751428"/>
    <w:rsid w:val="0075147E"/>
    <w:rsid w:val="007514D9"/>
    <w:rsid w:val="00751538"/>
    <w:rsid w:val="00751543"/>
    <w:rsid w:val="00751586"/>
    <w:rsid w:val="007515ED"/>
    <w:rsid w:val="0075164D"/>
    <w:rsid w:val="00751664"/>
    <w:rsid w:val="00751676"/>
    <w:rsid w:val="00751765"/>
    <w:rsid w:val="00751AB2"/>
    <w:rsid w:val="00751AE9"/>
    <w:rsid w:val="00751B2B"/>
    <w:rsid w:val="00751B5F"/>
    <w:rsid w:val="00751C25"/>
    <w:rsid w:val="00751C47"/>
    <w:rsid w:val="00751C6C"/>
    <w:rsid w:val="00751CAA"/>
    <w:rsid w:val="00751D74"/>
    <w:rsid w:val="00751E33"/>
    <w:rsid w:val="00751E7A"/>
    <w:rsid w:val="00751EDE"/>
    <w:rsid w:val="00751EEA"/>
    <w:rsid w:val="00751F4F"/>
    <w:rsid w:val="00752008"/>
    <w:rsid w:val="00752124"/>
    <w:rsid w:val="007521E3"/>
    <w:rsid w:val="007521F3"/>
    <w:rsid w:val="00752243"/>
    <w:rsid w:val="00752596"/>
    <w:rsid w:val="0075266A"/>
    <w:rsid w:val="0075278C"/>
    <w:rsid w:val="0075285C"/>
    <w:rsid w:val="00752885"/>
    <w:rsid w:val="007529A4"/>
    <w:rsid w:val="007529F9"/>
    <w:rsid w:val="00752AF8"/>
    <w:rsid w:val="00752B9B"/>
    <w:rsid w:val="00752C53"/>
    <w:rsid w:val="00752DB0"/>
    <w:rsid w:val="00752DD2"/>
    <w:rsid w:val="00752ECF"/>
    <w:rsid w:val="00752F4B"/>
    <w:rsid w:val="00752FAC"/>
    <w:rsid w:val="00752FB0"/>
    <w:rsid w:val="00752FD5"/>
    <w:rsid w:val="00753032"/>
    <w:rsid w:val="0075314C"/>
    <w:rsid w:val="00753319"/>
    <w:rsid w:val="0075331C"/>
    <w:rsid w:val="00753332"/>
    <w:rsid w:val="00753343"/>
    <w:rsid w:val="00753367"/>
    <w:rsid w:val="007533D3"/>
    <w:rsid w:val="007533DE"/>
    <w:rsid w:val="00753402"/>
    <w:rsid w:val="0075348D"/>
    <w:rsid w:val="0075353F"/>
    <w:rsid w:val="00753587"/>
    <w:rsid w:val="007535F8"/>
    <w:rsid w:val="00753678"/>
    <w:rsid w:val="007536E0"/>
    <w:rsid w:val="00753752"/>
    <w:rsid w:val="007537B3"/>
    <w:rsid w:val="007537CF"/>
    <w:rsid w:val="007537EE"/>
    <w:rsid w:val="0075381F"/>
    <w:rsid w:val="007538B7"/>
    <w:rsid w:val="007538E8"/>
    <w:rsid w:val="00753942"/>
    <w:rsid w:val="00753946"/>
    <w:rsid w:val="00753A1A"/>
    <w:rsid w:val="00753A56"/>
    <w:rsid w:val="00753B9B"/>
    <w:rsid w:val="00753BC5"/>
    <w:rsid w:val="00753BCC"/>
    <w:rsid w:val="00753C63"/>
    <w:rsid w:val="00753CF2"/>
    <w:rsid w:val="00753D96"/>
    <w:rsid w:val="00753DE5"/>
    <w:rsid w:val="00753EA9"/>
    <w:rsid w:val="00753ECE"/>
    <w:rsid w:val="00753FF8"/>
    <w:rsid w:val="0075400F"/>
    <w:rsid w:val="0075402D"/>
    <w:rsid w:val="00754032"/>
    <w:rsid w:val="00754300"/>
    <w:rsid w:val="00754304"/>
    <w:rsid w:val="007543BA"/>
    <w:rsid w:val="00754441"/>
    <w:rsid w:val="0075445A"/>
    <w:rsid w:val="007544EA"/>
    <w:rsid w:val="0075456C"/>
    <w:rsid w:val="007545F1"/>
    <w:rsid w:val="0075471C"/>
    <w:rsid w:val="00754792"/>
    <w:rsid w:val="00754A4C"/>
    <w:rsid w:val="00754AB1"/>
    <w:rsid w:val="00754B47"/>
    <w:rsid w:val="00754BD6"/>
    <w:rsid w:val="00754C0B"/>
    <w:rsid w:val="00754C13"/>
    <w:rsid w:val="00754D65"/>
    <w:rsid w:val="00754DA3"/>
    <w:rsid w:val="00754DC5"/>
    <w:rsid w:val="00754DE7"/>
    <w:rsid w:val="00754F49"/>
    <w:rsid w:val="00754F93"/>
    <w:rsid w:val="00754FC2"/>
    <w:rsid w:val="00755020"/>
    <w:rsid w:val="00755085"/>
    <w:rsid w:val="00755166"/>
    <w:rsid w:val="00755175"/>
    <w:rsid w:val="007551BF"/>
    <w:rsid w:val="007551C0"/>
    <w:rsid w:val="0075523E"/>
    <w:rsid w:val="0075526B"/>
    <w:rsid w:val="007553B9"/>
    <w:rsid w:val="007553F8"/>
    <w:rsid w:val="0075540B"/>
    <w:rsid w:val="00755422"/>
    <w:rsid w:val="00755464"/>
    <w:rsid w:val="0075546E"/>
    <w:rsid w:val="007554CD"/>
    <w:rsid w:val="00755507"/>
    <w:rsid w:val="0075555B"/>
    <w:rsid w:val="007555CD"/>
    <w:rsid w:val="00755699"/>
    <w:rsid w:val="007556A2"/>
    <w:rsid w:val="007556FF"/>
    <w:rsid w:val="00755746"/>
    <w:rsid w:val="007557B9"/>
    <w:rsid w:val="0075582C"/>
    <w:rsid w:val="007558BB"/>
    <w:rsid w:val="00755952"/>
    <w:rsid w:val="0075595A"/>
    <w:rsid w:val="007559C9"/>
    <w:rsid w:val="007559CE"/>
    <w:rsid w:val="00755A86"/>
    <w:rsid w:val="00755B67"/>
    <w:rsid w:val="00755B8A"/>
    <w:rsid w:val="00755CB6"/>
    <w:rsid w:val="00755D3F"/>
    <w:rsid w:val="00755DEA"/>
    <w:rsid w:val="00755E4C"/>
    <w:rsid w:val="00755EA5"/>
    <w:rsid w:val="00755EBA"/>
    <w:rsid w:val="00755FE1"/>
    <w:rsid w:val="007560BC"/>
    <w:rsid w:val="007560EE"/>
    <w:rsid w:val="0075615A"/>
    <w:rsid w:val="007561DC"/>
    <w:rsid w:val="007561DE"/>
    <w:rsid w:val="007562A0"/>
    <w:rsid w:val="007562FC"/>
    <w:rsid w:val="007563C3"/>
    <w:rsid w:val="007563D3"/>
    <w:rsid w:val="007563E5"/>
    <w:rsid w:val="007563F1"/>
    <w:rsid w:val="00756410"/>
    <w:rsid w:val="00756546"/>
    <w:rsid w:val="007565BC"/>
    <w:rsid w:val="0075679A"/>
    <w:rsid w:val="0075679F"/>
    <w:rsid w:val="0075680A"/>
    <w:rsid w:val="00756857"/>
    <w:rsid w:val="00756968"/>
    <w:rsid w:val="00756A74"/>
    <w:rsid w:val="00756A7C"/>
    <w:rsid w:val="00756A94"/>
    <w:rsid w:val="00756AFB"/>
    <w:rsid w:val="00756C4D"/>
    <w:rsid w:val="00756C53"/>
    <w:rsid w:val="00756C58"/>
    <w:rsid w:val="00756E13"/>
    <w:rsid w:val="00756EC7"/>
    <w:rsid w:val="00756F81"/>
    <w:rsid w:val="0075700E"/>
    <w:rsid w:val="00757041"/>
    <w:rsid w:val="0075707E"/>
    <w:rsid w:val="007570FC"/>
    <w:rsid w:val="00757145"/>
    <w:rsid w:val="007571D6"/>
    <w:rsid w:val="007572B1"/>
    <w:rsid w:val="0075733B"/>
    <w:rsid w:val="00757344"/>
    <w:rsid w:val="00757386"/>
    <w:rsid w:val="007574A1"/>
    <w:rsid w:val="00757534"/>
    <w:rsid w:val="00757561"/>
    <w:rsid w:val="0075764E"/>
    <w:rsid w:val="007576D1"/>
    <w:rsid w:val="00757771"/>
    <w:rsid w:val="007577AC"/>
    <w:rsid w:val="00757883"/>
    <w:rsid w:val="007578C0"/>
    <w:rsid w:val="00757A72"/>
    <w:rsid w:val="00757A75"/>
    <w:rsid w:val="00757BD6"/>
    <w:rsid w:val="00757C43"/>
    <w:rsid w:val="00757C69"/>
    <w:rsid w:val="00757C94"/>
    <w:rsid w:val="00757C9F"/>
    <w:rsid w:val="00757D05"/>
    <w:rsid w:val="00757D50"/>
    <w:rsid w:val="00757D63"/>
    <w:rsid w:val="00757DE9"/>
    <w:rsid w:val="00757E05"/>
    <w:rsid w:val="00757E1E"/>
    <w:rsid w:val="00757E3E"/>
    <w:rsid w:val="00757F03"/>
    <w:rsid w:val="00757F85"/>
    <w:rsid w:val="00757FA2"/>
    <w:rsid w:val="00757FD8"/>
    <w:rsid w:val="00760021"/>
    <w:rsid w:val="00760047"/>
    <w:rsid w:val="00760093"/>
    <w:rsid w:val="00760260"/>
    <w:rsid w:val="00760395"/>
    <w:rsid w:val="007603BC"/>
    <w:rsid w:val="0076043E"/>
    <w:rsid w:val="007604BB"/>
    <w:rsid w:val="007604C2"/>
    <w:rsid w:val="00760540"/>
    <w:rsid w:val="007605AD"/>
    <w:rsid w:val="007605FE"/>
    <w:rsid w:val="00760622"/>
    <w:rsid w:val="00760749"/>
    <w:rsid w:val="0076081A"/>
    <w:rsid w:val="00760854"/>
    <w:rsid w:val="00760856"/>
    <w:rsid w:val="007608A1"/>
    <w:rsid w:val="007608D8"/>
    <w:rsid w:val="0076094A"/>
    <w:rsid w:val="00760954"/>
    <w:rsid w:val="00760A2C"/>
    <w:rsid w:val="00760A85"/>
    <w:rsid w:val="00760AC4"/>
    <w:rsid w:val="00760AD6"/>
    <w:rsid w:val="00760ADF"/>
    <w:rsid w:val="00760B02"/>
    <w:rsid w:val="00760B74"/>
    <w:rsid w:val="00760BC1"/>
    <w:rsid w:val="00760D4C"/>
    <w:rsid w:val="00760E6B"/>
    <w:rsid w:val="00760EAC"/>
    <w:rsid w:val="00760EDE"/>
    <w:rsid w:val="0076100C"/>
    <w:rsid w:val="0076107A"/>
    <w:rsid w:val="007610BD"/>
    <w:rsid w:val="00761168"/>
    <w:rsid w:val="00761288"/>
    <w:rsid w:val="007612B6"/>
    <w:rsid w:val="007612BE"/>
    <w:rsid w:val="007613FD"/>
    <w:rsid w:val="0076142A"/>
    <w:rsid w:val="007614A1"/>
    <w:rsid w:val="007614B0"/>
    <w:rsid w:val="00761664"/>
    <w:rsid w:val="007617AA"/>
    <w:rsid w:val="007617B2"/>
    <w:rsid w:val="00761806"/>
    <w:rsid w:val="0076183A"/>
    <w:rsid w:val="00761981"/>
    <w:rsid w:val="0076199C"/>
    <w:rsid w:val="00761A58"/>
    <w:rsid w:val="00761AFD"/>
    <w:rsid w:val="00761B33"/>
    <w:rsid w:val="00761C18"/>
    <w:rsid w:val="00761CA5"/>
    <w:rsid w:val="00761E18"/>
    <w:rsid w:val="00761EBC"/>
    <w:rsid w:val="00761EC6"/>
    <w:rsid w:val="00761F2C"/>
    <w:rsid w:val="00761F30"/>
    <w:rsid w:val="00761FA5"/>
    <w:rsid w:val="0076203C"/>
    <w:rsid w:val="00762064"/>
    <w:rsid w:val="00762173"/>
    <w:rsid w:val="007621B5"/>
    <w:rsid w:val="0076222F"/>
    <w:rsid w:val="007623EF"/>
    <w:rsid w:val="00762495"/>
    <w:rsid w:val="007624DC"/>
    <w:rsid w:val="007625B8"/>
    <w:rsid w:val="00762720"/>
    <w:rsid w:val="0076282E"/>
    <w:rsid w:val="00762864"/>
    <w:rsid w:val="007628F0"/>
    <w:rsid w:val="007629BE"/>
    <w:rsid w:val="007629E2"/>
    <w:rsid w:val="00762AA5"/>
    <w:rsid w:val="00762B86"/>
    <w:rsid w:val="00762B95"/>
    <w:rsid w:val="00762CDA"/>
    <w:rsid w:val="00762D87"/>
    <w:rsid w:val="00762DBC"/>
    <w:rsid w:val="00762E35"/>
    <w:rsid w:val="00762F11"/>
    <w:rsid w:val="00762F23"/>
    <w:rsid w:val="00762F30"/>
    <w:rsid w:val="00762FC5"/>
    <w:rsid w:val="0076301C"/>
    <w:rsid w:val="0076304A"/>
    <w:rsid w:val="00763169"/>
    <w:rsid w:val="007631C4"/>
    <w:rsid w:val="00763326"/>
    <w:rsid w:val="00763348"/>
    <w:rsid w:val="0076338C"/>
    <w:rsid w:val="007633A1"/>
    <w:rsid w:val="0076340C"/>
    <w:rsid w:val="007635B0"/>
    <w:rsid w:val="007635C2"/>
    <w:rsid w:val="00763771"/>
    <w:rsid w:val="0076377F"/>
    <w:rsid w:val="0076379D"/>
    <w:rsid w:val="0076382E"/>
    <w:rsid w:val="0076387F"/>
    <w:rsid w:val="007638BB"/>
    <w:rsid w:val="00763963"/>
    <w:rsid w:val="0076396F"/>
    <w:rsid w:val="007639C6"/>
    <w:rsid w:val="00763ABC"/>
    <w:rsid w:val="00763ABE"/>
    <w:rsid w:val="00763C11"/>
    <w:rsid w:val="00763D1A"/>
    <w:rsid w:val="00763DA3"/>
    <w:rsid w:val="00763F79"/>
    <w:rsid w:val="00764008"/>
    <w:rsid w:val="0076410F"/>
    <w:rsid w:val="00764138"/>
    <w:rsid w:val="0076418B"/>
    <w:rsid w:val="007641C4"/>
    <w:rsid w:val="00764231"/>
    <w:rsid w:val="00764419"/>
    <w:rsid w:val="00764448"/>
    <w:rsid w:val="00764473"/>
    <w:rsid w:val="00764539"/>
    <w:rsid w:val="00764581"/>
    <w:rsid w:val="00764674"/>
    <w:rsid w:val="0076475B"/>
    <w:rsid w:val="0076481A"/>
    <w:rsid w:val="007648A0"/>
    <w:rsid w:val="007648BA"/>
    <w:rsid w:val="0076497F"/>
    <w:rsid w:val="00764A11"/>
    <w:rsid w:val="00764C78"/>
    <w:rsid w:val="00764C91"/>
    <w:rsid w:val="00764D3F"/>
    <w:rsid w:val="00764E6B"/>
    <w:rsid w:val="00764F0F"/>
    <w:rsid w:val="00764F68"/>
    <w:rsid w:val="00764FE6"/>
    <w:rsid w:val="00765062"/>
    <w:rsid w:val="007651CE"/>
    <w:rsid w:val="007652CB"/>
    <w:rsid w:val="007652DB"/>
    <w:rsid w:val="007652F7"/>
    <w:rsid w:val="0076533A"/>
    <w:rsid w:val="0076536E"/>
    <w:rsid w:val="007653C3"/>
    <w:rsid w:val="00765425"/>
    <w:rsid w:val="00765436"/>
    <w:rsid w:val="00765437"/>
    <w:rsid w:val="0076543E"/>
    <w:rsid w:val="0076548C"/>
    <w:rsid w:val="00765496"/>
    <w:rsid w:val="007655DA"/>
    <w:rsid w:val="00765603"/>
    <w:rsid w:val="00765660"/>
    <w:rsid w:val="00765721"/>
    <w:rsid w:val="00765791"/>
    <w:rsid w:val="007657C5"/>
    <w:rsid w:val="00765933"/>
    <w:rsid w:val="00765939"/>
    <w:rsid w:val="00765962"/>
    <w:rsid w:val="00765A33"/>
    <w:rsid w:val="00765A4D"/>
    <w:rsid w:val="00765A93"/>
    <w:rsid w:val="00765A9D"/>
    <w:rsid w:val="00765B69"/>
    <w:rsid w:val="00765BBB"/>
    <w:rsid w:val="00765BE1"/>
    <w:rsid w:val="00765DAD"/>
    <w:rsid w:val="00765DCC"/>
    <w:rsid w:val="00765DF2"/>
    <w:rsid w:val="00765E29"/>
    <w:rsid w:val="00765EDC"/>
    <w:rsid w:val="00766059"/>
    <w:rsid w:val="007660A9"/>
    <w:rsid w:val="00766184"/>
    <w:rsid w:val="00766231"/>
    <w:rsid w:val="0076626B"/>
    <w:rsid w:val="0076636C"/>
    <w:rsid w:val="00766384"/>
    <w:rsid w:val="00766448"/>
    <w:rsid w:val="007664B8"/>
    <w:rsid w:val="007664E6"/>
    <w:rsid w:val="00766590"/>
    <w:rsid w:val="00766591"/>
    <w:rsid w:val="00766818"/>
    <w:rsid w:val="00766845"/>
    <w:rsid w:val="007668EC"/>
    <w:rsid w:val="0076699E"/>
    <w:rsid w:val="00766A9C"/>
    <w:rsid w:val="00766B35"/>
    <w:rsid w:val="00766B41"/>
    <w:rsid w:val="00766B51"/>
    <w:rsid w:val="00766D3E"/>
    <w:rsid w:val="00766D9E"/>
    <w:rsid w:val="00766E89"/>
    <w:rsid w:val="00766EE5"/>
    <w:rsid w:val="00766F06"/>
    <w:rsid w:val="00766F08"/>
    <w:rsid w:val="00766F0F"/>
    <w:rsid w:val="00766FBB"/>
    <w:rsid w:val="00767106"/>
    <w:rsid w:val="007672B1"/>
    <w:rsid w:val="007672C5"/>
    <w:rsid w:val="007673BA"/>
    <w:rsid w:val="00767409"/>
    <w:rsid w:val="007674A0"/>
    <w:rsid w:val="00767584"/>
    <w:rsid w:val="00767615"/>
    <w:rsid w:val="00767780"/>
    <w:rsid w:val="007677C5"/>
    <w:rsid w:val="00767941"/>
    <w:rsid w:val="00767982"/>
    <w:rsid w:val="00767A46"/>
    <w:rsid w:val="00767B36"/>
    <w:rsid w:val="00767B44"/>
    <w:rsid w:val="00767B59"/>
    <w:rsid w:val="00767B7E"/>
    <w:rsid w:val="00767BBB"/>
    <w:rsid w:val="00767C0B"/>
    <w:rsid w:val="00767C4A"/>
    <w:rsid w:val="00767C7D"/>
    <w:rsid w:val="00767CA9"/>
    <w:rsid w:val="00767D7B"/>
    <w:rsid w:val="00767E17"/>
    <w:rsid w:val="00767F1A"/>
    <w:rsid w:val="00767F6A"/>
    <w:rsid w:val="0077003F"/>
    <w:rsid w:val="0077016C"/>
    <w:rsid w:val="007701F1"/>
    <w:rsid w:val="007701FD"/>
    <w:rsid w:val="00770295"/>
    <w:rsid w:val="007702F6"/>
    <w:rsid w:val="0077036A"/>
    <w:rsid w:val="00770449"/>
    <w:rsid w:val="007704BA"/>
    <w:rsid w:val="0077059A"/>
    <w:rsid w:val="007705B0"/>
    <w:rsid w:val="007706E4"/>
    <w:rsid w:val="00770702"/>
    <w:rsid w:val="007707C3"/>
    <w:rsid w:val="007708B8"/>
    <w:rsid w:val="00770904"/>
    <w:rsid w:val="007709E4"/>
    <w:rsid w:val="00770A20"/>
    <w:rsid w:val="00770AC7"/>
    <w:rsid w:val="00770B39"/>
    <w:rsid w:val="00770BC1"/>
    <w:rsid w:val="00770BEE"/>
    <w:rsid w:val="00770CE7"/>
    <w:rsid w:val="00770D50"/>
    <w:rsid w:val="00770D5E"/>
    <w:rsid w:val="00770DC1"/>
    <w:rsid w:val="00770DE7"/>
    <w:rsid w:val="00770E08"/>
    <w:rsid w:val="00770E66"/>
    <w:rsid w:val="00770E89"/>
    <w:rsid w:val="00770F49"/>
    <w:rsid w:val="0077107B"/>
    <w:rsid w:val="007710A8"/>
    <w:rsid w:val="007710FD"/>
    <w:rsid w:val="00771150"/>
    <w:rsid w:val="00771186"/>
    <w:rsid w:val="007711D7"/>
    <w:rsid w:val="0077120D"/>
    <w:rsid w:val="00771213"/>
    <w:rsid w:val="00771230"/>
    <w:rsid w:val="0077124B"/>
    <w:rsid w:val="0077125F"/>
    <w:rsid w:val="007712B4"/>
    <w:rsid w:val="007713AE"/>
    <w:rsid w:val="007713DA"/>
    <w:rsid w:val="007714EF"/>
    <w:rsid w:val="0077152E"/>
    <w:rsid w:val="007718FE"/>
    <w:rsid w:val="00771948"/>
    <w:rsid w:val="0077194E"/>
    <w:rsid w:val="0077198A"/>
    <w:rsid w:val="0077199B"/>
    <w:rsid w:val="007719E5"/>
    <w:rsid w:val="00771A33"/>
    <w:rsid w:val="00771A9F"/>
    <w:rsid w:val="00771AEA"/>
    <w:rsid w:val="00771C2D"/>
    <w:rsid w:val="00771C6A"/>
    <w:rsid w:val="00771C88"/>
    <w:rsid w:val="00771CBD"/>
    <w:rsid w:val="00771D23"/>
    <w:rsid w:val="00771D64"/>
    <w:rsid w:val="00771D6B"/>
    <w:rsid w:val="00771EAC"/>
    <w:rsid w:val="00771ED7"/>
    <w:rsid w:val="00771FD8"/>
    <w:rsid w:val="00772009"/>
    <w:rsid w:val="00772019"/>
    <w:rsid w:val="00772098"/>
    <w:rsid w:val="007720A4"/>
    <w:rsid w:val="00772156"/>
    <w:rsid w:val="007721A7"/>
    <w:rsid w:val="007721C5"/>
    <w:rsid w:val="0077226B"/>
    <w:rsid w:val="00772279"/>
    <w:rsid w:val="007722FC"/>
    <w:rsid w:val="0077233F"/>
    <w:rsid w:val="0077237C"/>
    <w:rsid w:val="007723C5"/>
    <w:rsid w:val="007723E1"/>
    <w:rsid w:val="00772420"/>
    <w:rsid w:val="0077248C"/>
    <w:rsid w:val="007725D5"/>
    <w:rsid w:val="007726C5"/>
    <w:rsid w:val="007727BC"/>
    <w:rsid w:val="007728CD"/>
    <w:rsid w:val="007729EA"/>
    <w:rsid w:val="00772A0E"/>
    <w:rsid w:val="00772B18"/>
    <w:rsid w:val="00772B9F"/>
    <w:rsid w:val="00772BBC"/>
    <w:rsid w:val="00772BD4"/>
    <w:rsid w:val="00772C0C"/>
    <w:rsid w:val="00772DB2"/>
    <w:rsid w:val="00772DC3"/>
    <w:rsid w:val="00772DCC"/>
    <w:rsid w:val="00772E94"/>
    <w:rsid w:val="00772F29"/>
    <w:rsid w:val="00772F8D"/>
    <w:rsid w:val="00773002"/>
    <w:rsid w:val="00773071"/>
    <w:rsid w:val="00773132"/>
    <w:rsid w:val="00773198"/>
    <w:rsid w:val="007731AE"/>
    <w:rsid w:val="00773331"/>
    <w:rsid w:val="00773365"/>
    <w:rsid w:val="0077342F"/>
    <w:rsid w:val="00773438"/>
    <w:rsid w:val="007734E4"/>
    <w:rsid w:val="007734E5"/>
    <w:rsid w:val="007735DD"/>
    <w:rsid w:val="00773898"/>
    <w:rsid w:val="00773A8D"/>
    <w:rsid w:val="00773B84"/>
    <w:rsid w:val="00773B95"/>
    <w:rsid w:val="00773BE6"/>
    <w:rsid w:val="00773C2E"/>
    <w:rsid w:val="00773C5C"/>
    <w:rsid w:val="00773C74"/>
    <w:rsid w:val="00773D33"/>
    <w:rsid w:val="00773D68"/>
    <w:rsid w:val="00773E03"/>
    <w:rsid w:val="00773E0A"/>
    <w:rsid w:val="00773E0F"/>
    <w:rsid w:val="00773F6C"/>
    <w:rsid w:val="00773F84"/>
    <w:rsid w:val="00773FE5"/>
    <w:rsid w:val="0077408E"/>
    <w:rsid w:val="007740B2"/>
    <w:rsid w:val="007740D3"/>
    <w:rsid w:val="00774378"/>
    <w:rsid w:val="007743C7"/>
    <w:rsid w:val="00774454"/>
    <w:rsid w:val="007744F1"/>
    <w:rsid w:val="00774596"/>
    <w:rsid w:val="007745C9"/>
    <w:rsid w:val="00774771"/>
    <w:rsid w:val="0077480C"/>
    <w:rsid w:val="00774813"/>
    <w:rsid w:val="00774902"/>
    <w:rsid w:val="00774912"/>
    <w:rsid w:val="00774992"/>
    <w:rsid w:val="00774A21"/>
    <w:rsid w:val="00774A2E"/>
    <w:rsid w:val="00774A8A"/>
    <w:rsid w:val="00774A9C"/>
    <w:rsid w:val="00774AA2"/>
    <w:rsid w:val="00774ABF"/>
    <w:rsid w:val="00774AC4"/>
    <w:rsid w:val="00774AC5"/>
    <w:rsid w:val="00774B78"/>
    <w:rsid w:val="00774C67"/>
    <w:rsid w:val="00774C8C"/>
    <w:rsid w:val="00774CA8"/>
    <w:rsid w:val="00774CB7"/>
    <w:rsid w:val="00774CBE"/>
    <w:rsid w:val="00774D22"/>
    <w:rsid w:val="00774D98"/>
    <w:rsid w:val="00774DAE"/>
    <w:rsid w:val="00774DB4"/>
    <w:rsid w:val="00774DF8"/>
    <w:rsid w:val="00774E26"/>
    <w:rsid w:val="00774EEA"/>
    <w:rsid w:val="00774FFB"/>
    <w:rsid w:val="00775038"/>
    <w:rsid w:val="007750D4"/>
    <w:rsid w:val="007752E3"/>
    <w:rsid w:val="0077532C"/>
    <w:rsid w:val="0077543C"/>
    <w:rsid w:val="00775454"/>
    <w:rsid w:val="0077546E"/>
    <w:rsid w:val="007754AC"/>
    <w:rsid w:val="007755B9"/>
    <w:rsid w:val="007755C7"/>
    <w:rsid w:val="00775839"/>
    <w:rsid w:val="0077585C"/>
    <w:rsid w:val="00775863"/>
    <w:rsid w:val="00775890"/>
    <w:rsid w:val="00775A96"/>
    <w:rsid w:val="00775B8C"/>
    <w:rsid w:val="00775DF4"/>
    <w:rsid w:val="00775E04"/>
    <w:rsid w:val="00775E06"/>
    <w:rsid w:val="00775E5F"/>
    <w:rsid w:val="00776015"/>
    <w:rsid w:val="007760CE"/>
    <w:rsid w:val="00776107"/>
    <w:rsid w:val="00776136"/>
    <w:rsid w:val="007761A5"/>
    <w:rsid w:val="00776266"/>
    <w:rsid w:val="00776352"/>
    <w:rsid w:val="007763E2"/>
    <w:rsid w:val="0077643D"/>
    <w:rsid w:val="007764D7"/>
    <w:rsid w:val="007764D8"/>
    <w:rsid w:val="00776515"/>
    <w:rsid w:val="0077653F"/>
    <w:rsid w:val="007765A0"/>
    <w:rsid w:val="007766F8"/>
    <w:rsid w:val="0077672E"/>
    <w:rsid w:val="00776757"/>
    <w:rsid w:val="00776783"/>
    <w:rsid w:val="0077678F"/>
    <w:rsid w:val="0077679E"/>
    <w:rsid w:val="0077680A"/>
    <w:rsid w:val="0077688E"/>
    <w:rsid w:val="007768AB"/>
    <w:rsid w:val="0077694C"/>
    <w:rsid w:val="00776A4C"/>
    <w:rsid w:val="00776A81"/>
    <w:rsid w:val="00776B51"/>
    <w:rsid w:val="00776BA5"/>
    <w:rsid w:val="00776BAF"/>
    <w:rsid w:val="00776BB1"/>
    <w:rsid w:val="00776D86"/>
    <w:rsid w:val="00776D97"/>
    <w:rsid w:val="00776DD3"/>
    <w:rsid w:val="00776E43"/>
    <w:rsid w:val="0077700F"/>
    <w:rsid w:val="00777027"/>
    <w:rsid w:val="00777146"/>
    <w:rsid w:val="0077717B"/>
    <w:rsid w:val="00777235"/>
    <w:rsid w:val="00777276"/>
    <w:rsid w:val="007772C6"/>
    <w:rsid w:val="007772D8"/>
    <w:rsid w:val="007772E9"/>
    <w:rsid w:val="007773B8"/>
    <w:rsid w:val="007773C1"/>
    <w:rsid w:val="007773F2"/>
    <w:rsid w:val="0077753D"/>
    <w:rsid w:val="007775AD"/>
    <w:rsid w:val="007775D1"/>
    <w:rsid w:val="00777636"/>
    <w:rsid w:val="00777844"/>
    <w:rsid w:val="00777870"/>
    <w:rsid w:val="0077795B"/>
    <w:rsid w:val="00777977"/>
    <w:rsid w:val="007779EE"/>
    <w:rsid w:val="00777B02"/>
    <w:rsid w:val="00777B26"/>
    <w:rsid w:val="00777B8C"/>
    <w:rsid w:val="00777B9A"/>
    <w:rsid w:val="00777BD8"/>
    <w:rsid w:val="00777CB2"/>
    <w:rsid w:val="00777D5D"/>
    <w:rsid w:val="00777E70"/>
    <w:rsid w:val="00777E7E"/>
    <w:rsid w:val="00777F2E"/>
    <w:rsid w:val="00780003"/>
    <w:rsid w:val="00780153"/>
    <w:rsid w:val="007801FD"/>
    <w:rsid w:val="00780334"/>
    <w:rsid w:val="00780350"/>
    <w:rsid w:val="00780399"/>
    <w:rsid w:val="007804BE"/>
    <w:rsid w:val="00780506"/>
    <w:rsid w:val="007805FB"/>
    <w:rsid w:val="00780601"/>
    <w:rsid w:val="00780624"/>
    <w:rsid w:val="00780709"/>
    <w:rsid w:val="00780847"/>
    <w:rsid w:val="007808FB"/>
    <w:rsid w:val="00780A8E"/>
    <w:rsid w:val="00780B67"/>
    <w:rsid w:val="00780BEF"/>
    <w:rsid w:val="00780C0A"/>
    <w:rsid w:val="00780C35"/>
    <w:rsid w:val="00780D38"/>
    <w:rsid w:val="00780E86"/>
    <w:rsid w:val="00780E9B"/>
    <w:rsid w:val="00780EEE"/>
    <w:rsid w:val="00780F3C"/>
    <w:rsid w:val="00780FFD"/>
    <w:rsid w:val="00781015"/>
    <w:rsid w:val="00781058"/>
    <w:rsid w:val="00781069"/>
    <w:rsid w:val="007810FF"/>
    <w:rsid w:val="007811E7"/>
    <w:rsid w:val="007811E8"/>
    <w:rsid w:val="007811F6"/>
    <w:rsid w:val="0078120F"/>
    <w:rsid w:val="00781274"/>
    <w:rsid w:val="0078128F"/>
    <w:rsid w:val="0078129F"/>
    <w:rsid w:val="007812A4"/>
    <w:rsid w:val="007812AB"/>
    <w:rsid w:val="007812B8"/>
    <w:rsid w:val="007813C8"/>
    <w:rsid w:val="00781499"/>
    <w:rsid w:val="007814BA"/>
    <w:rsid w:val="0078157F"/>
    <w:rsid w:val="007815C6"/>
    <w:rsid w:val="007815C7"/>
    <w:rsid w:val="00781644"/>
    <w:rsid w:val="00781676"/>
    <w:rsid w:val="00781703"/>
    <w:rsid w:val="00781717"/>
    <w:rsid w:val="00781738"/>
    <w:rsid w:val="00781753"/>
    <w:rsid w:val="007818D3"/>
    <w:rsid w:val="00781952"/>
    <w:rsid w:val="0078195F"/>
    <w:rsid w:val="007819B3"/>
    <w:rsid w:val="007819EC"/>
    <w:rsid w:val="00781CE7"/>
    <w:rsid w:val="00781DE1"/>
    <w:rsid w:val="00781E59"/>
    <w:rsid w:val="00781E89"/>
    <w:rsid w:val="00781F32"/>
    <w:rsid w:val="0078200B"/>
    <w:rsid w:val="00782086"/>
    <w:rsid w:val="0078210B"/>
    <w:rsid w:val="00782115"/>
    <w:rsid w:val="007821FA"/>
    <w:rsid w:val="00782287"/>
    <w:rsid w:val="0078229B"/>
    <w:rsid w:val="007823FB"/>
    <w:rsid w:val="00782547"/>
    <w:rsid w:val="00782672"/>
    <w:rsid w:val="00782832"/>
    <w:rsid w:val="007828BD"/>
    <w:rsid w:val="007828E1"/>
    <w:rsid w:val="00782927"/>
    <w:rsid w:val="007829AF"/>
    <w:rsid w:val="00782A8A"/>
    <w:rsid w:val="00782B5E"/>
    <w:rsid w:val="00782BB7"/>
    <w:rsid w:val="00782C00"/>
    <w:rsid w:val="00782C2E"/>
    <w:rsid w:val="00782C7F"/>
    <w:rsid w:val="00782DB9"/>
    <w:rsid w:val="00782E91"/>
    <w:rsid w:val="00782E96"/>
    <w:rsid w:val="00782F4E"/>
    <w:rsid w:val="00782F50"/>
    <w:rsid w:val="00783039"/>
    <w:rsid w:val="00783065"/>
    <w:rsid w:val="0078306B"/>
    <w:rsid w:val="007830EF"/>
    <w:rsid w:val="00783100"/>
    <w:rsid w:val="0078311F"/>
    <w:rsid w:val="00783237"/>
    <w:rsid w:val="0078325A"/>
    <w:rsid w:val="007832A9"/>
    <w:rsid w:val="007833A8"/>
    <w:rsid w:val="0078347F"/>
    <w:rsid w:val="007834C5"/>
    <w:rsid w:val="00783512"/>
    <w:rsid w:val="00783547"/>
    <w:rsid w:val="0078355A"/>
    <w:rsid w:val="007835C4"/>
    <w:rsid w:val="00783657"/>
    <w:rsid w:val="007836E3"/>
    <w:rsid w:val="00783735"/>
    <w:rsid w:val="00783763"/>
    <w:rsid w:val="00783773"/>
    <w:rsid w:val="007838A3"/>
    <w:rsid w:val="0078396C"/>
    <w:rsid w:val="00783AAA"/>
    <w:rsid w:val="00783B12"/>
    <w:rsid w:val="00783C40"/>
    <w:rsid w:val="00783C7A"/>
    <w:rsid w:val="00783CB3"/>
    <w:rsid w:val="00783CBB"/>
    <w:rsid w:val="00783CF5"/>
    <w:rsid w:val="00783D31"/>
    <w:rsid w:val="00783D7B"/>
    <w:rsid w:val="00783D89"/>
    <w:rsid w:val="00783DF3"/>
    <w:rsid w:val="00783E67"/>
    <w:rsid w:val="00783E9F"/>
    <w:rsid w:val="00783F40"/>
    <w:rsid w:val="00783F4D"/>
    <w:rsid w:val="00783FF8"/>
    <w:rsid w:val="0078404E"/>
    <w:rsid w:val="007840FD"/>
    <w:rsid w:val="00784262"/>
    <w:rsid w:val="007842D9"/>
    <w:rsid w:val="00784353"/>
    <w:rsid w:val="007843A8"/>
    <w:rsid w:val="00784441"/>
    <w:rsid w:val="007844ED"/>
    <w:rsid w:val="00784523"/>
    <w:rsid w:val="00784585"/>
    <w:rsid w:val="007845B7"/>
    <w:rsid w:val="0078466C"/>
    <w:rsid w:val="007846E9"/>
    <w:rsid w:val="00784771"/>
    <w:rsid w:val="007848D0"/>
    <w:rsid w:val="007848D3"/>
    <w:rsid w:val="00784938"/>
    <w:rsid w:val="00784953"/>
    <w:rsid w:val="00784980"/>
    <w:rsid w:val="00784990"/>
    <w:rsid w:val="00784A1C"/>
    <w:rsid w:val="00784A4E"/>
    <w:rsid w:val="00784D42"/>
    <w:rsid w:val="00784E5B"/>
    <w:rsid w:val="00784E6D"/>
    <w:rsid w:val="00784E7A"/>
    <w:rsid w:val="00784F71"/>
    <w:rsid w:val="00784FEF"/>
    <w:rsid w:val="00785078"/>
    <w:rsid w:val="0078511F"/>
    <w:rsid w:val="00785148"/>
    <w:rsid w:val="00785182"/>
    <w:rsid w:val="007851CB"/>
    <w:rsid w:val="00785253"/>
    <w:rsid w:val="0078529B"/>
    <w:rsid w:val="0078532E"/>
    <w:rsid w:val="00785391"/>
    <w:rsid w:val="00785406"/>
    <w:rsid w:val="00785422"/>
    <w:rsid w:val="00785654"/>
    <w:rsid w:val="00785685"/>
    <w:rsid w:val="007856CF"/>
    <w:rsid w:val="007856EC"/>
    <w:rsid w:val="00785705"/>
    <w:rsid w:val="00785717"/>
    <w:rsid w:val="0078577C"/>
    <w:rsid w:val="007857F4"/>
    <w:rsid w:val="00785819"/>
    <w:rsid w:val="007858F7"/>
    <w:rsid w:val="00785A00"/>
    <w:rsid w:val="00785A8B"/>
    <w:rsid w:val="00785AA3"/>
    <w:rsid w:val="00785AE8"/>
    <w:rsid w:val="00785C88"/>
    <w:rsid w:val="00785CA4"/>
    <w:rsid w:val="00785CD8"/>
    <w:rsid w:val="00785D1F"/>
    <w:rsid w:val="00785D4F"/>
    <w:rsid w:val="00785D7F"/>
    <w:rsid w:val="00785DF1"/>
    <w:rsid w:val="00785E7E"/>
    <w:rsid w:val="00785ED7"/>
    <w:rsid w:val="007860F8"/>
    <w:rsid w:val="0078632F"/>
    <w:rsid w:val="00786379"/>
    <w:rsid w:val="007863F1"/>
    <w:rsid w:val="00786565"/>
    <w:rsid w:val="007865FE"/>
    <w:rsid w:val="007867A1"/>
    <w:rsid w:val="00786895"/>
    <w:rsid w:val="007868D4"/>
    <w:rsid w:val="0078690A"/>
    <w:rsid w:val="0078692E"/>
    <w:rsid w:val="00786951"/>
    <w:rsid w:val="00786987"/>
    <w:rsid w:val="00786AF5"/>
    <w:rsid w:val="00786B05"/>
    <w:rsid w:val="00786B2C"/>
    <w:rsid w:val="00786C14"/>
    <w:rsid w:val="00786D20"/>
    <w:rsid w:val="00786D39"/>
    <w:rsid w:val="00786D81"/>
    <w:rsid w:val="00786E87"/>
    <w:rsid w:val="00786EA6"/>
    <w:rsid w:val="00786EC7"/>
    <w:rsid w:val="00786F3A"/>
    <w:rsid w:val="00786FE1"/>
    <w:rsid w:val="00787016"/>
    <w:rsid w:val="00787030"/>
    <w:rsid w:val="0078704B"/>
    <w:rsid w:val="007870C9"/>
    <w:rsid w:val="00787128"/>
    <w:rsid w:val="0078712E"/>
    <w:rsid w:val="0078717A"/>
    <w:rsid w:val="007871BD"/>
    <w:rsid w:val="007871C1"/>
    <w:rsid w:val="007873F0"/>
    <w:rsid w:val="00787460"/>
    <w:rsid w:val="0078758E"/>
    <w:rsid w:val="007875BC"/>
    <w:rsid w:val="0078760C"/>
    <w:rsid w:val="00787646"/>
    <w:rsid w:val="0078764D"/>
    <w:rsid w:val="0078768C"/>
    <w:rsid w:val="0078779A"/>
    <w:rsid w:val="00787835"/>
    <w:rsid w:val="0078795B"/>
    <w:rsid w:val="007879C1"/>
    <w:rsid w:val="00787A24"/>
    <w:rsid w:val="00787AFD"/>
    <w:rsid w:val="00787B29"/>
    <w:rsid w:val="00787BCE"/>
    <w:rsid w:val="00787C60"/>
    <w:rsid w:val="00787E24"/>
    <w:rsid w:val="00787E35"/>
    <w:rsid w:val="00787E45"/>
    <w:rsid w:val="00787E66"/>
    <w:rsid w:val="00787E9C"/>
    <w:rsid w:val="00787F5B"/>
    <w:rsid w:val="00787FF8"/>
    <w:rsid w:val="00787FFB"/>
    <w:rsid w:val="0079006A"/>
    <w:rsid w:val="00790076"/>
    <w:rsid w:val="00790096"/>
    <w:rsid w:val="007900AC"/>
    <w:rsid w:val="007900F3"/>
    <w:rsid w:val="00790265"/>
    <w:rsid w:val="0079028A"/>
    <w:rsid w:val="00790293"/>
    <w:rsid w:val="007902A4"/>
    <w:rsid w:val="007902E5"/>
    <w:rsid w:val="00790383"/>
    <w:rsid w:val="00790430"/>
    <w:rsid w:val="0079045E"/>
    <w:rsid w:val="0079049B"/>
    <w:rsid w:val="007904F1"/>
    <w:rsid w:val="007905CB"/>
    <w:rsid w:val="00790631"/>
    <w:rsid w:val="007906C9"/>
    <w:rsid w:val="00790839"/>
    <w:rsid w:val="00790AD1"/>
    <w:rsid w:val="00790B3E"/>
    <w:rsid w:val="00790B77"/>
    <w:rsid w:val="00790BAD"/>
    <w:rsid w:val="00790D63"/>
    <w:rsid w:val="00790E34"/>
    <w:rsid w:val="00790E35"/>
    <w:rsid w:val="00790E62"/>
    <w:rsid w:val="00790E76"/>
    <w:rsid w:val="00790ED5"/>
    <w:rsid w:val="00790F0C"/>
    <w:rsid w:val="0079100D"/>
    <w:rsid w:val="0079103B"/>
    <w:rsid w:val="0079105D"/>
    <w:rsid w:val="00791060"/>
    <w:rsid w:val="007910B3"/>
    <w:rsid w:val="00791114"/>
    <w:rsid w:val="00791188"/>
    <w:rsid w:val="00791247"/>
    <w:rsid w:val="007912AF"/>
    <w:rsid w:val="0079134D"/>
    <w:rsid w:val="00791515"/>
    <w:rsid w:val="00791607"/>
    <w:rsid w:val="00791625"/>
    <w:rsid w:val="00791695"/>
    <w:rsid w:val="007916D6"/>
    <w:rsid w:val="00791758"/>
    <w:rsid w:val="0079178A"/>
    <w:rsid w:val="00791808"/>
    <w:rsid w:val="00791846"/>
    <w:rsid w:val="0079186B"/>
    <w:rsid w:val="00791A14"/>
    <w:rsid w:val="00791A52"/>
    <w:rsid w:val="00791A9C"/>
    <w:rsid w:val="00791AFD"/>
    <w:rsid w:val="00791BAB"/>
    <w:rsid w:val="00791C2A"/>
    <w:rsid w:val="00791CB6"/>
    <w:rsid w:val="00791DE8"/>
    <w:rsid w:val="00791DE9"/>
    <w:rsid w:val="00791E14"/>
    <w:rsid w:val="00791F29"/>
    <w:rsid w:val="00791F58"/>
    <w:rsid w:val="007920DE"/>
    <w:rsid w:val="00792171"/>
    <w:rsid w:val="007921CA"/>
    <w:rsid w:val="007921DD"/>
    <w:rsid w:val="007922AE"/>
    <w:rsid w:val="00792318"/>
    <w:rsid w:val="00792329"/>
    <w:rsid w:val="00792350"/>
    <w:rsid w:val="00792396"/>
    <w:rsid w:val="00792398"/>
    <w:rsid w:val="007923D3"/>
    <w:rsid w:val="00792431"/>
    <w:rsid w:val="00792433"/>
    <w:rsid w:val="00792479"/>
    <w:rsid w:val="007924C2"/>
    <w:rsid w:val="007924F8"/>
    <w:rsid w:val="00792689"/>
    <w:rsid w:val="007926EB"/>
    <w:rsid w:val="00792789"/>
    <w:rsid w:val="007927A6"/>
    <w:rsid w:val="00792868"/>
    <w:rsid w:val="007928DE"/>
    <w:rsid w:val="00792969"/>
    <w:rsid w:val="00792A03"/>
    <w:rsid w:val="00792A3C"/>
    <w:rsid w:val="00792C77"/>
    <w:rsid w:val="00792CEA"/>
    <w:rsid w:val="00792CED"/>
    <w:rsid w:val="00792D61"/>
    <w:rsid w:val="00792E5A"/>
    <w:rsid w:val="00792E87"/>
    <w:rsid w:val="00792EC9"/>
    <w:rsid w:val="00792F65"/>
    <w:rsid w:val="00793008"/>
    <w:rsid w:val="00793027"/>
    <w:rsid w:val="00793047"/>
    <w:rsid w:val="007931BC"/>
    <w:rsid w:val="00793201"/>
    <w:rsid w:val="00793211"/>
    <w:rsid w:val="00793289"/>
    <w:rsid w:val="007932EE"/>
    <w:rsid w:val="007932EF"/>
    <w:rsid w:val="00793333"/>
    <w:rsid w:val="0079333F"/>
    <w:rsid w:val="00793348"/>
    <w:rsid w:val="00793375"/>
    <w:rsid w:val="007933A5"/>
    <w:rsid w:val="007934CD"/>
    <w:rsid w:val="00793595"/>
    <w:rsid w:val="007935BA"/>
    <w:rsid w:val="00793609"/>
    <w:rsid w:val="00793762"/>
    <w:rsid w:val="00793765"/>
    <w:rsid w:val="007937BF"/>
    <w:rsid w:val="007937E7"/>
    <w:rsid w:val="007937E9"/>
    <w:rsid w:val="0079380A"/>
    <w:rsid w:val="00793907"/>
    <w:rsid w:val="00793964"/>
    <w:rsid w:val="00793A19"/>
    <w:rsid w:val="00793AA1"/>
    <w:rsid w:val="00793BDE"/>
    <w:rsid w:val="00793C1F"/>
    <w:rsid w:val="00793C97"/>
    <w:rsid w:val="00793E16"/>
    <w:rsid w:val="00793E91"/>
    <w:rsid w:val="00793F05"/>
    <w:rsid w:val="00793F2F"/>
    <w:rsid w:val="00794101"/>
    <w:rsid w:val="00794163"/>
    <w:rsid w:val="0079416D"/>
    <w:rsid w:val="00794198"/>
    <w:rsid w:val="0079420E"/>
    <w:rsid w:val="00794363"/>
    <w:rsid w:val="007945F8"/>
    <w:rsid w:val="007945FF"/>
    <w:rsid w:val="00794621"/>
    <w:rsid w:val="00794629"/>
    <w:rsid w:val="00794759"/>
    <w:rsid w:val="00794817"/>
    <w:rsid w:val="0079484D"/>
    <w:rsid w:val="007948FA"/>
    <w:rsid w:val="00794928"/>
    <w:rsid w:val="0079493E"/>
    <w:rsid w:val="0079496E"/>
    <w:rsid w:val="007949EC"/>
    <w:rsid w:val="00794B1D"/>
    <w:rsid w:val="00794BE7"/>
    <w:rsid w:val="00794C19"/>
    <w:rsid w:val="00794C2A"/>
    <w:rsid w:val="00794C76"/>
    <w:rsid w:val="00794C99"/>
    <w:rsid w:val="00794D21"/>
    <w:rsid w:val="00794D2C"/>
    <w:rsid w:val="00794DF0"/>
    <w:rsid w:val="00794E1B"/>
    <w:rsid w:val="00794E4C"/>
    <w:rsid w:val="00794F88"/>
    <w:rsid w:val="007950D3"/>
    <w:rsid w:val="0079518E"/>
    <w:rsid w:val="007951BA"/>
    <w:rsid w:val="007951F3"/>
    <w:rsid w:val="007952D8"/>
    <w:rsid w:val="007952E2"/>
    <w:rsid w:val="007952E3"/>
    <w:rsid w:val="00795300"/>
    <w:rsid w:val="0079551A"/>
    <w:rsid w:val="007955BF"/>
    <w:rsid w:val="007955DB"/>
    <w:rsid w:val="00795645"/>
    <w:rsid w:val="007956A5"/>
    <w:rsid w:val="007956A7"/>
    <w:rsid w:val="007958A2"/>
    <w:rsid w:val="007958DD"/>
    <w:rsid w:val="00795933"/>
    <w:rsid w:val="0079595A"/>
    <w:rsid w:val="007959EB"/>
    <w:rsid w:val="00795A48"/>
    <w:rsid w:val="00795AC4"/>
    <w:rsid w:val="00795AE3"/>
    <w:rsid w:val="00795B29"/>
    <w:rsid w:val="00795BA3"/>
    <w:rsid w:val="00795BB9"/>
    <w:rsid w:val="00795C3C"/>
    <w:rsid w:val="00795C9A"/>
    <w:rsid w:val="00795CA3"/>
    <w:rsid w:val="00795CAA"/>
    <w:rsid w:val="00795D00"/>
    <w:rsid w:val="00795D7B"/>
    <w:rsid w:val="00795E08"/>
    <w:rsid w:val="00795E13"/>
    <w:rsid w:val="00795F16"/>
    <w:rsid w:val="00795F3D"/>
    <w:rsid w:val="00796003"/>
    <w:rsid w:val="007960FE"/>
    <w:rsid w:val="00796104"/>
    <w:rsid w:val="00796108"/>
    <w:rsid w:val="00796146"/>
    <w:rsid w:val="00796248"/>
    <w:rsid w:val="00796318"/>
    <w:rsid w:val="00796362"/>
    <w:rsid w:val="0079636F"/>
    <w:rsid w:val="00796425"/>
    <w:rsid w:val="00796495"/>
    <w:rsid w:val="00796500"/>
    <w:rsid w:val="00796571"/>
    <w:rsid w:val="0079658F"/>
    <w:rsid w:val="007965C0"/>
    <w:rsid w:val="0079661C"/>
    <w:rsid w:val="00796634"/>
    <w:rsid w:val="0079669A"/>
    <w:rsid w:val="007966DC"/>
    <w:rsid w:val="007967FD"/>
    <w:rsid w:val="00796814"/>
    <w:rsid w:val="0079686C"/>
    <w:rsid w:val="00796883"/>
    <w:rsid w:val="007968CF"/>
    <w:rsid w:val="00796918"/>
    <w:rsid w:val="007969C9"/>
    <w:rsid w:val="00796A1B"/>
    <w:rsid w:val="00796A34"/>
    <w:rsid w:val="00796A6A"/>
    <w:rsid w:val="00796AA8"/>
    <w:rsid w:val="00796AB0"/>
    <w:rsid w:val="00796BA2"/>
    <w:rsid w:val="00796C79"/>
    <w:rsid w:val="00796D61"/>
    <w:rsid w:val="00796EA1"/>
    <w:rsid w:val="00796EBF"/>
    <w:rsid w:val="00796F52"/>
    <w:rsid w:val="00796F6A"/>
    <w:rsid w:val="00796FC4"/>
    <w:rsid w:val="0079707A"/>
    <w:rsid w:val="00797139"/>
    <w:rsid w:val="007971F5"/>
    <w:rsid w:val="0079724E"/>
    <w:rsid w:val="0079728A"/>
    <w:rsid w:val="007973CF"/>
    <w:rsid w:val="00797421"/>
    <w:rsid w:val="0079744E"/>
    <w:rsid w:val="007974A2"/>
    <w:rsid w:val="007974A8"/>
    <w:rsid w:val="00797526"/>
    <w:rsid w:val="00797532"/>
    <w:rsid w:val="00797644"/>
    <w:rsid w:val="00797669"/>
    <w:rsid w:val="0079769A"/>
    <w:rsid w:val="0079781B"/>
    <w:rsid w:val="0079785F"/>
    <w:rsid w:val="0079790E"/>
    <w:rsid w:val="0079796B"/>
    <w:rsid w:val="00797A1B"/>
    <w:rsid w:val="00797A1F"/>
    <w:rsid w:val="00797A3B"/>
    <w:rsid w:val="00797A4A"/>
    <w:rsid w:val="00797B0D"/>
    <w:rsid w:val="00797B9C"/>
    <w:rsid w:val="00797C1F"/>
    <w:rsid w:val="00797C47"/>
    <w:rsid w:val="00797CD7"/>
    <w:rsid w:val="00797D79"/>
    <w:rsid w:val="00797E1C"/>
    <w:rsid w:val="00797E7A"/>
    <w:rsid w:val="00797EF1"/>
    <w:rsid w:val="00797F65"/>
    <w:rsid w:val="00797F73"/>
    <w:rsid w:val="00797F94"/>
    <w:rsid w:val="007A0033"/>
    <w:rsid w:val="007A0134"/>
    <w:rsid w:val="007A0554"/>
    <w:rsid w:val="007A05DC"/>
    <w:rsid w:val="007A05F8"/>
    <w:rsid w:val="007A0633"/>
    <w:rsid w:val="007A06B2"/>
    <w:rsid w:val="007A06BE"/>
    <w:rsid w:val="007A0715"/>
    <w:rsid w:val="007A0805"/>
    <w:rsid w:val="007A0900"/>
    <w:rsid w:val="007A0945"/>
    <w:rsid w:val="007A0949"/>
    <w:rsid w:val="007A097A"/>
    <w:rsid w:val="007A0A73"/>
    <w:rsid w:val="007A0B41"/>
    <w:rsid w:val="007A0BD9"/>
    <w:rsid w:val="007A0BEE"/>
    <w:rsid w:val="007A0C5B"/>
    <w:rsid w:val="007A0CE1"/>
    <w:rsid w:val="007A0D14"/>
    <w:rsid w:val="007A0D5B"/>
    <w:rsid w:val="007A0D77"/>
    <w:rsid w:val="007A0DDE"/>
    <w:rsid w:val="007A0E0E"/>
    <w:rsid w:val="007A0ECF"/>
    <w:rsid w:val="007A0EF5"/>
    <w:rsid w:val="007A0F55"/>
    <w:rsid w:val="007A0F6F"/>
    <w:rsid w:val="007A0FEE"/>
    <w:rsid w:val="007A107C"/>
    <w:rsid w:val="007A110A"/>
    <w:rsid w:val="007A110D"/>
    <w:rsid w:val="007A1177"/>
    <w:rsid w:val="007A118F"/>
    <w:rsid w:val="007A11BD"/>
    <w:rsid w:val="007A120C"/>
    <w:rsid w:val="007A12E5"/>
    <w:rsid w:val="007A1351"/>
    <w:rsid w:val="007A1393"/>
    <w:rsid w:val="007A13D2"/>
    <w:rsid w:val="007A14BC"/>
    <w:rsid w:val="007A155A"/>
    <w:rsid w:val="007A1683"/>
    <w:rsid w:val="007A16AA"/>
    <w:rsid w:val="007A1861"/>
    <w:rsid w:val="007A18DB"/>
    <w:rsid w:val="007A191C"/>
    <w:rsid w:val="007A1958"/>
    <w:rsid w:val="007A1A1A"/>
    <w:rsid w:val="007A1A6C"/>
    <w:rsid w:val="007A1A81"/>
    <w:rsid w:val="007A1B3D"/>
    <w:rsid w:val="007A1B8B"/>
    <w:rsid w:val="007A1B8F"/>
    <w:rsid w:val="007A1D2B"/>
    <w:rsid w:val="007A1D33"/>
    <w:rsid w:val="007A1D39"/>
    <w:rsid w:val="007A1D42"/>
    <w:rsid w:val="007A1D5C"/>
    <w:rsid w:val="007A1D66"/>
    <w:rsid w:val="007A1E7B"/>
    <w:rsid w:val="007A1EAA"/>
    <w:rsid w:val="007A2000"/>
    <w:rsid w:val="007A2085"/>
    <w:rsid w:val="007A2099"/>
    <w:rsid w:val="007A20EC"/>
    <w:rsid w:val="007A2108"/>
    <w:rsid w:val="007A2182"/>
    <w:rsid w:val="007A21AD"/>
    <w:rsid w:val="007A2258"/>
    <w:rsid w:val="007A22C2"/>
    <w:rsid w:val="007A2525"/>
    <w:rsid w:val="007A2535"/>
    <w:rsid w:val="007A2578"/>
    <w:rsid w:val="007A26B4"/>
    <w:rsid w:val="007A270F"/>
    <w:rsid w:val="007A2721"/>
    <w:rsid w:val="007A27DB"/>
    <w:rsid w:val="007A2805"/>
    <w:rsid w:val="007A2809"/>
    <w:rsid w:val="007A2888"/>
    <w:rsid w:val="007A2986"/>
    <w:rsid w:val="007A29C2"/>
    <w:rsid w:val="007A2D48"/>
    <w:rsid w:val="007A2D68"/>
    <w:rsid w:val="007A2DA4"/>
    <w:rsid w:val="007A2DF7"/>
    <w:rsid w:val="007A2E0B"/>
    <w:rsid w:val="007A2EF2"/>
    <w:rsid w:val="007A2F59"/>
    <w:rsid w:val="007A2FD6"/>
    <w:rsid w:val="007A3070"/>
    <w:rsid w:val="007A3161"/>
    <w:rsid w:val="007A31DC"/>
    <w:rsid w:val="007A325C"/>
    <w:rsid w:val="007A32C7"/>
    <w:rsid w:val="007A336A"/>
    <w:rsid w:val="007A33A0"/>
    <w:rsid w:val="007A341C"/>
    <w:rsid w:val="007A343A"/>
    <w:rsid w:val="007A34CA"/>
    <w:rsid w:val="007A355A"/>
    <w:rsid w:val="007A355B"/>
    <w:rsid w:val="007A35DB"/>
    <w:rsid w:val="007A35F2"/>
    <w:rsid w:val="007A362E"/>
    <w:rsid w:val="007A37EF"/>
    <w:rsid w:val="007A3828"/>
    <w:rsid w:val="007A3979"/>
    <w:rsid w:val="007A3A17"/>
    <w:rsid w:val="007A3AC0"/>
    <w:rsid w:val="007A3AF0"/>
    <w:rsid w:val="007A3B0E"/>
    <w:rsid w:val="007A3B63"/>
    <w:rsid w:val="007A3B70"/>
    <w:rsid w:val="007A3BA0"/>
    <w:rsid w:val="007A3BBD"/>
    <w:rsid w:val="007A3BD9"/>
    <w:rsid w:val="007A3C05"/>
    <w:rsid w:val="007A3C1C"/>
    <w:rsid w:val="007A3D01"/>
    <w:rsid w:val="007A3DF5"/>
    <w:rsid w:val="007A3E3A"/>
    <w:rsid w:val="007A3E82"/>
    <w:rsid w:val="007A3FB9"/>
    <w:rsid w:val="007A3FD0"/>
    <w:rsid w:val="007A3FDF"/>
    <w:rsid w:val="007A4052"/>
    <w:rsid w:val="007A4077"/>
    <w:rsid w:val="007A40A2"/>
    <w:rsid w:val="007A40C5"/>
    <w:rsid w:val="007A40CF"/>
    <w:rsid w:val="007A40FB"/>
    <w:rsid w:val="007A4128"/>
    <w:rsid w:val="007A4150"/>
    <w:rsid w:val="007A4257"/>
    <w:rsid w:val="007A43B9"/>
    <w:rsid w:val="007A443F"/>
    <w:rsid w:val="007A4486"/>
    <w:rsid w:val="007A4570"/>
    <w:rsid w:val="007A45CE"/>
    <w:rsid w:val="007A4630"/>
    <w:rsid w:val="007A467C"/>
    <w:rsid w:val="007A4737"/>
    <w:rsid w:val="007A473E"/>
    <w:rsid w:val="007A4756"/>
    <w:rsid w:val="007A4782"/>
    <w:rsid w:val="007A497A"/>
    <w:rsid w:val="007A4996"/>
    <w:rsid w:val="007A49A7"/>
    <w:rsid w:val="007A4A86"/>
    <w:rsid w:val="007A4A98"/>
    <w:rsid w:val="007A4ACB"/>
    <w:rsid w:val="007A4B82"/>
    <w:rsid w:val="007A4C28"/>
    <w:rsid w:val="007A4DBB"/>
    <w:rsid w:val="007A4EE6"/>
    <w:rsid w:val="007A501B"/>
    <w:rsid w:val="007A5033"/>
    <w:rsid w:val="007A503D"/>
    <w:rsid w:val="007A508F"/>
    <w:rsid w:val="007A50FD"/>
    <w:rsid w:val="007A521E"/>
    <w:rsid w:val="007A5316"/>
    <w:rsid w:val="007A533B"/>
    <w:rsid w:val="007A5359"/>
    <w:rsid w:val="007A537D"/>
    <w:rsid w:val="007A5467"/>
    <w:rsid w:val="007A54AA"/>
    <w:rsid w:val="007A54C0"/>
    <w:rsid w:val="007A5505"/>
    <w:rsid w:val="007A55B3"/>
    <w:rsid w:val="007A55E7"/>
    <w:rsid w:val="007A55FE"/>
    <w:rsid w:val="007A56B7"/>
    <w:rsid w:val="007A56FC"/>
    <w:rsid w:val="007A56FE"/>
    <w:rsid w:val="007A584E"/>
    <w:rsid w:val="007A5864"/>
    <w:rsid w:val="007A5886"/>
    <w:rsid w:val="007A58B1"/>
    <w:rsid w:val="007A599A"/>
    <w:rsid w:val="007A59E8"/>
    <w:rsid w:val="007A5B76"/>
    <w:rsid w:val="007A5C0B"/>
    <w:rsid w:val="007A5D12"/>
    <w:rsid w:val="007A5DD5"/>
    <w:rsid w:val="007A5F13"/>
    <w:rsid w:val="007A5F8A"/>
    <w:rsid w:val="007A5FCF"/>
    <w:rsid w:val="007A603A"/>
    <w:rsid w:val="007A62F2"/>
    <w:rsid w:val="007A6373"/>
    <w:rsid w:val="007A63D6"/>
    <w:rsid w:val="007A6421"/>
    <w:rsid w:val="007A6465"/>
    <w:rsid w:val="007A65CB"/>
    <w:rsid w:val="007A65D8"/>
    <w:rsid w:val="007A66C6"/>
    <w:rsid w:val="007A66D2"/>
    <w:rsid w:val="007A66F5"/>
    <w:rsid w:val="007A679E"/>
    <w:rsid w:val="007A67C8"/>
    <w:rsid w:val="007A6901"/>
    <w:rsid w:val="007A6966"/>
    <w:rsid w:val="007A69AC"/>
    <w:rsid w:val="007A6A2E"/>
    <w:rsid w:val="007A6A66"/>
    <w:rsid w:val="007A6A94"/>
    <w:rsid w:val="007A6AD0"/>
    <w:rsid w:val="007A6BF9"/>
    <w:rsid w:val="007A6C0D"/>
    <w:rsid w:val="007A6D06"/>
    <w:rsid w:val="007A6D07"/>
    <w:rsid w:val="007A6D1E"/>
    <w:rsid w:val="007A6DB4"/>
    <w:rsid w:val="007A6E2F"/>
    <w:rsid w:val="007A6E8D"/>
    <w:rsid w:val="007A6EE7"/>
    <w:rsid w:val="007A6FAD"/>
    <w:rsid w:val="007A6FB7"/>
    <w:rsid w:val="007A6FEF"/>
    <w:rsid w:val="007A70F3"/>
    <w:rsid w:val="007A7169"/>
    <w:rsid w:val="007A72D2"/>
    <w:rsid w:val="007A7346"/>
    <w:rsid w:val="007A748B"/>
    <w:rsid w:val="007A74EB"/>
    <w:rsid w:val="007A7539"/>
    <w:rsid w:val="007A757C"/>
    <w:rsid w:val="007A75E7"/>
    <w:rsid w:val="007A7607"/>
    <w:rsid w:val="007A7608"/>
    <w:rsid w:val="007A76DA"/>
    <w:rsid w:val="007A7810"/>
    <w:rsid w:val="007A7853"/>
    <w:rsid w:val="007A7A6E"/>
    <w:rsid w:val="007A7C52"/>
    <w:rsid w:val="007A7C70"/>
    <w:rsid w:val="007A7CFA"/>
    <w:rsid w:val="007A7D22"/>
    <w:rsid w:val="007A7D4B"/>
    <w:rsid w:val="007A7E15"/>
    <w:rsid w:val="007A7E53"/>
    <w:rsid w:val="007A7EDF"/>
    <w:rsid w:val="007A7EF1"/>
    <w:rsid w:val="007A7F39"/>
    <w:rsid w:val="007B00B3"/>
    <w:rsid w:val="007B00F7"/>
    <w:rsid w:val="007B0119"/>
    <w:rsid w:val="007B012B"/>
    <w:rsid w:val="007B0146"/>
    <w:rsid w:val="007B015E"/>
    <w:rsid w:val="007B01D1"/>
    <w:rsid w:val="007B0253"/>
    <w:rsid w:val="007B027E"/>
    <w:rsid w:val="007B02A4"/>
    <w:rsid w:val="007B02B7"/>
    <w:rsid w:val="007B035A"/>
    <w:rsid w:val="007B042E"/>
    <w:rsid w:val="007B049D"/>
    <w:rsid w:val="007B051E"/>
    <w:rsid w:val="007B06AB"/>
    <w:rsid w:val="007B06DA"/>
    <w:rsid w:val="007B074A"/>
    <w:rsid w:val="007B079B"/>
    <w:rsid w:val="007B081C"/>
    <w:rsid w:val="007B0884"/>
    <w:rsid w:val="007B089A"/>
    <w:rsid w:val="007B0941"/>
    <w:rsid w:val="007B0A0A"/>
    <w:rsid w:val="007B0A5D"/>
    <w:rsid w:val="007B0AC0"/>
    <w:rsid w:val="007B0AC7"/>
    <w:rsid w:val="007B0AD1"/>
    <w:rsid w:val="007B0B40"/>
    <w:rsid w:val="007B0B56"/>
    <w:rsid w:val="007B0BBB"/>
    <w:rsid w:val="007B0BD8"/>
    <w:rsid w:val="007B0CD5"/>
    <w:rsid w:val="007B0D51"/>
    <w:rsid w:val="007B0DDD"/>
    <w:rsid w:val="007B0E36"/>
    <w:rsid w:val="007B0E42"/>
    <w:rsid w:val="007B0E53"/>
    <w:rsid w:val="007B0E76"/>
    <w:rsid w:val="007B0EA8"/>
    <w:rsid w:val="007B0EB2"/>
    <w:rsid w:val="007B0ECD"/>
    <w:rsid w:val="007B0F13"/>
    <w:rsid w:val="007B0FA9"/>
    <w:rsid w:val="007B10DD"/>
    <w:rsid w:val="007B1163"/>
    <w:rsid w:val="007B120E"/>
    <w:rsid w:val="007B13E2"/>
    <w:rsid w:val="007B1470"/>
    <w:rsid w:val="007B14DB"/>
    <w:rsid w:val="007B1545"/>
    <w:rsid w:val="007B1581"/>
    <w:rsid w:val="007B15E1"/>
    <w:rsid w:val="007B1700"/>
    <w:rsid w:val="007B1716"/>
    <w:rsid w:val="007B17CC"/>
    <w:rsid w:val="007B17CF"/>
    <w:rsid w:val="007B18E2"/>
    <w:rsid w:val="007B1931"/>
    <w:rsid w:val="007B1942"/>
    <w:rsid w:val="007B19D9"/>
    <w:rsid w:val="007B1A2F"/>
    <w:rsid w:val="007B1A96"/>
    <w:rsid w:val="007B1AA2"/>
    <w:rsid w:val="007B1AA3"/>
    <w:rsid w:val="007B1ABB"/>
    <w:rsid w:val="007B1B09"/>
    <w:rsid w:val="007B1B4E"/>
    <w:rsid w:val="007B1CE9"/>
    <w:rsid w:val="007B1DC4"/>
    <w:rsid w:val="007B1DF6"/>
    <w:rsid w:val="007B1E44"/>
    <w:rsid w:val="007B1E52"/>
    <w:rsid w:val="007B1F09"/>
    <w:rsid w:val="007B1FE9"/>
    <w:rsid w:val="007B2020"/>
    <w:rsid w:val="007B20AC"/>
    <w:rsid w:val="007B20B3"/>
    <w:rsid w:val="007B20E4"/>
    <w:rsid w:val="007B2145"/>
    <w:rsid w:val="007B2190"/>
    <w:rsid w:val="007B21B5"/>
    <w:rsid w:val="007B2204"/>
    <w:rsid w:val="007B222B"/>
    <w:rsid w:val="007B227A"/>
    <w:rsid w:val="007B22EF"/>
    <w:rsid w:val="007B2316"/>
    <w:rsid w:val="007B2318"/>
    <w:rsid w:val="007B23B8"/>
    <w:rsid w:val="007B24A3"/>
    <w:rsid w:val="007B260B"/>
    <w:rsid w:val="007B2617"/>
    <w:rsid w:val="007B263F"/>
    <w:rsid w:val="007B276C"/>
    <w:rsid w:val="007B2774"/>
    <w:rsid w:val="007B2784"/>
    <w:rsid w:val="007B27D3"/>
    <w:rsid w:val="007B2903"/>
    <w:rsid w:val="007B29D5"/>
    <w:rsid w:val="007B2A25"/>
    <w:rsid w:val="007B2ABD"/>
    <w:rsid w:val="007B2ACD"/>
    <w:rsid w:val="007B2BA3"/>
    <w:rsid w:val="007B2BF9"/>
    <w:rsid w:val="007B2D41"/>
    <w:rsid w:val="007B2D9B"/>
    <w:rsid w:val="007B2DAA"/>
    <w:rsid w:val="007B2E39"/>
    <w:rsid w:val="007B2F43"/>
    <w:rsid w:val="007B301C"/>
    <w:rsid w:val="007B30AF"/>
    <w:rsid w:val="007B30B0"/>
    <w:rsid w:val="007B313D"/>
    <w:rsid w:val="007B3244"/>
    <w:rsid w:val="007B32F8"/>
    <w:rsid w:val="007B3318"/>
    <w:rsid w:val="007B33E7"/>
    <w:rsid w:val="007B3443"/>
    <w:rsid w:val="007B3461"/>
    <w:rsid w:val="007B3463"/>
    <w:rsid w:val="007B3510"/>
    <w:rsid w:val="007B3660"/>
    <w:rsid w:val="007B3806"/>
    <w:rsid w:val="007B388F"/>
    <w:rsid w:val="007B38B0"/>
    <w:rsid w:val="007B38F0"/>
    <w:rsid w:val="007B3AC4"/>
    <w:rsid w:val="007B3ACF"/>
    <w:rsid w:val="007B3B71"/>
    <w:rsid w:val="007B3C51"/>
    <w:rsid w:val="007B3E7D"/>
    <w:rsid w:val="007B3E9A"/>
    <w:rsid w:val="007B3ECB"/>
    <w:rsid w:val="007B3F23"/>
    <w:rsid w:val="007B3F52"/>
    <w:rsid w:val="007B3F6A"/>
    <w:rsid w:val="007B3F92"/>
    <w:rsid w:val="007B4013"/>
    <w:rsid w:val="007B407E"/>
    <w:rsid w:val="007B40C3"/>
    <w:rsid w:val="007B40CE"/>
    <w:rsid w:val="007B410A"/>
    <w:rsid w:val="007B4145"/>
    <w:rsid w:val="007B4203"/>
    <w:rsid w:val="007B4240"/>
    <w:rsid w:val="007B42F8"/>
    <w:rsid w:val="007B43F3"/>
    <w:rsid w:val="007B4695"/>
    <w:rsid w:val="007B473F"/>
    <w:rsid w:val="007B4781"/>
    <w:rsid w:val="007B47A4"/>
    <w:rsid w:val="007B4802"/>
    <w:rsid w:val="007B4803"/>
    <w:rsid w:val="007B4840"/>
    <w:rsid w:val="007B4857"/>
    <w:rsid w:val="007B485E"/>
    <w:rsid w:val="007B48D4"/>
    <w:rsid w:val="007B496D"/>
    <w:rsid w:val="007B49B9"/>
    <w:rsid w:val="007B4A57"/>
    <w:rsid w:val="007B4A5E"/>
    <w:rsid w:val="007B4B0F"/>
    <w:rsid w:val="007B4C14"/>
    <w:rsid w:val="007B4C6B"/>
    <w:rsid w:val="007B4C7C"/>
    <w:rsid w:val="007B4C9E"/>
    <w:rsid w:val="007B4CAC"/>
    <w:rsid w:val="007B4CC9"/>
    <w:rsid w:val="007B4D5D"/>
    <w:rsid w:val="007B4D77"/>
    <w:rsid w:val="007B4DC4"/>
    <w:rsid w:val="007B4DC8"/>
    <w:rsid w:val="007B4E29"/>
    <w:rsid w:val="007B4E35"/>
    <w:rsid w:val="007B4E82"/>
    <w:rsid w:val="007B4EC7"/>
    <w:rsid w:val="007B4EFD"/>
    <w:rsid w:val="007B4F7E"/>
    <w:rsid w:val="007B4FE8"/>
    <w:rsid w:val="007B50EB"/>
    <w:rsid w:val="007B50EF"/>
    <w:rsid w:val="007B5158"/>
    <w:rsid w:val="007B525D"/>
    <w:rsid w:val="007B5442"/>
    <w:rsid w:val="007B5468"/>
    <w:rsid w:val="007B547B"/>
    <w:rsid w:val="007B5493"/>
    <w:rsid w:val="007B54C1"/>
    <w:rsid w:val="007B564F"/>
    <w:rsid w:val="007B570E"/>
    <w:rsid w:val="007B57C5"/>
    <w:rsid w:val="007B57D2"/>
    <w:rsid w:val="007B583E"/>
    <w:rsid w:val="007B5900"/>
    <w:rsid w:val="007B5939"/>
    <w:rsid w:val="007B598D"/>
    <w:rsid w:val="007B5A2B"/>
    <w:rsid w:val="007B5B1A"/>
    <w:rsid w:val="007B5B54"/>
    <w:rsid w:val="007B5B60"/>
    <w:rsid w:val="007B5B74"/>
    <w:rsid w:val="007B5B77"/>
    <w:rsid w:val="007B5C5E"/>
    <w:rsid w:val="007B5D05"/>
    <w:rsid w:val="007B5D29"/>
    <w:rsid w:val="007B5D86"/>
    <w:rsid w:val="007B5DA8"/>
    <w:rsid w:val="007B5E97"/>
    <w:rsid w:val="007B5EAD"/>
    <w:rsid w:val="007B5F4B"/>
    <w:rsid w:val="007B5FE5"/>
    <w:rsid w:val="007B5FFE"/>
    <w:rsid w:val="007B601E"/>
    <w:rsid w:val="007B6095"/>
    <w:rsid w:val="007B60BD"/>
    <w:rsid w:val="007B6144"/>
    <w:rsid w:val="007B6162"/>
    <w:rsid w:val="007B618E"/>
    <w:rsid w:val="007B61B0"/>
    <w:rsid w:val="007B62C0"/>
    <w:rsid w:val="007B6318"/>
    <w:rsid w:val="007B6343"/>
    <w:rsid w:val="007B6345"/>
    <w:rsid w:val="007B6366"/>
    <w:rsid w:val="007B63A2"/>
    <w:rsid w:val="007B63D0"/>
    <w:rsid w:val="007B63F1"/>
    <w:rsid w:val="007B6463"/>
    <w:rsid w:val="007B646D"/>
    <w:rsid w:val="007B6508"/>
    <w:rsid w:val="007B656B"/>
    <w:rsid w:val="007B6571"/>
    <w:rsid w:val="007B65AF"/>
    <w:rsid w:val="007B6625"/>
    <w:rsid w:val="007B664F"/>
    <w:rsid w:val="007B6686"/>
    <w:rsid w:val="007B676F"/>
    <w:rsid w:val="007B6791"/>
    <w:rsid w:val="007B67EC"/>
    <w:rsid w:val="007B6813"/>
    <w:rsid w:val="007B68AA"/>
    <w:rsid w:val="007B6937"/>
    <w:rsid w:val="007B694C"/>
    <w:rsid w:val="007B69A4"/>
    <w:rsid w:val="007B69B9"/>
    <w:rsid w:val="007B69E1"/>
    <w:rsid w:val="007B69EB"/>
    <w:rsid w:val="007B6A05"/>
    <w:rsid w:val="007B6AB0"/>
    <w:rsid w:val="007B6B25"/>
    <w:rsid w:val="007B6B97"/>
    <w:rsid w:val="007B6BBD"/>
    <w:rsid w:val="007B6C1B"/>
    <w:rsid w:val="007B6CAB"/>
    <w:rsid w:val="007B6D0A"/>
    <w:rsid w:val="007B6D0C"/>
    <w:rsid w:val="007B6D20"/>
    <w:rsid w:val="007B6D54"/>
    <w:rsid w:val="007B6D95"/>
    <w:rsid w:val="007B6E24"/>
    <w:rsid w:val="007B6F49"/>
    <w:rsid w:val="007B6F87"/>
    <w:rsid w:val="007B7045"/>
    <w:rsid w:val="007B708C"/>
    <w:rsid w:val="007B70D7"/>
    <w:rsid w:val="007B70F8"/>
    <w:rsid w:val="007B7117"/>
    <w:rsid w:val="007B7122"/>
    <w:rsid w:val="007B7178"/>
    <w:rsid w:val="007B71F4"/>
    <w:rsid w:val="007B723E"/>
    <w:rsid w:val="007B725B"/>
    <w:rsid w:val="007B730F"/>
    <w:rsid w:val="007B7315"/>
    <w:rsid w:val="007B7365"/>
    <w:rsid w:val="007B742D"/>
    <w:rsid w:val="007B748F"/>
    <w:rsid w:val="007B7526"/>
    <w:rsid w:val="007B7617"/>
    <w:rsid w:val="007B7757"/>
    <w:rsid w:val="007B7777"/>
    <w:rsid w:val="007B77EC"/>
    <w:rsid w:val="007B78A0"/>
    <w:rsid w:val="007B790F"/>
    <w:rsid w:val="007B7A74"/>
    <w:rsid w:val="007B7ADD"/>
    <w:rsid w:val="007B7B26"/>
    <w:rsid w:val="007B7B7A"/>
    <w:rsid w:val="007B7BE7"/>
    <w:rsid w:val="007B7C59"/>
    <w:rsid w:val="007B7C77"/>
    <w:rsid w:val="007B7D00"/>
    <w:rsid w:val="007B7D7B"/>
    <w:rsid w:val="007B7DF4"/>
    <w:rsid w:val="007B7E01"/>
    <w:rsid w:val="007B7E0E"/>
    <w:rsid w:val="007B7EA7"/>
    <w:rsid w:val="007B7EAA"/>
    <w:rsid w:val="007B7F9C"/>
    <w:rsid w:val="007B7FFC"/>
    <w:rsid w:val="007C0015"/>
    <w:rsid w:val="007C0045"/>
    <w:rsid w:val="007C00B9"/>
    <w:rsid w:val="007C00C5"/>
    <w:rsid w:val="007C0132"/>
    <w:rsid w:val="007C015F"/>
    <w:rsid w:val="007C0194"/>
    <w:rsid w:val="007C01EE"/>
    <w:rsid w:val="007C01FC"/>
    <w:rsid w:val="007C0226"/>
    <w:rsid w:val="007C0231"/>
    <w:rsid w:val="007C028A"/>
    <w:rsid w:val="007C02F2"/>
    <w:rsid w:val="007C03D3"/>
    <w:rsid w:val="007C0404"/>
    <w:rsid w:val="007C04A7"/>
    <w:rsid w:val="007C04BF"/>
    <w:rsid w:val="007C04C4"/>
    <w:rsid w:val="007C04DB"/>
    <w:rsid w:val="007C050F"/>
    <w:rsid w:val="007C051A"/>
    <w:rsid w:val="007C052A"/>
    <w:rsid w:val="007C064B"/>
    <w:rsid w:val="007C068B"/>
    <w:rsid w:val="007C069A"/>
    <w:rsid w:val="007C06A8"/>
    <w:rsid w:val="007C06F1"/>
    <w:rsid w:val="007C073C"/>
    <w:rsid w:val="007C07E5"/>
    <w:rsid w:val="007C0856"/>
    <w:rsid w:val="007C08AA"/>
    <w:rsid w:val="007C097F"/>
    <w:rsid w:val="007C09B4"/>
    <w:rsid w:val="007C09CF"/>
    <w:rsid w:val="007C0A00"/>
    <w:rsid w:val="007C0A31"/>
    <w:rsid w:val="007C0A44"/>
    <w:rsid w:val="007C0ACF"/>
    <w:rsid w:val="007C0B6C"/>
    <w:rsid w:val="007C0B80"/>
    <w:rsid w:val="007C0B8F"/>
    <w:rsid w:val="007C0B9A"/>
    <w:rsid w:val="007C0BF0"/>
    <w:rsid w:val="007C0D48"/>
    <w:rsid w:val="007C0D5C"/>
    <w:rsid w:val="007C0EB5"/>
    <w:rsid w:val="007C0EBF"/>
    <w:rsid w:val="007C0F3B"/>
    <w:rsid w:val="007C0F73"/>
    <w:rsid w:val="007C0FAC"/>
    <w:rsid w:val="007C0FF7"/>
    <w:rsid w:val="007C10F0"/>
    <w:rsid w:val="007C1183"/>
    <w:rsid w:val="007C11DD"/>
    <w:rsid w:val="007C11F8"/>
    <w:rsid w:val="007C11FE"/>
    <w:rsid w:val="007C1219"/>
    <w:rsid w:val="007C1264"/>
    <w:rsid w:val="007C12FD"/>
    <w:rsid w:val="007C1482"/>
    <w:rsid w:val="007C1494"/>
    <w:rsid w:val="007C149E"/>
    <w:rsid w:val="007C14B7"/>
    <w:rsid w:val="007C15A3"/>
    <w:rsid w:val="007C169A"/>
    <w:rsid w:val="007C177E"/>
    <w:rsid w:val="007C1781"/>
    <w:rsid w:val="007C183E"/>
    <w:rsid w:val="007C1873"/>
    <w:rsid w:val="007C18D9"/>
    <w:rsid w:val="007C1931"/>
    <w:rsid w:val="007C19CD"/>
    <w:rsid w:val="007C19E7"/>
    <w:rsid w:val="007C1A4E"/>
    <w:rsid w:val="007C1A6F"/>
    <w:rsid w:val="007C1BF4"/>
    <w:rsid w:val="007C1BF7"/>
    <w:rsid w:val="007C1C77"/>
    <w:rsid w:val="007C1C79"/>
    <w:rsid w:val="007C1CAE"/>
    <w:rsid w:val="007C1CE7"/>
    <w:rsid w:val="007C1E29"/>
    <w:rsid w:val="007C1E41"/>
    <w:rsid w:val="007C1F3E"/>
    <w:rsid w:val="007C1F8B"/>
    <w:rsid w:val="007C208C"/>
    <w:rsid w:val="007C212F"/>
    <w:rsid w:val="007C2149"/>
    <w:rsid w:val="007C2170"/>
    <w:rsid w:val="007C2298"/>
    <w:rsid w:val="007C22C0"/>
    <w:rsid w:val="007C233F"/>
    <w:rsid w:val="007C23FB"/>
    <w:rsid w:val="007C248F"/>
    <w:rsid w:val="007C24A7"/>
    <w:rsid w:val="007C2563"/>
    <w:rsid w:val="007C258D"/>
    <w:rsid w:val="007C25B4"/>
    <w:rsid w:val="007C2688"/>
    <w:rsid w:val="007C2693"/>
    <w:rsid w:val="007C2726"/>
    <w:rsid w:val="007C27AE"/>
    <w:rsid w:val="007C2853"/>
    <w:rsid w:val="007C28A5"/>
    <w:rsid w:val="007C28FF"/>
    <w:rsid w:val="007C2977"/>
    <w:rsid w:val="007C299F"/>
    <w:rsid w:val="007C29DF"/>
    <w:rsid w:val="007C2A4A"/>
    <w:rsid w:val="007C2ABB"/>
    <w:rsid w:val="007C2AC8"/>
    <w:rsid w:val="007C2BED"/>
    <w:rsid w:val="007C2C73"/>
    <w:rsid w:val="007C2D3F"/>
    <w:rsid w:val="007C2D4B"/>
    <w:rsid w:val="007C2E07"/>
    <w:rsid w:val="007C2E09"/>
    <w:rsid w:val="007C2E12"/>
    <w:rsid w:val="007C2E83"/>
    <w:rsid w:val="007C2E8F"/>
    <w:rsid w:val="007C2E90"/>
    <w:rsid w:val="007C2EFD"/>
    <w:rsid w:val="007C2F03"/>
    <w:rsid w:val="007C2FBD"/>
    <w:rsid w:val="007C3005"/>
    <w:rsid w:val="007C3073"/>
    <w:rsid w:val="007C30A9"/>
    <w:rsid w:val="007C314E"/>
    <w:rsid w:val="007C31DA"/>
    <w:rsid w:val="007C320E"/>
    <w:rsid w:val="007C3212"/>
    <w:rsid w:val="007C32D4"/>
    <w:rsid w:val="007C3355"/>
    <w:rsid w:val="007C338A"/>
    <w:rsid w:val="007C3393"/>
    <w:rsid w:val="007C355E"/>
    <w:rsid w:val="007C35B7"/>
    <w:rsid w:val="007C35D2"/>
    <w:rsid w:val="007C360C"/>
    <w:rsid w:val="007C3646"/>
    <w:rsid w:val="007C3679"/>
    <w:rsid w:val="007C36E0"/>
    <w:rsid w:val="007C36F3"/>
    <w:rsid w:val="007C372A"/>
    <w:rsid w:val="007C374F"/>
    <w:rsid w:val="007C37C9"/>
    <w:rsid w:val="007C3804"/>
    <w:rsid w:val="007C3903"/>
    <w:rsid w:val="007C3979"/>
    <w:rsid w:val="007C3B6E"/>
    <w:rsid w:val="007C3C2D"/>
    <w:rsid w:val="007C3C3A"/>
    <w:rsid w:val="007C3CC2"/>
    <w:rsid w:val="007C3D12"/>
    <w:rsid w:val="007C3D64"/>
    <w:rsid w:val="007C3DF3"/>
    <w:rsid w:val="007C3E70"/>
    <w:rsid w:val="007C3E78"/>
    <w:rsid w:val="007C3E8C"/>
    <w:rsid w:val="007C3E90"/>
    <w:rsid w:val="007C4050"/>
    <w:rsid w:val="007C40A1"/>
    <w:rsid w:val="007C410A"/>
    <w:rsid w:val="007C411A"/>
    <w:rsid w:val="007C4130"/>
    <w:rsid w:val="007C4274"/>
    <w:rsid w:val="007C431E"/>
    <w:rsid w:val="007C4323"/>
    <w:rsid w:val="007C432E"/>
    <w:rsid w:val="007C4336"/>
    <w:rsid w:val="007C4344"/>
    <w:rsid w:val="007C4381"/>
    <w:rsid w:val="007C446D"/>
    <w:rsid w:val="007C449F"/>
    <w:rsid w:val="007C44F8"/>
    <w:rsid w:val="007C4529"/>
    <w:rsid w:val="007C45D4"/>
    <w:rsid w:val="007C4610"/>
    <w:rsid w:val="007C4646"/>
    <w:rsid w:val="007C468D"/>
    <w:rsid w:val="007C46A6"/>
    <w:rsid w:val="007C46E8"/>
    <w:rsid w:val="007C4701"/>
    <w:rsid w:val="007C470A"/>
    <w:rsid w:val="007C476A"/>
    <w:rsid w:val="007C4772"/>
    <w:rsid w:val="007C477B"/>
    <w:rsid w:val="007C484D"/>
    <w:rsid w:val="007C485B"/>
    <w:rsid w:val="007C48B8"/>
    <w:rsid w:val="007C4B91"/>
    <w:rsid w:val="007C4BC1"/>
    <w:rsid w:val="007C4BE5"/>
    <w:rsid w:val="007C4D04"/>
    <w:rsid w:val="007C4D71"/>
    <w:rsid w:val="007C4DDC"/>
    <w:rsid w:val="007C4E3F"/>
    <w:rsid w:val="007C4E55"/>
    <w:rsid w:val="007C4FBF"/>
    <w:rsid w:val="007C4FD3"/>
    <w:rsid w:val="007C5045"/>
    <w:rsid w:val="007C5084"/>
    <w:rsid w:val="007C50D0"/>
    <w:rsid w:val="007C50EB"/>
    <w:rsid w:val="007C5101"/>
    <w:rsid w:val="007C5171"/>
    <w:rsid w:val="007C52A9"/>
    <w:rsid w:val="007C52CE"/>
    <w:rsid w:val="007C52D9"/>
    <w:rsid w:val="007C52DA"/>
    <w:rsid w:val="007C54F7"/>
    <w:rsid w:val="007C5514"/>
    <w:rsid w:val="007C5576"/>
    <w:rsid w:val="007C5659"/>
    <w:rsid w:val="007C56A4"/>
    <w:rsid w:val="007C572C"/>
    <w:rsid w:val="007C57E8"/>
    <w:rsid w:val="007C5918"/>
    <w:rsid w:val="007C591B"/>
    <w:rsid w:val="007C59EE"/>
    <w:rsid w:val="007C5B93"/>
    <w:rsid w:val="007C5BB3"/>
    <w:rsid w:val="007C5BFA"/>
    <w:rsid w:val="007C5C6A"/>
    <w:rsid w:val="007C5C89"/>
    <w:rsid w:val="007C5CA6"/>
    <w:rsid w:val="007C5D1C"/>
    <w:rsid w:val="007C5DC7"/>
    <w:rsid w:val="007C5DF9"/>
    <w:rsid w:val="007C5F07"/>
    <w:rsid w:val="007C5F4B"/>
    <w:rsid w:val="007C5F94"/>
    <w:rsid w:val="007C6006"/>
    <w:rsid w:val="007C60A1"/>
    <w:rsid w:val="007C60AE"/>
    <w:rsid w:val="007C6183"/>
    <w:rsid w:val="007C62F9"/>
    <w:rsid w:val="007C63DC"/>
    <w:rsid w:val="007C6405"/>
    <w:rsid w:val="007C642D"/>
    <w:rsid w:val="007C646E"/>
    <w:rsid w:val="007C64A7"/>
    <w:rsid w:val="007C6530"/>
    <w:rsid w:val="007C66E3"/>
    <w:rsid w:val="007C66E7"/>
    <w:rsid w:val="007C6765"/>
    <w:rsid w:val="007C687D"/>
    <w:rsid w:val="007C6918"/>
    <w:rsid w:val="007C6970"/>
    <w:rsid w:val="007C6A43"/>
    <w:rsid w:val="007C6AF6"/>
    <w:rsid w:val="007C6B70"/>
    <w:rsid w:val="007C6BF3"/>
    <w:rsid w:val="007C6C3A"/>
    <w:rsid w:val="007C6D0B"/>
    <w:rsid w:val="007C6E4A"/>
    <w:rsid w:val="007C6E57"/>
    <w:rsid w:val="007C6E59"/>
    <w:rsid w:val="007C6F0F"/>
    <w:rsid w:val="007C6FB2"/>
    <w:rsid w:val="007C6FE5"/>
    <w:rsid w:val="007C7000"/>
    <w:rsid w:val="007C70B7"/>
    <w:rsid w:val="007C70CA"/>
    <w:rsid w:val="007C70EC"/>
    <w:rsid w:val="007C7114"/>
    <w:rsid w:val="007C719E"/>
    <w:rsid w:val="007C71D1"/>
    <w:rsid w:val="007C721E"/>
    <w:rsid w:val="007C7227"/>
    <w:rsid w:val="007C725E"/>
    <w:rsid w:val="007C72A7"/>
    <w:rsid w:val="007C72BE"/>
    <w:rsid w:val="007C72E4"/>
    <w:rsid w:val="007C7320"/>
    <w:rsid w:val="007C7432"/>
    <w:rsid w:val="007C745A"/>
    <w:rsid w:val="007C74A3"/>
    <w:rsid w:val="007C759B"/>
    <w:rsid w:val="007C7610"/>
    <w:rsid w:val="007C7652"/>
    <w:rsid w:val="007C76BB"/>
    <w:rsid w:val="007C779B"/>
    <w:rsid w:val="007C77C0"/>
    <w:rsid w:val="007C785D"/>
    <w:rsid w:val="007C7918"/>
    <w:rsid w:val="007C7A75"/>
    <w:rsid w:val="007C7AE2"/>
    <w:rsid w:val="007C7B1B"/>
    <w:rsid w:val="007C7B2A"/>
    <w:rsid w:val="007C7C3B"/>
    <w:rsid w:val="007C7CB6"/>
    <w:rsid w:val="007C7CEC"/>
    <w:rsid w:val="007C7EDC"/>
    <w:rsid w:val="007C7EEA"/>
    <w:rsid w:val="007C7EFB"/>
    <w:rsid w:val="007C7F3F"/>
    <w:rsid w:val="007C7FDE"/>
    <w:rsid w:val="007C7FE1"/>
    <w:rsid w:val="007C7FFA"/>
    <w:rsid w:val="007D00E6"/>
    <w:rsid w:val="007D017B"/>
    <w:rsid w:val="007D0198"/>
    <w:rsid w:val="007D0208"/>
    <w:rsid w:val="007D025D"/>
    <w:rsid w:val="007D026D"/>
    <w:rsid w:val="007D0300"/>
    <w:rsid w:val="007D038A"/>
    <w:rsid w:val="007D03DC"/>
    <w:rsid w:val="007D03F8"/>
    <w:rsid w:val="007D05AB"/>
    <w:rsid w:val="007D05D0"/>
    <w:rsid w:val="007D066E"/>
    <w:rsid w:val="007D070A"/>
    <w:rsid w:val="007D079A"/>
    <w:rsid w:val="007D07BD"/>
    <w:rsid w:val="007D07D3"/>
    <w:rsid w:val="007D07F9"/>
    <w:rsid w:val="007D08B8"/>
    <w:rsid w:val="007D08DC"/>
    <w:rsid w:val="007D0965"/>
    <w:rsid w:val="007D09D4"/>
    <w:rsid w:val="007D0BF1"/>
    <w:rsid w:val="007D0C61"/>
    <w:rsid w:val="007D0CFC"/>
    <w:rsid w:val="007D0D54"/>
    <w:rsid w:val="007D0D69"/>
    <w:rsid w:val="007D0E10"/>
    <w:rsid w:val="007D0E7E"/>
    <w:rsid w:val="007D0EC0"/>
    <w:rsid w:val="007D0F37"/>
    <w:rsid w:val="007D0FA6"/>
    <w:rsid w:val="007D0FF1"/>
    <w:rsid w:val="007D1021"/>
    <w:rsid w:val="007D105A"/>
    <w:rsid w:val="007D10C1"/>
    <w:rsid w:val="007D1239"/>
    <w:rsid w:val="007D128F"/>
    <w:rsid w:val="007D12BC"/>
    <w:rsid w:val="007D142A"/>
    <w:rsid w:val="007D1442"/>
    <w:rsid w:val="007D14AB"/>
    <w:rsid w:val="007D14F1"/>
    <w:rsid w:val="007D1598"/>
    <w:rsid w:val="007D15D5"/>
    <w:rsid w:val="007D1637"/>
    <w:rsid w:val="007D16C2"/>
    <w:rsid w:val="007D16D2"/>
    <w:rsid w:val="007D16DD"/>
    <w:rsid w:val="007D1711"/>
    <w:rsid w:val="007D17C2"/>
    <w:rsid w:val="007D17FA"/>
    <w:rsid w:val="007D18A4"/>
    <w:rsid w:val="007D198A"/>
    <w:rsid w:val="007D1A0B"/>
    <w:rsid w:val="007D1A40"/>
    <w:rsid w:val="007D1AA6"/>
    <w:rsid w:val="007D1B59"/>
    <w:rsid w:val="007D1C39"/>
    <w:rsid w:val="007D1CDC"/>
    <w:rsid w:val="007D1D23"/>
    <w:rsid w:val="007D1D48"/>
    <w:rsid w:val="007D1D8B"/>
    <w:rsid w:val="007D1EB8"/>
    <w:rsid w:val="007D1EF5"/>
    <w:rsid w:val="007D2098"/>
    <w:rsid w:val="007D21BC"/>
    <w:rsid w:val="007D2200"/>
    <w:rsid w:val="007D2206"/>
    <w:rsid w:val="007D22F2"/>
    <w:rsid w:val="007D22F4"/>
    <w:rsid w:val="007D236F"/>
    <w:rsid w:val="007D2395"/>
    <w:rsid w:val="007D23BD"/>
    <w:rsid w:val="007D240E"/>
    <w:rsid w:val="007D243E"/>
    <w:rsid w:val="007D27BE"/>
    <w:rsid w:val="007D28A6"/>
    <w:rsid w:val="007D28DE"/>
    <w:rsid w:val="007D28F3"/>
    <w:rsid w:val="007D292F"/>
    <w:rsid w:val="007D2977"/>
    <w:rsid w:val="007D2984"/>
    <w:rsid w:val="007D29AF"/>
    <w:rsid w:val="007D2A09"/>
    <w:rsid w:val="007D2A1E"/>
    <w:rsid w:val="007D2AC2"/>
    <w:rsid w:val="007D2ACA"/>
    <w:rsid w:val="007D2BA5"/>
    <w:rsid w:val="007D2BAE"/>
    <w:rsid w:val="007D2C07"/>
    <w:rsid w:val="007D2D5C"/>
    <w:rsid w:val="007D2DB6"/>
    <w:rsid w:val="007D2E07"/>
    <w:rsid w:val="007D2E44"/>
    <w:rsid w:val="007D2E76"/>
    <w:rsid w:val="007D2EBD"/>
    <w:rsid w:val="007D2EE9"/>
    <w:rsid w:val="007D2F36"/>
    <w:rsid w:val="007D2F57"/>
    <w:rsid w:val="007D2F66"/>
    <w:rsid w:val="007D2F6F"/>
    <w:rsid w:val="007D308F"/>
    <w:rsid w:val="007D3147"/>
    <w:rsid w:val="007D3154"/>
    <w:rsid w:val="007D31AE"/>
    <w:rsid w:val="007D3202"/>
    <w:rsid w:val="007D3225"/>
    <w:rsid w:val="007D323A"/>
    <w:rsid w:val="007D326B"/>
    <w:rsid w:val="007D331F"/>
    <w:rsid w:val="007D337F"/>
    <w:rsid w:val="007D33F1"/>
    <w:rsid w:val="007D340B"/>
    <w:rsid w:val="007D345A"/>
    <w:rsid w:val="007D345D"/>
    <w:rsid w:val="007D34C4"/>
    <w:rsid w:val="007D34F2"/>
    <w:rsid w:val="007D352F"/>
    <w:rsid w:val="007D3570"/>
    <w:rsid w:val="007D35C7"/>
    <w:rsid w:val="007D35F3"/>
    <w:rsid w:val="007D3643"/>
    <w:rsid w:val="007D3828"/>
    <w:rsid w:val="007D38CA"/>
    <w:rsid w:val="007D3917"/>
    <w:rsid w:val="007D3926"/>
    <w:rsid w:val="007D3ADA"/>
    <w:rsid w:val="007D3AF2"/>
    <w:rsid w:val="007D3B70"/>
    <w:rsid w:val="007D3CA8"/>
    <w:rsid w:val="007D3D79"/>
    <w:rsid w:val="007D3D9D"/>
    <w:rsid w:val="007D3DF0"/>
    <w:rsid w:val="007D3E08"/>
    <w:rsid w:val="007D3E10"/>
    <w:rsid w:val="007D3FE7"/>
    <w:rsid w:val="007D404B"/>
    <w:rsid w:val="007D4078"/>
    <w:rsid w:val="007D4189"/>
    <w:rsid w:val="007D4190"/>
    <w:rsid w:val="007D4199"/>
    <w:rsid w:val="007D4396"/>
    <w:rsid w:val="007D43E7"/>
    <w:rsid w:val="007D448F"/>
    <w:rsid w:val="007D4570"/>
    <w:rsid w:val="007D45F3"/>
    <w:rsid w:val="007D45F7"/>
    <w:rsid w:val="007D4634"/>
    <w:rsid w:val="007D464F"/>
    <w:rsid w:val="007D46CC"/>
    <w:rsid w:val="007D4785"/>
    <w:rsid w:val="007D4818"/>
    <w:rsid w:val="007D48F4"/>
    <w:rsid w:val="007D49BD"/>
    <w:rsid w:val="007D4A10"/>
    <w:rsid w:val="007D4AF0"/>
    <w:rsid w:val="007D4B3F"/>
    <w:rsid w:val="007D4B48"/>
    <w:rsid w:val="007D4BA9"/>
    <w:rsid w:val="007D4BB4"/>
    <w:rsid w:val="007D4BBF"/>
    <w:rsid w:val="007D4BF4"/>
    <w:rsid w:val="007D4C31"/>
    <w:rsid w:val="007D4C41"/>
    <w:rsid w:val="007D4C4B"/>
    <w:rsid w:val="007D4C84"/>
    <w:rsid w:val="007D4DEA"/>
    <w:rsid w:val="007D4E80"/>
    <w:rsid w:val="007D4E86"/>
    <w:rsid w:val="007D4E9D"/>
    <w:rsid w:val="007D4EEF"/>
    <w:rsid w:val="007D4F21"/>
    <w:rsid w:val="007D4F47"/>
    <w:rsid w:val="007D4F61"/>
    <w:rsid w:val="007D5048"/>
    <w:rsid w:val="007D50CF"/>
    <w:rsid w:val="007D51EE"/>
    <w:rsid w:val="007D5376"/>
    <w:rsid w:val="007D5453"/>
    <w:rsid w:val="007D548D"/>
    <w:rsid w:val="007D5493"/>
    <w:rsid w:val="007D54E7"/>
    <w:rsid w:val="007D5518"/>
    <w:rsid w:val="007D5558"/>
    <w:rsid w:val="007D55B8"/>
    <w:rsid w:val="007D55E3"/>
    <w:rsid w:val="007D5666"/>
    <w:rsid w:val="007D568E"/>
    <w:rsid w:val="007D576E"/>
    <w:rsid w:val="007D5783"/>
    <w:rsid w:val="007D57EF"/>
    <w:rsid w:val="007D5948"/>
    <w:rsid w:val="007D59F2"/>
    <w:rsid w:val="007D59FC"/>
    <w:rsid w:val="007D5B00"/>
    <w:rsid w:val="007D5BD2"/>
    <w:rsid w:val="007D5C6E"/>
    <w:rsid w:val="007D5D20"/>
    <w:rsid w:val="007D5D27"/>
    <w:rsid w:val="007D5D8B"/>
    <w:rsid w:val="007D5E74"/>
    <w:rsid w:val="007D5EBB"/>
    <w:rsid w:val="007D5F01"/>
    <w:rsid w:val="007D5F87"/>
    <w:rsid w:val="007D5FDE"/>
    <w:rsid w:val="007D602F"/>
    <w:rsid w:val="007D604E"/>
    <w:rsid w:val="007D6193"/>
    <w:rsid w:val="007D61E3"/>
    <w:rsid w:val="007D625F"/>
    <w:rsid w:val="007D6327"/>
    <w:rsid w:val="007D6330"/>
    <w:rsid w:val="007D633D"/>
    <w:rsid w:val="007D6384"/>
    <w:rsid w:val="007D639C"/>
    <w:rsid w:val="007D64DE"/>
    <w:rsid w:val="007D6516"/>
    <w:rsid w:val="007D6568"/>
    <w:rsid w:val="007D6634"/>
    <w:rsid w:val="007D6696"/>
    <w:rsid w:val="007D6706"/>
    <w:rsid w:val="007D67B8"/>
    <w:rsid w:val="007D67EE"/>
    <w:rsid w:val="007D689D"/>
    <w:rsid w:val="007D68D5"/>
    <w:rsid w:val="007D6909"/>
    <w:rsid w:val="007D694B"/>
    <w:rsid w:val="007D695F"/>
    <w:rsid w:val="007D69C1"/>
    <w:rsid w:val="007D6ADE"/>
    <w:rsid w:val="007D6BDC"/>
    <w:rsid w:val="007D6C1D"/>
    <w:rsid w:val="007D6CEF"/>
    <w:rsid w:val="007D6D6C"/>
    <w:rsid w:val="007D6E3E"/>
    <w:rsid w:val="007D6F79"/>
    <w:rsid w:val="007D6F93"/>
    <w:rsid w:val="007D6FA2"/>
    <w:rsid w:val="007D709D"/>
    <w:rsid w:val="007D7117"/>
    <w:rsid w:val="007D712A"/>
    <w:rsid w:val="007D7178"/>
    <w:rsid w:val="007D71C7"/>
    <w:rsid w:val="007D725B"/>
    <w:rsid w:val="007D738F"/>
    <w:rsid w:val="007D73CC"/>
    <w:rsid w:val="007D741E"/>
    <w:rsid w:val="007D74B7"/>
    <w:rsid w:val="007D7544"/>
    <w:rsid w:val="007D7559"/>
    <w:rsid w:val="007D756D"/>
    <w:rsid w:val="007D75EA"/>
    <w:rsid w:val="007D75F9"/>
    <w:rsid w:val="007D76E8"/>
    <w:rsid w:val="007D76FC"/>
    <w:rsid w:val="007D7815"/>
    <w:rsid w:val="007D78F7"/>
    <w:rsid w:val="007D7965"/>
    <w:rsid w:val="007D79CF"/>
    <w:rsid w:val="007D79EE"/>
    <w:rsid w:val="007D79F4"/>
    <w:rsid w:val="007D79FB"/>
    <w:rsid w:val="007D7A5C"/>
    <w:rsid w:val="007D7B2F"/>
    <w:rsid w:val="007D7B39"/>
    <w:rsid w:val="007D7B53"/>
    <w:rsid w:val="007D7C0B"/>
    <w:rsid w:val="007D7C27"/>
    <w:rsid w:val="007D7D3D"/>
    <w:rsid w:val="007D7FE8"/>
    <w:rsid w:val="007D7FEC"/>
    <w:rsid w:val="007E0001"/>
    <w:rsid w:val="007E00C6"/>
    <w:rsid w:val="007E00FB"/>
    <w:rsid w:val="007E01A2"/>
    <w:rsid w:val="007E025E"/>
    <w:rsid w:val="007E02BB"/>
    <w:rsid w:val="007E02F1"/>
    <w:rsid w:val="007E0314"/>
    <w:rsid w:val="007E031B"/>
    <w:rsid w:val="007E0338"/>
    <w:rsid w:val="007E037C"/>
    <w:rsid w:val="007E03C3"/>
    <w:rsid w:val="007E042B"/>
    <w:rsid w:val="007E0489"/>
    <w:rsid w:val="007E0536"/>
    <w:rsid w:val="007E056F"/>
    <w:rsid w:val="007E05B0"/>
    <w:rsid w:val="007E05D9"/>
    <w:rsid w:val="007E06C2"/>
    <w:rsid w:val="007E070D"/>
    <w:rsid w:val="007E0738"/>
    <w:rsid w:val="007E0784"/>
    <w:rsid w:val="007E07B1"/>
    <w:rsid w:val="007E08C3"/>
    <w:rsid w:val="007E091E"/>
    <w:rsid w:val="007E093E"/>
    <w:rsid w:val="007E09B9"/>
    <w:rsid w:val="007E0A60"/>
    <w:rsid w:val="007E0A7A"/>
    <w:rsid w:val="007E0AFA"/>
    <w:rsid w:val="007E0B05"/>
    <w:rsid w:val="007E0B4E"/>
    <w:rsid w:val="007E0B78"/>
    <w:rsid w:val="007E0BEF"/>
    <w:rsid w:val="007E0C12"/>
    <w:rsid w:val="007E0C73"/>
    <w:rsid w:val="007E0CAD"/>
    <w:rsid w:val="007E0D0A"/>
    <w:rsid w:val="007E0D43"/>
    <w:rsid w:val="007E0D52"/>
    <w:rsid w:val="007E0DED"/>
    <w:rsid w:val="007E0E2F"/>
    <w:rsid w:val="007E0E7B"/>
    <w:rsid w:val="007E0F34"/>
    <w:rsid w:val="007E0F43"/>
    <w:rsid w:val="007E1005"/>
    <w:rsid w:val="007E103E"/>
    <w:rsid w:val="007E1088"/>
    <w:rsid w:val="007E10B6"/>
    <w:rsid w:val="007E1109"/>
    <w:rsid w:val="007E1129"/>
    <w:rsid w:val="007E1146"/>
    <w:rsid w:val="007E116C"/>
    <w:rsid w:val="007E126E"/>
    <w:rsid w:val="007E12AE"/>
    <w:rsid w:val="007E138B"/>
    <w:rsid w:val="007E13DF"/>
    <w:rsid w:val="007E13FB"/>
    <w:rsid w:val="007E1413"/>
    <w:rsid w:val="007E142F"/>
    <w:rsid w:val="007E1444"/>
    <w:rsid w:val="007E145C"/>
    <w:rsid w:val="007E1568"/>
    <w:rsid w:val="007E15D0"/>
    <w:rsid w:val="007E1605"/>
    <w:rsid w:val="007E1668"/>
    <w:rsid w:val="007E166B"/>
    <w:rsid w:val="007E1685"/>
    <w:rsid w:val="007E16E3"/>
    <w:rsid w:val="007E179C"/>
    <w:rsid w:val="007E18A5"/>
    <w:rsid w:val="007E18E9"/>
    <w:rsid w:val="007E1955"/>
    <w:rsid w:val="007E1967"/>
    <w:rsid w:val="007E1A18"/>
    <w:rsid w:val="007E1A6E"/>
    <w:rsid w:val="007E1A7B"/>
    <w:rsid w:val="007E1AEB"/>
    <w:rsid w:val="007E1B09"/>
    <w:rsid w:val="007E1B6A"/>
    <w:rsid w:val="007E1BA8"/>
    <w:rsid w:val="007E1C9A"/>
    <w:rsid w:val="007E1CC6"/>
    <w:rsid w:val="007E1CE8"/>
    <w:rsid w:val="007E1D99"/>
    <w:rsid w:val="007E1E37"/>
    <w:rsid w:val="007E1E95"/>
    <w:rsid w:val="007E1ECC"/>
    <w:rsid w:val="007E1F32"/>
    <w:rsid w:val="007E1F5C"/>
    <w:rsid w:val="007E1F5E"/>
    <w:rsid w:val="007E2028"/>
    <w:rsid w:val="007E2090"/>
    <w:rsid w:val="007E2131"/>
    <w:rsid w:val="007E2259"/>
    <w:rsid w:val="007E2287"/>
    <w:rsid w:val="007E2298"/>
    <w:rsid w:val="007E22AA"/>
    <w:rsid w:val="007E2311"/>
    <w:rsid w:val="007E2366"/>
    <w:rsid w:val="007E23A9"/>
    <w:rsid w:val="007E24E3"/>
    <w:rsid w:val="007E2568"/>
    <w:rsid w:val="007E25A9"/>
    <w:rsid w:val="007E25C8"/>
    <w:rsid w:val="007E27C5"/>
    <w:rsid w:val="007E27E6"/>
    <w:rsid w:val="007E2813"/>
    <w:rsid w:val="007E284C"/>
    <w:rsid w:val="007E288D"/>
    <w:rsid w:val="007E292B"/>
    <w:rsid w:val="007E2939"/>
    <w:rsid w:val="007E2946"/>
    <w:rsid w:val="007E2984"/>
    <w:rsid w:val="007E2A2E"/>
    <w:rsid w:val="007E2AAE"/>
    <w:rsid w:val="007E2B12"/>
    <w:rsid w:val="007E2B45"/>
    <w:rsid w:val="007E2C69"/>
    <w:rsid w:val="007E2CE6"/>
    <w:rsid w:val="007E2D9F"/>
    <w:rsid w:val="007E2DC0"/>
    <w:rsid w:val="007E2E94"/>
    <w:rsid w:val="007E2EF6"/>
    <w:rsid w:val="007E300E"/>
    <w:rsid w:val="007E3028"/>
    <w:rsid w:val="007E3098"/>
    <w:rsid w:val="007E30D3"/>
    <w:rsid w:val="007E313D"/>
    <w:rsid w:val="007E3178"/>
    <w:rsid w:val="007E3264"/>
    <w:rsid w:val="007E357E"/>
    <w:rsid w:val="007E3585"/>
    <w:rsid w:val="007E3631"/>
    <w:rsid w:val="007E3841"/>
    <w:rsid w:val="007E385B"/>
    <w:rsid w:val="007E38C7"/>
    <w:rsid w:val="007E398F"/>
    <w:rsid w:val="007E39CB"/>
    <w:rsid w:val="007E39D3"/>
    <w:rsid w:val="007E3A26"/>
    <w:rsid w:val="007E3B0A"/>
    <w:rsid w:val="007E3C2B"/>
    <w:rsid w:val="007E3DBE"/>
    <w:rsid w:val="007E3F3D"/>
    <w:rsid w:val="007E4015"/>
    <w:rsid w:val="007E40AE"/>
    <w:rsid w:val="007E4120"/>
    <w:rsid w:val="007E415B"/>
    <w:rsid w:val="007E416B"/>
    <w:rsid w:val="007E41FC"/>
    <w:rsid w:val="007E425C"/>
    <w:rsid w:val="007E4346"/>
    <w:rsid w:val="007E435C"/>
    <w:rsid w:val="007E43D7"/>
    <w:rsid w:val="007E4436"/>
    <w:rsid w:val="007E445C"/>
    <w:rsid w:val="007E449B"/>
    <w:rsid w:val="007E45B9"/>
    <w:rsid w:val="007E45C7"/>
    <w:rsid w:val="007E45D9"/>
    <w:rsid w:val="007E4622"/>
    <w:rsid w:val="007E46A7"/>
    <w:rsid w:val="007E4728"/>
    <w:rsid w:val="007E4771"/>
    <w:rsid w:val="007E4792"/>
    <w:rsid w:val="007E47BE"/>
    <w:rsid w:val="007E47C7"/>
    <w:rsid w:val="007E4870"/>
    <w:rsid w:val="007E494F"/>
    <w:rsid w:val="007E4977"/>
    <w:rsid w:val="007E4A29"/>
    <w:rsid w:val="007E4A55"/>
    <w:rsid w:val="007E4B0A"/>
    <w:rsid w:val="007E4C8C"/>
    <w:rsid w:val="007E4D1F"/>
    <w:rsid w:val="007E4D3E"/>
    <w:rsid w:val="007E4DD6"/>
    <w:rsid w:val="007E4E15"/>
    <w:rsid w:val="007E4F9F"/>
    <w:rsid w:val="007E504D"/>
    <w:rsid w:val="007E5065"/>
    <w:rsid w:val="007E5114"/>
    <w:rsid w:val="007E5119"/>
    <w:rsid w:val="007E5207"/>
    <w:rsid w:val="007E5221"/>
    <w:rsid w:val="007E524E"/>
    <w:rsid w:val="007E5491"/>
    <w:rsid w:val="007E555E"/>
    <w:rsid w:val="007E55AA"/>
    <w:rsid w:val="007E55D0"/>
    <w:rsid w:val="007E5604"/>
    <w:rsid w:val="007E5640"/>
    <w:rsid w:val="007E5694"/>
    <w:rsid w:val="007E56FF"/>
    <w:rsid w:val="007E573D"/>
    <w:rsid w:val="007E57DB"/>
    <w:rsid w:val="007E5806"/>
    <w:rsid w:val="007E5877"/>
    <w:rsid w:val="007E591C"/>
    <w:rsid w:val="007E5A77"/>
    <w:rsid w:val="007E5A8C"/>
    <w:rsid w:val="007E5B03"/>
    <w:rsid w:val="007E5B8A"/>
    <w:rsid w:val="007E5BAD"/>
    <w:rsid w:val="007E5BF4"/>
    <w:rsid w:val="007E5C30"/>
    <w:rsid w:val="007E5CC7"/>
    <w:rsid w:val="007E5D62"/>
    <w:rsid w:val="007E5D9E"/>
    <w:rsid w:val="007E5E08"/>
    <w:rsid w:val="007E5E0D"/>
    <w:rsid w:val="007E5EE4"/>
    <w:rsid w:val="007E5F0E"/>
    <w:rsid w:val="007E5F1A"/>
    <w:rsid w:val="007E5F33"/>
    <w:rsid w:val="007E6041"/>
    <w:rsid w:val="007E6051"/>
    <w:rsid w:val="007E6065"/>
    <w:rsid w:val="007E6072"/>
    <w:rsid w:val="007E6197"/>
    <w:rsid w:val="007E61B2"/>
    <w:rsid w:val="007E6204"/>
    <w:rsid w:val="007E623F"/>
    <w:rsid w:val="007E6362"/>
    <w:rsid w:val="007E63B4"/>
    <w:rsid w:val="007E642F"/>
    <w:rsid w:val="007E6535"/>
    <w:rsid w:val="007E6564"/>
    <w:rsid w:val="007E6641"/>
    <w:rsid w:val="007E666A"/>
    <w:rsid w:val="007E668D"/>
    <w:rsid w:val="007E671E"/>
    <w:rsid w:val="007E686C"/>
    <w:rsid w:val="007E6891"/>
    <w:rsid w:val="007E68EB"/>
    <w:rsid w:val="007E6A53"/>
    <w:rsid w:val="007E6A8C"/>
    <w:rsid w:val="007E6C3C"/>
    <w:rsid w:val="007E6CB0"/>
    <w:rsid w:val="007E6CBE"/>
    <w:rsid w:val="007E6CF0"/>
    <w:rsid w:val="007E6DB1"/>
    <w:rsid w:val="007E6DDF"/>
    <w:rsid w:val="007E6DF8"/>
    <w:rsid w:val="007E6F7F"/>
    <w:rsid w:val="007E6FF5"/>
    <w:rsid w:val="007E7046"/>
    <w:rsid w:val="007E7166"/>
    <w:rsid w:val="007E7229"/>
    <w:rsid w:val="007E7374"/>
    <w:rsid w:val="007E73CF"/>
    <w:rsid w:val="007E741C"/>
    <w:rsid w:val="007E7422"/>
    <w:rsid w:val="007E748B"/>
    <w:rsid w:val="007E762B"/>
    <w:rsid w:val="007E76F8"/>
    <w:rsid w:val="007E77C6"/>
    <w:rsid w:val="007E77FC"/>
    <w:rsid w:val="007E7835"/>
    <w:rsid w:val="007E78BC"/>
    <w:rsid w:val="007E78C5"/>
    <w:rsid w:val="007E7923"/>
    <w:rsid w:val="007E7995"/>
    <w:rsid w:val="007E7A02"/>
    <w:rsid w:val="007E7A0B"/>
    <w:rsid w:val="007E7A31"/>
    <w:rsid w:val="007E7B30"/>
    <w:rsid w:val="007E7B52"/>
    <w:rsid w:val="007E7B67"/>
    <w:rsid w:val="007E7B9B"/>
    <w:rsid w:val="007E7BCF"/>
    <w:rsid w:val="007E7BD2"/>
    <w:rsid w:val="007E7C48"/>
    <w:rsid w:val="007E7D58"/>
    <w:rsid w:val="007E7D70"/>
    <w:rsid w:val="007E7DC7"/>
    <w:rsid w:val="007E7F16"/>
    <w:rsid w:val="007E7F2C"/>
    <w:rsid w:val="007F0001"/>
    <w:rsid w:val="007F015A"/>
    <w:rsid w:val="007F01CA"/>
    <w:rsid w:val="007F02CA"/>
    <w:rsid w:val="007F02FB"/>
    <w:rsid w:val="007F0305"/>
    <w:rsid w:val="007F0386"/>
    <w:rsid w:val="007F0388"/>
    <w:rsid w:val="007F0393"/>
    <w:rsid w:val="007F0416"/>
    <w:rsid w:val="007F04F0"/>
    <w:rsid w:val="007F05C3"/>
    <w:rsid w:val="007F05E6"/>
    <w:rsid w:val="007F0632"/>
    <w:rsid w:val="007F0661"/>
    <w:rsid w:val="007F07F4"/>
    <w:rsid w:val="007F0808"/>
    <w:rsid w:val="007F085F"/>
    <w:rsid w:val="007F08C1"/>
    <w:rsid w:val="007F0920"/>
    <w:rsid w:val="007F09CB"/>
    <w:rsid w:val="007F09F1"/>
    <w:rsid w:val="007F09FB"/>
    <w:rsid w:val="007F0B5B"/>
    <w:rsid w:val="007F0B7F"/>
    <w:rsid w:val="007F0C8E"/>
    <w:rsid w:val="007F0D8E"/>
    <w:rsid w:val="007F0E9E"/>
    <w:rsid w:val="007F0EB4"/>
    <w:rsid w:val="007F0F0A"/>
    <w:rsid w:val="007F1022"/>
    <w:rsid w:val="007F10C4"/>
    <w:rsid w:val="007F13CD"/>
    <w:rsid w:val="007F13DA"/>
    <w:rsid w:val="007F14F1"/>
    <w:rsid w:val="007F157F"/>
    <w:rsid w:val="007F165B"/>
    <w:rsid w:val="007F169A"/>
    <w:rsid w:val="007F16B9"/>
    <w:rsid w:val="007F177C"/>
    <w:rsid w:val="007F17C9"/>
    <w:rsid w:val="007F182A"/>
    <w:rsid w:val="007F183A"/>
    <w:rsid w:val="007F1941"/>
    <w:rsid w:val="007F198D"/>
    <w:rsid w:val="007F1A08"/>
    <w:rsid w:val="007F1B5B"/>
    <w:rsid w:val="007F1C00"/>
    <w:rsid w:val="007F1C2D"/>
    <w:rsid w:val="007F1CCB"/>
    <w:rsid w:val="007F1D95"/>
    <w:rsid w:val="007F1DB3"/>
    <w:rsid w:val="007F1EBE"/>
    <w:rsid w:val="007F1EC4"/>
    <w:rsid w:val="007F1F7C"/>
    <w:rsid w:val="007F2078"/>
    <w:rsid w:val="007F220E"/>
    <w:rsid w:val="007F222E"/>
    <w:rsid w:val="007F22C0"/>
    <w:rsid w:val="007F2300"/>
    <w:rsid w:val="007F246B"/>
    <w:rsid w:val="007F2490"/>
    <w:rsid w:val="007F2552"/>
    <w:rsid w:val="007F2574"/>
    <w:rsid w:val="007F257E"/>
    <w:rsid w:val="007F2621"/>
    <w:rsid w:val="007F2641"/>
    <w:rsid w:val="007F2668"/>
    <w:rsid w:val="007F26CC"/>
    <w:rsid w:val="007F2825"/>
    <w:rsid w:val="007F2872"/>
    <w:rsid w:val="007F289C"/>
    <w:rsid w:val="007F291E"/>
    <w:rsid w:val="007F2983"/>
    <w:rsid w:val="007F29BA"/>
    <w:rsid w:val="007F29EC"/>
    <w:rsid w:val="007F2A0E"/>
    <w:rsid w:val="007F2A19"/>
    <w:rsid w:val="007F2A59"/>
    <w:rsid w:val="007F2A5B"/>
    <w:rsid w:val="007F2A82"/>
    <w:rsid w:val="007F2AC6"/>
    <w:rsid w:val="007F2B54"/>
    <w:rsid w:val="007F2BA8"/>
    <w:rsid w:val="007F2D4B"/>
    <w:rsid w:val="007F2D7E"/>
    <w:rsid w:val="007F2E0B"/>
    <w:rsid w:val="007F2FAC"/>
    <w:rsid w:val="007F2FD1"/>
    <w:rsid w:val="007F30FC"/>
    <w:rsid w:val="007F3137"/>
    <w:rsid w:val="007F3166"/>
    <w:rsid w:val="007F31D1"/>
    <w:rsid w:val="007F3230"/>
    <w:rsid w:val="007F329B"/>
    <w:rsid w:val="007F3337"/>
    <w:rsid w:val="007F33EB"/>
    <w:rsid w:val="007F33F6"/>
    <w:rsid w:val="007F342A"/>
    <w:rsid w:val="007F3544"/>
    <w:rsid w:val="007F3567"/>
    <w:rsid w:val="007F3573"/>
    <w:rsid w:val="007F361A"/>
    <w:rsid w:val="007F36E5"/>
    <w:rsid w:val="007F37AD"/>
    <w:rsid w:val="007F37C5"/>
    <w:rsid w:val="007F3812"/>
    <w:rsid w:val="007F392F"/>
    <w:rsid w:val="007F3983"/>
    <w:rsid w:val="007F3998"/>
    <w:rsid w:val="007F3A1A"/>
    <w:rsid w:val="007F3A2C"/>
    <w:rsid w:val="007F3A42"/>
    <w:rsid w:val="007F3A81"/>
    <w:rsid w:val="007F3C14"/>
    <w:rsid w:val="007F3C72"/>
    <w:rsid w:val="007F3CCA"/>
    <w:rsid w:val="007F3D95"/>
    <w:rsid w:val="007F3E98"/>
    <w:rsid w:val="007F3EBD"/>
    <w:rsid w:val="007F4028"/>
    <w:rsid w:val="007F40DC"/>
    <w:rsid w:val="007F40FC"/>
    <w:rsid w:val="007F416D"/>
    <w:rsid w:val="007F426A"/>
    <w:rsid w:val="007F4285"/>
    <w:rsid w:val="007F42BA"/>
    <w:rsid w:val="007F4355"/>
    <w:rsid w:val="007F441B"/>
    <w:rsid w:val="007F4458"/>
    <w:rsid w:val="007F44CF"/>
    <w:rsid w:val="007F4519"/>
    <w:rsid w:val="007F451B"/>
    <w:rsid w:val="007F4543"/>
    <w:rsid w:val="007F45BF"/>
    <w:rsid w:val="007F45DC"/>
    <w:rsid w:val="007F46E9"/>
    <w:rsid w:val="007F4707"/>
    <w:rsid w:val="007F481F"/>
    <w:rsid w:val="007F48AB"/>
    <w:rsid w:val="007F48EF"/>
    <w:rsid w:val="007F4A5C"/>
    <w:rsid w:val="007F4B7D"/>
    <w:rsid w:val="007F4CD3"/>
    <w:rsid w:val="007F4D29"/>
    <w:rsid w:val="007F4D64"/>
    <w:rsid w:val="007F4DEF"/>
    <w:rsid w:val="007F4E3D"/>
    <w:rsid w:val="007F4FA7"/>
    <w:rsid w:val="007F4FAE"/>
    <w:rsid w:val="007F503E"/>
    <w:rsid w:val="007F507B"/>
    <w:rsid w:val="007F5080"/>
    <w:rsid w:val="007F509D"/>
    <w:rsid w:val="007F50CE"/>
    <w:rsid w:val="007F50D8"/>
    <w:rsid w:val="007F50F8"/>
    <w:rsid w:val="007F521D"/>
    <w:rsid w:val="007F5224"/>
    <w:rsid w:val="007F522B"/>
    <w:rsid w:val="007F522E"/>
    <w:rsid w:val="007F52C6"/>
    <w:rsid w:val="007F5318"/>
    <w:rsid w:val="007F5380"/>
    <w:rsid w:val="007F53A9"/>
    <w:rsid w:val="007F53E0"/>
    <w:rsid w:val="007F53EB"/>
    <w:rsid w:val="007F551B"/>
    <w:rsid w:val="007F55B6"/>
    <w:rsid w:val="007F55C9"/>
    <w:rsid w:val="007F55F0"/>
    <w:rsid w:val="007F5606"/>
    <w:rsid w:val="007F571C"/>
    <w:rsid w:val="007F57C1"/>
    <w:rsid w:val="007F57CD"/>
    <w:rsid w:val="007F582D"/>
    <w:rsid w:val="007F58A2"/>
    <w:rsid w:val="007F58D8"/>
    <w:rsid w:val="007F590B"/>
    <w:rsid w:val="007F5978"/>
    <w:rsid w:val="007F5982"/>
    <w:rsid w:val="007F5986"/>
    <w:rsid w:val="007F59C9"/>
    <w:rsid w:val="007F59D0"/>
    <w:rsid w:val="007F59F1"/>
    <w:rsid w:val="007F5A4F"/>
    <w:rsid w:val="007F5B35"/>
    <w:rsid w:val="007F5C5E"/>
    <w:rsid w:val="007F5DE7"/>
    <w:rsid w:val="007F5E94"/>
    <w:rsid w:val="007F5ED8"/>
    <w:rsid w:val="007F5F1E"/>
    <w:rsid w:val="007F5F3D"/>
    <w:rsid w:val="007F5F5D"/>
    <w:rsid w:val="007F603C"/>
    <w:rsid w:val="007F6057"/>
    <w:rsid w:val="007F60C6"/>
    <w:rsid w:val="007F6117"/>
    <w:rsid w:val="007F616C"/>
    <w:rsid w:val="007F621D"/>
    <w:rsid w:val="007F62A7"/>
    <w:rsid w:val="007F62AF"/>
    <w:rsid w:val="007F634E"/>
    <w:rsid w:val="007F638B"/>
    <w:rsid w:val="007F63CC"/>
    <w:rsid w:val="007F6415"/>
    <w:rsid w:val="007F6499"/>
    <w:rsid w:val="007F670A"/>
    <w:rsid w:val="007F676B"/>
    <w:rsid w:val="007F67D6"/>
    <w:rsid w:val="007F68DA"/>
    <w:rsid w:val="007F68F3"/>
    <w:rsid w:val="007F6911"/>
    <w:rsid w:val="007F692A"/>
    <w:rsid w:val="007F693F"/>
    <w:rsid w:val="007F6A9D"/>
    <w:rsid w:val="007F6B6C"/>
    <w:rsid w:val="007F6B8E"/>
    <w:rsid w:val="007F6DA7"/>
    <w:rsid w:val="007F6DB4"/>
    <w:rsid w:val="007F6DDA"/>
    <w:rsid w:val="007F6E97"/>
    <w:rsid w:val="007F6ED7"/>
    <w:rsid w:val="007F6F61"/>
    <w:rsid w:val="007F6FAB"/>
    <w:rsid w:val="007F6FAD"/>
    <w:rsid w:val="007F703B"/>
    <w:rsid w:val="007F7070"/>
    <w:rsid w:val="007F7087"/>
    <w:rsid w:val="007F7097"/>
    <w:rsid w:val="007F71E3"/>
    <w:rsid w:val="007F71F4"/>
    <w:rsid w:val="007F7232"/>
    <w:rsid w:val="007F7305"/>
    <w:rsid w:val="007F7313"/>
    <w:rsid w:val="007F7401"/>
    <w:rsid w:val="007F74B1"/>
    <w:rsid w:val="007F753B"/>
    <w:rsid w:val="007F7594"/>
    <w:rsid w:val="007F75F8"/>
    <w:rsid w:val="007F76DD"/>
    <w:rsid w:val="007F7797"/>
    <w:rsid w:val="007F7805"/>
    <w:rsid w:val="007F783F"/>
    <w:rsid w:val="007F78E2"/>
    <w:rsid w:val="007F7908"/>
    <w:rsid w:val="007F796E"/>
    <w:rsid w:val="007F7A41"/>
    <w:rsid w:val="007F7BD1"/>
    <w:rsid w:val="007F7C8E"/>
    <w:rsid w:val="007F7D2F"/>
    <w:rsid w:val="007F7D7E"/>
    <w:rsid w:val="007F7D9A"/>
    <w:rsid w:val="007F7DD7"/>
    <w:rsid w:val="007F7DFC"/>
    <w:rsid w:val="007F7E16"/>
    <w:rsid w:val="007F7E9A"/>
    <w:rsid w:val="007F7FB9"/>
    <w:rsid w:val="00800067"/>
    <w:rsid w:val="00800148"/>
    <w:rsid w:val="0080014C"/>
    <w:rsid w:val="00800240"/>
    <w:rsid w:val="00800252"/>
    <w:rsid w:val="00800330"/>
    <w:rsid w:val="00800351"/>
    <w:rsid w:val="00800357"/>
    <w:rsid w:val="00800560"/>
    <w:rsid w:val="00800659"/>
    <w:rsid w:val="008006E1"/>
    <w:rsid w:val="00800712"/>
    <w:rsid w:val="0080071B"/>
    <w:rsid w:val="008007AB"/>
    <w:rsid w:val="00800878"/>
    <w:rsid w:val="0080087E"/>
    <w:rsid w:val="008009EE"/>
    <w:rsid w:val="00800A57"/>
    <w:rsid w:val="00800A5B"/>
    <w:rsid w:val="00800A82"/>
    <w:rsid w:val="00800B08"/>
    <w:rsid w:val="00800B46"/>
    <w:rsid w:val="00800B75"/>
    <w:rsid w:val="00800B7F"/>
    <w:rsid w:val="00800C04"/>
    <w:rsid w:val="00800E53"/>
    <w:rsid w:val="00800EFC"/>
    <w:rsid w:val="00801041"/>
    <w:rsid w:val="008010A5"/>
    <w:rsid w:val="008011B2"/>
    <w:rsid w:val="00801282"/>
    <w:rsid w:val="008012AC"/>
    <w:rsid w:val="008012EE"/>
    <w:rsid w:val="0080131F"/>
    <w:rsid w:val="00801327"/>
    <w:rsid w:val="00801358"/>
    <w:rsid w:val="00801360"/>
    <w:rsid w:val="008013B8"/>
    <w:rsid w:val="0080140C"/>
    <w:rsid w:val="00801548"/>
    <w:rsid w:val="0080161F"/>
    <w:rsid w:val="008016E1"/>
    <w:rsid w:val="008017DF"/>
    <w:rsid w:val="008018A6"/>
    <w:rsid w:val="00801B00"/>
    <w:rsid w:val="00801B6B"/>
    <w:rsid w:val="00801CEF"/>
    <w:rsid w:val="00801D21"/>
    <w:rsid w:val="00801DF0"/>
    <w:rsid w:val="00801E8F"/>
    <w:rsid w:val="00801EF7"/>
    <w:rsid w:val="00801F43"/>
    <w:rsid w:val="00801F52"/>
    <w:rsid w:val="00801FA7"/>
    <w:rsid w:val="00801FD8"/>
    <w:rsid w:val="00802050"/>
    <w:rsid w:val="00802070"/>
    <w:rsid w:val="00802074"/>
    <w:rsid w:val="008020B5"/>
    <w:rsid w:val="0080224E"/>
    <w:rsid w:val="00802328"/>
    <w:rsid w:val="0080242E"/>
    <w:rsid w:val="0080245B"/>
    <w:rsid w:val="008024B0"/>
    <w:rsid w:val="008024E5"/>
    <w:rsid w:val="008026CC"/>
    <w:rsid w:val="008026ED"/>
    <w:rsid w:val="00802762"/>
    <w:rsid w:val="008028D8"/>
    <w:rsid w:val="00802946"/>
    <w:rsid w:val="00802990"/>
    <w:rsid w:val="00802A9A"/>
    <w:rsid w:val="00802AD6"/>
    <w:rsid w:val="00802C5E"/>
    <w:rsid w:val="00802C8F"/>
    <w:rsid w:val="00802DBC"/>
    <w:rsid w:val="00802E23"/>
    <w:rsid w:val="00802E5C"/>
    <w:rsid w:val="00802ECE"/>
    <w:rsid w:val="00802EDE"/>
    <w:rsid w:val="00802F06"/>
    <w:rsid w:val="00802F95"/>
    <w:rsid w:val="0080301E"/>
    <w:rsid w:val="00803024"/>
    <w:rsid w:val="00803065"/>
    <w:rsid w:val="00803220"/>
    <w:rsid w:val="00803257"/>
    <w:rsid w:val="008032AF"/>
    <w:rsid w:val="00803318"/>
    <w:rsid w:val="0080332E"/>
    <w:rsid w:val="00803375"/>
    <w:rsid w:val="0080338E"/>
    <w:rsid w:val="008033A5"/>
    <w:rsid w:val="008033EE"/>
    <w:rsid w:val="008033FB"/>
    <w:rsid w:val="00803400"/>
    <w:rsid w:val="0080356D"/>
    <w:rsid w:val="0080356E"/>
    <w:rsid w:val="008035C8"/>
    <w:rsid w:val="00803718"/>
    <w:rsid w:val="008037D5"/>
    <w:rsid w:val="0080393D"/>
    <w:rsid w:val="00803B1C"/>
    <w:rsid w:val="00803B74"/>
    <w:rsid w:val="00803D84"/>
    <w:rsid w:val="00803DA5"/>
    <w:rsid w:val="00803DEE"/>
    <w:rsid w:val="00803E90"/>
    <w:rsid w:val="00803E99"/>
    <w:rsid w:val="00803F24"/>
    <w:rsid w:val="00803FA4"/>
    <w:rsid w:val="00803FE1"/>
    <w:rsid w:val="00803FFF"/>
    <w:rsid w:val="00804171"/>
    <w:rsid w:val="008041F2"/>
    <w:rsid w:val="008041FF"/>
    <w:rsid w:val="00804225"/>
    <w:rsid w:val="0080432C"/>
    <w:rsid w:val="00804331"/>
    <w:rsid w:val="008043BC"/>
    <w:rsid w:val="00804453"/>
    <w:rsid w:val="00804454"/>
    <w:rsid w:val="0080451A"/>
    <w:rsid w:val="0080452C"/>
    <w:rsid w:val="008045EB"/>
    <w:rsid w:val="008045ED"/>
    <w:rsid w:val="00804662"/>
    <w:rsid w:val="00804671"/>
    <w:rsid w:val="00804679"/>
    <w:rsid w:val="008046AA"/>
    <w:rsid w:val="008047F7"/>
    <w:rsid w:val="0080483E"/>
    <w:rsid w:val="008048B0"/>
    <w:rsid w:val="008048DB"/>
    <w:rsid w:val="00804927"/>
    <w:rsid w:val="00804965"/>
    <w:rsid w:val="00804ABD"/>
    <w:rsid w:val="00804AF0"/>
    <w:rsid w:val="00804B1F"/>
    <w:rsid w:val="00804B2C"/>
    <w:rsid w:val="00804C23"/>
    <w:rsid w:val="00804C98"/>
    <w:rsid w:val="00804CE0"/>
    <w:rsid w:val="00804D01"/>
    <w:rsid w:val="00804D69"/>
    <w:rsid w:val="00804DE7"/>
    <w:rsid w:val="00804E0C"/>
    <w:rsid w:val="00804ECE"/>
    <w:rsid w:val="00804F6A"/>
    <w:rsid w:val="00805092"/>
    <w:rsid w:val="008050E5"/>
    <w:rsid w:val="008051E9"/>
    <w:rsid w:val="0080521E"/>
    <w:rsid w:val="0080527B"/>
    <w:rsid w:val="008052D6"/>
    <w:rsid w:val="00805404"/>
    <w:rsid w:val="008054D3"/>
    <w:rsid w:val="008054EA"/>
    <w:rsid w:val="00805529"/>
    <w:rsid w:val="0080553F"/>
    <w:rsid w:val="00805602"/>
    <w:rsid w:val="008056DF"/>
    <w:rsid w:val="00805748"/>
    <w:rsid w:val="008059BC"/>
    <w:rsid w:val="008059C2"/>
    <w:rsid w:val="00805A1C"/>
    <w:rsid w:val="00805A7F"/>
    <w:rsid w:val="00805B1F"/>
    <w:rsid w:val="00805BFA"/>
    <w:rsid w:val="00805C7B"/>
    <w:rsid w:val="00805CBA"/>
    <w:rsid w:val="00805CD2"/>
    <w:rsid w:val="00805D50"/>
    <w:rsid w:val="00805EE6"/>
    <w:rsid w:val="00805F22"/>
    <w:rsid w:val="00805F9C"/>
    <w:rsid w:val="00805FEF"/>
    <w:rsid w:val="00806067"/>
    <w:rsid w:val="008060ED"/>
    <w:rsid w:val="0080613B"/>
    <w:rsid w:val="008061B1"/>
    <w:rsid w:val="008062EE"/>
    <w:rsid w:val="008062FA"/>
    <w:rsid w:val="00806373"/>
    <w:rsid w:val="008063EC"/>
    <w:rsid w:val="0080644D"/>
    <w:rsid w:val="008064E3"/>
    <w:rsid w:val="00806519"/>
    <w:rsid w:val="008065C0"/>
    <w:rsid w:val="0080665F"/>
    <w:rsid w:val="00806740"/>
    <w:rsid w:val="00806762"/>
    <w:rsid w:val="00806798"/>
    <w:rsid w:val="008067AA"/>
    <w:rsid w:val="008067E3"/>
    <w:rsid w:val="0080680B"/>
    <w:rsid w:val="008068FC"/>
    <w:rsid w:val="00806992"/>
    <w:rsid w:val="00806A45"/>
    <w:rsid w:val="00806AEF"/>
    <w:rsid w:val="00806B24"/>
    <w:rsid w:val="00806BB4"/>
    <w:rsid w:val="00806BF0"/>
    <w:rsid w:val="00806CB3"/>
    <w:rsid w:val="00806DA0"/>
    <w:rsid w:val="00806E06"/>
    <w:rsid w:val="00806E3B"/>
    <w:rsid w:val="00806E6B"/>
    <w:rsid w:val="00806FF4"/>
    <w:rsid w:val="00807028"/>
    <w:rsid w:val="0080723D"/>
    <w:rsid w:val="00807297"/>
    <w:rsid w:val="008072A5"/>
    <w:rsid w:val="00807347"/>
    <w:rsid w:val="0080739C"/>
    <w:rsid w:val="008073C2"/>
    <w:rsid w:val="00807438"/>
    <w:rsid w:val="00807527"/>
    <w:rsid w:val="0080761D"/>
    <w:rsid w:val="008076D8"/>
    <w:rsid w:val="00807703"/>
    <w:rsid w:val="00807842"/>
    <w:rsid w:val="00807868"/>
    <w:rsid w:val="008078A6"/>
    <w:rsid w:val="008078FC"/>
    <w:rsid w:val="0080796D"/>
    <w:rsid w:val="008079FC"/>
    <w:rsid w:val="00807A10"/>
    <w:rsid w:val="00807AD5"/>
    <w:rsid w:val="00807B1B"/>
    <w:rsid w:val="00807B8F"/>
    <w:rsid w:val="00807BC1"/>
    <w:rsid w:val="00807BD3"/>
    <w:rsid w:val="00807C52"/>
    <w:rsid w:val="00807C5B"/>
    <w:rsid w:val="00807CB1"/>
    <w:rsid w:val="00807DFA"/>
    <w:rsid w:val="00807F14"/>
    <w:rsid w:val="0081004C"/>
    <w:rsid w:val="00810056"/>
    <w:rsid w:val="00810070"/>
    <w:rsid w:val="008100D8"/>
    <w:rsid w:val="00810121"/>
    <w:rsid w:val="00810143"/>
    <w:rsid w:val="008101AB"/>
    <w:rsid w:val="008102AD"/>
    <w:rsid w:val="0081030E"/>
    <w:rsid w:val="0081034F"/>
    <w:rsid w:val="008103D1"/>
    <w:rsid w:val="008104A2"/>
    <w:rsid w:val="00810567"/>
    <w:rsid w:val="00810637"/>
    <w:rsid w:val="00810639"/>
    <w:rsid w:val="008107D8"/>
    <w:rsid w:val="00810865"/>
    <w:rsid w:val="0081087F"/>
    <w:rsid w:val="008108E0"/>
    <w:rsid w:val="0081091F"/>
    <w:rsid w:val="00810983"/>
    <w:rsid w:val="008109B3"/>
    <w:rsid w:val="00810AF4"/>
    <w:rsid w:val="00810B07"/>
    <w:rsid w:val="00810B18"/>
    <w:rsid w:val="00810B45"/>
    <w:rsid w:val="00810B9F"/>
    <w:rsid w:val="00810C47"/>
    <w:rsid w:val="00810C75"/>
    <w:rsid w:val="00810CC4"/>
    <w:rsid w:val="00810CC9"/>
    <w:rsid w:val="00810D2F"/>
    <w:rsid w:val="00810E3C"/>
    <w:rsid w:val="00810E85"/>
    <w:rsid w:val="00810F42"/>
    <w:rsid w:val="00810F51"/>
    <w:rsid w:val="00810FDC"/>
    <w:rsid w:val="008111BC"/>
    <w:rsid w:val="00811219"/>
    <w:rsid w:val="0081121C"/>
    <w:rsid w:val="008114A6"/>
    <w:rsid w:val="00811541"/>
    <w:rsid w:val="008116B9"/>
    <w:rsid w:val="00811727"/>
    <w:rsid w:val="008117E9"/>
    <w:rsid w:val="008117FD"/>
    <w:rsid w:val="008118B1"/>
    <w:rsid w:val="008118B5"/>
    <w:rsid w:val="00811924"/>
    <w:rsid w:val="008119EE"/>
    <w:rsid w:val="00811AFB"/>
    <w:rsid w:val="00811C94"/>
    <w:rsid w:val="00811D19"/>
    <w:rsid w:val="00811D4F"/>
    <w:rsid w:val="00811DF3"/>
    <w:rsid w:val="00811F91"/>
    <w:rsid w:val="00811FB7"/>
    <w:rsid w:val="0081202E"/>
    <w:rsid w:val="00812097"/>
    <w:rsid w:val="008121C1"/>
    <w:rsid w:val="00812248"/>
    <w:rsid w:val="00812383"/>
    <w:rsid w:val="00812515"/>
    <w:rsid w:val="008125C7"/>
    <w:rsid w:val="00812653"/>
    <w:rsid w:val="008126BD"/>
    <w:rsid w:val="00812726"/>
    <w:rsid w:val="0081276B"/>
    <w:rsid w:val="008127D1"/>
    <w:rsid w:val="00812828"/>
    <w:rsid w:val="0081286D"/>
    <w:rsid w:val="008128AE"/>
    <w:rsid w:val="0081298F"/>
    <w:rsid w:val="00812A15"/>
    <w:rsid w:val="00812A1F"/>
    <w:rsid w:val="00812A97"/>
    <w:rsid w:val="00812AC7"/>
    <w:rsid w:val="00812B8C"/>
    <w:rsid w:val="00812BA4"/>
    <w:rsid w:val="00812BC0"/>
    <w:rsid w:val="00812D57"/>
    <w:rsid w:val="00812DAF"/>
    <w:rsid w:val="00812E06"/>
    <w:rsid w:val="00812E15"/>
    <w:rsid w:val="00812EE3"/>
    <w:rsid w:val="00812FCE"/>
    <w:rsid w:val="00812FF7"/>
    <w:rsid w:val="008130A4"/>
    <w:rsid w:val="008130E0"/>
    <w:rsid w:val="00813165"/>
    <w:rsid w:val="008131B3"/>
    <w:rsid w:val="00813232"/>
    <w:rsid w:val="008133FC"/>
    <w:rsid w:val="00813477"/>
    <w:rsid w:val="0081350F"/>
    <w:rsid w:val="00813590"/>
    <w:rsid w:val="008135AE"/>
    <w:rsid w:val="008135B6"/>
    <w:rsid w:val="008135BB"/>
    <w:rsid w:val="008135E0"/>
    <w:rsid w:val="008136F2"/>
    <w:rsid w:val="0081381D"/>
    <w:rsid w:val="00813823"/>
    <w:rsid w:val="00813947"/>
    <w:rsid w:val="0081396F"/>
    <w:rsid w:val="00813974"/>
    <w:rsid w:val="008139B3"/>
    <w:rsid w:val="008139D2"/>
    <w:rsid w:val="00813A49"/>
    <w:rsid w:val="00813BE0"/>
    <w:rsid w:val="00813C45"/>
    <w:rsid w:val="00813CDB"/>
    <w:rsid w:val="00813D2E"/>
    <w:rsid w:val="00813E27"/>
    <w:rsid w:val="00813E79"/>
    <w:rsid w:val="00813F4E"/>
    <w:rsid w:val="00814073"/>
    <w:rsid w:val="0081409D"/>
    <w:rsid w:val="008140D9"/>
    <w:rsid w:val="008140EA"/>
    <w:rsid w:val="00814129"/>
    <w:rsid w:val="008141FC"/>
    <w:rsid w:val="00814221"/>
    <w:rsid w:val="0081425F"/>
    <w:rsid w:val="00814332"/>
    <w:rsid w:val="0081433B"/>
    <w:rsid w:val="00814457"/>
    <w:rsid w:val="008144BD"/>
    <w:rsid w:val="00814542"/>
    <w:rsid w:val="00814630"/>
    <w:rsid w:val="00814667"/>
    <w:rsid w:val="00814691"/>
    <w:rsid w:val="00814775"/>
    <w:rsid w:val="00814867"/>
    <w:rsid w:val="0081488D"/>
    <w:rsid w:val="00814892"/>
    <w:rsid w:val="008149D1"/>
    <w:rsid w:val="008149F3"/>
    <w:rsid w:val="00814A5A"/>
    <w:rsid w:val="00814A9A"/>
    <w:rsid w:val="00814AFA"/>
    <w:rsid w:val="00814B57"/>
    <w:rsid w:val="00814B66"/>
    <w:rsid w:val="00814B7C"/>
    <w:rsid w:val="00814B83"/>
    <w:rsid w:val="00814BD7"/>
    <w:rsid w:val="00814CC3"/>
    <w:rsid w:val="00814CFC"/>
    <w:rsid w:val="00814D11"/>
    <w:rsid w:val="00814D7C"/>
    <w:rsid w:val="00814DE0"/>
    <w:rsid w:val="00814EEF"/>
    <w:rsid w:val="00814F42"/>
    <w:rsid w:val="00815019"/>
    <w:rsid w:val="00815099"/>
    <w:rsid w:val="008150BB"/>
    <w:rsid w:val="00815190"/>
    <w:rsid w:val="008151C0"/>
    <w:rsid w:val="00815203"/>
    <w:rsid w:val="0081531D"/>
    <w:rsid w:val="0081535B"/>
    <w:rsid w:val="008153CE"/>
    <w:rsid w:val="008153DF"/>
    <w:rsid w:val="00815411"/>
    <w:rsid w:val="00815444"/>
    <w:rsid w:val="008154C9"/>
    <w:rsid w:val="0081558F"/>
    <w:rsid w:val="008155A9"/>
    <w:rsid w:val="00815670"/>
    <w:rsid w:val="008156AC"/>
    <w:rsid w:val="008156C6"/>
    <w:rsid w:val="0081582E"/>
    <w:rsid w:val="0081585D"/>
    <w:rsid w:val="00815885"/>
    <w:rsid w:val="0081594D"/>
    <w:rsid w:val="00815B3A"/>
    <w:rsid w:val="00815B8D"/>
    <w:rsid w:val="00815C0C"/>
    <w:rsid w:val="00815C5D"/>
    <w:rsid w:val="00815C7D"/>
    <w:rsid w:val="00815CF7"/>
    <w:rsid w:val="00815E3F"/>
    <w:rsid w:val="00815EB7"/>
    <w:rsid w:val="00815EF7"/>
    <w:rsid w:val="00815F82"/>
    <w:rsid w:val="00815FD2"/>
    <w:rsid w:val="0081607B"/>
    <w:rsid w:val="008162C5"/>
    <w:rsid w:val="008162DA"/>
    <w:rsid w:val="0081637F"/>
    <w:rsid w:val="008163CB"/>
    <w:rsid w:val="0081645E"/>
    <w:rsid w:val="0081649D"/>
    <w:rsid w:val="008164B6"/>
    <w:rsid w:val="008165F1"/>
    <w:rsid w:val="008168E0"/>
    <w:rsid w:val="008168F6"/>
    <w:rsid w:val="0081698F"/>
    <w:rsid w:val="00816A0B"/>
    <w:rsid w:val="00816A39"/>
    <w:rsid w:val="00816A60"/>
    <w:rsid w:val="00816A7A"/>
    <w:rsid w:val="00816AB0"/>
    <w:rsid w:val="00816ADA"/>
    <w:rsid w:val="00816ADC"/>
    <w:rsid w:val="00816B1B"/>
    <w:rsid w:val="00816B6D"/>
    <w:rsid w:val="00816BC9"/>
    <w:rsid w:val="00816BCC"/>
    <w:rsid w:val="00816BFD"/>
    <w:rsid w:val="00816DB1"/>
    <w:rsid w:val="00816EA5"/>
    <w:rsid w:val="00816ED1"/>
    <w:rsid w:val="00816EE3"/>
    <w:rsid w:val="00816EE8"/>
    <w:rsid w:val="00816F1B"/>
    <w:rsid w:val="00816FCB"/>
    <w:rsid w:val="00816FCD"/>
    <w:rsid w:val="008170E4"/>
    <w:rsid w:val="00817111"/>
    <w:rsid w:val="008171B8"/>
    <w:rsid w:val="00817220"/>
    <w:rsid w:val="0081728B"/>
    <w:rsid w:val="008172AC"/>
    <w:rsid w:val="008173AF"/>
    <w:rsid w:val="008173B6"/>
    <w:rsid w:val="00817457"/>
    <w:rsid w:val="008174C4"/>
    <w:rsid w:val="00817572"/>
    <w:rsid w:val="00817574"/>
    <w:rsid w:val="008175CD"/>
    <w:rsid w:val="0081763D"/>
    <w:rsid w:val="008176E9"/>
    <w:rsid w:val="0081773F"/>
    <w:rsid w:val="00817873"/>
    <w:rsid w:val="008178A9"/>
    <w:rsid w:val="008178C6"/>
    <w:rsid w:val="008178FF"/>
    <w:rsid w:val="0081795B"/>
    <w:rsid w:val="008179BD"/>
    <w:rsid w:val="008179C4"/>
    <w:rsid w:val="00817B03"/>
    <w:rsid w:val="00817C1F"/>
    <w:rsid w:val="00817CC8"/>
    <w:rsid w:val="00817D87"/>
    <w:rsid w:val="00817DD1"/>
    <w:rsid w:val="00817E4F"/>
    <w:rsid w:val="00817EEB"/>
    <w:rsid w:val="00817F48"/>
    <w:rsid w:val="00817F77"/>
    <w:rsid w:val="00817FC0"/>
    <w:rsid w:val="00817FE7"/>
    <w:rsid w:val="00820041"/>
    <w:rsid w:val="008200AB"/>
    <w:rsid w:val="008200E4"/>
    <w:rsid w:val="00820313"/>
    <w:rsid w:val="00820426"/>
    <w:rsid w:val="0082043C"/>
    <w:rsid w:val="008204A4"/>
    <w:rsid w:val="00820503"/>
    <w:rsid w:val="00820542"/>
    <w:rsid w:val="00820567"/>
    <w:rsid w:val="00820593"/>
    <w:rsid w:val="0082063B"/>
    <w:rsid w:val="0082079A"/>
    <w:rsid w:val="008207E3"/>
    <w:rsid w:val="0082081D"/>
    <w:rsid w:val="00820902"/>
    <w:rsid w:val="00820938"/>
    <w:rsid w:val="00820A04"/>
    <w:rsid w:val="00820A7A"/>
    <w:rsid w:val="00820AAF"/>
    <w:rsid w:val="00820BA6"/>
    <w:rsid w:val="00820D50"/>
    <w:rsid w:val="00820D62"/>
    <w:rsid w:val="00820E1E"/>
    <w:rsid w:val="00820E6D"/>
    <w:rsid w:val="00820ECC"/>
    <w:rsid w:val="00820EF8"/>
    <w:rsid w:val="00820F00"/>
    <w:rsid w:val="00820F9B"/>
    <w:rsid w:val="00821002"/>
    <w:rsid w:val="0082106F"/>
    <w:rsid w:val="00821115"/>
    <w:rsid w:val="008211D7"/>
    <w:rsid w:val="008211E7"/>
    <w:rsid w:val="008211ED"/>
    <w:rsid w:val="0082128C"/>
    <w:rsid w:val="008212D4"/>
    <w:rsid w:val="00821374"/>
    <w:rsid w:val="008213B6"/>
    <w:rsid w:val="00821486"/>
    <w:rsid w:val="008214A2"/>
    <w:rsid w:val="008215F5"/>
    <w:rsid w:val="00821669"/>
    <w:rsid w:val="008217B1"/>
    <w:rsid w:val="008217CC"/>
    <w:rsid w:val="00821810"/>
    <w:rsid w:val="0082185A"/>
    <w:rsid w:val="008218C7"/>
    <w:rsid w:val="008218D5"/>
    <w:rsid w:val="00821945"/>
    <w:rsid w:val="00821A8F"/>
    <w:rsid w:val="00821BC2"/>
    <w:rsid w:val="00821C49"/>
    <w:rsid w:val="00821C70"/>
    <w:rsid w:val="00821CCB"/>
    <w:rsid w:val="00821CEB"/>
    <w:rsid w:val="00821D4A"/>
    <w:rsid w:val="00821D4E"/>
    <w:rsid w:val="00821DD5"/>
    <w:rsid w:val="00821E03"/>
    <w:rsid w:val="00821E17"/>
    <w:rsid w:val="00821E3B"/>
    <w:rsid w:val="00821EE9"/>
    <w:rsid w:val="0082201F"/>
    <w:rsid w:val="008220EA"/>
    <w:rsid w:val="008222BB"/>
    <w:rsid w:val="00822350"/>
    <w:rsid w:val="00822362"/>
    <w:rsid w:val="00822394"/>
    <w:rsid w:val="00822396"/>
    <w:rsid w:val="008225B5"/>
    <w:rsid w:val="00822625"/>
    <w:rsid w:val="0082266A"/>
    <w:rsid w:val="008226E6"/>
    <w:rsid w:val="008227B4"/>
    <w:rsid w:val="008227F6"/>
    <w:rsid w:val="00822884"/>
    <w:rsid w:val="008228EC"/>
    <w:rsid w:val="008228F6"/>
    <w:rsid w:val="0082297B"/>
    <w:rsid w:val="00822A49"/>
    <w:rsid w:val="00822A74"/>
    <w:rsid w:val="00822A7D"/>
    <w:rsid w:val="00822B9E"/>
    <w:rsid w:val="00822BD6"/>
    <w:rsid w:val="00822D0A"/>
    <w:rsid w:val="00822D6D"/>
    <w:rsid w:val="00822D74"/>
    <w:rsid w:val="00822D89"/>
    <w:rsid w:val="00822DC0"/>
    <w:rsid w:val="00822F56"/>
    <w:rsid w:val="00822FD3"/>
    <w:rsid w:val="00822FD8"/>
    <w:rsid w:val="00823024"/>
    <w:rsid w:val="00823046"/>
    <w:rsid w:val="00823136"/>
    <w:rsid w:val="00823150"/>
    <w:rsid w:val="008231E9"/>
    <w:rsid w:val="0082322C"/>
    <w:rsid w:val="008232EF"/>
    <w:rsid w:val="00823302"/>
    <w:rsid w:val="00823416"/>
    <w:rsid w:val="00823693"/>
    <w:rsid w:val="00823697"/>
    <w:rsid w:val="008237D3"/>
    <w:rsid w:val="00823842"/>
    <w:rsid w:val="0082388D"/>
    <w:rsid w:val="008238F6"/>
    <w:rsid w:val="008239A0"/>
    <w:rsid w:val="00823A58"/>
    <w:rsid w:val="00823AAA"/>
    <w:rsid w:val="00823AE3"/>
    <w:rsid w:val="00823B24"/>
    <w:rsid w:val="00823B30"/>
    <w:rsid w:val="00823B7D"/>
    <w:rsid w:val="00823BD8"/>
    <w:rsid w:val="00823C00"/>
    <w:rsid w:val="00823C19"/>
    <w:rsid w:val="00823CBA"/>
    <w:rsid w:val="00823E35"/>
    <w:rsid w:val="00823E3C"/>
    <w:rsid w:val="00823EA8"/>
    <w:rsid w:val="00823EF9"/>
    <w:rsid w:val="00823F4F"/>
    <w:rsid w:val="00823FD7"/>
    <w:rsid w:val="00824071"/>
    <w:rsid w:val="008240AB"/>
    <w:rsid w:val="008240CD"/>
    <w:rsid w:val="008241D2"/>
    <w:rsid w:val="008242DA"/>
    <w:rsid w:val="00824318"/>
    <w:rsid w:val="00824332"/>
    <w:rsid w:val="00824453"/>
    <w:rsid w:val="00824493"/>
    <w:rsid w:val="00824552"/>
    <w:rsid w:val="00824558"/>
    <w:rsid w:val="00824583"/>
    <w:rsid w:val="00824592"/>
    <w:rsid w:val="008245B8"/>
    <w:rsid w:val="00824665"/>
    <w:rsid w:val="0082467E"/>
    <w:rsid w:val="0082484F"/>
    <w:rsid w:val="0082485B"/>
    <w:rsid w:val="008249B7"/>
    <w:rsid w:val="00824BC0"/>
    <w:rsid w:val="00824CA3"/>
    <w:rsid w:val="00824D24"/>
    <w:rsid w:val="00824E7F"/>
    <w:rsid w:val="00824EA5"/>
    <w:rsid w:val="00824F03"/>
    <w:rsid w:val="00824F8D"/>
    <w:rsid w:val="00825058"/>
    <w:rsid w:val="00825144"/>
    <w:rsid w:val="0082517D"/>
    <w:rsid w:val="008251F8"/>
    <w:rsid w:val="00825222"/>
    <w:rsid w:val="00825318"/>
    <w:rsid w:val="00825350"/>
    <w:rsid w:val="0082539C"/>
    <w:rsid w:val="0082548E"/>
    <w:rsid w:val="008254A0"/>
    <w:rsid w:val="008254D6"/>
    <w:rsid w:val="0082554C"/>
    <w:rsid w:val="00825600"/>
    <w:rsid w:val="008256B7"/>
    <w:rsid w:val="008256BD"/>
    <w:rsid w:val="008256FB"/>
    <w:rsid w:val="0082577E"/>
    <w:rsid w:val="00825799"/>
    <w:rsid w:val="00825819"/>
    <w:rsid w:val="008258E4"/>
    <w:rsid w:val="008259AF"/>
    <w:rsid w:val="008259D6"/>
    <w:rsid w:val="008259E0"/>
    <w:rsid w:val="00825BD0"/>
    <w:rsid w:val="00825C7F"/>
    <w:rsid w:val="00825CCE"/>
    <w:rsid w:val="00825D3D"/>
    <w:rsid w:val="00825D48"/>
    <w:rsid w:val="008260A7"/>
    <w:rsid w:val="008260A9"/>
    <w:rsid w:val="008260B6"/>
    <w:rsid w:val="00826118"/>
    <w:rsid w:val="00826217"/>
    <w:rsid w:val="00826264"/>
    <w:rsid w:val="008262BE"/>
    <w:rsid w:val="0082641E"/>
    <w:rsid w:val="0082642E"/>
    <w:rsid w:val="00826476"/>
    <w:rsid w:val="00826538"/>
    <w:rsid w:val="0082654E"/>
    <w:rsid w:val="008265A2"/>
    <w:rsid w:val="00826629"/>
    <w:rsid w:val="00826768"/>
    <w:rsid w:val="008267F1"/>
    <w:rsid w:val="00826888"/>
    <w:rsid w:val="0082690D"/>
    <w:rsid w:val="00826AAE"/>
    <w:rsid w:val="00826B7E"/>
    <w:rsid w:val="00826BB0"/>
    <w:rsid w:val="00826BE2"/>
    <w:rsid w:val="00826D5D"/>
    <w:rsid w:val="00826DA4"/>
    <w:rsid w:val="00826E1E"/>
    <w:rsid w:val="00826E63"/>
    <w:rsid w:val="00826EA0"/>
    <w:rsid w:val="00826EA1"/>
    <w:rsid w:val="00826F17"/>
    <w:rsid w:val="00826FBF"/>
    <w:rsid w:val="00826FE1"/>
    <w:rsid w:val="00827040"/>
    <w:rsid w:val="0082724F"/>
    <w:rsid w:val="008272C9"/>
    <w:rsid w:val="008272D1"/>
    <w:rsid w:val="008272F0"/>
    <w:rsid w:val="00827322"/>
    <w:rsid w:val="00827394"/>
    <w:rsid w:val="00827400"/>
    <w:rsid w:val="008274F9"/>
    <w:rsid w:val="00827506"/>
    <w:rsid w:val="0082756D"/>
    <w:rsid w:val="0082757C"/>
    <w:rsid w:val="00827641"/>
    <w:rsid w:val="0082765C"/>
    <w:rsid w:val="008276CE"/>
    <w:rsid w:val="008276D8"/>
    <w:rsid w:val="008276E6"/>
    <w:rsid w:val="008277AF"/>
    <w:rsid w:val="008277D1"/>
    <w:rsid w:val="00827873"/>
    <w:rsid w:val="00827931"/>
    <w:rsid w:val="008279B1"/>
    <w:rsid w:val="00827AFF"/>
    <w:rsid w:val="00827BD4"/>
    <w:rsid w:val="00827BFD"/>
    <w:rsid w:val="00827C12"/>
    <w:rsid w:val="00827C38"/>
    <w:rsid w:val="00827C40"/>
    <w:rsid w:val="00827C85"/>
    <w:rsid w:val="00827CB7"/>
    <w:rsid w:val="00827CDF"/>
    <w:rsid w:val="00827CF9"/>
    <w:rsid w:val="00827CFB"/>
    <w:rsid w:val="00827D82"/>
    <w:rsid w:val="00827D98"/>
    <w:rsid w:val="00827F2B"/>
    <w:rsid w:val="00827F42"/>
    <w:rsid w:val="00827F95"/>
    <w:rsid w:val="0083002B"/>
    <w:rsid w:val="00830039"/>
    <w:rsid w:val="00830098"/>
    <w:rsid w:val="00830241"/>
    <w:rsid w:val="00830297"/>
    <w:rsid w:val="008302D6"/>
    <w:rsid w:val="008302F0"/>
    <w:rsid w:val="0083033C"/>
    <w:rsid w:val="0083035F"/>
    <w:rsid w:val="00830386"/>
    <w:rsid w:val="008303B8"/>
    <w:rsid w:val="008303F1"/>
    <w:rsid w:val="00830487"/>
    <w:rsid w:val="00830504"/>
    <w:rsid w:val="00830630"/>
    <w:rsid w:val="008307E1"/>
    <w:rsid w:val="00830820"/>
    <w:rsid w:val="00830824"/>
    <w:rsid w:val="00830848"/>
    <w:rsid w:val="0083085A"/>
    <w:rsid w:val="008308CC"/>
    <w:rsid w:val="00830900"/>
    <w:rsid w:val="00830B00"/>
    <w:rsid w:val="00830B77"/>
    <w:rsid w:val="00830C0F"/>
    <w:rsid w:val="00830CA0"/>
    <w:rsid w:val="00830D13"/>
    <w:rsid w:val="00830D9B"/>
    <w:rsid w:val="00830DA7"/>
    <w:rsid w:val="00830DB2"/>
    <w:rsid w:val="00830E11"/>
    <w:rsid w:val="00830E84"/>
    <w:rsid w:val="00830F3D"/>
    <w:rsid w:val="00831020"/>
    <w:rsid w:val="00831040"/>
    <w:rsid w:val="00831109"/>
    <w:rsid w:val="008311D7"/>
    <w:rsid w:val="00831321"/>
    <w:rsid w:val="00831348"/>
    <w:rsid w:val="008313D5"/>
    <w:rsid w:val="008313F4"/>
    <w:rsid w:val="008313F5"/>
    <w:rsid w:val="0083140F"/>
    <w:rsid w:val="00831428"/>
    <w:rsid w:val="0083156D"/>
    <w:rsid w:val="008315A0"/>
    <w:rsid w:val="00831616"/>
    <w:rsid w:val="008316D8"/>
    <w:rsid w:val="008316FD"/>
    <w:rsid w:val="00831730"/>
    <w:rsid w:val="00831777"/>
    <w:rsid w:val="00831922"/>
    <w:rsid w:val="0083196B"/>
    <w:rsid w:val="008319EF"/>
    <w:rsid w:val="00831A2C"/>
    <w:rsid w:val="00831AA5"/>
    <w:rsid w:val="00831B7E"/>
    <w:rsid w:val="00831BA4"/>
    <w:rsid w:val="00831BAE"/>
    <w:rsid w:val="00831C0A"/>
    <w:rsid w:val="00831C3D"/>
    <w:rsid w:val="00831D89"/>
    <w:rsid w:val="00831D91"/>
    <w:rsid w:val="00831DDB"/>
    <w:rsid w:val="00831E09"/>
    <w:rsid w:val="00831E4B"/>
    <w:rsid w:val="00831E65"/>
    <w:rsid w:val="00831ED4"/>
    <w:rsid w:val="00831EF5"/>
    <w:rsid w:val="00831FDB"/>
    <w:rsid w:val="00832003"/>
    <w:rsid w:val="0083217C"/>
    <w:rsid w:val="0083224F"/>
    <w:rsid w:val="0083225C"/>
    <w:rsid w:val="0083233A"/>
    <w:rsid w:val="008323CA"/>
    <w:rsid w:val="008323F8"/>
    <w:rsid w:val="0083247A"/>
    <w:rsid w:val="008324A6"/>
    <w:rsid w:val="008324CA"/>
    <w:rsid w:val="008324D8"/>
    <w:rsid w:val="00832687"/>
    <w:rsid w:val="008326A6"/>
    <w:rsid w:val="00832726"/>
    <w:rsid w:val="0083275F"/>
    <w:rsid w:val="0083284E"/>
    <w:rsid w:val="008328A8"/>
    <w:rsid w:val="008328B1"/>
    <w:rsid w:val="008328CA"/>
    <w:rsid w:val="0083299B"/>
    <w:rsid w:val="008329AD"/>
    <w:rsid w:val="00832A4C"/>
    <w:rsid w:val="00832A61"/>
    <w:rsid w:val="00832A70"/>
    <w:rsid w:val="00832A77"/>
    <w:rsid w:val="00832AD9"/>
    <w:rsid w:val="00832B5E"/>
    <w:rsid w:val="00832CA6"/>
    <w:rsid w:val="00832CED"/>
    <w:rsid w:val="00832D00"/>
    <w:rsid w:val="00832D1B"/>
    <w:rsid w:val="00832DE8"/>
    <w:rsid w:val="00832E1A"/>
    <w:rsid w:val="00832E95"/>
    <w:rsid w:val="00832FCA"/>
    <w:rsid w:val="00833001"/>
    <w:rsid w:val="00833107"/>
    <w:rsid w:val="0083319B"/>
    <w:rsid w:val="00833283"/>
    <w:rsid w:val="0083336A"/>
    <w:rsid w:val="008333F4"/>
    <w:rsid w:val="0083342B"/>
    <w:rsid w:val="0083343A"/>
    <w:rsid w:val="0083344E"/>
    <w:rsid w:val="00833495"/>
    <w:rsid w:val="0083351F"/>
    <w:rsid w:val="0083365D"/>
    <w:rsid w:val="00833668"/>
    <w:rsid w:val="0083369C"/>
    <w:rsid w:val="008337B6"/>
    <w:rsid w:val="00833807"/>
    <w:rsid w:val="00833934"/>
    <w:rsid w:val="00833995"/>
    <w:rsid w:val="00833A1A"/>
    <w:rsid w:val="00833A1D"/>
    <w:rsid w:val="00833ADE"/>
    <w:rsid w:val="00833AF1"/>
    <w:rsid w:val="00833C49"/>
    <w:rsid w:val="00833C53"/>
    <w:rsid w:val="00833DD0"/>
    <w:rsid w:val="00833DEC"/>
    <w:rsid w:val="00833EA2"/>
    <w:rsid w:val="00833EB7"/>
    <w:rsid w:val="00833F1E"/>
    <w:rsid w:val="00833F83"/>
    <w:rsid w:val="00833FB7"/>
    <w:rsid w:val="00833FCA"/>
    <w:rsid w:val="00834023"/>
    <w:rsid w:val="0083406E"/>
    <w:rsid w:val="00834081"/>
    <w:rsid w:val="0083408F"/>
    <w:rsid w:val="008340C5"/>
    <w:rsid w:val="00834104"/>
    <w:rsid w:val="0083411E"/>
    <w:rsid w:val="00834317"/>
    <w:rsid w:val="008343D0"/>
    <w:rsid w:val="008343E9"/>
    <w:rsid w:val="00834547"/>
    <w:rsid w:val="00834626"/>
    <w:rsid w:val="00834644"/>
    <w:rsid w:val="00834673"/>
    <w:rsid w:val="008346B5"/>
    <w:rsid w:val="00834879"/>
    <w:rsid w:val="008349A9"/>
    <w:rsid w:val="008349F1"/>
    <w:rsid w:val="00834A22"/>
    <w:rsid w:val="00834A73"/>
    <w:rsid w:val="00834AAF"/>
    <w:rsid w:val="00834B7C"/>
    <w:rsid w:val="00834CC5"/>
    <w:rsid w:val="00834E8A"/>
    <w:rsid w:val="00834E8D"/>
    <w:rsid w:val="00834E9F"/>
    <w:rsid w:val="00834F0C"/>
    <w:rsid w:val="00834FAA"/>
    <w:rsid w:val="00834FEC"/>
    <w:rsid w:val="00835128"/>
    <w:rsid w:val="00835166"/>
    <w:rsid w:val="0083517A"/>
    <w:rsid w:val="00835196"/>
    <w:rsid w:val="008351FC"/>
    <w:rsid w:val="0083544C"/>
    <w:rsid w:val="0083547E"/>
    <w:rsid w:val="00835527"/>
    <w:rsid w:val="008355BA"/>
    <w:rsid w:val="00835604"/>
    <w:rsid w:val="00835826"/>
    <w:rsid w:val="00835839"/>
    <w:rsid w:val="00835850"/>
    <w:rsid w:val="00835886"/>
    <w:rsid w:val="0083588E"/>
    <w:rsid w:val="00835935"/>
    <w:rsid w:val="00835942"/>
    <w:rsid w:val="008359F3"/>
    <w:rsid w:val="00835A2A"/>
    <w:rsid w:val="00835A4C"/>
    <w:rsid w:val="00835AA5"/>
    <w:rsid w:val="00835AF7"/>
    <w:rsid w:val="00835BA9"/>
    <w:rsid w:val="00835BD5"/>
    <w:rsid w:val="00835BE6"/>
    <w:rsid w:val="00835CDE"/>
    <w:rsid w:val="00835D56"/>
    <w:rsid w:val="00835D7B"/>
    <w:rsid w:val="00835D84"/>
    <w:rsid w:val="00835E30"/>
    <w:rsid w:val="00835E74"/>
    <w:rsid w:val="00835EAB"/>
    <w:rsid w:val="00835EAD"/>
    <w:rsid w:val="00835EE7"/>
    <w:rsid w:val="00835F10"/>
    <w:rsid w:val="0083606C"/>
    <w:rsid w:val="00836072"/>
    <w:rsid w:val="008360E7"/>
    <w:rsid w:val="0083610D"/>
    <w:rsid w:val="00836225"/>
    <w:rsid w:val="008362E7"/>
    <w:rsid w:val="00836435"/>
    <w:rsid w:val="00836654"/>
    <w:rsid w:val="0083668E"/>
    <w:rsid w:val="00836712"/>
    <w:rsid w:val="008367A2"/>
    <w:rsid w:val="00836842"/>
    <w:rsid w:val="00836933"/>
    <w:rsid w:val="0083694B"/>
    <w:rsid w:val="0083696E"/>
    <w:rsid w:val="00836A0A"/>
    <w:rsid w:val="00836AB3"/>
    <w:rsid w:val="00836AC8"/>
    <w:rsid w:val="00836B80"/>
    <w:rsid w:val="00836C24"/>
    <w:rsid w:val="00836C62"/>
    <w:rsid w:val="00836C86"/>
    <w:rsid w:val="00836CAA"/>
    <w:rsid w:val="00836CB7"/>
    <w:rsid w:val="00836CD7"/>
    <w:rsid w:val="00836D70"/>
    <w:rsid w:val="00836DF4"/>
    <w:rsid w:val="00836E98"/>
    <w:rsid w:val="00836F3D"/>
    <w:rsid w:val="00836F62"/>
    <w:rsid w:val="00836FD8"/>
    <w:rsid w:val="00837097"/>
    <w:rsid w:val="0083718A"/>
    <w:rsid w:val="008371A7"/>
    <w:rsid w:val="00837234"/>
    <w:rsid w:val="008372B3"/>
    <w:rsid w:val="0083742C"/>
    <w:rsid w:val="008374F0"/>
    <w:rsid w:val="00837535"/>
    <w:rsid w:val="00837577"/>
    <w:rsid w:val="00837633"/>
    <w:rsid w:val="0083765E"/>
    <w:rsid w:val="0083768B"/>
    <w:rsid w:val="008376F3"/>
    <w:rsid w:val="00837816"/>
    <w:rsid w:val="008378AF"/>
    <w:rsid w:val="008378C2"/>
    <w:rsid w:val="008378E8"/>
    <w:rsid w:val="0083796A"/>
    <w:rsid w:val="00837981"/>
    <w:rsid w:val="00837A1C"/>
    <w:rsid w:val="00837AAD"/>
    <w:rsid w:val="00837B27"/>
    <w:rsid w:val="00837B8D"/>
    <w:rsid w:val="00837BA2"/>
    <w:rsid w:val="00837C6F"/>
    <w:rsid w:val="00837CAE"/>
    <w:rsid w:val="00837CDB"/>
    <w:rsid w:val="00837D8F"/>
    <w:rsid w:val="00837DE2"/>
    <w:rsid w:val="00837DF0"/>
    <w:rsid w:val="00837EA6"/>
    <w:rsid w:val="00837F56"/>
    <w:rsid w:val="00837F77"/>
    <w:rsid w:val="008400A1"/>
    <w:rsid w:val="008400F2"/>
    <w:rsid w:val="008401BB"/>
    <w:rsid w:val="008401EA"/>
    <w:rsid w:val="008403BD"/>
    <w:rsid w:val="008403FA"/>
    <w:rsid w:val="0084044A"/>
    <w:rsid w:val="0084048F"/>
    <w:rsid w:val="00840713"/>
    <w:rsid w:val="00840721"/>
    <w:rsid w:val="00840779"/>
    <w:rsid w:val="008407E1"/>
    <w:rsid w:val="00840879"/>
    <w:rsid w:val="008408C2"/>
    <w:rsid w:val="0084090C"/>
    <w:rsid w:val="008409B2"/>
    <w:rsid w:val="008409C3"/>
    <w:rsid w:val="00840A4A"/>
    <w:rsid w:val="00840A85"/>
    <w:rsid w:val="00840AC4"/>
    <w:rsid w:val="00840C58"/>
    <w:rsid w:val="00840CE2"/>
    <w:rsid w:val="00840CFA"/>
    <w:rsid w:val="00840DC9"/>
    <w:rsid w:val="00840E95"/>
    <w:rsid w:val="00840EB3"/>
    <w:rsid w:val="00841324"/>
    <w:rsid w:val="00841331"/>
    <w:rsid w:val="008413C8"/>
    <w:rsid w:val="00841400"/>
    <w:rsid w:val="00841473"/>
    <w:rsid w:val="0084147A"/>
    <w:rsid w:val="00841490"/>
    <w:rsid w:val="00841543"/>
    <w:rsid w:val="0084169C"/>
    <w:rsid w:val="00841753"/>
    <w:rsid w:val="00841785"/>
    <w:rsid w:val="008417CF"/>
    <w:rsid w:val="008417D1"/>
    <w:rsid w:val="00841870"/>
    <w:rsid w:val="00841887"/>
    <w:rsid w:val="008418B0"/>
    <w:rsid w:val="008418CC"/>
    <w:rsid w:val="00841956"/>
    <w:rsid w:val="008419C1"/>
    <w:rsid w:val="00841A7C"/>
    <w:rsid w:val="00841C3A"/>
    <w:rsid w:val="00841C5D"/>
    <w:rsid w:val="00841C62"/>
    <w:rsid w:val="00841D4D"/>
    <w:rsid w:val="00841E25"/>
    <w:rsid w:val="00841F45"/>
    <w:rsid w:val="00841F5A"/>
    <w:rsid w:val="00842179"/>
    <w:rsid w:val="00842241"/>
    <w:rsid w:val="00842357"/>
    <w:rsid w:val="0084238F"/>
    <w:rsid w:val="0084251B"/>
    <w:rsid w:val="00842596"/>
    <w:rsid w:val="00842747"/>
    <w:rsid w:val="008427C5"/>
    <w:rsid w:val="00842850"/>
    <w:rsid w:val="00842879"/>
    <w:rsid w:val="008428A3"/>
    <w:rsid w:val="008429AC"/>
    <w:rsid w:val="008429BB"/>
    <w:rsid w:val="008429C7"/>
    <w:rsid w:val="008429EE"/>
    <w:rsid w:val="00842A3A"/>
    <w:rsid w:val="00842B17"/>
    <w:rsid w:val="00842B78"/>
    <w:rsid w:val="00842C25"/>
    <w:rsid w:val="00842CAF"/>
    <w:rsid w:val="00842D5A"/>
    <w:rsid w:val="00842D77"/>
    <w:rsid w:val="00842D91"/>
    <w:rsid w:val="00842D9C"/>
    <w:rsid w:val="00842E14"/>
    <w:rsid w:val="00842E60"/>
    <w:rsid w:val="00842E6D"/>
    <w:rsid w:val="00842EC8"/>
    <w:rsid w:val="00842F6E"/>
    <w:rsid w:val="00842F74"/>
    <w:rsid w:val="00842FCE"/>
    <w:rsid w:val="00843000"/>
    <w:rsid w:val="0084305A"/>
    <w:rsid w:val="00843104"/>
    <w:rsid w:val="00843183"/>
    <w:rsid w:val="00843189"/>
    <w:rsid w:val="008433A2"/>
    <w:rsid w:val="00843429"/>
    <w:rsid w:val="008434BD"/>
    <w:rsid w:val="008434E6"/>
    <w:rsid w:val="008435A5"/>
    <w:rsid w:val="00843682"/>
    <w:rsid w:val="008436A7"/>
    <w:rsid w:val="008437C1"/>
    <w:rsid w:val="00843840"/>
    <w:rsid w:val="0084384B"/>
    <w:rsid w:val="00843863"/>
    <w:rsid w:val="0084386C"/>
    <w:rsid w:val="0084387F"/>
    <w:rsid w:val="00843892"/>
    <w:rsid w:val="00843924"/>
    <w:rsid w:val="00843968"/>
    <w:rsid w:val="00843969"/>
    <w:rsid w:val="00843997"/>
    <w:rsid w:val="008439DB"/>
    <w:rsid w:val="00843A0A"/>
    <w:rsid w:val="00843A90"/>
    <w:rsid w:val="00843AFA"/>
    <w:rsid w:val="00843B46"/>
    <w:rsid w:val="00843BE3"/>
    <w:rsid w:val="00843C32"/>
    <w:rsid w:val="00843C7E"/>
    <w:rsid w:val="00843CF6"/>
    <w:rsid w:val="00843D52"/>
    <w:rsid w:val="00843D95"/>
    <w:rsid w:val="00843DAE"/>
    <w:rsid w:val="00843DB1"/>
    <w:rsid w:val="00843E9E"/>
    <w:rsid w:val="00843F16"/>
    <w:rsid w:val="00843F98"/>
    <w:rsid w:val="00843FA1"/>
    <w:rsid w:val="00843FD0"/>
    <w:rsid w:val="00843FD3"/>
    <w:rsid w:val="0084401A"/>
    <w:rsid w:val="00844056"/>
    <w:rsid w:val="0084407F"/>
    <w:rsid w:val="008440D5"/>
    <w:rsid w:val="0084410B"/>
    <w:rsid w:val="00844147"/>
    <w:rsid w:val="00844184"/>
    <w:rsid w:val="00844235"/>
    <w:rsid w:val="00844366"/>
    <w:rsid w:val="00844388"/>
    <w:rsid w:val="00844471"/>
    <w:rsid w:val="008444AA"/>
    <w:rsid w:val="00844574"/>
    <w:rsid w:val="008445B8"/>
    <w:rsid w:val="008445FC"/>
    <w:rsid w:val="00844607"/>
    <w:rsid w:val="0084467C"/>
    <w:rsid w:val="00844683"/>
    <w:rsid w:val="00844684"/>
    <w:rsid w:val="008446A4"/>
    <w:rsid w:val="008447C1"/>
    <w:rsid w:val="008447E9"/>
    <w:rsid w:val="0084489C"/>
    <w:rsid w:val="008448A2"/>
    <w:rsid w:val="008448C6"/>
    <w:rsid w:val="00844913"/>
    <w:rsid w:val="00844940"/>
    <w:rsid w:val="0084496B"/>
    <w:rsid w:val="008449B2"/>
    <w:rsid w:val="008449BD"/>
    <w:rsid w:val="00844A48"/>
    <w:rsid w:val="00844AE2"/>
    <w:rsid w:val="00844BED"/>
    <w:rsid w:val="00844CCA"/>
    <w:rsid w:val="00844D29"/>
    <w:rsid w:val="00844DCD"/>
    <w:rsid w:val="00844DF4"/>
    <w:rsid w:val="00844E0D"/>
    <w:rsid w:val="00844E61"/>
    <w:rsid w:val="00844EB5"/>
    <w:rsid w:val="00844ED4"/>
    <w:rsid w:val="00844F49"/>
    <w:rsid w:val="00844F6E"/>
    <w:rsid w:val="00844FB9"/>
    <w:rsid w:val="0084504B"/>
    <w:rsid w:val="0084518C"/>
    <w:rsid w:val="008452B5"/>
    <w:rsid w:val="0084538C"/>
    <w:rsid w:val="008453C4"/>
    <w:rsid w:val="00845483"/>
    <w:rsid w:val="0084551F"/>
    <w:rsid w:val="0084555A"/>
    <w:rsid w:val="00845654"/>
    <w:rsid w:val="00845677"/>
    <w:rsid w:val="00845761"/>
    <w:rsid w:val="0084582B"/>
    <w:rsid w:val="008458B6"/>
    <w:rsid w:val="008458DC"/>
    <w:rsid w:val="008458E4"/>
    <w:rsid w:val="0084592C"/>
    <w:rsid w:val="00845A00"/>
    <w:rsid w:val="00845A81"/>
    <w:rsid w:val="00845B65"/>
    <w:rsid w:val="00845B82"/>
    <w:rsid w:val="00845BBF"/>
    <w:rsid w:val="00845BE0"/>
    <w:rsid w:val="00845C72"/>
    <w:rsid w:val="00845D3E"/>
    <w:rsid w:val="00845D77"/>
    <w:rsid w:val="00845E43"/>
    <w:rsid w:val="00845FF6"/>
    <w:rsid w:val="0084606B"/>
    <w:rsid w:val="008460C2"/>
    <w:rsid w:val="008461A5"/>
    <w:rsid w:val="008462A3"/>
    <w:rsid w:val="00846338"/>
    <w:rsid w:val="00846563"/>
    <w:rsid w:val="008465DA"/>
    <w:rsid w:val="00846647"/>
    <w:rsid w:val="0084669F"/>
    <w:rsid w:val="008466AF"/>
    <w:rsid w:val="008466B6"/>
    <w:rsid w:val="00846775"/>
    <w:rsid w:val="008467C2"/>
    <w:rsid w:val="00846859"/>
    <w:rsid w:val="0084685D"/>
    <w:rsid w:val="00846871"/>
    <w:rsid w:val="00846872"/>
    <w:rsid w:val="008468ED"/>
    <w:rsid w:val="00846A99"/>
    <w:rsid w:val="00846B60"/>
    <w:rsid w:val="00846C18"/>
    <w:rsid w:val="00846C56"/>
    <w:rsid w:val="00846D3D"/>
    <w:rsid w:val="00846E60"/>
    <w:rsid w:val="00846E6B"/>
    <w:rsid w:val="00846F30"/>
    <w:rsid w:val="00846F36"/>
    <w:rsid w:val="00846F6B"/>
    <w:rsid w:val="00846F73"/>
    <w:rsid w:val="00846F8E"/>
    <w:rsid w:val="00847033"/>
    <w:rsid w:val="00847061"/>
    <w:rsid w:val="0084711F"/>
    <w:rsid w:val="0084714D"/>
    <w:rsid w:val="0084716E"/>
    <w:rsid w:val="008471B3"/>
    <w:rsid w:val="00847292"/>
    <w:rsid w:val="008472C4"/>
    <w:rsid w:val="00847342"/>
    <w:rsid w:val="008474E9"/>
    <w:rsid w:val="008476B4"/>
    <w:rsid w:val="00847742"/>
    <w:rsid w:val="00847756"/>
    <w:rsid w:val="00847795"/>
    <w:rsid w:val="00847848"/>
    <w:rsid w:val="00847883"/>
    <w:rsid w:val="008478AB"/>
    <w:rsid w:val="0084799B"/>
    <w:rsid w:val="008479A6"/>
    <w:rsid w:val="00847A13"/>
    <w:rsid w:val="00847A1F"/>
    <w:rsid w:val="00847A4A"/>
    <w:rsid w:val="00847A96"/>
    <w:rsid w:val="00847B5F"/>
    <w:rsid w:val="00847B9D"/>
    <w:rsid w:val="00847C4C"/>
    <w:rsid w:val="00847DA8"/>
    <w:rsid w:val="00847DDF"/>
    <w:rsid w:val="00847E47"/>
    <w:rsid w:val="00847EDD"/>
    <w:rsid w:val="00847F18"/>
    <w:rsid w:val="0085007A"/>
    <w:rsid w:val="0085010D"/>
    <w:rsid w:val="0085018D"/>
    <w:rsid w:val="008501B2"/>
    <w:rsid w:val="0085024D"/>
    <w:rsid w:val="00850422"/>
    <w:rsid w:val="0085043C"/>
    <w:rsid w:val="0085043D"/>
    <w:rsid w:val="0085044E"/>
    <w:rsid w:val="00850481"/>
    <w:rsid w:val="008505E9"/>
    <w:rsid w:val="008506BF"/>
    <w:rsid w:val="0085072E"/>
    <w:rsid w:val="0085073D"/>
    <w:rsid w:val="00850819"/>
    <w:rsid w:val="00850898"/>
    <w:rsid w:val="008508AB"/>
    <w:rsid w:val="0085099B"/>
    <w:rsid w:val="00850A8C"/>
    <w:rsid w:val="00850B94"/>
    <w:rsid w:val="00850BCD"/>
    <w:rsid w:val="00850BD6"/>
    <w:rsid w:val="00850C00"/>
    <w:rsid w:val="00850C61"/>
    <w:rsid w:val="00850CDF"/>
    <w:rsid w:val="00850DE8"/>
    <w:rsid w:val="00850E26"/>
    <w:rsid w:val="00850E52"/>
    <w:rsid w:val="00850E63"/>
    <w:rsid w:val="00850F99"/>
    <w:rsid w:val="00850F9E"/>
    <w:rsid w:val="00850FAD"/>
    <w:rsid w:val="00850FB3"/>
    <w:rsid w:val="00850FE8"/>
    <w:rsid w:val="00851062"/>
    <w:rsid w:val="0085109C"/>
    <w:rsid w:val="008510BF"/>
    <w:rsid w:val="00851156"/>
    <w:rsid w:val="008511F5"/>
    <w:rsid w:val="008512F2"/>
    <w:rsid w:val="00851311"/>
    <w:rsid w:val="008513A9"/>
    <w:rsid w:val="008513FC"/>
    <w:rsid w:val="00851458"/>
    <w:rsid w:val="00851487"/>
    <w:rsid w:val="00851505"/>
    <w:rsid w:val="00851593"/>
    <w:rsid w:val="008516F9"/>
    <w:rsid w:val="008516FB"/>
    <w:rsid w:val="008519EA"/>
    <w:rsid w:val="00851A5C"/>
    <w:rsid w:val="00851ABC"/>
    <w:rsid w:val="00851ACB"/>
    <w:rsid w:val="00851B60"/>
    <w:rsid w:val="00851BE0"/>
    <w:rsid w:val="00851C4D"/>
    <w:rsid w:val="00851CD7"/>
    <w:rsid w:val="00851D83"/>
    <w:rsid w:val="00851DA5"/>
    <w:rsid w:val="00851DB5"/>
    <w:rsid w:val="00851EBB"/>
    <w:rsid w:val="00851F52"/>
    <w:rsid w:val="00851F8A"/>
    <w:rsid w:val="00851F98"/>
    <w:rsid w:val="00852016"/>
    <w:rsid w:val="0085209A"/>
    <w:rsid w:val="00852103"/>
    <w:rsid w:val="008521D1"/>
    <w:rsid w:val="008522A2"/>
    <w:rsid w:val="00852302"/>
    <w:rsid w:val="00852321"/>
    <w:rsid w:val="00852391"/>
    <w:rsid w:val="00852494"/>
    <w:rsid w:val="00852600"/>
    <w:rsid w:val="00852669"/>
    <w:rsid w:val="008526B9"/>
    <w:rsid w:val="008526EF"/>
    <w:rsid w:val="00852752"/>
    <w:rsid w:val="008528CB"/>
    <w:rsid w:val="008529B5"/>
    <w:rsid w:val="00852A09"/>
    <w:rsid w:val="00852BFA"/>
    <w:rsid w:val="00852BFF"/>
    <w:rsid w:val="00852C01"/>
    <w:rsid w:val="00852CBA"/>
    <w:rsid w:val="00852D42"/>
    <w:rsid w:val="00852DC2"/>
    <w:rsid w:val="00852DED"/>
    <w:rsid w:val="00852DEF"/>
    <w:rsid w:val="00852FF8"/>
    <w:rsid w:val="00853072"/>
    <w:rsid w:val="008530BE"/>
    <w:rsid w:val="00853103"/>
    <w:rsid w:val="0085321E"/>
    <w:rsid w:val="0085327F"/>
    <w:rsid w:val="008533C3"/>
    <w:rsid w:val="00853639"/>
    <w:rsid w:val="008536A4"/>
    <w:rsid w:val="00853719"/>
    <w:rsid w:val="0085374C"/>
    <w:rsid w:val="00853765"/>
    <w:rsid w:val="008537C3"/>
    <w:rsid w:val="00853863"/>
    <w:rsid w:val="0085390A"/>
    <w:rsid w:val="008539F1"/>
    <w:rsid w:val="00853B3C"/>
    <w:rsid w:val="00853B8D"/>
    <w:rsid w:val="00853C60"/>
    <w:rsid w:val="00853C76"/>
    <w:rsid w:val="00853D94"/>
    <w:rsid w:val="00853D9E"/>
    <w:rsid w:val="00853DBB"/>
    <w:rsid w:val="00853F60"/>
    <w:rsid w:val="00853F99"/>
    <w:rsid w:val="00853FCE"/>
    <w:rsid w:val="00853FD4"/>
    <w:rsid w:val="0085404D"/>
    <w:rsid w:val="00854073"/>
    <w:rsid w:val="00854153"/>
    <w:rsid w:val="008541B6"/>
    <w:rsid w:val="00854200"/>
    <w:rsid w:val="0085426A"/>
    <w:rsid w:val="00854351"/>
    <w:rsid w:val="00854366"/>
    <w:rsid w:val="008543FC"/>
    <w:rsid w:val="00854404"/>
    <w:rsid w:val="00854431"/>
    <w:rsid w:val="008544B4"/>
    <w:rsid w:val="008544C3"/>
    <w:rsid w:val="00854509"/>
    <w:rsid w:val="00854529"/>
    <w:rsid w:val="0085458E"/>
    <w:rsid w:val="0085469F"/>
    <w:rsid w:val="00854714"/>
    <w:rsid w:val="00854718"/>
    <w:rsid w:val="008547BB"/>
    <w:rsid w:val="008548BD"/>
    <w:rsid w:val="0085494C"/>
    <w:rsid w:val="00854A8F"/>
    <w:rsid w:val="00854B26"/>
    <w:rsid w:val="00854C59"/>
    <w:rsid w:val="00854C5D"/>
    <w:rsid w:val="00854C68"/>
    <w:rsid w:val="00854C70"/>
    <w:rsid w:val="00854CBB"/>
    <w:rsid w:val="00854D04"/>
    <w:rsid w:val="00854D24"/>
    <w:rsid w:val="00854D30"/>
    <w:rsid w:val="00854FBB"/>
    <w:rsid w:val="00854FC4"/>
    <w:rsid w:val="00855129"/>
    <w:rsid w:val="00855140"/>
    <w:rsid w:val="00855144"/>
    <w:rsid w:val="00855167"/>
    <w:rsid w:val="008552AE"/>
    <w:rsid w:val="00855322"/>
    <w:rsid w:val="008553F8"/>
    <w:rsid w:val="0085544E"/>
    <w:rsid w:val="00855669"/>
    <w:rsid w:val="00855717"/>
    <w:rsid w:val="0085573C"/>
    <w:rsid w:val="0085579C"/>
    <w:rsid w:val="008557C8"/>
    <w:rsid w:val="00855858"/>
    <w:rsid w:val="00855860"/>
    <w:rsid w:val="0085588D"/>
    <w:rsid w:val="008558A0"/>
    <w:rsid w:val="008558D8"/>
    <w:rsid w:val="0085594A"/>
    <w:rsid w:val="00855A26"/>
    <w:rsid w:val="00855A36"/>
    <w:rsid w:val="00855A3A"/>
    <w:rsid w:val="00855AE2"/>
    <w:rsid w:val="00855AE8"/>
    <w:rsid w:val="00855B04"/>
    <w:rsid w:val="00855B53"/>
    <w:rsid w:val="00855B7B"/>
    <w:rsid w:val="00855C11"/>
    <w:rsid w:val="00855C1D"/>
    <w:rsid w:val="00855CBD"/>
    <w:rsid w:val="00855CE0"/>
    <w:rsid w:val="00855DAA"/>
    <w:rsid w:val="00855DDE"/>
    <w:rsid w:val="00855DFD"/>
    <w:rsid w:val="00855E2E"/>
    <w:rsid w:val="00855F57"/>
    <w:rsid w:val="00855FE8"/>
    <w:rsid w:val="0085613E"/>
    <w:rsid w:val="00856173"/>
    <w:rsid w:val="00856183"/>
    <w:rsid w:val="008561DB"/>
    <w:rsid w:val="00856227"/>
    <w:rsid w:val="0085623F"/>
    <w:rsid w:val="00856275"/>
    <w:rsid w:val="008562A0"/>
    <w:rsid w:val="008562C4"/>
    <w:rsid w:val="0085630C"/>
    <w:rsid w:val="00856342"/>
    <w:rsid w:val="008564A7"/>
    <w:rsid w:val="008564A9"/>
    <w:rsid w:val="00856534"/>
    <w:rsid w:val="008565E7"/>
    <w:rsid w:val="0085662B"/>
    <w:rsid w:val="00856673"/>
    <w:rsid w:val="0085669C"/>
    <w:rsid w:val="00856765"/>
    <w:rsid w:val="0085676F"/>
    <w:rsid w:val="008567C3"/>
    <w:rsid w:val="00856801"/>
    <w:rsid w:val="00856877"/>
    <w:rsid w:val="00856920"/>
    <w:rsid w:val="00856A0B"/>
    <w:rsid w:val="00856A61"/>
    <w:rsid w:val="00856AAF"/>
    <w:rsid w:val="00856ABE"/>
    <w:rsid w:val="00856AF2"/>
    <w:rsid w:val="00856B15"/>
    <w:rsid w:val="00856BB4"/>
    <w:rsid w:val="00856C47"/>
    <w:rsid w:val="00856E5A"/>
    <w:rsid w:val="00856E5D"/>
    <w:rsid w:val="00856F3D"/>
    <w:rsid w:val="00856F5B"/>
    <w:rsid w:val="00856F82"/>
    <w:rsid w:val="00857002"/>
    <w:rsid w:val="00857027"/>
    <w:rsid w:val="00857042"/>
    <w:rsid w:val="00857116"/>
    <w:rsid w:val="0085719B"/>
    <w:rsid w:val="0085743C"/>
    <w:rsid w:val="00857445"/>
    <w:rsid w:val="00857446"/>
    <w:rsid w:val="008574EC"/>
    <w:rsid w:val="008574F6"/>
    <w:rsid w:val="00857566"/>
    <w:rsid w:val="008575B2"/>
    <w:rsid w:val="0085760A"/>
    <w:rsid w:val="00857689"/>
    <w:rsid w:val="00857697"/>
    <w:rsid w:val="008577F5"/>
    <w:rsid w:val="00857803"/>
    <w:rsid w:val="0085782A"/>
    <w:rsid w:val="008579B6"/>
    <w:rsid w:val="008579E7"/>
    <w:rsid w:val="00857A44"/>
    <w:rsid w:val="00857A45"/>
    <w:rsid w:val="00857B8C"/>
    <w:rsid w:val="00857BA7"/>
    <w:rsid w:val="00857BB8"/>
    <w:rsid w:val="00857BDD"/>
    <w:rsid w:val="00857CC2"/>
    <w:rsid w:val="00857D81"/>
    <w:rsid w:val="00857E4E"/>
    <w:rsid w:val="00860037"/>
    <w:rsid w:val="00860082"/>
    <w:rsid w:val="00860083"/>
    <w:rsid w:val="008600C2"/>
    <w:rsid w:val="00860216"/>
    <w:rsid w:val="00860251"/>
    <w:rsid w:val="00860356"/>
    <w:rsid w:val="00860388"/>
    <w:rsid w:val="008603D7"/>
    <w:rsid w:val="0086052C"/>
    <w:rsid w:val="00860551"/>
    <w:rsid w:val="00860633"/>
    <w:rsid w:val="008606AD"/>
    <w:rsid w:val="00860772"/>
    <w:rsid w:val="00860785"/>
    <w:rsid w:val="008607CC"/>
    <w:rsid w:val="00860826"/>
    <w:rsid w:val="008608E0"/>
    <w:rsid w:val="00860936"/>
    <w:rsid w:val="0086093C"/>
    <w:rsid w:val="00860973"/>
    <w:rsid w:val="008609B1"/>
    <w:rsid w:val="00860A00"/>
    <w:rsid w:val="00860A85"/>
    <w:rsid w:val="00860BEE"/>
    <w:rsid w:val="00860C3F"/>
    <w:rsid w:val="00860CA5"/>
    <w:rsid w:val="00860D32"/>
    <w:rsid w:val="00860D3D"/>
    <w:rsid w:val="00860DF6"/>
    <w:rsid w:val="00860E33"/>
    <w:rsid w:val="00860E6D"/>
    <w:rsid w:val="00860ED2"/>
    <w:rsid w:val="00860EEB"/>
    <w:rsid w:val="00860F34"/>
    <w:rsid w:val="00860FCC"/>
    <w:rsid w:val="0086101B"/>
    <w:rsid w:val="00861076"/>
    <w:rsid w:val="00861217"/>
    <w:rsid w:val="008612F5"/>
    <w:rsid w:val="008613D2"/>
    <w:rsid w:val="008613D4"/>
    <w:rsid w:val="00861582"/>
    <w:rsid w:val="00861633"/>
    <w:rsid w:val="008616B4"/>
    <w:rsid w:val="008616FC"/>
    <w:rsid w:val="00861860"/>
    <w:rsid w:val="0086188E"/>
    <w:rsid w:val="00861911"/>
    <w:rsid w:val="0086192A"/>
    <w:rsid w:val="0086192B"/>
    <w:rsid w:val="0086196A"/>
    <w:rsid w:val="00861A4B"/>
    <w:rsid w:val="00861B07"/>
    <w:rsid w:val="00861B0B"/>
    <w:rsid w:val="00861B14"/>
    <w:rsid w:val="00861B4A"/>
    <w:rsid w:val="00861C56"/>
    <w:rsid w:val="00861C8A"/>
    <w:rsid w:val="00861CBA"/>
    <w:rsid w:val="00861CDB"/>
    <w:rsid w:val="00861D22"/>
    <w:rsid w:val="00861DFA"/>
    <w:rsid w:val="00861E39"/>
    <w:rsid w:val="00861F9B"/>
    <w:rsid w:val="00861FFD"/>
    <w:rsid w:val="0086210D"/>
    <w:rsid w:val="00862116"/>
    <w:rsid w:val="0086216F"/>
    <w:rsid w:val="008621A2"/>
    <w:rsid w:val="008621CE"/>
    <w:rsid w:val="00862307"/>
    <w:rsid w:val="00862368"/>
    <w:rsid w:val="00862372"/>
    <w:rsid w:val="0086241C"/>
    <w:rsid w:val="008624BC"/>
    <w:rsid w:val="00862572"/>
    <w:rsid w:val="008625FF"/>
    <w:rsid w:val="00862635"/>
    <w:rsid w:val="008626B2"/>
    <w:rsid w:val="00862731"/>
    <w:rsid w:val="008627C5"/>
    <w:rsid w:val="00862876"/>
    <w:rsid w:val="008628BD"/>
    <w:rsid w:val="00862969"/>
    <w:rsid w:val="008629A3"/>
    <w:rsid w:val="00862B55"/>
    <w:rsid w:val="00862BD8"/>
    <w:rsid w:val="00862CB7"/>
    <w:rsid w:val="00862CBF"/>
    <w:rsid w:val="00862D2F"/>
    <w:rsid w:val="00862F62"/>
    <w:rsid w:val="00862F89"/>
    <w:rsid w:val="00863092"/>
    <w:rsid w:val="00863249"/>
    <w:rsid w:val="0086327C"/>
    <w:rsid w:val="00863284"/>
    <w:rsid w:val="008632EE"/>
    <w:rsid w:val="008632FA"/>
    <w:rsid w:val="00863355"/>
    <w:rsid w:val="00863428"/>
    <w:rsid w:val="008635B6"/>
    <w:rsid w:val="0086365C"/>
    <w:rsid w:val="008636BF"/>
    <w:rsid w:val="008636DC"/>
    <w:rsid w:val="00863730"/>
    <w:rsid w:val="00863825"/>
    <w:rsid w:val="008638C4"/>
    <w:rsid w:val="008638D4"/>
    <w:rsid w:val="008638FF"/>
    <w:rsid w:val="00863930"/>
    <w:rsid w:val="0086394C"/>
    <w:rsid w:val="0086399A"/>
    <w:rsid w:val="0086399C"/>
    <w:rsid w:val="008639A7"/>
    <w:rsid w:val="008639AB"/>
    <w:rsid w:val="00863B2A"/>
    <w:rsid w:val="00863B53"/>
    <w:rsid w:val="00863B87"/>
    <w:rsid w:val="00863BDB"/>
    <w:rsid w:val="00863BF1"/>
    <w:rsid w:val="00863C0E"/>
    <w:rsid w:val="00863D05"/>
    <w:rsid w:val="00863D1D"/>
    <w:rsid w:val="00863DF8"/>
    <w:rsid w:val="00863EBA"/>
    <w:rsid w:val="00863EEF"/>
    <w:rsid w:val="00863F7E"/>
    <w:rsid w:val="00863FBB"/>
    <w:rsid w:val="0086408D"/>
    <w:rsid w:val="008640D9"/>
    <w:rsid w:val="00864205"/>
    <w:rsid w:val="00864269"/>
    <w:rsid w:val="008642A7"/>
    <w:rsid w:val="008642A9"/>
    <w:rsid w:val="008642D8"/>
    <w:rsid w:val="0086433F"/>
    <w:rsid w:val="0086435F"/>
    <w:rsid w:val="0086437A"/>
    <w:rsid w:val="008643AA"/>
    <w:rsid w:val="008643B7"/>
    <w:rsid w:val="00864458"/>
    <w:rsid w:val="00864554"/>
    <w:rsid w:val="0086455F"/>
    <w:rsid w:val="00864661"/>
    <w:rsid w:val="0086468A"/>
    <w:rsid w:val="00864701"/>
    <w:rsid w:val="0086470F"/>
    <w:rsid w:val="00864737"/>
    <w:rsid w:val="008647D4"/>
    <w:rsid w:val="00864801"/>
    <w:rsid w:val="0086488E"/>
    <w:rsid w:val="008648DC"/>
    <w:rsid w:val="00864913"/>
    <w:rsid w:val="00864AD7"/>
    <w:rsid w:val="00864B3B"/>
    <w:rsid w:val="00864B64"/>
    <w:rsid w:val="00864CFA"/>
    <w:rsid w:val="00864E1B"/>
    <w:rsid w:val="00864E87"/>
    <w:rsid w:val="00864E8A"/>
    <w:rsid w:val="00864F91"/>
    <w:rsid w:val="00864F9B"/>
    <w:rsid w:val="00864FAF"/>
    <w:rsid w:val="00865000"/>
    <w:rsid w:val="0086512D"/>
    <w:rsid w:val="00865194"/>
    <w:rsid w:val="00865222"/>
    <w:rsid w:val="00865305"/>
    <w:rsid w:val="0086532C"/>
    <w:rsid w:val="00865386"/>
    <w:rsid w:val="00865388"/>
    <w:rsid w:val="00865437"/>
    <w:rsid w:val="00865460"/>
    <w:rsid w:val="00865475"/>
    <w:rsid w:val="008654A3"/>
    <w:rsid w:val="008654D1"/>
    <w:rsid w:val="0086551A"/>
    <w:rsid w:val="0086554C"/>
    <w:rsid w:val="0086558C"/>
    <w:rsid w:val="00865650"/>
    <w:rsid w:val="00865654"/>
    <w:rsid w:val="008656C0"/>
    <w:rsid w:val="0086570F"/>
    <w:rsid w:val="0086571B"/>
    <w:rsid w:val="0086575D"/>
    <w:rsid w:val="00865768"/>
    <w:rsid w:val="00865811"/>
    <w:rsid w:val="00865846"/>
    <w:rsid w:val="00865857"/>
    <w:rsid w:val="008658BC"/>
    <w:rsid w:val="0086594C"/>
    <w:rsid w:val="008659D0"/>
    <w:rsid w:val="00865A7F"/>
    <w:rsid w:val="00865AFF"/>
    <w:rsid w:val="00865B15"/>
    <w:rsid w:val="00865B5C"/>
    <w:rsid w:val="00865C88"/>
    <w:rsid w:val="00865D5B"/>
    <w:rsid w:val="00865E22"/>
    <w:rsid w:val="00865E68"/>
    <w:rsid w:val="00865FF3"/>
    <w:rsid w:val="00865FF5"/>
    <w:rsid w:val="00866028"/>
    <w:rsid w:val="00866059"/>
    <w:rsid w:val="008661AA"/>
    <w:rsid w:val="008662C9"/>
    <w:rsid w:val="0086639E"/>
    <w:rsid w:val="008663DE"/>
    <w:rsid w:val="008665C0"/>
    <w:rsid w:val="00866685"/>
    <w:rsid w:val="00866735"/>
    <w:rsid w:val="00866768"/>
    <w:rsid w:val="008668CA"/>
    <w:rsid w:val="0086691C"/>
    <w:rsid w:val="008669C7"/>
    <w:rsid w:val="00866A04"/>
    <w:rsid w:val="00866B32"/>
    <w:rsid w:val="00866B34"/>
    <w:rsid w:val="00866B71"/>
    <w:rsid w:val="00866BA2"/>
    <w:rsid w:val="00866CDB"/>
    <w:rsid w:val="00866D06"/>
    <w:rsid w:val="00866D17"/>
    <w:rsid w:val="00866D6C"/>
    <w:rsid w:val="00866DFF"/>
    <w:rsid w:val="00866E15"/>
    <w:rsid w:val="00866E1E"/>
    <w:rsid w:val="00866E30"/>
    <w:rsid w:val="00866E43"/>
    <w:rsid w:val="00866E8D"/>
    <w:rsid w:val="00866ECA"/>
    <w:rsid w:val="00866F07"/>
    <w:rsid w:val="00866F80"/>
    <w:rsid w:val="0086706B"/>
    <w:rsid w:val="008670D1"/>
    <w:rsid w:val="008670DB"/>
    <w:rsid w:val="0086710D"/>
    <w:rsid w:val="0086718F"/>
    <w:rsid w:val="008671CC"/>
    <w:rsid w:val="00867242"/>
    <w:rsid w:val="00867251"/>
    <w:rsid w:val="0086726F"/>
    <w:rsid w:val="008672AB"/>
    <w:rsid w:val="008672C6"/>
    <w:rsid w:val="00867361"/>
    <w:rsid w:val="008673A4"/>
    <w:rsid w:val="008673E6"/>
    <w:rsid w:val="00867486"/>
    <w:rsid w:val="008674C6"/>
    <w:rsid w:val="0086765F"/>
    <w:rsid w:val="00867700"/>
    <w:rsid w:val="00867709"/>
    <w:rsid w:val="00867715"/>
    <w:rsid w:val="00867A30"/>
    <w:rsid w:val="00867A46"/>
    <w:rsid w:val="00867A4D"/>
    <w:rsid w:val="00867A9C"/>
    <w:rsid w:val="00867ACF"/>
    <w:rsid w:val="00867AF3"/>
    <w:rsid w:val="00867CDE"/>
    <w:rsid w:val="00867D4D"/>
    <w:rsid w:val="00867D99"/>
    <w:rsid w:val="00867E06"/>
    <w:rsid w:val="00867E22"/>
    <w:rsid w:val="00867E2B"/>
    <w:rsid w:val="00867EA2"/>
    <w:rsid w:val="00870059"/>
    <w:rsid w:val="00870188"/>
    <w:rsid w:val="0087020D"/>
    <w:rsid w:val="0087033F"/>
    <w:rsid w:val="00870341"/>
    <w:rsid w:val="00870394"/>
    <w:rsid w:val="008705E7"/>
    <w:rsid w:val="00870649"/>
    <w:rsid w:val="00870766"/>
    <w:rsid w:val="00870847"/>
    <w:rsid w:val="00870856"/>
    <w:rsid w:val="0087091B"/>
    <w:rsid w:val="0087093F"/>
    <w:rsid w:val="0087099F"/>
    <w:rsid w:val="008709BD"/>
    <w:rsid w:val="008709BF"/>
    <w:rsid w:val="00870B50"/>
    <w:rsid w:val="00870B8C"/>
    <w:rsid w:val="00870B8D"/>
    <w:rsid w:val="00870B90"/>
    <w:rsid w:val="00870DE8"/>
    <w:rsid w:val="00870E9F"/>
    <w:rsid w:val="00870FB9"/>
    <w:rsid w:val="00871047"/>
    <w:rsid w:val="008710ED"/>
    <w:rsid w:val="008712CE"/>
    <w:rsid w:val="00871356"/>
    <w:rsid w:val="00871386"/>
    <w:rsid w:val="0087163A"/>
    <w:rsid w:val="0087169C"/>
    <w:rsid w:val="008716CD"/>
    <w:rsid w:val="00871768"/>
    <w:rsid w:val="00871902"/>
    <w:rsid w:val="00871921"/>
    <w:rsid w:val="00871A3A"/>
    <w:rsid w:val="00871A3E"/>
    <w:rsid w:val="00871B7D"/>
    <w:rsid w:val="00871BD4"/>
    <w:rsid w:val="00871C01"/>
    <w:rsid w:val="00871C93"/>
    <w:rsid w:val="00871CD9"/>
    <w:rsid w:val="00871D12"/>
    <w:rsid w:val="00871D4F"/>
    <w:rsid w:val="00871D97"/>
    <w:rsid w:val="00871EBE"/>
    <w:rsid w:val="00871F35"/>
    <w:rsid w:val="00871F98"/>
    <w:rsid w:val="00872087"/>
    <w:rsid w:val="00872131"/>
    <w:rsid w:val="008721F0"/>
    <w:rsid w:val="00872236"/>
    <w:rsid w:val="008722D0"/>
    <w:rsid w:val="008722F7"/>
    <w:rsid w:val="0087234A"/>
    <w:rsid w:val="008723B0"/>
    <w:rsid w:val="008723B6"/>
    <w:rsid w:val="008723F7"/>
    <w:rsid w:val="008724C1"/>
    <w:rsid w:val="00872515"/>
    <w:rsid w:val="0087263A"/>
    <w:rsid w:val="0087264D"/>
    <w:rsid w:val="008726E1"/>
    <w:rsid w:val="00872700"/>
    <w:rsid w:val="00872701"/>
    <w:rsid w:val="00872744"/>
    <w:rsid w:val="00872877"/>
    <w:rsid w:val="00872897"/>
    <w:rsid w:val="008728BA"/>
    <w:rsid w:val="0087296E"/>
    <w:rsid w:val="00872A8C"/>
    <w:rsid w:val="00872BBD"/>
    <w:rsid w:val="00872BEE"/>
    <w:rsid w:val="00872C31"/>
    <w:rsid w:val="00872CDE"/>
    <w:rsid w:val="00872CEE"/>
    <w:rsid w:val="00872DAA"/>
    <w:rsid w:val="00872E21"/>
    <w:rsid w:val="00872F1E"/>
    <w:rsid w:val="00872FF3"/>
    <w:rsid w:val="008731E0"/>
    <w:rsid w:val="00873246"/>
    <w:rsid w:val="00873269"/>
    <w:rsid w:val="008732E6"/>
    <w:rsid w:val="0087332E"/>
    <w:rsid w:val="00873429"/>
    <w:rsid w:val="008734A6"/>
    <w:rsid w:val="008734D6"/>
    <w:rsid w:val="00873597"/>
    <w:rsid w:val="0087364C"/>
    <w:rsid w:val="00873688"/>
    <w:rsid w:val="008736A8"/>
    <w:rsid w:val="00873700"/>
    <w:rsid w:val="0087372A"/>
    <w:rsid w:val="0087372B"/>
    <w:rsid w:val="0087375B"/>
    <w:rsid w:val="00873785"/>
    <w:rsid w:val="00873821"/>
    <w:rsid w:val="00873836"/>
    <w:rsid w:val="00873901"/>
    <w:rsid w:val="00873908"/>
    <w:rsid w:val="0087393E"/>
    <w:rsid w:val="008739C5"/>
    <w:rsid w:val="00873AAE"/>
    <w:rsid w:val="00873AC2"/>
    <w:rsid w:val="00873AD0"/>
    <w:rsid w:val="00873B70"/>
    <w:rsid w:val="00873D70"/>
    <w:rsid w:val="00873E40"/>
    <w:rsid w:val="00873EBD"/>
    <w:rsid w:val="00873F01"/>
    <w:rsid w:val="00873F96"/>
    <w:rsid w:val="00873FCC"/>
    <w:rsid w:val="00873FDF"/>
    <w:rsid w:val="00873FE8"/>
    <w:rsid w:val="00874115"/>
    <w:rsid w:val="00874155"/>
    <w:rsid w:val="00874192"/>
    <w:rsid w:val="00874235"/>
    <w:rsid w:val="00874238"/>
    <w:rsid w:val="0087429A"/>
    <w:rsid w:val="008742C8"/>
    <w:rsid w:val="008744BE"/>
    <w:rsid w:val="00874504"/>
    <w:rsid w:val="0087450D"/>
    <w:rsid w:val="00874512"/>
    <w:rsid w:val="00874552"/>
    <w:rsid w:val="008745F5"/>
    <w:rsid w:val="008746C9"/>
    <w:rsid w:val="008746F5"/>
    <w:rsid w:val="00874766"/>
    <w:rsid w:val="008748B2"/>
    <w:rsid w:val="008748D0"/>
    <w:rsid w:val="00874902"/>
    <w:rsid w:val="00874969"/>
    <w:rsid w:val="0087498E"/>
    <w:rsid w:val="008749B7"/>
    <w:rsid w:val="008749D1"/>
    <w:rsid w:val="00874A4D"/>
    <w:rsid w:val="00874AE6"/>
    <w:rsid w:val="00874AF8"/>
    <w:rsid w:val="00874B20"/>
    <w:rsid w:val="00874C7B"/>
    <w:rsid w:val="00874C7D"/>
    <w:rsid w:val="00874CAE"/>
    <w:rsid w:val="00874D22"/>
    <w:rsid w:val="00874D23"/>
    <w:rsid w:val="00874E36"/>
    <w:rsid w:val="00874ED7"/>
    <w:rsid w:val="00874F37"/>
    <w:rsid w:val="00874F3C"/>
    <w:rsid w:val="00874F51"/>
    <w:rsid w:val="00874FA7"/>
    <w:rsid w:val="00875109"/>
    <w:rsid w:val="00875167"/>
    <w:rsid w:val="0087523C"/>
    <w:rsid w:val="008752CE"/>
    <w:rsid w:val="008752D6"/>
    <w:rsid w:val="0087532A"/>
    <w:rsid w:val="0087533A"/>
    <w:rsid w:val="00875379"/>
    <w:rsid w:val="008753B8"/>
    <w:rsid w:val="0087555F"/>
    <w:rsid w:val="00875616"/>
    <w:rsid w:val="008757C2"/>
    <w:rsid w:val="008757D6"/>
    <w:rsid w:val="00875828"/>
    <w:rsid w:val="0087586D"/>
    <w:rsid w:val="008758AF"/>
    <w:rsid w:val="00875988"/>
    <w:rsid w:val="008759EE"/>
    <w:rsid w:val="00875A13"/>
    <w:rsid w:val="00875A2E"/>
    <w:rsid w:val="00875A56"/>
    <w:rsid w:val="00875AB8"/>
    <w:rsid w:val="00875C12"/>
    <w:rsid w:val="00875C99"/>
    <w:rsid w:val="00875D15"/>
    <w:rsid w:val="00875DD2"/>
    <w:rsid w:val="00875E0C"/>
    <w:rsid w:val="00875EB4"/>
    <w:rsid w:val="00875F33"/>
    <w:rsid w:val="00875FAD"/>
    <w:rsid w:val="00875FC6"/>
    <w:rsid w:val="00876038"/>
    <w:rsid w:val="0087603D"/>
    <w:rsid w:val="00876220"/>
    <w:rsid w:val="008762D9"/>
    <w:rsid w:val="00876308"/>
    <w:rsid w:val="00876371"/>
    <w:rsid w:val="00876394"/>
    <w:rsid w:val="008763E9"/>
    <w:rsid w:val="00876453"/>
    <w:rsid w:val="00876473"/>
    <w:rsid w:val="0087666D"/>
    <w:rsid w:val="00876753"/>
    <w:rsid w:val="00876819"/>
    <w:rsid w:val="00876820"/>
    <w:rsid w:val="00876865"/>
    <w:rsid w:val="008768B6"/>
    <w:rsid w:val="00876A4F"/>
    <w:rsid w:val="00876AC5"/>
    <w:rsid w:val="00876AE7"/>
    <w:rsid w:val="00876B89"/>
    <w:rsid w:val="00876BFE"/>
    <w:rsid w:val="00876CCD"/>
    <w:rsid w:val="00876D21"/>
    <w:rsid w:val="00876DBC"/>
    <w:rsid w:val="00876DEB"/>
    <w:rsid w:val="00876E90"/>
    <w:rsid w:val="00876EA6"/>
    <w:rsid w:val="00876EFC"/>
    <w:rsid w:val="00876F03"/>
    <w:rsid w:val="00876F5B"/>
    <w:rsid w:val="00876F8A"/>
    <w:rsid w:val="0087701D"/>
    <w:rsid w:val="008770CF"/>
    <w:rsid w:val="00877110"/>
    <w:rsid w:val="00877116"/>
    <w:rsid w:val="00877161"/>
    <w:rsid w:val="0087718D"/>
    <w:rsid w:val="00877197"/>
    <w:rsid w:val="008772BD"/>
    <w:rsid w:val="008772FA"/>
    <w:rsid w:val="0087733A"/>
    <w:rsid w:val="00877377"/>
    <w:rsid w:val="008773C0"/>
    <w:rsid w:val="008773C6"/>
    <w:rsid w:val="008774B0"/>
    <w:rsid w:val="00877525"/>
    <w:rsid w:val="0087752F"/>
    <w:rsid w:val="008775ED"/>
    <w:rsid w:val="0087770C"/>
    <w:rsid w:val="00877721"/>
    <w:rsid w:val="00877771"/>
    <w:rsid w:val="008777B8"/>
    <w:rsid w:val="008777D7"/>
    <w:rsid w:val="008777EE"/>
    <w:rsid w:val="00877941"/>
    <w:rsid w:val="00877977"/>
    <w:rsid w:val="00877A61"/>
    <w:rsid w:val="00877A6C"/>
    <w:rsid w:val="00877A71"/>
    <w:rsid w:val="00877AED"/>
    <w:rsid w:val="00877B26"/>
    <w:rsid w:val="00877B6A"/>
    <w:rsid w:val="00877BEC"/>
    <w:rsid w:val="00877C48"/>
    <w:rsid w:val="00877C95"/>
    <w:rsid w:val="00877E5C"/>
    <w:rsid w:val="00877ED6"/>
    <w:rsid w:val="00877F45"/>
    <w:rsid w:val="00877F69"/>
    <w:rsid w:val="00877FEA"/>
    <w:rsid w:val="00880165"/>
    <w:rsid w:val="008801EE"/>
    <w:rsid w:val="008802F6"/>
    <w:rsid w:val="008802FB"/>
    <w:rsid w:val="00880339"/>
    <w:rsid w:val="00880352"/>
    <w:rsid w:val="00880372"/>
    <w:rsid w:val="00880538"/>
    <w:rsid w:val="008805B8"/>
    <w:rsid w:val="00880636"/>
    <w:rsid w:val="0088065D"/>
    <w:rsid w:val="00880744"/>
    <w:rsid w:val="008807A7"/>
    <w:rsid w:val="0088082A"/>
    <w:rsid w:val="0088086A"/>
    <w:rsid w:val="0088093C"/>
    <w:rsid w:val="00880981"/>
    <w:rsid w:val="008809BA"/>
    <w:rsid w:val="008809C3"/>
    <w:rsid w:val="008809C7"/>
    <w:rsid w:val="00880AF7"/>
    <w:rsid w:val="00880C73"/>
    <w:rsid w:val="00880C8B"/>
    <w:rsid w:val="00880D0D"/>
    <w:rsid w:val="00880D81"/>
    <w:rsid w:val="00880DE0"/>
    <w:rsid w:val="00880EAC"/>
    <w:rsid w:val="00880EBB"/>
    <w:rsid w:val="00880F8B"/>
    <w:rsid w:val="00880FA9"/>
    <w:rsid w:val="00880FEC"/>
    <w:rsid w:val="0088101D"/>
    <w:rsid w:val="008810CE"/>
    <w:rsid w:val="008811C0"/>
    <w:rsid w:val="00881299"/>
    <w:rsid w:val="008812DE"/>
    <w:rsid w:val="008812FB"/>
    <w:rsid w:val="00881318"/>
    <w:rsid w:val="0088134E"/>
    <w:rsid w:val="00881360"/>
    <w:rsid w:val="00881373"/>
    <w:rsid w:val="0088137F"/>
    <w:rsid w:val="00881420"/>
    <w:rsid w:val="00881472"/>
    <w:rsid w:val="008814A5"/>
    <w:rsid w:val="0088152C"/>
    <w:rsid w:val="0088154A"/>
    <w:rsid w:val="0088160B"/>
    <w:rsid w:val="008816B3"/>
    <w:rsid w:val="008816E1"/>
    <w:rsid w:val="0088173D"/>
    <w:rsid w:val="00881765"/>
    <w:rsid w:val="008818D6"/>
    <w:rsid w:val="0088199D"/>
    <w:rsid w:val="008819CC"/>
    <w:rsid w:val="00881AD0"/>
    <w:rsid w:val="00881BCA"/>
    <w:rsid w:val="00881CA1"/>
    <w:rsid w:val="00881DEB"/>
    <w:rsid w:val="00881E11"/>
    <w:rsid w:val="00881FD6"/>
    <w:rsid w:val="00881FE4"/>
    <w:rsid w:val="0088202E"/>
    <w:rsid w:val="008820CF"/>
    <w:rsid w:val="008821A0"/>
    <w:rsid w:val="00882234"/>
    <w:rsid w:val="00882241"/>
    <w:rsid w:val="00882275"/>
    <w:rsid w:val="008822D7"/>
    <w:rsid w:val="0088233E"/>
    <w:rsid w:val="0088237E"/>
    <w:rsid w:val="008824D4"/>
    <w:rsid w:val="0088253F"/>
    <w:rsid w:val="00882609"/>
    <w:rsid w:val="0088260D"/>
    <w:rsid w:val="008826B3"/>
    <w:rsid w:val="008826F5"/>
    <w:rsid w:val="00882739"/>
    <w:rsid w:val="008828FE"/>
    <w:rsid w:val="008829BF"/>
    <w:rsid w:val="00882A89"/>
    <w:rsid w:val="00882A94"/>
    <w:rsid w:val="00882B3E"/>
    <w:rsid w:val="00882BED"/>
    <w:rsid w:val="00882CA5"/>
    <w:rsid w:val="00882D2D"/>
    <w:rsid w:val="00882D49"/>
    <w:rsid w:val="00882DA1"/>
    <w:rsid w:val="00882DCA"/>
    <w:rsid w:val="00882DCD"/>
    <w:rsid w:val="00882E0E"/>
    <w:rsid w:val="00882E14"/>
    <w:rsid w:val="00882E48"/>
    <w:rsid w:val="00882E5E"/>
    <w:rsid w:val="00882F92"/>
    <w:rsid w:val="0088304B"/>
    <w:rsid w:val="0088305E"/>
    <w:rsid w:val="0088317B"/>
    <w:rsid w:val="008831B7"/>
    <w:rsid w:val="008831D3"/>
    <w:rsid w:val="008832AA"/>
    <w:rsid w:val="008832EA"/>
    <w:rsid w:val="0088330B"/>
    <w:rsid w:val="0088339C"/>
    <w:rsid w:val="00883598"/>
    <w:rsid w:val="00883692"/>
    <w:rsid w:val="0088369B"/>
    <w:rsid w:val="008837C8"/>
    <w:rsid w:val="00883883"/>
    <w:rsid w:val="00883884"/>
    <w:rsid w:val="008839BB"/>
    <w:rsid w:val="00883A50"/>
    <w:rsid w:val="00883A72"/>
    <w:rsid w:val="00883B45"/>
    <w:rsid w:val="00883B4F"/>
    <w:rsid w:val="00883BD9"/>
    <w:rsid w:val="00883C89"/>
    <w:rsid w:val="00883CBC"/>
    <w:rsid w:val="00883DC8"/>
    <w:rsid w:val="00883F2E"/>
    <w:rsid w:val="00883FAE"/>
    <w:rsid w:val="00884049"/>
    <w:rsid w:val="008841A1"/>
    <w:rsid w:val="00884483"/>
    <w:rsid w:val="00884499"/>
    <w:rsid w:val="008844B3"/>
    <w:rsid w:val="0088452B"/>
    <w:rsid w:val="00884549"/>
    <w:rsid w:val="008845B0"/>
    <w:rsid w:val="008845F2"/>
    <w:rsid w:val="0088464A"/>
    <w:rsid w:val="0088466E"/>
    <w:rsid w:val="0088467A"/>
    <w:rsid w:val="008846EC"/>
    <w:rsid w:val="008847E8"/>
    <w:rsid w:val="008848B8"/>
    <w:rsid w:val="008848C5"/>
    <w:rsid w:val="00884960"/>
    <w:rsid w:val="00884999"/>
    <w:rsid w:val="008849A6"/>
    <w:rsid w:val="00884A23"/>
    <w:rsid w:val="00884B25"/>
    <w:rsid w:val="00884BD9"/>
    <w:rsid w:val="00884D98"/>
    <w:rsid w:val="00884DBB"/>
    <w:rsid w:val="00884E0F"/>
    <w:rsid w:val="00884E29"/>
    <w:rsid w:val="00884F53"/>
    <w:rsid w:val="00885041"/>
    <w:rsid w:val="00885090"/>
    <w:rsid w:val="00885175"/>
    <w:rsid w:val="008851AA"/>
    <w:rsid w:val="008851E2"/>
    <w:rsid w:val="0088529F"/>
    <w:rsid w:val="008852F2"/>
    <w:rsid w:val="008853C4"/>
    <w:rsid w:val="0088541A"/>
    <w:rsid w:val="00885440"/>
    <w:rsid w:val="00885450"/>
    <w:rsid w:val="00885454"/>
    <w:rsid w:val="008854C0"/>
    <w:rsid w:val="008855E6"/>
    <w:rsid w:val="00885746"/>
    <w:rsid w:val="00885761"/>
    <w:rsid w:val="0088586F"/>
    <w:rsid w:val="0088589A"/>
    <w:rsid w:val="00885A5F"/>
    <w:rsid w:val="00885A91"/>
    <w:rsid w:val="00885B06"/>
    <w:rsid w:val="00885B76"/>
    <w:rsid w:val="00885B89"/>
    <w:rsid w:val="00885C13"/>
    <w:rsid w:val="00885C29"/>
    <w:rsid w:val="00885C60"/>
    <w:rsid w:val="00885DDB"/>
    <w:rsid w:val="00885E60"/>
    <w:rsid w:val="00885F15"/>
    <w:rsid w:val="00885F6E"/>
    <w:rsid w:val="00885F8D"/>
    <w:rsid w:val="00885F9B"/>
    <w:rsid w:val="00885FAA"/>
    <w:rsid w:val="0088601B"/>
    <w:rsid w:val="0088606E"/>
    <w:rsid w:val="008860E6"/>
    <w:rsid w:val="008860E8"/>
    <w:rsid w:val="00886163"/>
    <w:rsid w:val="0088617E"/>
    <w:rsid w:val="008862F6"/>
    <w:rsid w:val="0088633A"/>
    <w:rsid w:val="00886377"/>
    <w:rsid w:val="008863B6"/>
    <w:rsid w:val="00886410"/>
    <w:rsid w:val="00886412"/>
    <w:rsid w:val="008864B3"/>
    <w:rsid w:val="0088652E"/>
    <w:rsid w:val="008865E9"/>
    <w:rsid w:val="008866C9"/>
    <w:rsid w:val="00886709"/>
    <w:rsid w:val="0088670D"/>
    <w:rsid w:val="00886780"/>
    <w:rsid w:val="008867D6"/>
    <w:rsid w:val="008867EA"/>
    <w:rsid w:val="00886884"/>
    <w:rsid w:val="008868A5"/>
    <w:rsid w:val="008868DC"/>
    <w:rsid w:val="0088690F"/>
    <w:rsid w:val="008869DC"/>
    <w:rsid w:val="00886A13"/>
    <w:rsid w:val="00886A35"/>
    <w:rsid w:val="00886C9E"/>
    <w:rsid w:val="00886CAB"/>
    <w:rsid w:val="00886D12"/>
    <w:rsid w:val="00886D25"/>
    <w:rsid w:val="00886DF9"/>
    <w:rsid w:val="00886E3D"/>
    <w:rsid w:val="00886E83"/>
    <w:rsid w:val="00886F41"/>
    <w:rsid w:val="00887042"/>
    <w:rsid w:val="0088705E"/>
    <w:rsid w:val="00887148"/>
    <w:rsid w:val="0088716A"/>
    <w:rsid w:val="00887220"/>
    <w:rsid w:val="00887228"/>
    <w:rsid w:val="0088732B"/>
    <w:rsid w:val="008873DF"/>
    <w:rsid w:val="0088741C"/>
    <w:rsid w:val="0088743E"/>
    <w:rsid w:val="00887445"/>
    <w:rsid w:val="0088749C"/>
    <w:rsid w:val="008874A1"/>
    <w:rsid w:val="00887617"/>
    <w:rsid w:val="0088772B"/>
    <w:rsid w:val="00887792"/>
    <w:rsid w:val="008877A2"/>
    <w:rsid w:val="0088784A"/>
    <w:rsid w:val="0088788C"/>
    <w:rsid w:val="00887900"/>
    <w:rsid w:val="00887944"/>
    <w:rsid w:val="008879BA"/>
    <w:rsid w:val="00887A33"/>
    <w:rsid w:val="00887BBA"/>
    <w:rsid w:val="00887CBC"/>
    <w:rsid w:val="00887D21"/>
    <w:rsid w:val="00887DA2"/>
    <w:rsid w:val="00887DAE"/>
    <w:rsid w:val="00887DCB"/>
    <w:rsid w:val="00887E83"/>
    <w:rsid w:val="00887F0C"/>
    <w:rsid w:val="00887F22"/>
    <w:rsid w:val="00887F44"/>
    <w:rsid w:val="00887F47"/>
    <w:rsid w:val="00890016"/>
    <w:rsid w:val="00890030"/>
    <w:rsid w:val="00890099"/>
    <w:rsid w:val="008900C6"/>
    <w:rsid w:val="00890115"/>
    <w:rsid w:val="0089017B"/>
    <w:rsid w:val="008901CF"/>
    <w:rsid w:val="008901E7"/>
    <w:rsid w:val="0089024E"/>
    <w:rsid w:val="00890274"/>
    <w:rsid w:val="00890344"/>
    <w:rsid w:val="008903DC"/>
    <w:rsid w:val="00890427"/>
    <w:rsid w:val="008905F7"/>
    <w:rsid w:val="008905FA"/>
    <w:rsid w:val="0089068C"/>
    <w:rsid w:val="00890890"/>
    <w:rsid w:val="008908C9"/>
    <w:rsid w:val="008908FA"/>
    <w:rsid w:val="00890A6F"/>
    <w:rsid w:val="00890A82"/>
    <w:rsid w:val="00890B11"/>
    <w:rsid w:val="00890BB0"/>
    <w:rsid w:val="00890C89"/>
    <w:rsid w:val="00890D2E"/>
    <w:rsid w:val="00890DCF"/>
    <w:rsid w:val="00890E4F"/>
    <w:rsid w:val="00890E61"/>
    <w:rsid w:val="00890E88"/>
    <w:rsid w:val="00890ED6"/>
    <w:rsid w:val="00890F10"/>
    <w:rsid w:val="00890F17"/>
    <w:rsid w:val="00891071"/>
    <w:rsid w:val="0089117D"/>
    <w:rsid w:val="008911B5"/>
    <w:rsid w:val="008911ED"/>
    <w:rsid w:val="00891366"/>
    <w:rsid w:val="00891368"/>
    <w:rsid w:val="008913F3"/>
    <w:rsid w:val="0089142A"/>
    <w:rsid w:val="008914D2"/>
    <w:rsid w:val="0089156A"/>
    <w:rsid w:val="00891662"/>
    <w:rsid w:val="00891686"/>
    <w:rsid w:val="00891725"/>
    <w:rsid w:val="0089185C"/>
    <w:rsid w:val="008918EB"/>
    <w:rsid w:val="0089193F"/>
    <w:rsid w:val="0089194A"/>
    <w:rsid w:val="0089196B"/>
    <w:rsid w:val="0089196C"/>
    <w:rsid w:val="00891991"/>
    <w:rsid w:val="00891996"/>
    <w:rsid w:val="00891A2A"/>
    <w:rsid w:val="00891AD5"/>
    <w:rsid w:val="00891C72"/>
    <w:rsid w:val="00891C9D"/>
    <w:rsid w:val="00891D3D"/>
    <w:rsid w:val="00891E50"/>
    <w:rsid w:val="00891F8B"/>
    <w:rsid w:val="00891FA4"/>
    <w:rsid w:val="0089204E"/>
    <w:rsid w:val="008920CD"/>
    <w:rsid w:val="00892132"/>
    <w:rsid w:val="00892160"/>
    <w:rsid w:val="008921D7"/>
    <w:rsid w:val="008921F7"/>
    <w:rsid w:val="008921F8"/>
    <w:rsid w:val="0089220B"/>
    <w:rsid w:val="00892270"/>
    <w:rsid w:val="0089229B"/>
    <w:rsid w:val="008922CA"/>
    <w:rsid w:val="008922CB"/>
    <w:rsid w:val="008923E9"/>
    <w:rsid w:val="00892494"/>
    <w:rsid w:val="008924BB"/>
    <w:rsid w:val="00892591"/>
    <w:rsid w:val="008925F4"/>
    <w:rsid w:val="00892614"/>
    <w:rsid w:val="0089263A"/>
    <w:rsid w:val="008926DB"/>
    <w:rsid w:val="0089273A"/>
    <w:rsid w:val="00892755"/>
    <w:rsid w:val="008927F6"/>
    <w:rsid w:val="0089289D"/>
    <w:rsid w:val="008928DB"/>
    <w:rsid w:val="00892918"/>
    <w:rsid w:val="00892929"/>
    <w:rsid w:val="00892A85"/>
    <w:rsid w:val="00892AE5"/>
    <w:rsid w:val="00892AF4"/>
    <w:rsid w:val="00892B5C"/>
    <w:rsid w:val="00892B7A"/>
    <w:rsid w:val="00892B7B"/>
    <w:rsid w:val="00892BA8"/>
    <w:rsid w:val="00892BC5"/>
    <w:rsid w:val="00892BE4"/>
    <w:rsid w:val="00892CEA"/>
    <w:rsid w:val="00892D09"/>
    <w:rsid w:val="00892DB3"/>
    <w:rsid w:val="00892E24"/>
    <w:rsid w:val="00892EBE"/>
    <w:rsid w:val="00892EFC"/>
    <w:rsid w:val="00892F13"/>
    <w:rsid w:val="00892F1B"/>
    <w:rsid w:val="00892F22"/>
    <w:rsid w:val="00892FB9"/>
    <w:rsid w:val="00893099"/>
    <w:rsid w:val="008930B5"/>
    <w:rsid w:val="008930D1"/>
    <w:rsid w:val="0089312A"/>
    <w:rsid w:val="00893180"/>
    <w:rsid w:val="00893206"/>
    <w:rsid w:val="00893227"/>
    <w:rsid w:val="0089327F"/>
    <w:rsid w:val="008932BA"/>
    <w:rsid w:val="008932DB"/>
    <w:rsid w:val="00893310"/>
    <w:rsid w:val="00893358"/>
    <w:rsid w:val="00893486"/>
    <w:rsid w:val="008934F3"/>
    <w:rsid w:val="00893595"/>
    <w:rsid w:val="0089359C"/>
    <w:rsid w:val="00893687"/>
    <w:rsid w:val="008936A2"/>
    <w:rsid w:val="008936D0"/>
    <w:rsid w:val="00893792"/>
    <w:rsid w:val="008937BC"/>
    <w:rsid w:val="008937BE"/>
    <w:rsid w:val="008938AE"/>
    <w:rsid w:val="00893921"/>
    <w:rsid w:val="00893993"/>
    <w:rsid w:val="00893ABA"/>
    <w:rsid w:val="00893AD1"/>
    <w:rsid w:val="00893B42"/>
    <w:rsid w:val="00893B43"/>
    <w:rsid w:val="00893C36"/>
    <w:rsid w:val="00893C99"/>
    <w:rsid w:val="00893DF9"/>
    <w:rsid w:val="00893ECA"/>
    <w:rsid w:val="00893F63"/>
    <w:rsid w:val="00893F68"/>
    <w:rsid w:val="008942B4"/>
    <w:rsid w:val="008942EE"/>
    <w:rsid w:val="0089433B"/>
    <w:rsid w:val="0089438B"/>
    <w:rsid w:val="008943F9"/>
    <w:rsid w:val="00894523"/>
    <w:rsid w:val="00894551"/>
    <w:rsid w:val="00894711"/>
    <w:rsid w:val="008947EF"/>
    <w:rsid w:val="00894804"/>
    <w:rsid w:val="00894874"/>
    <w:rsid w:val="008948CF"/>
    <w:rsid w:val="008948DB"/>
    <w:rsid w:val="0089494A"/>
    <w:rsid w:val="0089495C"/>
    <w:rsid w:val="00894965"/>
    <w:rsid w:val="008949FC"/>
    <w:rsid w:val="00894A37"/>
    <w:rsid w:val="00894A65"/>
    <w:rsid w:val="00894B3F"/>
    <w:rsid w:val="00894BE8"/>
    <w:rsid w:val="00894D5C"/>
    <w:rsid w:val="00894D67"/>
    <w:rsid w:val="00894E85"/>
    <w:rsid w:val="00894E9F"/>
    <w:rsid w:val="00894EA3"/>
    <w:rsid w:val="00894FB6"/>
    <w:rsid w:val="00895050"/>
    <w:rsid w:val="008950C0"/>
    <w:rsid w:val="008950E9"/>
    <w:rsid w:val="0089515A"/>
    <w:rsid w:val="00895191"/>
    <w:rsid w:val="00895213"/>
    <w:rsid w:val="0089530E"/>
    <w:rsid w:val="008953A5"/>
    <w:rsid w:val="008954A6"/>
    <w:rsid w:val="008955C1"/>
    <w:rsid w:val="00895605"/>
    <w:rsid w:val="0089561D"/>
    <w:rsid w:val="00895625"/>
    <w:rsid w:val="00895651"/>
    <w:rsid w:val="008956FA"/>
    <w:rsid w:val="00895725"/>
    <w:rsid w:val="00895802"/>
    <w:rsid w:val="00895952"/>
    <w:rsid w:val="00895A50"/>
    <w:rsid w:val="00895A92"/>
    <w:rsid w:val="00895BAC"/>
    <w:rsid w:val="00895BE6"/>
    <w:rsid w:val="00895D67"/>
    <w:rsid w:val="00895D9E"/>
    <w:rsid w:val="00895E71"/>
    <w:rsid w:val="00895EBF"/>
    <w:rsid w:val="00895F9D"/>
    <w:rsid w:val="0089607B"/>
    <w:rsid w:val="0089608B"/>
    <w:rsid w:val="008960B4"/>
    <w:rsid w:val="0089614D"/>
    <w:rsid w:val="008961BB"/>
    <w:rsid w:val="00896275"/>
    <w:rsid w:val="008962B0"/>
    <w:rsid w:val="008963E9"/>
    <w:rsid w:val="0089643A"/>
    <w:rsid w:val="0089646D"/>
    <w:rsid w:val="00896475"/>
    <w:rsid w:val="008964B5"/>
    <w:rsid w:val="0089653F"/>
    <w:rsid w:val="0089657C"/>
    <w:rsid w:val="0089659F"/>
    <w:rsid w:val="00896648"/>
    <w:rsid w:val="0089671B"/>
    <w:rsid w:val="00896763"/>
    <w:rsid w:val="008967CC"/>
    <w:rsid w:val="00896806"/>
    <w:rsid w:val="0089685D"/>
    <w:rsid w:val="008968A6"/>
    <w:rsid w:val="008969B5"/>
    <w:rsid w:val="00896A74"/>
    <w:rsid w:val="00896A75"/>
    <w:rsid w:val="00896B08"/>
    <w:rsid w:val="00896B9B"/>
    <w:rsid w:val="00896C3E"/>
    <w:rsid w:val="00896C5D"/>
    <w:rsid w:val="00896D0B"/>
    <w:rsid w:val="00896D3D"/>
    <w:rsid w:val="00896DF8"/>
    <w:rsid w:val="00896EBC"/>
    <w:rsid w:val="00896F7C"/>
    <w:rsid w:val="0089700D"/>
    <w:rsid w:val="00897025"/>
    <w:rsid w:val="008970B3"/>
    <w:rsid w:val="008970B8"/>
    <w:rsid w:val="0089715C"/>
    <w:rsid w:val="00897168"/>
    <w:rsid w:val="008972CC"/>
    <w:rsid w:val="008972EB"/>
    <w:rsid w:val="00897332"/>
    <w:rsid w:val="0089733D"/>
    <w:rsid w:val="008973CE"/>
    <w:rsid w:val="0089746C"/>
    <w:rsid w:val="008974B9"/>
    <w:rsid w:val="00897525"/>
    <w:rsid w:val="0089754F"/>
    <w:rsid w:val="00897644"/>
    <w:rsid w:val="008976F6"/>
    <w:rsid w:val="008977CD"/>
    <w:rsid w:val="008978C6"/>
    <w:rsid w:val="008978E9"/>
    <w:rsid w:val="0089792B"/>
    <w:rsid w:val="0089794D"/>
    <w:rsid w:val="00897951"/>
    <w:rsid w:val="0089798B"/>
    <w:rsid w:val="008979A0"/>
    <w:rsid w:val="008979BF"/>
    <w:rsid w:val="00897AFB"/>
    <w:rsid w:val="00897C1F"/>
    <w:rsid w:val="00897DA3"/>
    <w:rsid w:val="00897DF7"/>
    <w:rsid w:val="00897E13"/>
    <w:rsid w:val="00897E31"/>
    <w:rsid w:val="00897E8B"/>
    <w:rsid w:val="00897F06"/>
    <w:rsid w:val="00898D8A"/>
    <w:rsid w:val="008A0129"/>
    <w:rsid w:val="008A014F"/>
    <w:rsid w:val="008A0163"/>
    <w:rsid w:val="008A01AA"/>
    <w:rsid w:val="008A0267"/>
    <w:rsid w:val="008A02CF"/>
    <w:rsid w:val="008A0374"/>
    <w:rsid w:val="008A04BA"/>
    <w:rsid w:val="008A05D4"/>
    <w:rsid w:val="008A05DD"/>
    <w:rsid w:val="008A05F0"/>
    <w:rsid w:val="008A05F6"/>
    <w:rsid w:val="008A062F"/>
    <w:rsid w:val="008A068A"/>
    <w:rsid w:val="008A0696"/>
    <w:rsid w:val="008A06E5"/>
    <w:rsid w:val="008A0725"/>
    <w:rsid w:val="008A0756"/>
    <w:rsid w:val="008A0783"/>
    <w:rsid w:val="008A07E4"/>
    <w:rsid w:val="008A07ED"/>
    <w:rsid w:val="008A0900"/>
    <w:rsid w:val="008A096B"/>
    <w:rsid w:val="008A0A4F"/>
    <w:rsid w:val="008A0AAD"/>
    <w:rsid w:val="008A0B24"/>
    <w:rsid w:val="008A0B42"/>
    <w:rsid w:val="008A0B79"/>
    <w:rsid w:val="008A0BA3"/>
    <w:rsid w:val="008A0BE2"/>
    <w:rsid w:val="008A0D22"/>
    <w:rsid w:val="008A0D95"/>
    <w:rsid w:val="008A0D9A"/>
    <w:rsid w:val="008A0EDB"/>
    <w:rsid w:val="008A0F31"/>
    <w:rsid w:val="008A0F49"/>
    <w:rsid w:val="008A1066"/>
    <w:rsid w:val="008A115E"/>
    <w:rsid w:val="008A1291"/>
    <w:rsid w:val="008A12C0"/>
    <w:rsid w:val="008A13B7"/>
    <w:rsid w:val="008A13FB"/>
    <w:rsid w:val="008A1420"/>
    <w:rsid w:val="008A1469"/>
    <w:rsid w:val="008A14C2"/>
    <w:rsid w:val="008A1512"/>
    <w:rsid w:val="008A1602"/>
    <w:rsid w:val="008A169E"/>
    <w:rsid w:val="008A174B"/>
    <w:rsid w:val="008A1826"/>
    <w:rsid w:val="008A1896"/>
    <w:rsid w:val="008A1967"/>
    <w:rsid w:val="008A199A"/>
    <w:rsid w:val="008A1A8B"/>
    <w:rsid w:val="008A1ADA"/>
    <w:rsid w:val="008A1C53"/>
    <w:rsid w:val="008A1CEE"/>
    <w:rsid w:val="008A1D1F"/>
    <w:rsid w:val="008A1D7C"/>
    <w:rsid w:val="008A1DB9"/>
    <w:rsid w:val="008A1E3C"/>
    <w:rsid w:val="008A1E9C"/>
    <w:rsid w:val="008A1F54"/>
    <w:rsid w:val="008A1FA0"/>
    <w:rsid w:val="008A1FA8"/>
    <w:rsid w:val="008A1FF4"/>
    <w:rsid w:val="008A2176"/>
    <w:rsid w:val="008A2227"/>
    <w:rsid w:val="008A2258"/>
    <w:rsid w:val="008A22E3"/>
    <w:rsid w:val="008A2354"/>
    <w:rsid w:val="008A2391"/>
    <w:rsid w:val="008A23F2"/>
    <w:rsid w:val="008A2467"/>
    <w:rsid w:val="008A247F"/>
    <w:rsid w:val="008A2529"/>
    <w:rsid w:val="008A2538"/>
    <w:rsid w:val="008A2619"/>
    <w:rsid w:val="008A2655"/>
    <w:rsid w:val="008A26C4"/>
    <w:rsid w:val="008A2716"/>
    <w:rsid w:val="008A273F"/>
    <w:rsid w:val="008A2789"/>
    <w:rsid w:val="008A27E1"/>
    <w:rsid w:val="008A2822"/>
    <w:rsid w:val="008A2827"/>
    <w:rsid w:val="008A28BE"/>
    <w:rsid w:val="008A28C2"/>
    <w:rsid w:val="008A2914"/>
    <w:rsid w:val="008A297A"/>
    <w:rsid w:val="008A29B9"/>
    <w:rsid w:val="008A2AA0"/>
    <w:rsid w:val="008A2AE3"/>
    <w:rsid w:val="008A2AED"/>
    <w:rsid w:val="008A2B27"/>
    <w:rsid w:val="008A2BB6"/>
    <w:rsid w:val="008A2C07"/>
    <w:rsid w:val="008A2C5B"/>
    <w:rsid w:val="008A2D57"/>
    <w:rsid w:val="008A2DD6"/>
    <w:rsid w:val="008A2DF1"/>
    <w:rsid w:val="008A2E27"/>
    <w:rsid w:val="008A2E69"/>
    <w:rsid w:val="008A2EE3"/>
    <w:rsid w:val="008A2F2E"/>
    <w:rsid w:val="008A2F6D"/>
    <w:rsid w:val="008A2FED"/>
    <w:rsid w:val="008A3002"/>
    <w:rsid w:val="008A3073"/>
    <w:rsid w:val="008A3078"/>
    <w:rsid w:val="008A30C1"/>
    <w:rsid w:val="008A30D5"/>
    <w:rsid w:val="008A3179"/>
    <w:rsid w:val="008A326F"/>
    <w:rsid w:val="008A340F"/>
    <w:rsid w:val="008A345E"/>
    <w:rsid w:val="008A35A2"/>
    <w:rsid w:val="008A35FB"/>
    <w:rsid w:val="008A3621"/>
    <w:rsid w:val="008A3629"/>
    <w:rsid w:val="008A3653"/>
    <w:rsid w:val="008A3695"/>
    <w:rsid w:val="008A38A1"/>
    <w:rsid w:val="008A38E3"/>
    <w:rsid w:val="008A392D"/>
    <w:rsid w:val="008A3991"/>
    <w:rsid w:val="008A39C1"/>
    <w:rsid w:val="008A39EE"/>
    <w:rsid w:val="008A3AA1"/>
    <w:rsid w:val="008A3B02"/>
    <w:rsid w:val="008A3BD5"/>
    <w:rsid w:val="008A3C0B"/>
    <w:rsid w:val="008A3C55"/>
    <w:rsid w:val="008A3C64"/>
    <w:rsid w:val="008A3DA8"/>
    <w:rsid w:val="008A3E29"/>
    <w:rsid w:val="008A3E35"/>
    <w:rsid w:val="008A3E47"/>
    <w:rsid w:val="008A3EC8"/>
    <w:rsid w:val="008A3FF3"/>
    <w:rsid w:val="008A4147"/>
    <w:rsid w:val="008A418B"/>
    <w:rsid w:val="008A4207"/>
    <w:rsid w:val="008A421D"/>
    <w:rsid w:val="008A4238"/>
    <w:rsid w:val="008A4276"/>
    <w:rsid w:val="008A42B5"/>
    <w:rsid w:val="008A42E2"/>
    <w:rsid w:val="008A43EE"/>
    <w:rsid w:val="008A44AE"/>
    <w:rsid w:val="008A45A8"/>
    <w:rsid w:val="008A4695"/>
    <w:rsid w:val="008A46C4"/>
    <w:rsid w:val="008A472C"/>
    <w:rsid w:val="008A47A4"/>
    <w:rsid w:val="008A47E5"/>
    <w:rsid w:val="008A4848"/>
    <w:rsid w:val="008A48FE"/>
    <w:rsid w:val="008A493E"/>
    <w:rsid w:val="008A4C3A"/>
    <w:rsid w:val="008A4D16"/>
    <w:rsid w:val="008A4D85"/>
    <w:rsid w:val="008A4E26"/>
    <w:rsid w:val="008A4E28"/>
    <w:rsid w:val="008A4E63"/>
    <w:rsid w:val="008A4EDF"/>
    <w:rsid w:val="008A4F73"/>
    <w:rsid w:val="008A4FE3"/>
    <w:rsid w:val="008A5083"/>
    <w:rsid w:val="008A50D5"/>
    <w:rsid w:val="008A51F5"/>
    <w:rsid w:val="008A528D"/>
    <w:rsid w:val="008A532C"/>
    <w:rsid w:val="008A538D"/>
    <w:rsid w:val="008A540A"/>
    <w:rsid w:val="008A548C"/>
    <w:rsid w:val="008A54E0"/>
    <w:rsid w:val="008A5509"/>
    <w:rsid w:val="008A567B"/>
    <w:rsid w:val="008A56C8"/>
    <w:rsid w:val="008A56D1"/>
    <w:rsid w:val="008A579B"/>
    <w:rsid w:val="008A58EE"/>
    <w:rsid w:val="008A59C2"/>
    <w:rsid w:val="008A5AEF"/>
    <w:rsid w:val="008A5BAD"/>
    <w:rsid w:val="008A5BB7"/>
    <w:rsid w:val="008A5C5C"/>
    <w:rsid w:val="008A5C86"/>
    <w:rsid w:val="008A5CC9"/>
    <w:rsid w:val="008A5D01"/>
    <w:rsid w:val="008A5DCC"/>
    <w:rsid w:val="008A5EC0"/>
    <w:rsid w:val="008A5F5D"/>
    <w:rsid w:val="008A5F99"/>
    <w:rsid w:val="008A6132"/>
    <w:rsid w:val="008A622D"/>
    <w:rsid w:val="008A64E1"/>
    <w:rsid w:val="008A6566"/>
    <w:rsid w:val="008A65B8"/>
    <w:rsid w:val="008A660B"/>
    <w:rsid w:val="008A6813"/>
    <w:rsid w:val="008A6816"/>
    <w:rsid w:val="008A687A"/>
    <w:rsid w:val="008A6A8D"/>
    <w:rsid w:val="008A6AFB"/>
    <w:rsid w:val="008A6B31"/>
    <w:rsid w:val="008A6BFD"/>
    <w:rsid w:val="008A6C06"/>
    <w:rsid w:val="008A6C56"/>
    <w:rsid w:val="008A6CEC"/>
    <w:rsid w:val="008A6D21"/>
    <w:rsid w:val="008A6D23"/>
    <w:rsid w:val="008A6D46"/>
    <w:rsid w:val="008A6D56"/>
    <w:rsid w:val="008A6DA0"/>
    <w:rsid w:val="008A6E3A"/>
    <w:rsid w:val="008A6EBA"/>
    <w:rsid w:val="008A6F9A"/>
    <w:rsid w:val="008A6FCA"/>
    <w:rsid w:val="008A702F"/>
    <w:rsid w:val="008A706F"/>
    <w:rsid w:val="008A70B9"/>
    <w:rsid w:val="008A70F8"/>
    <w:rsid w:val="008A7128"/>
    <w:rsid w:val="008A7146"/>
    <w:rsid w:val="008A718A"/>
    <w:rsid w:val="008A71E4"/>
    <w:rsid w:val="008A7300"/>
    <w:rsid w:val="008A731E"/>
    <w:rsid w:val="008A7326"/>
    <w:rsid w:val="008A732E"/>
    <w:rsid w:val="008A7348"/>
    <w:rsid w:val="008A7349"/>
    <w:rsid w:val="008A73CA"/>
    <w:rsid w:val="008A7442"/>
    <w:rsid w:val="008A7482"/>
    <w:rsid w:val="008A7509"/>
    <w:rsid w:val="008A7523"/>
    <w:rsid w:val="008A753D"/>
    <w:rsid w:val="008A758F"/>
    <w:rsid w:val="008A75A7"/>
    <w:rsid w:val="008A760D"/>
    <w:rsid w:val="008A7634"/>
    <w:rsid w:val="008A7637"/>
    <w:rsid w:val="008A764E"/>
    <w:rsid w:val="008A76B6"/>
    <w:rsid w:val="008A773C"/>
    <w:rsid w:val="008A77D7"/>
    <w:rsid w:val="008A784E"/>
    <w:rsid w:val="008A7989"/>
    <w:rsid w:val="008A7AA4"/>
    <w:rsid w:val="008A7B2D"/>
    <w:rsid w:val="008A7B67"/>
    <w:rsid w:val="008A7B8F"/>
    <w:rsid w:val="008A7BC3"/>
    <w:rsid w:val="008A7D04"/>
    <w:rsid w:val="008A7D2B"/>
    <w:rsid w:val="008A7D50"/>
    <w:rsid w:val="008A7E22"/>
    <w:rsid w:val="008A7FD6"/>
    <w:rsid w:val="008B007F"/>
    <w:rsid w:val="008B0080"/>
    <w:rsid w:val="008B014A"/>
    <w:rsid w:val="008B02A4"/>
    <w:rsid w:val="008B03D8"/>
    <w:rsid w:val="008B049C"/>
    <w:rsid w:val="008B04B6"/>
    <w:rsid w:val="008B06F6"/>
    <w:rsid w:val="008B0758"/>
    <w:rsid w:val="008B079E"/>
    <w:rsid w:val="008B09A6"/>
    <w:rsid w:val="008B09E8"/>
    <w:rsid w:val="008B09FF"/>
    <w:rsid w:val="008B0A16"/>
    <w:rsid w:val="008B0A74"/>
    <w:rsid w:val="008B0AAD"/>
    <w:rsid w:val="008B0ABB"/>
    <w:rsid w:val="008B0AEA"/>
    <w:rsid w:val="008B0BD2"/>
    <w:rsid w:val="008B0C18"/>
    <w:rsid w:val="008B0D40"/>
    <w:rsid w:val="008B0D4E"/>
    <w:rsid w:val="008B0E0C"/>
    <w:rsid w:val="008B0E2E"/>
    <w:rsid w:val="008B0E7B"/>
    <w:rsid w:val="008B0E86"/>
    <w:rsid w:val="008B102B"/>
    <w:rsid w:val="008B102C"/>
    <w:rsid w:val="008B10B1"/>
    <w:rsid w:val="008B10F1"/>
    <w:rsid w:val="008B1121"/>
    <w:rsid w:val="008B1176"/>
    <w:rsid w:val="008B1183"/>
    <w:rsid w:val="008B11FD"/>
    <w:rsid w:val="008B1352"/>
    <w:rsid w:val="008B156D"/>
    <w:rsid w:val="008B165F"/>
    <w:rsid w:val="008B1688"/>
    <w:rsid w:val="008B17D4"/>
    <w:rsid w:val="008B18F4"/>
    <w:rsid w:val="008B1998"/>
    <w:rsid w:val="008B1AC9"/>
    <w:rsid w:val="008B1B4C"/>
    <w:rsid w:val="008B1BAD"/>
    <w:rsid w:val="008B1C7F"/>
    <w:rsid w:val="008B1D14"/>
    <w:rsid w:val="008B1D4D"/>
    <w:rsid w:val="008B1E79"/>
    <w:rsid w:val="008B1F1B"/>
    <w:rsid w:val="008B1F80"/>
    <w:rsid w:val="008B1FC8"/>
    <w:rsid w:val="008B1FD5"/>
    <w:rsid w:val="008B214D"/>
    <w:rsid w:val="008B215A"/>
    <w:rsid w:val="008B21DB"/>
    <w:rsid w:val="008B2251"/>
    <w:rsid w:val="008B2299"/>
    <w:rsid w:val="008B24E2"/>
    <w:rsid w:val="008B24EF"/>
    <w:rsid w:val="008B24F6"/>
    <w:rsid w:val="008B250C"/>
    <w:rsid w:val="008B2593"/>
    <w:rsid w:val="008B25BD"/>
    <w:rsid w:val="008B25CA"/>
    <w:rsid w:val="008B26D3"/>
    <w:rsid w:val="008B26E7"/>
    <w:rsid w:val="008B27B4"/>
    <w:rsid w:val="008B282D"/>
    <w:rsid w:val="008B2932"/>
    <w:rsid w:val="008B2954"/>
    <w:rsid w:val="008B2998"/>
    <w:rsid w:val="008B29CF"/>
    <w:rsid w:val="008B29DC"/>
    <w:rsid w:val="008B2A0B"/>
    <w:rsid w:val="008B2A49"/>
    <w:rsid w:val="008B2AE6"/>
    <w:rsid w:val="008B2B38"/>
    <w:rsid w:val="008B2BB6"/>
    <w:rsid w:val="008B2BBF"/>
    <w:rsid w:val="008B2CD8"/>
    <w:rsid w:val="008B2D56"/>
    <w:rsid w:val="008B2E23"/>
    <w:rsid w:val="008B2E42"/>
    <w:rsid w:val="008B2F0A"/>
    <w:rsid w:val="008B2F1F"/>
    <w:rsid w:val="008B2F31"/>
    <w:rsid w:val="008B2F6F"/>
    <w:rsid w:val="008B2FAE"/>
    <w:rsid w:val="008B30FD"/>
    <w:rsid w:val="008B31FE"/>
    <w:rsid w:val="008B325A"/>
    <w:rsid w:val="008B3288"/>
    <w:rsid w:val="008B3298"/>
    <w:rsid w:val="008B3374"/>
    <w:rsid w:val="008B3445"/>
    <w:rsid w:val="008B34C7"/>
    <w:rsid w:val="008B355E"/>
    <w:rsid w:val="008B3578"/>
    <w:rsid w:val="008B35EA"/>
    <w:rsid w:val="008B3664"/>
    <w:rsid w:val="008B368B"/>
    <w:rsid w:val="008B3748"/>
    <w:rsid w:val="008B385F"/>
    <w:rsid w:val="008B3874"/>
    <w:rsid w:val="008B38AA"/>
    <w:rsid w:val="008B3930"/>
    <w:rsid w:val="008B3A50"/>
    <w:rsid w:val="008B3A82"/>
    <w:rsid w:val="008B3AA2"/>
    <w:rsid w:val="008B3F04"/>
    <w:rsid w:val="008B3F2E"/>
    <w:rsid w:val="008B3FA5"/>
    <w:rsid w:val="008B3FD7"/>
    <w:rsid w:val="008B4084"/>
    <w:rsid w:val="008B409D"/>
    <w:rsid w:val="008B40E4"/>
    <w:rsid w:val="008B4119"/>
    <w:rsid w:val="008B411B"/>
    <w:rsid w:val="008B4190"/>
    <w:rsid w:val="008B4196"/>
    <w:rsid w:val="008B41BB"/>
    <w:rsid w:val="008B41E5"/>
    <w:rsid w:val="008B41F4"/>
    <w:rsid w:val="008B4280"/>
    <w:rsid w:val="008B4287"/>
    <w:rsid w:val="008B46AD"/>
    <w:rsid w:val="008B4759"/>
    <w:rsid w:val="008B4794"/>
    <w:rsid w:val="008B4825"/>
    <w:rsid w:val="008B4840"/>
    <w:rsid w:val="008B4924"/>
    <w:rsid w:val="008B4930"/>
    <w:rsid w:val="008B4993"/>
    <w:rsid w:val="008B49D1"/>
    <w:rsid w:val="008B4A02"/>
    <w:rsid w:val="008B4ABB"/>
    <w:rsid w:val="008B4AE4"/>
    <w:rsid w:val="008B4AF6"/>
    <w:rsid w:val="008B4BC1"/>
    <w:rsid w:val="008B4C4D"/>
    <w:rsid w:val="008B4C9D"/>
    <w:rsid w:val="008B4DCC"/>
    <w:rsid w:val="008B4DDD"/>
    <w:rsid w:val="008B4DF8"/>
    <w:rsid w:val="008B4ED7"/>
    <w:rsid w:val="008B502D"/>
    <w:rsid w:val="008B5064"/>
    <w:rsid w:val="008B5080"/>
    <w:rsid w:val="008B5089"/>
    <w:rsid w:val="008B5214"/>
    <w:rsid w:val="008B53A3"/>
    <w:rsid w:val="008B5458"/>
    <w:rsid w:val="008B5490"/>
    <w:rsid w:val="008B54A1"/>
    <w:rsid w:val="008B5589"/>
    <w:rsid w:val="008B55C5"/>
    <w:rsid w:val="008B5602"/>
    <w:rsid w:val="008B56BE"/>
    <w:rsid w:val="008B56DF"/>
    <w:rsid w:val="008B5702"/>
    <w:rsid w:val="008B570E"/>
    <w:rsid w:val="008B5745"/>
    <w:rsid w:val="008B574D"/>
    <w:rsid w:val="008B583E"/>
    <w:rsid w:val="008B5861"/>
    <w:rsid w:val="008B597D"/>
    <w:rsid w:val="008B59B8"/>
    <w:rsid w:val="008B59D9"/>
    <w:rsid w:val="008B5AE3"/>
    <w:rsid w:val="008B5B28"/>
    <w:rsid w:val="008B5B63"/>
    <w:rsid w:val="008B5BA6"/>
    <w:rsid w:val="008B5C05"/>
    <w:rsid w:val="008B5C7B"/>
    <w:rsid w:val="008B5DA7"/>
    <w:rsid w:val="008B5E3E"/>
    <w:rsid w:val="008B5EB2"/>
    <w:rsid w:val="008B5EF1"/>
    <w:rsid w:val="008B5F18"/>
    <w:rsid w:val="008B5F1D"/>
    <w:rsid w:val="008B5F81"/>
    <w:rsid w:val="008B5F97"/>
    <w:rsid w:val="008B6105"/>
    <w:rsid w:val="008B6271"/>
    <w:rsid w:val="008B63EC"/>
    <w:rsid w:val="008B6470"/>
    <w:rsid w:val="008B6545"/>
    <w:rsid w:val="008B65F9"/>
    <w:rsid w:val="008B6676"/>
    <w:rsid w:val="008B677D"/>
    <w:rsid w:val="008B6874"/>
    <w:rsid w:val="008B688D"/>
    <w:rsid w:val="008B6902"/>
    <w:rsid w:val="008B6A1E"/>
    <w:rsid w:val="008B6A98"/>
    <w:rsid w:val="008B6B0D"/>
    <w:rsid w:val="008B6B87"/>
    <w:rsid w:val="008B6BF4"/>
    <w:rsid w:val="008B6CA7"/>
    <w:rsid w:val="008B6CE3"/>
    <w:rsid w:val="008B6D28"/>
    <w:rsid w:val="008B6F6E"/>
    <w:rsid w:val="008B6FC6"/>
    <w:rsid w:val="008B70EA"/>
    <w:rsid w:val="008B7111"/>
    <w:rsid w:val="008B719A"/>
    <w:rsid w:val="008B719F"/>
    <w:rsid w:val="008B7236"/>
    <w:rsid w:val="008B72F3"/>
    <w:rsid w:val="008B737F"/>
    <w:rsid w:val="008B7391"/>
    <w:rsid w:val="008B73F5"/>
    <w:rsid w:val="008B7431"/>
    <w:rsid w:val="008B749C"/>
    <w:rsid w:val="008B750F"/>
    <w:rsid w:val="008B756F"/>
    <w:rsid w:val="008B76FB"/>
    <w:rsid w:val="008B76FC"/>
    <w:rsid w:val="008B7719"/>
    <w:rsid w:val="008B77E2"/>
    <w:rsid w:val="008B77F7"/>
    <w:rsid w:val="008B7837"/>
    <w:rsid w:val="008B7923"/>
    <w:rsid w:val="008B7977"/>
    <w:rsid w:val="008B7983"/>
    <w:rsid w:val="008B79CD"/>
    <w:rsid w:val="008B7AEB"/>
    <w:rsid w:val="008B7B7A"/>
    <w:rsid w:val="008B7C37"/>
    <w:rsid w:val="008B7CF8"/>
    <w:rsid w:val="008B7D43"/>
    <w:rsid w:val="008B7D92"/>
    <w:rsid w:val="008B7E06"/>
    <w:rsid w:val="008C0066"/>
    <w:rsid w:val="008C00E8"/>
    <w:rsid w:val="008C011D"/>
    <w:rsid w:val="008C01BB"/>
    <w:rsid w:val="008C01EC"/>
    <w:rsid w:val="008C020D"/>
    <w:rsid w:val="008C0227"/>
    <w:rsid w:val="008C02AE"/>
    <w:rsid w:val="008C0320"/>
    <w:rsid w:val="008C0344"/>
    <w:rsid w:val="008C03C4"/>
    <w:rsid w:val="008C041E"/>
    <w:rsid w:val="008C051B"/>
    <w:rsid w:val="008C051D"/>
    <w:rsid w:val="008C056D"/>
    <w:rsid w:val="008C0589"/>
    <w:rsid w:val="008C0595"/>
    <w:rsid w:val="008C05B7"/>
    <w:rsid w:val="008C0601"/>
    <w:rsid w:val="008C062E"/>
    <w:rsid w:val="008C0656"/>
    <w:rsid w:val="008C0657"/>
    <w:rsid w:val="008C067B"/>
    <w:rsid w:val="008C0689"/>
    <w:rsid w:val="008C0773"/>
    <w:rsid w:val="008C086A"/>
    <w:rsid w:val="008C087C"/>
    <w:rsid w:val="008C094B"/>
    <w:rsid w:val="008C0983"/>
    <w:rsid w:val="008C098D"/>
    <w:rsid w:val="008C0A5C"/>
    <w:rsid w:val="008C0A63"/>
    <w:rsid w:val="008C0B01"/>
    <w:rsid w:val="008C0B0A"/>
    <w:rsid w:val="008C0B41"/>
    <w:rsid w:val="008C0BE0"/>
    <w:rsid w:val="008C0C2D"/>
    <w:rsid w:val="008C0C72"/>
    <w:rsid w:val="008C0C8F"/>
    <w:rsid w:val="008C0C9A"/>
    <w:rsid w:val="008C0D27"/>
    <w:rsid w:val="008C0DD3"/>
    <w:rsid w:val="008C0F99"/>
    <w:rsid w:val="008C10D0"/>
    <w:rsid w:val="008C114E"/>
    <w:rsid w:val="008C11DF"/>
    <w:rsid w:val="008C11E4"/>
    <w:rsid w:val="008C121E"/>
    <w:rsid w:val="008C12DB"/>
    <w:rsid w:val="008C135A"/>
    <w:rsid w:val="008C13AD"/>
    <w:rsid w:val="008C141A"/>
    <w:rsid w:val="008C1450"/>
    <w:rsid w:val="008C14A6"/>
    <w:rsid w:val="008C155F"/>
    <w:rsid w:val="008C1576"/>
    <w:rsid w:val="008C15A7"/>
    <w:rsid w:val="008C15CE"/>
    <w:rsid w:val="008C1618"/>
    <w:rsid w:val="008C1638"/>
    <w:rsid w:val="008C165D"/>
    <w:rsid w:val="008C1667"/>
    <w:rsid w:val="008C166F"/>
    <w:rsid w:val="008C16AC"/>
    <w:rsid w:val="008C16C9"/>
    <w:rsid w:val="008C16DB"/>
    <w:rsid w:val="008C175F"/>
    <w:rsid w:val="008C1767"/>
    <w:rsid w:val="008C17EB"/>
    <w:rsid w:val="008C18D2"/>
    <w:rsid w:val="008C1917"/>
    <w:rsid w:val="008C19CC"/>
    <w:rsid w:val="008C1CCE"/>
    <w:rsid w:val="008C1CD6"/>
    <w:rsid w:val="008C1CEE"/>
    <w:rsid w:val="008C1D10"/>
    <w:rsid w:val="008C1E04"/>
    <w:rsid w:val="008C1F9B"/>
    <w:rsid w:val="008C1FAB"/>
    <w:rsid w:val="008C1FC3"/>
    <w:rsid w:val="008C1FEF"/>
    <w:rsid w:val="008C202F"/>
    <w:rsid w:val="008C207B"/>
    <w:rsid w:val="008C20F6"/>
    <w:rsid w:val="008C2130"/>
    <w:rsid w:val="008C214D"/>
    <w:rsid w:val="008C2154"/>
    <w:rsid w:val="008C21D8"/>
    <w:rsid w:val="008C21F5"/>
    <w:rsid w:val="008C2283"/>
    <w:rsid w:val="008C23A3"/>
    <w:rsid w:val="008C23C3"/>
    <w:rsid w:val="008C23D6"/>
    <w:rsid w:val="008C256A"/>
    <w:rsid w:val="008C25C5"/>
    <w:rsid w:val="008C2612"/>
    <w:rsid w:val="008C2629"/>
    <w:rsid w:val="008C263B"/>
    <w:rsid w:val="008C2717"/>
    <w:rsid w:val="008C2741"/>
    <w:rsid w:val="008C27A7"/>
    <w:rsid w:val="008C2803"/>
    <w:rsid w:val="008C280D"/>
    <w:rsid w:val="008C286D"/>
    <w:rsid w:val="008C2925"/>
    <w:rsid w:val="008C2A14"/>
    <w:rsid w:val="008C2AA4"/>
    <w:rsid w:val="008C2BAA"/>
    <w:rsid w:val="008C2C21"/>
    <w:rsid w:val="008C2C31"/>
    <w:rsid w:val="008C2C64"/>
    <w:rsid w:val="008C2C9B"/>
    <w:rsid w:val="008C2CDA"/>
    <w:rsid w:val="008C2D69"/>
    <w:rsid w:val="008C2E34"/>
    <w:rsid w:val="008C2E6D"/>
    <w:rsid w:val="008C2E96"/>
    <w:rsid w:val="008C2EB4"/>
    <w:rsid w:val="008C2F00"/>
    <w:rsid w:val="008C2F6A"/>
    <w:rsid w:val="008C2FD2"/>
    <w:rsid w:val="008C304F"/>
    <w:rsid w:val="008C306B"/>
    <w:rsid w:val="008C3078"/>
    <w:rsid w:val="008C309A"/>
    <w:rsid w:val="008C30B6"/>
    <w:rsid w:val="008C3168"/>
    <w:rsid w:val="008C3177"/>
    <w:rsid w:val="008C32E4"/>
    <w:rsid w:val="008C331D"/>
    <w:rsid w:val="008C33F6"/>
    <w:rsid w:val="008C350A"/>
    <w:rsid w:val="008C360C"/>
    <w:rsid w:val="008C3626"/>
    <w:rsid w:val="008C362E"/>
    <w:rsid w:val="008C3684"/>
    <w:rsid w:val="008C377C"/>
    <w:rsid w:val="008C37D0"/>
    <w:rsid w:val="008C37FA"/>
    <w:rsid w:val="008C3890"/>
    <w:rsid w:val="008C38CE"/>
    <w:rsid w:val="008C38D5"/>
    <w:rsid w:val="008C3960"/>
    <w:rsid w:val="008C3989"/>
    <w:rsid w:val="008C3AAA"/>
    <w:rsid w:val="008C3B04"/>
    <w:rsid w:val="008C3BEC"/>
    <w:rsid w:val="008C3C73"/>
    <w:rsid w:val="008C3CCB"/>
    <w:rsid w:val="008C3E14"/>
    <w:rsid w:val="008C3E51"/>
    <w:rsid w:val="008C3E75"/>
    <w:rsid w:val="008C4017"/>
    <w:rsid w:val="008C4032"/>
    <w:rsid w:val="008C40DE"/>
    <w:rsid w:val="008C40EC"/>
    <w:rsid w:val="008C4203"/>
    <w:rsid w:val="008C423C"/>
    <w:rsid w:val="008C4273"/>
    <w:rsid w:val="008C4296"/>
    <w:rsid w:val="008C43C0"/>
    <w:rsid w:val="008C4416"/>
    <w:rsid w:val="008C44BD"/>
    <w:rsid w:val="008C44C9"/>
    <w:rsid w:val="008C44FE"/>
    <w:rsid w:val="008C46DC"/>
    <w:rsid w:val="008C472E"/>
    <w:rsid w:val="008C4767"/>
    <w:rsid w:val="008C4793"/>
    <w:rsid w:val="008C479F"/>
    <w:rsid w:val="008C47DF"/>
    <w:rsid w:val="008C48B0"/>
    <w:rsid w:val="008C49B7"/>
    <w:rsid w:val="008C4A51"/>
    <w:rsid w:val="008C4B33"/>
    <w:rsid w:val="008C4B35"/>
    <w:rsid w:val="008C4B53"/>
    <w:rsid w:val="008C4BB5"/>
    <w:rsid w:val="008C4BC3"/>
    <w:rsid w:val="008C4BD8"/>
    <w:rsid w:val="008C4BFA"/>
    <w:rsid w:val="008C4C53"/>
    <w:rsid w:val="008C4CEC"/>
    <w:rsid w:val="008C4DE6"/>
    <w:rsid w:val="008C4E43"/>
    <w:rsid w:val="008C4E64"/>
    <w:rsid w:val="008C4EFD"/>
    <w:rsid w:val="008C4F16"/>
    <w:rsid w:val="008C4F68"/>
    <w:rsid w:val="008C4F88"/>
    <w:rsid w:val="008C5058"/>
    <w:rsid w:val="008C50A3"/>
    <w:rsid w:val="008C50FF"/>
    <w:rsid w:val="008C5110"/>
    <w:rsid w:val="008C5181"/>
    <w:rsid w:val="008C5297"/>
    <w:rsid w:val="008C52A4"/>
    <w:rsid w:val="008C52FE"/>
    <w:rsid w:val="008C5310"/>
    <w:rsid w:val="008C5341"/>
    <w:rsid w:val="008C5370"/>
    <w:rsid w:val="008C543A"/>
    <w:rsid w:val="008C5442"/>
    <w:rsid w:val="008C5572"/>
    <w:rsid w:val="008C56E6"/>
    <w:rsid w:val="008C5800"/>
    <w:rsid w:val="008C5822"/>
    <w:rsid w:val="008C58A0"/>
    <w:rsid w:val="008C58E7"/>
    <w:rsid w:val="008C5932"/>
    <w:rsid w:val="008C595A"/>
    <w:rsid w:val="008C5969"/>
    <w:rsid w:val="008C59F5"/>
    <w:rsid w:val="008C5A51"/>
    <w:rsid w:val="008C5B32"/>
    <w:rsid w:val="008C5B60"/>
    <w:rsid w:val="008C5B65"/>
    <w:rsid w:val="008C5CF6"/>
    <w:rsid w:val="008C5D2C"/>
    <w:rsid w:val="008C5D3D"/>
    <w:rsid w:val="008C5D52"/>
    <w:rsid w:val="008C5E12"/>
    <w:rsid w:val="008C5E35"/>
    <w:rsid w:val="008C5F1A"/>
    <w:rsid w:val="008C5F5E"/>
    <w:rsid w:val="008C5F6D"/>
    <w:rsid w:val="008C5F94"/>
    <w:rsid w:val="008C5FC6"/>
    <w:rsid w:val="008C600C"/>
    <w:rsid w:val="008C6034"/>
    <w:rsid w:val="008C614E"/>
    <w:rsid w:val="008C6193"/>
    <w:rsid w:val="008C61AF"/>
    <w:rsid w:val="008C61D4"/>
    <w:rsid w:val="008C61DA"/>
    <w:rsid w:val="008C61F3"/>
    <w:rsid w:val="008C6223"/>
    <w:rsid w:val="008C629B"/>
    <w:rsid w:val="008C634C"/>
    <w:rsid w:val="008C646A"/>
    <w:rsid w:val="008C64BF"/>
    <w:rsid w:val="008C65C3"/>
    <w:rsid w:val="008C65FB"/>
    <w:rsid w:val="008C6690"/>
    <w:rsid w:val="008C6734"/>
    <w:rsid w:val="008C675F"/>
    <w:rsid w:val="008C67A2"/>
    <w:rsid w:val="008C67BE"/>
    <w:rsid w:val="008C687D"/>
    <w:rsid w:val="008C68BF"/>
    <w:rsid w:val="008C68DF"/>
    <w:rsid w:val="008C6950"/>
    <w:rsid w:val="008C696E"/>
    <w:rsid w:val="008C698C"/>
    <w:rsid w:val="008C69A5"/>
    <w:rsid w:val="008C6A6C"/>
    <w:rsid w:val="008C6B05"/>
    <w:rsid w:val="008C6B2A"/>
    <w:rsid w:val="008C6B8D"/>
    <w:rsid w:val="008C6BC1"/>
    <w:rsid w:val="008C6C47"/>
    <w:rsid w:val="008C6C6C"/>
    <w:rsid w:val="008C6C6E"/>
    <w:rsid w:val="008C6D74"/>
    <w:rsid w:val="008C6E97"/>
    <w:rsid w:val="008C6F39"/>
    <w:rsid w:val="008C6F9D"/>
    <w:rsid w:val="008C6FCA"/>
    <w:rsid w:val="008C6FCF"/>
    <w:rsid w:val="008C7057"/>
    <w:rsid w:val="008C705F"/>
    <w:rsid w:val="008C70D3"/>
    <w:rsid w:val="008C7120"/>
    <w:rsid w:val="008C71A3"/>
    <w:rsid w:val="008C7225"/>
    <w:rsid w:val="008C7278"/>
    <w:rsid w:val="008C72EA"/>
    <w:rsid w:val="008C7351"/>
    <w:rsid w:val="008C739B"/>
    <w:rsid w:val="008C743B"/>
    <w:rsid w:val="008C756D"/>
    <w:rsid w:val="008C75A4"/>
    <w:rsid w:val="008C75AB"/>
    <w:rsid w:val="008C75C3"/>
    <w:rsid w:val="008C75E5"/>
    <w:rsid w:val="008C7718"/>
    <w:rsid w:val="008C781C"/>
    <w:rsid w:val="008C7863"/>
    <w:rsid w:val="008C7887"/>
    <w:rsid w:val="008C78BE"/>
    <w:rsid w:val="008C78DB"/>
    <w:rsid w:val="008C79B9"/>
    <w:rsid w:val="008C79D0"/>
    <w:rsid w:val="008C79F3"/>
    <w:rsid w:val="008C7A12"/>
    <w:rsid w:val="008C7A38"/>
    <w:rsid w:val="008C7A39"/>
    <w:rsid w:val="008C7A82"/>
    <w:rsid w:val="008C7AFD"/>
    <w:rsid w:val="008C7CB6"/>
    <w:rsid w:val="008C7CDA"/>
    <w:rsid w:val="008C7CF8"/>
    <w:rsid w:val="008D00DD"/>
    <w:rsid w:val="008D0146"/>
    <w:rsid w:val="008D017D"/>
    <w:rsid w:val="008D018E"/>
    <w:rsid w:val="008D01F2"/>
    <w:rsid w:val="008D0211"/>
    <w:rsid w:val="008D0251"/>
    <w:rsid w:val="008D033F"/>
    <w:rsid w:val="008D0395"/>
    <w:rsid w:val="008D0460"/>
    <w:rsid w:val="008D0477"/>
    <w:rsid w:val="008D047D"/>
    <w:rsid w:val="008D04FC"/>
    <w:rsid w:val="008D0590"/>
    <w:rsid w:val="008D05CE"/>
    <w:rsid w:val="008D0621"/>
    <w:rsid w:val="008D06A9"/>
    <w:rsid w:val="008D06B6"/>
    <w:rsid w:val="008D08CD"/>
    <w:rsid w:val="008D08D2"/>
    <w:rsid w:val="008D0948"/>
    <w:rsid w:val="008D09F7"/>
    <w:rsid w:val="008D0B84"/>
    <w:rsid w:val="008D0BAD"/>
    <w:rsid w:val="008D0C22"/>
    <w:rsid w:val="008D0C28"/>
    <w:rsid w:val="008D0C3A"/>
    <w:rsid w:val="008D0D3A"/>
    <w:rsid w:val="008D0D5F"/>
    <w:rsid w:val="008D0DAB"/>
    <w:rsid w:val="008D0DD7"/>
    <w:rsid w:val="008D0E95"/>
    <w:rsid w:val="008D0EC4"/>
    <w:rsid w:val="008D0ED4"/>
    <w:rsid w:val="008D0F92"/>
    <w:rsid w:val="008D10BD"/>
    <w:rsid w:val="008D1170"/>
    <w:rsid w:val="008D11F2"/>
    <w:rsid w:val="008D125B"/>
    <w:rsid w:val="008D12F9"/>
    <w:rsid w:val="008D1396"/>
    <w:rsid w:val="008D1450"/>
    <w:rsid w:val="008D14AD"/>
    <w:rsid w:val="008D1516"/>
    <w:rsid w:val="008D1747"/>
    <w:rsid w:val="008D17A7"/>
    <w:rsid w:val="008D18B2"/>
    <w:rsid w:val="008D1996"/>
    <w:rsid w:val="008D19A4"/>
    <w:rsid w:val="008D19B5"/>
    <w:rsid w:val="008D1A9A"/>
    <w:rsid w:val="008D1B6F"/>
    <w:rsid w:val="008D1CEA"/>
    <w:rsid w:val="008D1D83"/>
    <w:rsid w:val="008D1E6F"/>
    <w:rsid w:val="008D1EDD"/>
    <w:rsid w:val="008D1F2A"/>
    <w:rsid w:val="008D1F4C"/>
    <w:rsid w:val="008D1FC8"/>
    <w:rsid w:val="008D2134"/>
    <w:rsid w:val="008D215D"/>
    <w:rsid w:val="008D2325"/>
    <w:rsid w:val="008D2433"/>
    <w:rsid w:val="008D2550"/>
    <w:rsid w:val="008D25A4"/>
    <w:rsid w:val="008D264F"/>
    <w:rsid w:val="008D2679"/>
    <w:rsid w:val="008D269D"/>
    <w:rsid w:val="008D26A9"/>
    <w:rsid w:val="008D26D2"/>
    <w:rsid w:val="008D2807"/>
    <w:rsid w:val="008D282A"/>
    <w:rsid w:val="008D282D"/>
    <w:rsid w:val="008D2864"/>
    <w:rsid w:val="008D2888"/>
    <w:rsid w:val="008D28D1"/>
    <w:rsid w:val="008D2966"/>
    <w:rsid w:val="008D29DA"/>
    <w:rsid w:val="008D2ABB"/>
    <w:rsid w:val="008D2BCB"/>
    <w:rsid w:val="008D2C79"/>
    <w:rsid w:val="008D2CAB"/>
    <w:rsid w:val="008D2D24"/>
    <w:rsid w:val="008D2DFC"/>
    <w:rsid w:val="008D3004"/>
    <w:rsid w:val="008D307B"/>
    <w:rsid w:val="008D314C"/>
    <w:rsid w:val="008D3187"/>
    <w:rsid w:val="008D327B"/>
    <w:rsid w:val="008D3301"/>
    <w:rsid w:val="008D3317"/>
    <w:rsid w:val="008D337C"/>
    <w:rsid w:val="008D337E"/>
    <w:rsid w:val="008D3450"/>
    <w:rsid w:val="008D34B2"/>
    <w:rsid w:val="008D36E4"/>
    <w:rsid w:val="008D3718"/>
    <w:rsid w:val="008D374B"/>
    <w:rsid w:val="008D3767"/>
    <w:rsid w:val="008D37B4"/>
    <w:rsid w:val="008D37F9"/>
    <w:rsid w:val="008D388A"/>
    <w:rsid w:val="008D3893"/>
    <w:rsid w:val="008D38F5"/>
    <w:rsid w:val="008D394B"/>
    <w:rsid w:val="008D394F"/>
    <w:rsid w:val="008D3AAF"/>
    <w:rsid w:val="008D3AC4"/>
    <w:rsid w:val="008D3B40"/>
    <w:rsid w:val="008D3BDC"/>
    <w:rsid w:val="008D3C37"/>
    <w:rsid w:val="008D3D27"/>
    <w:rsid w:val="008D3D3D"/>
    <w:rsid w:val="008D3F1F"/>
    <w:rsid w:val="008D3F20"/>
    <w:rsid w:val="008D3FEF"/>
    <w:rsid w:val="008D4058"/>
    <w:rsid w:val="008D4095"/>
    <w:rsid w:val="008D41DE"/>
    <w:rsid w:val="008D424E"/>
    <w:rsid w:val="008D42B0"/>
    <w:rsid w:val="008D42D7"/>
    <w:rsid w:val="008D4465"/>
    <w:rsid w:val="008D4492"/>
    <w:rsid w:val="008D44A8"/>
    <w:rsid w:val="008D44B9"/>
    <w:rsid w:val="008D44CA"/>
    <w:rsid w:val="008D450F"/>
    <w:rsid w:val="008D4546"/>
    <w:rsid w:val="008D4579"/>
    <w:rsid w:val="008D4625"/>
    <w:rsid w:val="008D467F"/>
    <w:rsid w:val="008D46DE"/>
    <w:rsid w:val="008D46F3"/>
    <w:rsid w:val="008D4704"/>
    <w:rsid w:val="008D471D"/>
    <w:rsid w:val="008D49A6"/>
    <w:rsid w:val="008D4A34"/>
    <w:rsid w:val="008D4A61"/>
    <w:rsid w:val="008D4A8F"/>
    <w:rsid w:val="008D4B0A"/>
    <w:rsid w:val="008D4B5B"/>
    <w:rsid w:val="008D4B7D"/>
    <w:rsid w:val="008D4E7C"/>
    <w:rsid w:val="008D4E8F"/>
    <w:rsid w:val="008D5011"/>
    <w:rsid w:val="008D5040"/>
    <w:rsid w:val="008D510E"/>
    <w:rsid w:val="008D5133"/>
    <w:rsid w:val="008D5156"/>
    <w:rsid w:val="008D51C4"/>
    <w:rsid w:val="008D5452"/>
    <w:rsid w:val="008D5545"/>
    <w:rsid w:val="008D5549"/>
    <w:rsid w:val="008D565E"/>
    <w:rsid w:val="008D5691"/>
    <w:rsid w:val="008D56BA"/>
    <w:rsid w:val="008D5846"/>
    <w:rsid w:val="008D5860"/>
    <w:rsid w:val="008D58D4"/>
    <w:rsid w:val="008D5A44"/>
    <w:rsid w:val="008D5A70"/>
    <w:rsid w:val="008D5AC5"/>
    <w:rsid w:val="008D5AED"/>
    <w:rsid w:val="008D5B08"/>
    <w:rsid w:val="008D5B6D"/>
    <w:rsid w:val="008D5BC1"/>
    <w:rsid w:val="008D5C7F"/>
    <w:rsid w:val="008D5C83"/>
    <w:rsid w:val="008D5C8A"/>
    <w:rsid w:val="008D5CE7"/>
    <w:rsid w:val="008D5D21"/>
    <w:rsid w:val="008D5DCF"/>
    <w:rsid w:val="008D5DD0"/>
    <w:rsid w:val="008D5E79"/>
    <w:rsid w:val="008D5FB3"/>
    <w:rsid w:val="008D6010"/>
    <w:rsid w:val="008D602B"/>
    <w:rsid w:val="008D6053"/>
    <w:rsid w:val="008D61DD"/>
    <w:rsid w:val="008D6205"/>
    <w:rsid w:val="008D626A"/>
    <w:rsid w:val="008D6372"/>
    <w:rsid w:val="008D647F"/>
    <w:rsid w:val="008D64B3"/>
    <w:rsid w:val="008D650D"/>
    <w:rsid w:val="008D662C"/>
    <w:rsid w:val="008D6647"/>
    <w:rsid w:val="008D6691"/>
    <w:rsid w:val="008D66DC"/>
    <w:rsid w:val="008D673B"/>
    <w:rsid w:val="008D6753"/>
    <w:rsid w:val="008D6763"/>
    <w:rsid w:val="008D67E2"/>
    <w:rsid w:val="008D6855"/>
    <w:rsid w:val="008D68AE"/>
    <w:rsid w:val="008D68F8"/>
    <w:rsid w:val="008D6995"/>
    <w:rsid w:val="008D69CA"/>
    <w:rsid w:val="008D6A03"/>
    <w:rsid w:val="008D6A6A"/>
    <w:rsid w:val="008D6B2A"/>
    <w:rsid w:val="008D6BDE"/>
    <w:rsid w:val="008D6C17"/>
    <w:rsid w:val="008D6C8C"/>
    <w:rsid w:val="008D6DAC"/>
    <w:rsid w:val="008D6DF4"/>
    <w:rsid w:val="008D6E33"/>
    <w:rsid w:val="008D7017"/>
    <w:rsid w:val="008D70C1"/>
    <w:rsid w:val="008D70E7"/>
    <w:rsid w:val="008D72F6"/>
    <w:rsid w:val="008D7305"/>
    <w:rsid w:val="008D734F"/>
    <w:rsid w:val="008D74C8"/>
    <w:rsid w:val="008D74EC"/>
    <w:rsid w:val="008D751C"/>
    <w:rsid w:val="008D7536"/>
    <w:rsid w:val="008D764A"/>
    <w:rsid w:val="008D7652"/>
    <w:rsid w:val="008D7724"/>
    <w:rsid w:val="008D77D3"/>
    <w:rsid w:val="008D77EB"/>
    <w:rsid w:val="008D784D"/>
    <w:rsid w:val="008D786E"/>
    <w:rsid w:val="008D78BB"/>
    <w:rsid w:val="008D7900"/>
    <w:rsid w:val="008D7916"/>
    <w:rsid w:val="008D79F1"/>
    <w:rsid w:val="008D7ACA"/>
    <w:rsid w:val="008D7B93"/>
    <w:rsid w:val="008D7BC2"/>
    <w:rsid w:val="008D7C86"/>
    <w:rsid w:val="008D7C8A"/>
    <w:rsid w:val="008D7D03"/>
    <w:rsid w:val="008D7D4B"/>
    <w:rsid w:val="008D7D65"/>
    <w:rsid w:val="008D7D67"/>
    <w:rsid w:val="008D7DC4"/>
    <w:rsid w:val="008D7E51"/>
    <w:rsid w:val="008D7E74"/>
    <w:rsid w:val="008D7F53"/>
    <w:rsid w:val="008D7F6D"/>
    <w:rsid w:val="008D7FA9"/>
    <w:rsid w:val="008E002A"/>
    <w:rsid w:val="008E0044"/>
    <w:rsid w:val="008E0097"/>
    <w:rsid w:val="008E0117"/>
    <w:rsid w:val="008E0150"/>
    <w:rsid w:val="008E02D1"/>
    <w:rsid w:val="008E02F3"/>
    <w:rsid w:val="008E0302"/>
    <w:rsid w:val="008E033D"/>
    <w:rsid w:val="008E036C"/>
    <w:rsid w:val="008E0426"/>
    <w:rsid w:val="008E048A"/>
    <w:rsid w:val="008E051C"/>
    <w:rsid w:val="008E064C"/>
    <w:rsid w:val="008E06A0"/>
    <w:rsid w:val="008E072B"/>
    <w:rsid w:val="008E074E"/>
    <w:rsid w:val="008E07E8"/>
    <w:rsid w:val="008E0843"/>
    <w:rsid w:val="008E08A2"/>
    <w:rsid w:val="008E08B7"/>
    <w:rsid w:val="008E08BC"/>
    <w:rsid w:val="008E0945"/>
    <w:rsid w:val="008E0968"/>
    <w:rsid w:val="008E09EE"/>
    <w:rsid w:val="008E0B4B"/>
    <w:rsid w:val="008E0B5F"/>
    <w:rsid w:val="008E0C49"/>
    <w:rsid w:val="008E0CD4"/>
    <w:rsid w:val="008E0D8C"/>
    <w:rsid w:val="008E0D96"/>
    <w:rsid w:val="008E0DB4"/>
    <w:rsid w:val="008E0DF4"/>
    <w:rsid w:val="008E0E47"/>
    <w:rsid w:val="008E0E98"/>
    <w:rsid w:val="008E0ED4"/>
    <w:rsid w:val="008E0F89"/>
    <w:rsid w:val="008E0F8E"/>
    <w:rsid w:val="008E0F94"/>
    <w:rsid w:val="008E0FC7"/>
    <w:rsid w:val="008E104F"/>
    <w:rsid w:val="008E1097"/>
    <w:rsid w:val="008E10D8"/>
    <w:rsid w:val="008E110F"/>
    <w:rsid w:val="008E1188"/>
    <w:rsid w:val="008E11E3"/>
    <w:rsid w:val="008E1308"/>
    <w:rsid w:val="008E1316"/>
    <w:rsid w:val="008E1391"/>
    <w:rsid w:val="008E1439"/>
    <w:rsid w:val="008E1508"/>
    <w:rsid w:val="008E1524"/>
    <w:rsid w:val="008E155B"/>
    <w:rsid w:val="008E1585"/>
    <w:rsid w:val="008E1596"/>
    <w:rsid w:val="008E15E5"/>
    <w:rsid w:val="008E160B"/>
    <w:rsid w:val="008E174D"/>
    <w:rsid w:val="008E1752"/>
    <w:rsid w:val="008E178F"/>
    <w:rsid w:val="008E17F9"/>
    <w:rsid w:val="008E1808"/>
    <w:rsid w:val="008E1C2D"/>
    <w:rsid w:val="008E1C88"/>
    <w:rsid w:val="008E1CDA"/>
    <w:rsid w:val="008E1D4C"/>
    <w:rsid w:val="008E1D4D"/>
    <w:rsid w:val="008E1D58"/>
    <w:rsid w:val="008E1D84"/>
    <w:rsid w:val="008E1E68"/>
    <w:rsid w:val="008E1E6A"/>
    <w:rsid w:val="008E1E7C"/>
    <w:rsid w:val="008E1F0D"/>
    <w:rsid w:val="008E1F3C"/>
    <w:rsid w:val="008E1FB1"/>
    <w:rsid w:val="008E2066"/>
    <w:rsid w:val="008E20E2"/>
    <w:rsid w:val="008E2182"/>
    <w:rsid w:val="008E2184"/>
    <w:rsid w:val="008E2219"/>
    <w:rsid w:val="008E2248"/>
    <w:rsid w:val="008E227D"/>
    <w:rsid w:val="008E23AB"/>
    <w:rsid w:val="008E23B7"/>
    <w:rsid w:val="008E2406"/>
    <w:rsid w:val="008E245E"/>
    <w:rsid w:val="008E2685"/>
    <w:rsid w:val="008E26C3"/>
    <w:rsid w:val="008E26CF"/>
    <w:rsid w:val="008E26EF"/>
    <w:rsid w:val="008E27B5"/>
    <w:rsid w:val="008E2812"/>
    <w:rsid w:val="008E28E8"/>
    <w:rsid w:val="008E2971"/>
    <w:rsid w:val="008E2AA9"/>
    <w:rsid w:val="008E2ACD"/>
    <w:rsid w:val="008E2AE3"/>
    <w:rsid w:val="008E2B0C"/>
    <w:rsid w:val="008E2BC6"/>
    <w:rsid w:val="008E2D44"/>
    <w:rsid w:val="008E2E46"/>
    <w:rsid w:val="008E2EBF"/>
    <w:rsid w:val="008E2FB8"/>
    <w:rsid w:val="008E3010"/>
    <w:rsid w:val="008E3021"/>
    <w:rsid w:val="008E3066"/>
    <w:rsid w:val="008E30DC"/>
    <w:rsid w:val="008E3114"/>
    <w:rsid w:val="008E3187"/>
    <w:rsid w:val="008E318A"/>
    <w:rsid w:val="008E325A"/>
    <w:rsid w:val="008E3297"/>
    <w:rsid w:val="008E329C"/>
    <w:rsid w:val="008E32AF"/>
    <w:rsid w:val="008E32CC"/>
    <w:rsid w:val="008E32CD"/>
    <w:rsid w:val="008E330A"/>
    <w:rsid w:val="008E3368"/>
    <w:rsid w:val="008E33D0"/>
    <w:rsid w:val="008E3405"/>
    <w:rsid w:val="008E343E"/>
    <w:rsid w:val="008E34FC"/>
    <w:rsid w:val="008E34FF"/>
    <w:rsid w:val="008E3519"/>
    <w:rsid w:val="008E3529"/>
    <w:rsid w:val="008E3592"/>
    <w:rsid w:val="008E3595"/>
    <w:rsid w:val="008E3621"/>
    <w:rsid w:val="008E365B"/>
    <w:rsid w:val="008E3957"/>
    <w:rsid w:val="008E3966"/>
    <w:rsid w:val="008E3974"/>
    <w:rsid w:val="008E3A22"/>
    <w:rsid w:val="008E3BF7"/>
    <w:rsid w:val="008E3C5E"/>
    <w:rsid w:val="008E3C6C"/>
    <w:rsid w:val="008E3DA9"/>
    <w:rsid w:val="008E3E61"/>
    <w:rsid w:val="008E3E95"/>
    <w:rsid w:val="008E3F2C"/>
    <w:rsid w:val="008E3F9E"/>
    <w:rsid w:val="008E3FC9"/>
    <w:rsid w:val="008E4008"/>
    <w:rsid w:val="008E4019"/>
    <w:rsid w:val="008E4094"/>
    <w:rsid w:val="008E4165"/>
    <w:rsid w:val="008E41F3"/>
    <w:rsid w:val="008E4265"/>
    <w:rsid w:val="008E42EB"/>
    <w:rsid w:val="008E44A0"/>
    <w:rsid w:val="008E44BE"/>
    <w:rsid w:val="008E45C0"/>
    <w:rsid w:val="008E461D"/>
    <w:rsid w:val="008E47A3"/>
    <w:rsid w:val="008E47AB"/>
    <w:rsid w:val="008E480D"/>
    <w:rsid w:val="008E4922"/>
    <w:rsid w:val="008E49F8"/>
    <w:rsid w:val="008E4AE4"/>
    <w:rsid w:val="008E4B42"/>
    <w:rsid w:val="008E4C5F"/>
    <w:rsid w:val="008E4C85"/>
    <w:rsid w:val="008E4C94"/>
    <w:rsid w:val="008E4CAF"/>
    <w:rsid w:val="008E4CDA"/>
    <w:rsid w:val="008E4CF2"/>
    <w:rsid w:val="008E4D05"/>
    <w:rsid w:val="008E4D23"/>
    <w:rsid w:val="008E4D8E"/>
    <w:rsid w:val="008E4DB0"/>
    <w:rsid w:val="008E4E1B"/>
    <w:rsid w:val="008E4E9A"/>
    <w:rsid w:val="008E4EEF"/>
    <w:rsid w:val="008E4F0A"/>
    <w:rsid w:val="008E4F2F"/>
    <w:rsid w:val="008E4F33"/>
    <w:rsid w:val="008E4F75"/>
    <w:rsid w:val="008E4F82"/>
    <w:rsid w:val="008E5095"/>
    <w:rsid w:val="008E50DD"/>
    <w:rsid w:val="008E50F8"/>
    <w:rsid w:val="008E51A8"/>
    <w:rsid w:val="008E51D3"/>
    <w:rsid w:val="008E5231"/>
    <w:rsid w:val="008E5233"/>
    <w:rsid w:val="008E523D"/>
    <w:rsid w:val="008E53AB"/>
    <w:rsid w:val="008E53DA"/>
    <w:rsid w:val="008E549B"/>
    <w:rsid w:val="008E54EA"/>
    <w:rsid w:val="008E551D"/>
    <w:rsid w:val="008E55E6"/>
    <w:rsid w:val="008E5667"/>
    <w:rsid w:val="008E578B"/>
    <w:rsid w:val="008E57AA"/>
    <w:rsid w:val="008E57C5"/>
    <w:rsid w:val="008E580B"/>
    <w:rsid w:val="008E583B"/>
    <w:rsid w:val="008E5880"/>
    <w:rsid w:val="008E58C2"/>
    <w:rsid w:val="008E58CA"/>
    <w:rsid w:val="008E5924"/>
    <w:rsid w:val="008E5942"/>
    <w:rsid w:val="008E5977"/>
    <w:rsid w:val="008E597F"/>
    <w:rsid w:val="008E5A43"/>
    <w:rsid w:val="008E5A69"/>
    <w:rsid w:val="008E5AA5"/>
    <w:rsid w:val="008E5AB8"/>
    <w:rsid w:val="008E5AF7"/>
    <w:rsid w:val="008E5B2F"/>
    <w:rsid w:val="008E5B89"/>
    <w:rsid w:val="008E5C2A"/>
    <w:rsid w:val="008E5C59"/>
    <w:rsid w:val="008E5C7C"/>
    <w:rsid w:val="008E5DEF"/>
    <w:rsid w:val="008E5E77"/>
    <w:rsid w:val="008E5EF8"/>
    <w:rsid w:val="008E5F04"/>
    <w:rsid w:val="008E5F64"/>
    <w:rsid w:val="008E5FC6"/>
    <w:rsid w:val="008E5FD8"/>
    <w:rsid w:val="008E5FDC"/>
    <w:rsid w:val="008E610A"/>
    <w:rsid w:val="008E6115"/>
    <w:rsid w:val="008E6136"/>
    <w:rsid w:val="008E61B3"/>
    <w:rsid w:val="008E61CF"/>
    <w:rsid w:val="008E62A0"/>
    <w:rsid w:val="008E6302"/>
    <w:rsid w:val="008E6350"/>
    <w:rsid w:val="008E635C"/>
    <w:rsid w:val="008E6426"/>
    <w:rsid w:val="008E6456"/>
    <w:rsid w:val="008E646F"/>
    <w:rsid w:val="008E647D"/>
    <w:rsid w:val="008E64F5"/>
    <w:rsid w:val="008E657B"/>
    <w:rsid w:val="008E6595"/>
    <w:rsid w:val="008E65EE"/>
    <w:rsid w:val="008E6642"/>
    <w:rsid w:val="008E6672"/>
    <w:rsid w:val="008E668E"/>
    <w:rsid w:val="008E673C"/>
    <w:rsid w:val="008E6815"/>
    <w:rsid w:val="008E68CF"/>
    <w:rsid w:val="008E6967"/>
    <w:rsid w:val="008E6987"/>
    <w:rsid w:val="008E6A85"/>
    <w:rsid w:val="008E6A97"/>
    <w:rsid w:val="008E6B0D"/>
    <w:rsid w:val="008E6B15"/>
    <w:rsid w:val="008E6C43"/>
    <w:rsid w:val="008E6C58"/>
    <w:rsid w:val="008E6CE9"/>
    <w:rsid w:val="008E6CF0"/>
    <w:rsid w:val="008E6D1A"/>
    <w:rsid w:val="008E6D95"/>
    <w:rsid w:val="008E6E9A"/>
    <w:rsid w:val="008E6F15"/>
    <w:rsid w:val="008E6F4A"/>
    <w:rsid w:val="008E6F6F"/>
    <w:rsid w:val="008E6F79"/>
    <w:rsid w:val="008E6FBC"/>
    <w:rsid w:val="008E70C1"/>
    <w:rsid w:val="008E717C"/>
    <w:rsid w:val="008E7228"/>
    <w:rsid w:val="008E725C"/>
    <w:rsid w:val="008E7276"/>
    <w:rsid w:val="008E72A8"/>
    <w:rsid w:val="008E7365"/>
    <w:rsid w:val="008E73BA"/>
    <w:rsid w:val="008E7446"/>
    <w:rsid w:val="008E7615"/>
    <w:rsid w:val="008E763F"/>
    <w:rsid w:val="008E77A3"/>
    <w:rsid w:val="008E7823"/>
    <w:rsid w:val="008E7878"/>
    <w:rsid w:val="008E78A8"/>
    <w:rsid w:val="008E7914"/>
    <w:rsid w:val="008E7B69"/>
    <w:rsid w:val="008E7C2A"/>
    <w:rsid w:val="008E7C9A"/>
    <w:rsid w:val="008E7CEA"/>
    <w:rsid w:val="008E7D3A"/>
    <w:rsid w:val="008E7E0C"/>
    <w:rsid w:val="008E7E2E"/>
    <w:rsid w:val="008E7E6A"/>
    <w:rsid w:val="008E7F47"/>
    <w:rsid w:val="008F015C"/>
    <w:rsid w:val="008F02CF"/>
    <w:rsid w:val="008F033F"/>
    <w:rsid w:val="008F0355"/>
    <w:rsid w:val="008F03DD"/>
    <w:rsid w:val="008F041C"/>
    <w:rsid w:val="008F042F"/>
    <w:rsid w:val="008F0465"/>
    <w:rsid w:val="008F04C3"/>
    <w:rsid w:val="008F057A"/>
    <w:rsid w:val="008F05B4"/>
    <w:rsid w:val="008F05B7"/>
    <w:rsid w:val="008F05DF"/>
    <w:rsid w:val="008F0611"/>
    <w:rsid w:val="008F07DB"/>
    <w:rsid w:val="008F08B7"/>
    <w:rsid w:val="008F0974"/>
    <w:rsid w:val="008F0A29"/>
    <w:rsid w:val="008F0C4F"/>
    <w:rsid w:val="008F0C90"/>
    <w:rsid w:val="008F0CAD"/>
    <w:rsid w:val="008F0D8E"/>
    <w:rsid w:val="008F0DDB"/>
    <w:rsid w:val="008F0E13"/>
    <w:rsid w:val="008F0EB0"/>
    <w:rsid w:val="008F0F89"/>
    <w:rsid w:val="008F1151"/>
    <w:rsid w:val="008F1187"/>
    <w:rsid w:val="008F11D2"/>
    <w:rsid w:val="008F12D4"/>
    <w:rsid w:val="008F1358"/>
    <w:rsid w:val="008F14EF"/>
    <w:rsid w:val="008F151E"/>
    <w:rsid w:val="008F1523"/>
    <w:rsid w:val="008F1725"/>
    <w:rsid w:val="008F17D3"/>
    <w:rsid w:val="008F17FB"/>
    <w:rsid w:val="008F1812"/>
    <w:rsid w:val="008F182F"/>
    <w:rsid w:val="008F18A7"/>
    <w:rsid w:val="008F1977"/>
    <w:rsid w:val="008F1980"/>
    <w:rsid w:val="008F1A50"/>
    <w:rsid w:val="008F1A5C"/>
    <w:rsid w:val="008F1A7E"/>
    <w:rsid w:val="008F1B34"/>
    <w:rsid w:val="008F1D2B"/>
    <w:rsid w:val="008F1DDB"/>
    <w:rsid w:val="008F1EAE"/>
    <w:rsid w:val="008F1EDC"/>
    <w:rsid w:val="008F1FFE"/>
    <w:rsid w:val="008F2046"/>
    <w:rsid w:val="008F2079"/>
    <w:rsid w:val="008F20C2"/>
    <w:rsid w:val="008F20E5"/>
    <w:rsid w:val="008F2288"/>
    <w:rsid w:val="008F23F2"/>
    <w:rsid w:val="008F2456"/>
    <w:rsid w:val="008F2497"/>
    <w:rsid w:val="008F24B9"/>
    <w:rsid w:val="008F25E9"/>
    <w:rsid w:val="008F2601"/>
    <w:rsid w:val="008F2654"/>
    <w:rsid w:val="008F26C7"/>
    <w:rsid w:val="008F279A"/>
    <w:rsid w:val="008F2834"/>
    <w:rsid w:val="008F28C1"/>
    <w:rsid w:val="008F28CA"/>
    <w:rsid w:val="008F28EF"/>
    <w:rsid w:val="008F2916"/>
    <w:rsid w:val="008F29C2"/>
    <w:rsid w:val="008F29F3"/>
    <w:rsid w:val="008F2A28"/>
    <w:rsid w:val="008F2AB4"/>
    <w:rsid w:val="008F2AD0"/>
    <w:rsid w:val="008F2BA3"/>
    <w:rsid w:val="008F2C44"/>
    <w:rsid w:val="008F2C7E"/>
    <w:rsid w:val="008F2D33"/>
    <w:rsid w:val="008F2E43"/>
    <w:rsid w:val="008F2E6D"/>
    <w:rsid w:val="008F2E96"/>
    <w:rsid w:val="008F2FCA"/>
    <w:rsid w:val="008F3043"/>
    <w:rsid w:val="008F3050"/>
    <w:rsid w:val="008F3064"/>
    <w:rsid w:val="008F3139"/>
    <w:rsid w:val="008F316B"/>
    <w:rsid w:val="008F3225"/>
    <w:rsid w:val="008F32B8"/>
    <w:rsid w:val="008F3513"/>
    <w:rsid w:val="008F351E"/>
    <w:rsid w:val="008F36F3"/>
    <w:rsid w:val="008F37F3"/>
    <w:rsid w:val="008F380E"/>
    <w:rsid w:val="008F393B"/>
    <w:rsid w:val="008F3AE2"/>
    <w:rsid w:val="008F3AEC"/>
    <w:rsid w:val="008F3B51"/>
    <w:rsid w:val="008F3C05"/>
    <w:rsid w:val="008F3C45"/>
    <w:rsid w:val="008F3D82"/>
    <w:rsid w:val="008F3DF4"/>
    <w:rsid w:val="008F3DF8"/>
    <w:rsid w:val="008F3E97"/>
    <w:rsid w:val="008F3FB2"/>
    <w:rsid w:val="008F4050"/>
    <w:rsid w:val="008F407D"/>
    <w:rsid w:val="008F4096"/>
    <w:rsid w:val="008F4210"/>
    <w:rsid w:val="008F4303"/>
    <w:rsid w:val="008F4308"/>
    <w:rsid w:val="008F4375"/>
    <w:rsid w:val="008F43BD"/>
    <w:rsid w:val="008F43BE"/>
    <w:rsid w:val="008F4411"/>
    <w:rsid w:val="008F44BB"/>
    <w:rsid w:val="008F4565"/>
    <w:rsid w:val="008F457F"/>
    <w:rsid w:val="008F45B9"/>
    <w:rsid w:val="008F460D"/>
    <w:rsid w:val="008F4626"/>
    <w:rsid w:val="008F47B0"/>
    <w:rsid w:val="008F47E4"/>
    <w:rsid w:val="008F47F0"/>
    <w:rsid w:val="008F47FC"/>
    <w:rsid w:val="008F49CC"/>
    <w:rsid w:val="008F4A4D"/>
    <w:rsid w:val="008F4A51"/>
    <w:rsid w:val="008F4A9E"/>
    <w:rsid w:val="008F4AC9"/>
    <w:rsid w:val="008F4AD7"/>
    <w:rsid w:val="008F4AE2"/>
    <w:rsid w:val="008F4B08"/>
    <w:rsid w:val="008F4B0C"/>
    <w:rsid w:val="008F4BD4"/>
    <w:rsid w:val="008F4C42"/>
    <w:rsid w:val="008F4C98"/>
    <w:rsid w:val="008F4CD4"/>
    <w:rsid w:val="008F4CE3"/>
    <w:rsid w:val="008F4D38"/>
    <w:rsid w:val="008F4D85"/>
    <w:rsid w:val="008F4DAA"/>
    <w:rsid w:val="008F4EA1"/>
    <w:rsid w:val="008F4EB5"/>
    <w:rsid w:val="008F4FE2"/>
    <w:rsid w:val="008F5050"/>
    <w:rsid w:val="008F507A"/>
    <w:rsid w:val="008F50C3"/>
    <w:rsid w:val="008F5177"/>
    <w:rsid w:val="008F517C"/>
    <w:rsid w:val="008F51A7"/>
    <w:rsid w:val="008F5221"/>
    <w:rsid w:val="008F53A8"/>
    <w:rsid w:val="008F54EA"/>
    <w:rsid w:val="008F5513"/>
    <w:rsid w:val="008F5535"/>
    <w:rsid w:val="008F5685"/>
    <w:rsid w:val="008F5725"/>
    <w:rsid w:val="008F57CA"/>
    <w:rsid w:val="008F5837"/>
    <w:rsid w:val="008F5882"/>
    <w:rsid w:val="008F597C"/>
    <w:rsid w:val="008F5984"/>
    <w:rsid w:val="008F598B"/>
    <w:rsid w:val="008F59CA"/>
    <w:rsid w:val="008F5A65"/>
    <w:rsid w:val="008F5A93"/>
    <w:rsid w:val="008F5C29"/>
    <w:rsid w:val="008F5C3B"/>
    <w:rsid w:val="008F5CDE"/>
    <w:rsid w:val="008F5D18"/>
    <w:rsid w:val="008F5E36"/>
    <w:rsid w:val="008F5E6A"/>
    <w:rsid w:val="008F5F81"/>
    <w:rsid w:val="008F5FB1"/>
    <w:rsid w:val="008F60C0"/>
    <w:rsid w:val="008F6130"/>
    <w:rsid w:val="008F61AC"/>
    <w:rsid w:val="008F63B0"/>
    <w:rsid w:val="008F63FB"/>
    <w:rsid w:val="008F6489"/>
    <w:rsid w:val="008F64DE"/>
    <w:rsid w:val="008F6585"/>
    <w:rsid w:val="008F65C9"/>
    <w:rsid w:val="008F6609"/>
    <w:rsid w:val="008F6669"/>
    <w:rsid w:val="008F6719"/>
    <w:rsid w:val="008F674C"/>
    <w:rsid w:val="008F6799"/>
    <w:rsid w:val="008F67E0"/>
    <w:rsid w:val="008F6819"/>
    <w:rsid w:val="008F688E"/>
    <w:rsid w:val="008F69DF"/>
    <w:rsid w:val="008F69E5"/>
    <w:rsid w:val="008F69E7"/>
    <w:rsid w:val="008F6AD4"/>
    <w:rsid w:val="008F6AF7"/>
    <w:rsid w:val="008F6C82"/>
    <w:rsid w:val="008F6D0A"/>
    <w:rsid w:val="008F6D59"/>
    <w:rsid w:val="008F6D79"/>
    <w:rsid w:val="008F6E1C"/>
    <w:rsid w:val="008F6E59"/>
    <w:rsid w:val="008F6F06"/>
    <w:rsid w:val="008F6F42"/>
    <w:rsid w:val="008F6F99"/>
    <w:rsid w:val="008F7013"/>
    <w:rsid w:val="008F7043"/>
    <w:rsid w:val="008F7076"/>
    <w:rsid w:val="008F70A8"/>
    <w:rsid w:val="008F70EE"/>
    <w:rsid w:val="008F7166"/>
    <w:rsid w:val="008F71BC"/>
    <w:rsid w:val="008F71F2"/>
    <w:rsid w:val="008F721F"/>
    <w:rsid w:val="008F7239"/>
    <w:rsid w:val="008F724F"/>
    <w:rsid w:val="008F725C"/>
    <w:rsid w:val="008F72DB"/>
    <w:rsid w:val="008F7316"/>
    <w:rsid w:val="008F7344"/>
    <w:rsid w:val="008F7345"/>
    <w:rsid w:val="008F74F0"/>
    <w:rsid w:val="008F7529"/>
    <w:rsid w:val="008F75D7"/>
    <w:rsid w:val="008F7642"/>
    <w:rsid w:val="008F7800"/>
    <w:rsid w:val="008F78AD"/>
    <w:rsid w:val="008F78FE"/>
    <w:rsid w:val="008F790C"/>
    <w:rsid w:val="008F7A0E"/>
    <w:rsid w:val="008F7A8C"/>
    <w:rsid w:val="008F7B28"/>
    <w:rsid w:val="008F7B6F"/>
    <w:rsid w:val="008F7BA1"/>
    <w:rsid w:val="008F7BA2"/>
    <w:rsid w:val="008F7BBA"/>
    <w:rsid w:val="008F7BE0"/>
    <w:rsid w:val="008F7C05"/>
    <w:rsid w:val="008F7C31"/>
    <w:rsid w:val="008F7E33"/>
    <w:rsid w:val="008F7EA4"/>
    <w:rsid w:val="008F7F57"/>
    <w:rsid w:val="008F7FAD"/>
    <w:rsid w:val="008F7FB7"/>
    <w:rsid w:val="0090001F"/>
    <w:rsid w:val="0090004D"/>
    <w:rsid w:val="00900070"/>
    <w:rsid w:val="009000C8"/>
    <w:rsid w:val="00900127"/>
    <w:rsid w:val="0090016C"/>
    <w:rsid w:val="009001A6"/>
    <w:rsid w:val="00900210"/>
    <w:rsid w:val="0090023D"/>
    <w:rsid w:val="009002A3"/>
    <w:rsid w:val="009002C6"/>
    <w:rsid w:val="00900354"/>
    <w:rsid w:val="009003D9"/>
    <w:rsid w:val="0090050C"/>
    <w:rsid w:val="009005C7"/>
    <w:rsid w:val="0090064F"/>
    <w:rsid w:val="0090067F"/>
    <w:rsid w:val="009006F4"/>
    <w:rsid w:val="009007BF"/>
    <w:rsid w:val="0090086B"/>
    <w:rsid w:val="0090097E"/>
    <w:rsid w:val="00900A0C"/>
    <w:rsid w:val="00900AE0"/>
    <w:rsid w:val="00900B0C"/>
    <w:rsid w:val="00900B3E"/>
    <w:rsid w:val="00900B8C"/>
    <w:rsid w:val="00900C88"/>
    <w:rsid w:val="00900F59"/>
    <w:rsid w:val="00900F63"/>
    <w:rsid w:val="00901022"/>
    <w:rsid w:val="009010B1"/>
    <w:rsid w:val="00901158"/>
    <w:rsid w:val="009011A7"/>
    <w:rsid w:val="009011B1"/>
    <w:rsid w:val="009011C8"/>
    <w:rsid w:val="0090122B"/>
    <w:rsid w:val="009012E1"/>
    <w:rsid w:val="009013CA"/>
    <w:rsid w:val="0090140D"/>
    <w:rsid w:val="00901425"/>
    <w:rsid w:val="0090153C"/>
    <w:rsid w:val="00901551"/>
    <w:rsid w:val="00901587"/>
    <w:rsid w:val="009015DA"/>
    <w:rsid w:val="00901631"/>
    <w:rsid w:val="00901666"/>
    <w:rsid w:val="0090198D"/>
    <w:rsid w:val="009019A2"/>
    <w:rsid w:val="00901A8B"/>
    <w:rsid w:val="00901A91"/>
    <w:rsid w:val="00901ACA"/>
    <w:rsid w:val="00901B00"/>
    <w:rsid w:val="00901B0E"/>
    <w:rsid w:val="00901B16"/>
    <w:rsid w:val="00901B62"/>
    <w:rsid w:val="00901D4A"/>
    <w:rsid w:val="00901DA4"/>
    <w:rsid w:val="00901E1F"/>
    <w:rsid w:val="00901F1C"/>
    <w:rsid w:val="00901F54"/>
    <w:rsid w:val="00901F6A"/>
    <w:rsid w:val="00901F84"/>
    <w:rsid w:val="00901F9D"/>
    <w:rsid w:val="0090201C"/>
    <w:rsid w:val="00902196"/>
    <w:rsid w:val="00902267"/>
    <w:rsid w:val="009022B7"/>
    <w:rsid w:val="009022C2"/>
    <w:rsid w:val="009022CC"/>
    <w:rsid w:val="009022D9"/>
    <w:rsid w:val="0090233F"/>
    <w:rsid w:val="00902340"/>
    <w:rsid w:val="009023F5"/>
    <w:rsid w:val="009023FB"/>
    <w:rsid w:val="00902469"/>
    <w:rsid w:val="009024C1"/>
    <w:rsid w:val="009024CD"/>
    <w:rsid w:val="00902521"/>
    <w:rsid w:val="009025CB"/>
    <w:rsid w:val="00902626"/>
    <w:rsid w:val="0090296D"/>
    <w:rsid w:val="00902A09"/>
    <w:rsid w:val="00902A46"/>
    <w:rsid w:val="00902AA4"/>
    <w:rsid w:val="00902ABD"/>
    <w:rsid w:val="00902AEE"/>
    <w:rsid w:val="00902B87"/>
    <w:rsid w:val="00902B88"/>
    <w:rsid w:val="00902BE3"/>
    <w:rsid w:val="00902C69"/>
    <w:rsid w:val="00902C9E"/>
    <w:rsid w:val="00902CD9"/>
    <w:rsid w:val="00902CFE"/>
    <w:rsid w:val="00902D65"/>
    <w:rsid w:val="00902D8D"/>
    <w:rsid w:val="00902DAA"/>
    <w:rsid w:val="00902DD6"/>
    <w:rsid w:val="00902E4E"/>
    <w:rsid w:val="00902EF3"/>
    <w:rsid w:val="00902F2F"/>
    <w:rsid w:val="00902FDA"/>
    <w:rsid w:val="00903029"/>
    <w:rsid w:val="009030CB"/>
    <w:rsid w:val="00903141"/>
    <w:rsid w:val="0090315C"/>
    <w:rsid w:val="009031F8"/>
    <w:rsid w:val="0090339A"/>
    <w:rsid w:val="0090345D"/>
    <w:rsid w:val="00903464"/>
    <w:rsid w:val="00903549"/>
    <w:rsid w:val="009035F2"/>
    <w:rsid w:val="00903657"/>
    <w:rsid w:val="0090369B"/>
    <w:rsid w:val="00903765"/>
    <w:rsid w:val="009037A0"/>
    <w:rsid w:val="00903846"/>
    <w:rsid w:val="009038F9"/>
    <w:rsid w:val="00903A0F"/>
    <w:rsid w:val="00903A98"/>
    <w:rsid w:val="00903AD5"/>
    <w:rsid w:val="00903BF7"/>
    <w:rsid w:val="00903C92"/>
    <w:rsid w:val="00903CB6"/>
    <w:rsid w:val="00903CDC"/>
    <w:rsid w:val="00903D0D"/>
    <w:rsid w:val="00903DF1"/>
    <w:rsid w:val="00903E32"/>
    <w:rsid w:val="00903EA5"/>
    <w:rsid w:val="00903F03"/>
    <w:rsid w:val="00903FD9"/>
    <w:rsid w:val="00904039"/>
    <w:rsid w:val="0090412D"/>
    <w:rsid w:val="009041A7"/>
    <w:rsid w:val="009041F7"/>
    <w:rsid w:val="00904234"/>
    <w:rsid w:val="00904242"/>
    <w:rsid w:val="0090427F"/>
    <w:rsid w:val="009042B4"/>
    <w:rsid w:val="009042C1"/>
    <w:rsid w:val="009042D1"/>
    <w:rsid w:val="00904332"/>
    <w:rsid w:val="0090433A"/>
    <w:rsid w:val="00904365"/>
    <w:rsid w:val="009043AD"/>
    <w:rsid w:val="009044CF"/>
    <w:rsid w:val="00904506"/>
    <w:rsid w:val="0090467A"/>
    <w:rsid w:val="0090479C"/>
    <w:rsid w:val="009047E8"/>
    <w:rsid w:val="00904800"/>
    <w:rsid w:val="00904815"/>
    <w:rsid w:val="0090489C"/>
    <w:rsid w:val="009048B9"/>
    <w:rsid w:val="00904931"/>
    <w:rsid w:val="00904A68"/>
    <w:rsid w:val="00904AA2"/>
    <w:rsid w:val="00904AF3"/>
    <w:rsid w:val="00904BFF"/>
    <w:rsid w:val="00904CF6"/>
    <w:rsid w:val="00904D03"/>
    <w:rsid w:val="00904D0F"/>
    <w:rsid w:val="00904DB4"/>
    <w:rsid w:val="00904DEB"/>
    <w:rsid w:val="00904E91"/>
    <w:rsid w:val="00904EF1"/>
    <w:rsid w:val="00904F2C"/>
    <w:rsid w:val="00904F68"/>
    <w:rsid w:val="00904F6B"/>
    <w:rsid w:val="00904F6E"/>
    <w:rsid w:val="00904F9E"/>
    <w:rsid w:val="0090512D"/>
    <w:rsid w:val="0090518A"/>
    <w:rsid w:val="009051D3"/>
    <w:rsid w:val="009051DE"/>
    <w:rsid w:val="0090531B"/>
    <w:rsid w:val="00905381"/>
    <w:rsid w:val="009053D3"/>
    <w:rsid w:val="009053DE"/>
    <w:rsid w:val="00905430"/>
    <w:rsid w:val="00905461"/>
    <w:rsid w:val="00905495"/>
    <w:rsid w:val="00905580"/>
    <w:rsid w:val="00905642"/>
    <w:rsid w:val="0090568A"/>
    <w:rsid w:val="0090570A"/>
    <w:rsid w:val="0090570C"/>
    <w:rsid w:val="00905773"/>
    <w:rsid w:val="0090578E"/>
    <w:rsid w:val="009058F7"/>
    <w:rsid w:val="00905913"/>
    <w:rsid w:val="00905A66"/>
    <w:rsid w:val="00905AF8"/>
    <w:rsid w:val="00905B09"/>
    <w:rsid w:val="00905B42"/>
    <w:rsid w:val="00905B52"/>
    <w:rsid w:val="00905C65"/>
    <w:rsid w:val="00905D0E"/>
    <w:rsid w:val="00905D15"/>
    <w:rsid w:val="00905D76"/>
    <w:rsid w:val="00905E3F"/>
    <w:rsid w:val="00905EBB"/>
    <w:rsid w:val="00906075"/>
    <w:rsid w:val="0090610F"/>
    <w:rsid w:val="0090611E"/>
    <w:rsid w:val="00906148"/>
    <w:rsid w:val="0090615E"/>
    <w:rsid w:val="00906173"/>
    <w:rsid w:val="009062E9"/>
    <w:rsid w:val="009062EB"/>
    <w:rsid w:val="009063EB"/>
    <w:rsid w:val="00906427"/>
    <w:rsid w:val="00906437"/>
    <w:rsid w:val="00906472"/>
    <w:rsid w:val="009064F6"/>
    <w:rsid w:val="00906528"/>
    <w:rsid w:val="00906532"/>
    <w:rsid w:val="00906596"/>
    <w:rsid w:val="009065DF"/>
    <w:rsid w:val="009065EE"/>
    <w:rsid w:val="009066B3"/>
    <w:rsid w:val="009066D8"/>
    <w:rsid w:val="00906707"/>
    <w:rsid w:val="00906728"/>
    <w:rsid w:val="00906755"/>
    <w:rsid w:val="0090692A"/>
    <w:rsid w:val="00906B11"/>
    <w:rsid w:val="00906BBB"/>
    <w:rsid w:val="00906C09"/>
    <w:rsid w:val="00906C23"/>
    <w:rsid w:val="00906C72"/>
    <w:rsid w:val="00906C7F"/>
    <w:rsid w:val="00906C8C"/>
    <w:rsid w:val="00906CB7"/>
    <w:rsid w:val="00906CD2"/>
    <w:rsid w:val="00906E9D"/>
    <w:rsid w:val="00906EF5"/>
    <w:rsid w:val="00907046"/>
    <w:rsid w:val="0090714C"/>
    <w:rsid w:val="00907285"/>
    <w:rsid w:val="009072EB"/>
    <w:rsid w:val="0090733F"/>
    <w:rsid w:val="00907348"/>
    <w:rsid w:val="00907394"/>
    <w:rsid w:val="009073A3"/>
    <w:rsid w:val="0090747B"/>
    <w:rsid w:val="00907527"/>
    <w:rsid w:val="0090756F"/>
    <w:rsid w:val="00907677"/>
    <w:rsid w:val="0090767D"/>
    <w:rsid w:val="009076DC"/>
    <w:rsid w:val="0090770E"/>
    <w:rsid w:val="0090776E"/>
    <w:rsid w:val="009077CA"/>
    <w:rsid w:val="00907806"/>
    <w:rsid w:val="0090782C"/>
    <w:rsid w:val="0090790E"/>
    <w:rsid w:val="00907948"/>
    <w:rsid w:val="009079F8"/>
    <w:rsid w:val="00907A04"/>
    <w:rsid w:val="00907AC5"/>
    <w:rsid w:val="00907ADE"/>
    <w:rsid w:val="00907B20"/>
    <w:rsid w:val="00907B54"/>
    <w:rsid w:val="00907B61"/>
    <w:rsid w:val="00907C4D"/>
    <w:rsid w:val="00907C67"/>
    <w:rsid w:val="00907C73"/>
    <w:rsid w:val="00907CDD"/>
    <w:rsid w:val="00907D48"/>
    <w:rsid w:val="00907D5B"/>
    <w:rsid w:val="00907EF0"/>
    <w:rsid w:val="00907EF2"/>
    <w:rsid w:val="00907F56"/>
    <w:rsid w:val="00907F5F"/>
    <w:rsid w:val="00907F72"/>
    <w:rsid w:val="0090FB13"/>
    <w:rsid w:val="0091000C"/>
    <w:rsid w:val="0091004C"/>
    <w:rsid w:val="00910085"/>
    <w:rsid w:val="009100C9"/>
    <w:rsid w:val="009100F3"/>
    <w:rsid w:val="00910172"/>
    <w:rsid w:val="009101F8"/>
    <w:rsid w:val="00910263"/>
    <w:rsid w:val="0091037B"/>
    <w:rsid w:val="00910515"/>
    <w:rsid w:val="00910568"/>
    <w:rsid w:val="009105B4"/>
    <w:rsid w:val="009105C0"/>
    <w:rsid w:val="009105D2"/>
    <w:rsid w:val="009105E7"/>
    <w:rsid w:val="009106A1"/>
    <w:rsid w:val="0091076B"/>
    <w:rsid w:val="009107A2"/>
    <w:rsid w:val="009107A3"/>
    <w:rsid w:val="009107E1"/>
    <w:rsid w:val="009107E8"/>
    <w:rsid w:val="0091081A"/>
    <w:rsid w:val="009108E0"/>
    <w:rsid w:val="00910936"/>
    <w:rsid w:val="00910A6F"/>
    <w:rsid w:val="00910BB2"/>
    <w:rsid w:val="00910BCC"/>
    <w:rsid w:val="00910C17"/>
    <w:rsid w:val="00910C38"/>
    <w:rsid w:val="00910EB6"/>
    <w:rsid w:val="00910EBA"/>
    <w:rsid w:val="00910F7F"/>
    <w:rsid w:val="00911000"/>
    <w:rsid w:val="0091100C"/>
    <w:rsid w:val="00911034"/>
    <w:rsid w:val="00911059"/>
    <w:rsid w:val="00911153"/>
    <w:rsid w:val="0091115F"/>
    <w:rsid w:val="009111ED"/>
    <w:rsid w:val="00911293"/>
    <w:rsid w:val="0091134D"/>
    <w:rsid w:val="0091140C"/>
    <w:rsid w:val="00911469"/>
    <w:rsid w:val="0091148E"/>
    <w:rsid w:val="009114B3"/>
    <w:rsid w:val="0091155E"/>
    <w:rsid w:val="009115A6"/>
    <w:rsid w:val="009115A7"/>
    <w:rsid w:val="00911764"/>
    <w:rsid w:val="009118AD"/>
    <w:rsid w:val="00911A50"/>
    <w:rsid w:val="00911AF3"/>
    <w:rsid w:val="00911B60"/>
    <w:rsid w:val="00911B98"/>
    <w:rsid w:val="00911BFB"/>
    <w:rsid w:val="00911C5A"/>
    <w:rsid w:val="00911D32"/>
    <w:rsid w:val="00911D63"/>
    <w:rsid w:val="00911DDD"/>
    <w:rsid w:val="00911E3E"/>
    <w:rsid w:val="00911EB7"/>
    <w:rsid w:val="009120F6"/>
    <w:rsid w:val="00912276"/>
    <w:rsid w:val="009122A0"/>
    <w:rsid w:val="00912368"/>
    <w:rsid w:val="009124B7"/>
    <w:rsid w:val="009125BE"/>
    <w:rsid w:val="009125C7"/>
    <w:rsid w:val="009125E4"/>
    <w:rsid w:val="00912645"/>
    <w:rsid w:val="009126AD"/>
    <w:rsid w:val="009126D9"/>
    <w:rsid w:val="00912797"/>
    <w:rsid w:val="009127FF"/>
    <w:rsid w:val="009129C3"/>
    <w:rsid w:val="00912AF0"/>
    <w:rsid w:val="00912B5E"/>
    <w:rsid w:val="00912B7D"/>
    <w:rsid w:val="00912BF4"/>
    <w:rsid w:val="00912C44"/>
    <w:rsid w:val="00912C5B"/>
    <w:rsid w:val="00912D44"/>
    <w:rsid w:val="00912DAD"/>
    <w:rsid w:val="0091300F"/>
    <w:rsid w:val="00913165"/>
    <w:rsid w:val="0091317A"/>
    <w:rsid w:val="009131CF"/>
    <w:rsid w:val="009133F4"/>
    <w:rsid w:val="009133F7"/>
    <w:rsid w:val="009134C1"/>
    <w:rsid w:val="00913500"/>
    <w:rsid w:val="00913518"/>
    <w:rsid w:val="00913552"/>
    <w:rsid w:val="009135A4"/>
    <w:rsid w:val="009135B7"/>
    <w:rsid w:val="00913742"/>
    <w:rsid w:val="00913995"/>
    <w:rsid w:val="009139F3"/>
    <w:rsid w:val="00913A0B"/>
    <w:rsid w:val="00913AC6"/>
    <w:rsid w:val="00913AFA"/>
    <w:rsid w:val="00913B07"/>
    <w:rsid w:val="00913BF4"/>
    <w:rsid w:val="00913C30"/>
    <w:rsid w:val="00913C46"/>
    <w:rsid w:val="00913C54"/>
    <w:rsid w:val="00913D1B"/>
    <w:rsid w:val="00913D89"/>
    <w:rsid w:val="00913DD8"/>
    <w:rsid w:val="00913DF5"/>
    <w:rsid w:val="00913F38"/>
    <w:rsid w:val="00913F7E"/>
    <w:rsid w:val="00914080"/>
    <w:rsid w:val="00914099"/>
    <w:rsid w:val="009140D2"/>
    <w:rsid w:val="0091411D"/>
    <w:rsid w:val="009141B6"/>
    <w:rsid w:val="009141DF"/>
    <w:rsid w:val="009141E6"/>
    <w:rsid w:val="009142E8"/>
    <w:rsid w:val="009142F7"/>
    <w:rsid w:val="00914302"/>
    <w:rsid w:val="0091431D"/>
    <w:rsid w:val="00914333"/>
    <w:rsid w:val="00914454"/>
    <w:rsid w:val="0091446A"/>
    <w:rsid w:val="009144B0"/>
    <w:rsid w:val="0091450E"/>
    <w:rsid w:val="0091455D"/>
    <w:rsid w:val="0091466D"/>
    <w:rsid w:val="0091466F"/>
    <w:rsid w:val="00914672"/>
    <w:rsid w:val="009146BA"/>
    <w:rsid w:val="00914712"/>
    <w:rsid w:val="009147CB"/>
    <w:rsid w:val="00914868"/>
    <w:rsid w:val="0091496D"/>
    <w:rsid w:val="009149FD"/>
    <w:rsid w:val="00914A82"/>
    <w:rsid w:val="00914B45"/>
    <w:rsid w:val="00914B7C"/>
    <w:rsid w:val="00914C58"/>
    <w:rsid w:val="00914C5D"/>
    <w:rsid w:val="00914CD6"/>
    <w:rsid w:val="00914CF5"/>
    <w:rsid w:val="00914FE2"/>
    <w:rsid w:val="0091503A"/>
    <w:rsid w:val="00915104"/>
    <w:rsid w:val="00915157"/>
    <w:rsid w:val="00915173"/>
    <w:rsid w:val="009151B4"/>
    <w:rsid w:val="009151C7"/>
    <w:rsid w:val="00915204"/>
    <w:rsid w:val="0091523A"/>
    <w:rsid w:val="00915279"/>
    <w:rsid w:val="009152CE"/>
    <w:rsid w:val="00915312"/>
    <w:rsid w:val="0091541E"/>
    <w:rsid w:val="00915436"/>
    <w:rsid w:val="00915488"/>
    <w:rsid w:val="00915497"/>
    <w:rsid w:val="009155B6"/>
    <w:rsid w:val="00915670"/>
    <w:rsid w:val="00915750"/>
    <w:rsid w:val="00915756"/>
    <w:rsid w:val="00915760"/>
    <w:rsid w:val="009157E2"/>
    <w:rsid w:val="009158C4"/>
    <w:rsid w:val="009158DA"/>
    <w:rsid w:val="009158FA"/>
    <w:rsid w:val="00915AC2"/>
    <w:rsid w:val="00915B31"/>
    <w:rsid w:val="00915B69"/>
    <w:rsid w:val="00915BC6"/>
    <w:rsid w:val="00915C37"/>
    <w:rsid w:val="00915C67"/>
    <w:rsid w:val="00915C8F"/>
    <w:rsid w:val="00915CFE"/>
    <w:rsid w:val="00915DAD"/>
    <w:rsid w:val="00915DB0"/>
    <w:rsid w:val="00915DCA"/>
    <w:rsid w:val="00915E29"/>
    <w:rsid w:val="00915F30"/>
    <w:rsid w:val="00915F35"/>
    <w:rsid w:val="00915F58"/>
    <w:rsid w:val="00915F76"/>
    <w:rsid w:val="00915F93"/>
    <w:rsid w:val="00915FDC"/>
    <w:rsid w:val="00915FE8"/>
    <w:rsid w:val="00915FFC"/>
    <w:rsid w:val="009161C1"/>
    <w:rsid w:val="00916240"/>
    <w:rsid w:val="0091624F"/>
    <w:rsid w:val="00916277"/>
    <w:rsid w:val="00916298"/>
    <w:rsid w:val="009162B7"/>
    <w:rsid w:val="009163D1"/>
    <w:rsid w:val="009164A2"/>
    <w:rsid w:val="009164F9"/>
    <w:rsid w:val="0091658A"/>
    <w:rsid w:val="009165AB"/>
    <w:rsid w:val="009168BA"/>
    <w:rsid w:val="00916B86"/>
    <w:rsid w:val="00916B8A"/>
    <w:rsid w:val="00916D20"/>
    <w:rsid w:val="00916DC9"/>
    <w:rsid w:val="00916E1A"/>
    <w:rsid w:val="00916E1F"/>
    <w:rsid w:val="00916F6D"/>
    <w:rsid w:val="009170DD"/>
    <w:rsid w:val="00917167"/>
    <w:rsid w:val="00917223"/>
    <w:rsid w:val="009172D3"/>
    <w:rsid w:val="00917418"/>
    <w:rsid w:val="00917445"/>
    <w:rsid w:val="0091752C"/>
    <w:rsid w:val="00917663"/>
    <w:rsid w:val="009176E2"/>
    <w:rsid w:val="00917796"/>
    <w:rsid w:val="009177ED"/>
    <w:rsid w:val="0091783C"/>
    <w:rsid w:val="0091783E"/>
    <w:rsid w:val="00917866"/>
    <w:rsid w:val="009178DA"/>
    <w:rsid w:val="00917AA8"/>
    <w:rsid w:val="00917B07"/>
    <w:rsid w:val="00917BE1"/>
    <w:rsid w:val="00917D65"/>
    <w:rsid w:val="00917DC6"/>
    <w:rsid w:val="00917DF9"/>
    <w:rsid w:val="00917F3D"/>
    <w:rsid w:val="00917FA0"/>
    <w:rsid w:val="00917FF3"/>
    <w:rsid w:val="0092011B"/>
    <w:rsid w:val="00920131"/>
    <w:rsid w:val="0092017E"/>
    <w:rsid w:val="0092031A"/>
    <w:rsid w:val="009203DA"/>
    <w:rsid w:val="00920474"/>
    <w:rsid w:val="009204F8"/>
    <w:rsid w:val="00920624"/>
    <w:rsid w:val="009206A0"/>
    <w:rsid w:val="009206A3"/>
    <w:rsid w:val="00920703"/>
    <w:rsid w:val="00920718"/>
    <w:rsid w:val="0092078E"/>
    <w:rsid w:val="009207F9"/>
    <w:rsid w:val="009208AD"/>
    <w:rsid w:val="009208B3"/>
    <w:rsid w:val="0092091A"/>
    <w:rsid w:val="009209B4"/>
    <w:rsid w:val="00920A52"/>
    <w:rsid w:val="00920A79"/>
    <w:rsid w:val="00920B3F"/>
    <w:rsid w:val="00920B7D"/>
    <w:rsid w:val="00920C22"/>
    <w:rsid w:val="00920CB2"/>
    <w:rsid w:val="00920CF6"/>
    <w:rsid w:val="00920DE4"/>
    <w:rsid w:val="00920F32"/>
    <w:rsid w:val="00920F55"/>
    <w:rsid w:val="00921048"/>
    <w:rsid w:val="00921142"/>
    <w:rsid w:val="0092119A"/>
    <w:rsid w:val="009212C7"/>
    <w:rsid w:val="0092134E"/>
    <w:rsid w:val="00921357"/>
    <w:rsid w:val="00921374"/>
    <w:rsid w:val="009214DF"/>
    <w:rsid w:val="00921558"/>
    <w:rsid w:val="009215A3"/>
    <w:rsid w:val="0092162F"/>
    <w:rsid w:val="00921676"/>
    <w:rsid w:val="0092169C"/>
    <w:rsid w:val="009216AC"/>
    <w:rsid w:val="009216D7"/>
    <w:rsid w:val="009217AB"/>
    <w:rsid w:val="00921847"/>
    <w:rsid w:val="009218AD"/>
    <w:rsid w:val="009218C7"/>
    <w:rsid w:val="0092190F"/>
    <w:rsid w:val="009219D6"/>
    <w:rsid w:val="00921A93"/>
    <w:rsid w:val="00921BAE"/>
    <w:rsid w:val="00921BCD"/>
    <w:rsid w:val="00921CA2"/>
    <w:rsid w:val="00921D17"/>
    <w:rsid w:val="00921D69"/>
    <w:rsid w:val="00921D7D"/>
    <w:rsid w:val="00921D85"/>
    <w:rsid w:val="00921DC0"/>
    <w:rsid w:val="00921E20"/>
    <w:rsid w:val="00921E28"/>
    <w:rsid w:val="00921E49"/>
    <w:rsid w:val="00921F60"/>
    <w:rsid w:val="0092207A"/>
    <w:rsid w:val="00922199"/>
    <w:rsid w:val="00922223"/>
    <w:rsid w:val="0092223F"/>
    <w:rsid w:val="00922251"/>
    <w:rsid w:val="00922399"/>
    <w:rsid w:val="009223B3"/>
    <w:rsid w:val="009224CD"/>
    <w:rsid w:val="009225CC"/>
    <w:rsid w:val="0092269D"/>
    <w:rsid w:val="0092275D"/>
    <w:rsid w:val="0092282F"/>
    <w:rsid w:val="009228C6"/>
    <w:rsid w:val="00922BAF"/>
    <w:rsid w:val="00922BEA"/>
    <w:rsid w:val="00922C19"/>
    <w:rsid w:val="00922CEA"/>
    <w:rsid w:val="00922D02"/>
    <w:rsid w:val="00922EB1"/>
    <w:rsid w:val="00922ED8"/>
    <w:rsid w:val="00922F6A"/>
    <w:rsid w:val="00923088"/>
    <w:rsid w:val="009230FF"/>
    <w:rsid w:val="00923100"/>
    <w:rsid w:val="00923174"/>
    <w:rsid w:val="00923177"/>
    <w:rsid w:val="00923179"/>
    <w:rsid w:val="009232A2"/>
    <w:rsid w:val="009232C3"/>
    <w:rsid w:val="00923467"/>
    <w:rsid w:val="00923559"/>
    <w:rsid w:val="009235D3"/>
    <w:rsid w:val="009236CD"/>
    <w:rsid w:val="00923757"/>
    <w:rsid w:val="00923787"/>
    <w:rsid w:val="0092387F"/>
    <w:rsid w:val="009238BE"/>
    <w:rsid w:val="009238D5"/>
    <w:rsid w:val="0092390F"/>
    <w:rsid w:val="009239E9"/>
    <w:rsid w:val="00923A3A"/>
    <w:rsid w:val="00923A72"/>
    <w:rsid w:val="00923AD5"/>
    <w:rsid w:val="00923B06"/>
    <w:rsid w:val="00923BA5"/>
    <w:rsid w:val="00923BE0"/>
    <w:rsid w:val="00923C29"/>
    <w:rsid w:val="00923C6C"/>
    <w:rsid w:val="00923C75"/>
    <w:rsid w:val="00923CDA"/>
    <w:rsid w:val="00923D95"/>
    <w:rsid w:val="00923E3B"/>
    <w:rsid w:val="00923EB9"/>
    <w:rsid w:val="00923EED"/>
    <w:rsid w:val="00923F50"/>
    <w:rsid w:val="00923F85"/>
    <w:rsid w:val="00924049"/>
    <w:rsid w:val="0092407F"/>
    <w:rsid w:val="00924166"/>
    <w:rsid w:val="009241A5"/>
    <w:rsid w:val="00924276"/>
    <w:rsid w:val="00924344"/>
    <w:rsid w:val="00924594"/>
    <w:rsid w:val="0092470E"/>
    <w:rsid w:val="009247B7"/>
    <w:rsid w:val="00924840"/>
    <w:rsid w:val="00924873"/>
    <w:rsid w:val="0092490E"/>
    <w:rsid w:val="00924BB9"/>
    <w:rsid w:val="00924C02"/>
    <w:rsid w:val="00924C56"/>
    <w:rsid w:val="00924CD2"/>
    <w:rsid w:val="00924E0F"/>
    <w:rsid w:val="00924E27"/>
    <w:rsid w:val="00924E50"/>
    <w:rsid w:val="00924F1D"/>
    <w:rsid w:val="00924F36"/>
    <w:rsid w:val="00924F63"/>
    <w:rsid w:val="00925018"/>
    <w:rsid w:val="0092502A"/>
    <w:rsid w:val="0092506F"/>
    <w:rsid w:val="009250F8"/>
    <w:rsid w:val="0092518B"/>
    <w:rsid w:val="00925195"/>
    <w:rsid w:val="009251D7"/>
    <w:rsid w:val="009252AF"/>
    <w:rsid w:val="009252E5"/>
    <w:rsid w:val="00925314"/>
    <w:rsid w:val="00925346"/>
    <w:rsid w:val="0092534C"/>
    <w:rsid w:val="00925358"/>
    <w:rsid w:val="00925480"/>
    <w:rsid w:val="00925497"/>
    <w:rsid w:val="00925539"/>
    <w:rsid w:val="009256A1"/>
    <w:rsid w:val="0092571C"/>
    <w:rsid w:val="009257A3"/>
    <w:rsid w:val="009258DE"/>
    <w:rsid w:val="0092595D"/>
    <w:rsid w:val="009259E2"/>
    <w:rsid w:val="00925A2F"/>
    <w:rsid w:val="00925A40"/>
    <w:rsid w:val="00925A4F"/>
    <w:rsid w:val="00925B47"/>
    <w:rsid w:val="00925C1B"/>
    <w:rsid w:val="00925D2D"/>
    <w:rsid w:val="00925D84"/>
    <w:rsid w:val="00925DED"/>
    <w:rsid w:val="00925E9C"/>
    <w:rsid w:val="00925EE6"/>
    <w:rsid w:val="00925F78"/>
    <w:rsid w:val="00925FA1"/>
    <w:rsid w:val="009260E6"/>
    <w:rsid w:val="0092626B"/>
    <w:rsid w:val="0092634E"/>
    <w:rsid w:val="009263AF"/>
    <w:rsid w:val="0092643E"/>
    <w:rsid w:val="00926471"/>
    <w:rsid w:val="009265B6"/>
    <w:rsid w:val="009267BE"/>
    <w:rsid w:val="009267CA"/>
    <w:rsid w:val="009267CD"/>
    <w:rsid w:val="009267F1"/>
    <w:rsid w:val="0092684D"/>
    <w:rsid w:val="009268A6"/>
    <w:rsid w:val="009269AA"/>
    <w:rsid w:val="00926A41"/>
    <w:rsid w:val="00926B05"/>
    <w:rsid w:val="00926B25"/>
    <w:rsid w:val="00926B48"/>
    <w:rsid w:val="00926B8A"/>
    <w:rsid w:val="00926CA8"/>
    <w:rsid w:val="00926CF9"/>
    <w:rsid w:val="00926D1A"/>
    <w:rsid w:val="00926E82"/>
    <w:rsid w:val="00926F32"/>
    <w:rsid w:val="00926F8D"/>
    <w:rsid w:val="009270A9"/>
    <w:rsid w:val="00927120"/>
    <w:rsid w:val="00927181"/>
    <w:rsid w:val="009271EA"/>
    <w:rsid w:val="00927228"/>
    <w:rsid w:val="00927327"/>
    <w:rsid w:val="0092733F"/>
    <w:rsid w:val="00927361"/>
    <w:rsid w:val="009273D6"/>
    <w:rsid w:val="00927472"/>
    <w:rsid w:val="009274C2"/>
    <w:rsid w:val="0092756D"/>
    <w:rsid w:val="0092758D"/>
    <w:rsid w:val="009276E9"/>
    <w:rsid w:val="00927701"/>
    <w:rsid w:val="00927845"/>
    <w:rsid w:val="0092789B"/>
    <w:rsid w:val="00927946"/>
    <w:rsid w:val="00927A66"/>
    <w:rsid w:val="00927A6F"/>
    <w:rsid w:val="00927A95"/>
    <w:rsid w:val="00927B21"/>
    <w:rsid w:val="00927BA2"/>
    <w:rsid w:val="00927BA8"/>
    <w:rsid w:val="00927C0B"/>
    <w:rsid w:val="00927C73"/>
    <w:rsid w:val="00927C90"/>
    <w:rsid w:val="00927CB3"/>
    <w:rsid w:val="00927D26"/>
    <w:rsid w:val="00927D40"/>
    <w:rsid w:val="00927DB2"/>
    <w:rsid w:val="00927E14"/>
    <w:rsid w:val="00927E2C"/>
    <w:rsid w:val="00927E97"/>
    <w:rsid w:val="00927F15"/>
    <w:rsid w:val="00927FB8"/>
    <w:rsid w:val="00927FB9"/>
    <w:rsid w:val="00927FBB"/>
    <w:rsid w:val="0093001B"/>
    <w:rsid w:val="00930080"/>
    <w:rsid w:val="0093015E"/>
    <w:rsid w:val="009301C8"/>
    <w:rsid w:val="00930219"/>
    <w:rsid w:val="00930257"/>
    <w:rsid w:val="00930290"/>
    <w:rsid w:val="009302F8"/>
    <w:rsid w:val="00930321"/>
    <w:rsid w:val="009303A5"/>
    <w:rsid w:val="0093040C"/>
    <w:rsid w:val="0093045E"/>
    <w:rsid w:val="00930497"/>
    <w:rsid w:val="009304DE"/>
    <w:rsid w:val="0093055D"/>
    <w:rsid w:val="00930597"/>
    <w:rsid w:val="0093064E"/>
    <w:rsid w:val="009306FB"/>
    <w:rsid w:val="0093073D"/>
    <w:rsid w:val="009307A7"/>
    <w:rsid w:val="009307D3"/>
    <w:rsid w:val="0093081E"/>
    <w:rsid w:val="0093083E"/>
    <w:rsid w:val="009308F0"/>
    <w:rsid w:val="009309CB"/>
    <w:rsid w:val="00930A03"/>
    <w:rsid w:val="00930BF9"/>
    <w:rsid w:val="00930C81"/>
    <w:rsid w:val="00930C9B"/>
    <w:rsid w:val="00930D44"/>
    <w:rsid w:val="00930DBB"/>
    <w:rsid w:val="00930FAC"/>
    <w:rsid w:val="00931067"/>
    <w:rsid w:val="00931114"/>
    <w:rsid w:val="0093112C"/>
    <w:rsid w:val="00931138"/>
    <w:rsid w:val="0093115C"/>
    <w:rsid w:val="0093117C"/>
    <w:rsid w:val="0093118D"/>
    <w:rsid w:val="00931212"/>
    <w:rsid w:val="00931254"/>
    <w:rsid w:val="00931258"/>
    <w:rsid w:val="009312D5"/>
    <w:rsid w:val="009313F2"/>
    <w:rsid w:val="00931508"/>
    <w:rsid w:val="0093167E"/>
    <w:rsid w:val="009316E8"/>
    <w:rsid w:val="0093184C"/>
    <w:rsid w:val="00931897"/>
    <w:rsid w:val="0093189A"/>
    <w:rsid w:val="00931912"/>
    <w:rsid w:val="0093193E"/>
    <w:rsid w:val="009319BB"/>
    <w:rsid w:val="00931A57"/>
    <w:rsid w:val="00931B10"/>
    <w:rsid w:val="00931C80"/>
    <w:rsid w:val="00931CE0"/>
    <w:rsid w:val="00931D18"/>
    <w:rsid w:val="00931D78"/>
    <w:rsid w:val="00931DA5"/>
    <w:rsid w:val="00931E0B"/>
    <w:rsid w:val="00931F3C"/>
    <w:rsid w:val="0093209E"/>
    <w:rsid w:val="009320B1"/>
    <w:rsid w:val="00932119"/>
    <w:rsid w:val="00932141"/>
    <w:rsid w:val="0093224F"/>
    <w:rsid w:val="009322E5"/>
    <w:rsid w:val="0093239A"/>
    <w:rsid w:val="00932423"/>
    <w:rsid w:val="0093243B"/>
    <w:rsid w:val="0093248A"/>
    <w:rsid w:val="009324CC"/>
    <w:rsid w:val="009324E9"/>
    <w:rsid w:val="00932539"/>
    <w:rsid w:val="0093256D"/>
    <w:rsid w:val="00932584"/>
    <w:rsid w:val="00932660"/>
    <w:rsid w:val="009326C9"/>
    <w:rsid w:val="009326EA"/>
    <w:rsid w:val="009327BC"/>
    <w:rsid w:val="009327D5"/>
    <w:rsid w:val="00932854"/>
    <w:rsid w:val="0093286D"/>
    <w:rsid w:val="00932892"/>
    <w:rsid w:val="00932976"/>
    <w:rsid w:val="009329BE"/>
    <w:rsid w:val="00932A70"/>
    <w:rsid w:val="00932AE5"/>
    <w:rsid w:val="00932B69"/>
    <w:rsid w:val="00932B8A"/>
    <w:rsid w:val="00932BB8"/>
    <w:rsid w:val="00932BD0"/>
    <w:rsid w:val="00932BFB"/>
    <w:rsid w:val="00932C1D"/>
    <w:rsid w:val="00932C64"/>
    <w:rsid w:val="00932C8A"/>
    <w:rsid w:val="00932C9A"/>
    <w:rsid w:val="00932D6E"/>
    <w:rsid w:val="00932D8F"/>
    <w:rsid w:val="00932DD4"/>
    <w:rsid w:val="00932EAC"/>
    <w:rsid w:val="00932F3E"/>
    <w:rsid w:val="00932F69"/>
    <w:rsid w:val="00933082"/>
    <w:rsid w:val="009330B5"/>
    <w:rsid w:val="00933190"/>
    <w:rsid w:val="009331A8"/>
    <w:rsid w:val="009331DB"/>
    <w:rsid w:val="009331E0"/>
    <w:rsid w:val="00933294"/>
    <w:rsid w:val="009333CB"/>
    <w:rsid w:val="009333F4"/>
    <w:rsid w:val="009334BF"/>
    <w:rsid w:val="00933543"/>
    <w:rsid w:val="0093359C"/>
    <w:rsid w:val="0093395A"/>
    <w:rsid w:val="009339D0"/>
    <w:rsid w:val="009339D8"/>
    <w:rsid w:val="009339F3"/>
    <w:rsid w:val="00933AE4"/>
    <w:rsid w:val="00933B20"/>
    <w:rsid w:val="00933BCA"/>
    <w:rsid w:val="00933BFF"/>
    <w:rsid w:val="00933C2F"/>
    <w:rsid w:val="00933C5A"/>
    <w:rsid w:val="00933CB0"/>
    <w:rsid w:val="00933D14"/>
    <w:rsid w:val="00933D6F"/>
    <w:rsid w:val="00933DFC"/>
    <w:rsid w:val="00934013"/>
    <w:rsid w:val="009340F3"/>
    <w:rsid w:val="0093412F"/>
    <w:rsid w:val="0093418F"/>
    <w:rsid w:val="009341DF"/>
    <w:rsid w:val="00934263"/>
    <w:rsid w:val="0093441F"/>
    <w:rsid w:val="0093448B"/>
    <w:rsid w:val="009344D2"/>
    <w:rsid w:val="00934508"/>
    <w:rsid w:val="0093468A"/>
    <w:rsid w:val="00934748"/>
    <w:rsid w:val="00934793"/>
    <w:rsid w:val="00934834"/>
    <w:rsid w:val="00934946"/>
    <w:rsid w:val="009349D3"/>
    <w:rsid w:val="00934A34"/>
    <w:rsid w:val="00934AB8"/>
    <w:rsid w:val="00934B9F"/>
    <w:rsid w:val="00934CD1"/>
    <w:rsid w:val="00934D25"/>
    <w:rsid w:val="00934D5F"/>
    <w:rsid w:val="00934DB2"/>
    <w:rsid w:val="00934E01"/>
    <w:rsid w:val="00934E9A"/>
    <w:rsid w:val="00934ED8"/>
    <w:rsid w:val="00935035"/>
    <w:rsid w:val="009350BE"/>
    <w:rsid w:val="009350C6"/>
    <w:rsid w:val="0093517C"/>
    <w:rsid w:val="00935196"/>
    <w:rsid w:val="009351F4"/>
    <w:rsid w:val="00935206"/>
    <w:rsid w:val="00935273"/>
    <w:rsid w:val="009352EE"/>
    <w:rsid w:val="00935339"/>
    <w:rsid w:val="00935363"/>
    <w:rsid w:val="00935374"/>
    <w:rsid w:val="009353D1"/>
    <w:rsid w:val="0093544F"/>
    <w:rsid w:val="0093547B"/>
    <w:rsid w:val="009354D6"/>
    <w:rsid w:val="0093550A"/>
    <w:rsid w:val="009355B5"/>
    <w:rsid w:val="009355C5"/>
    <w:rsid w:val="009355D1"/>
    <w:rsid w:val="00935640"/>
    <w:rsid w:val="00935725"/>
    <w:rsid w:val="0093572E"/>
    <w:rsid w:val="00935732"/>
    <w:rsid w:val="009359D6"/>
    <w:rsid w:val="00935A98"/>
    <w:rsid w:val="00935C83"/>
    <w:rsid w:val="00935D88"/>
    <w:rsid w:val="00935DA3"/>
    <w:rsid w:val="00935DD1"/>
    <w:rsid w:val="00935E59"/>
    <w:rsid w:val="00935FCD"/>
    <w:rsid w:val="00936012"/>
    <w:rsid w:val="0093602A"/>
    <w:rsid w:val="0093602B"/>
    <w:rsid w:val="00936073"/>
    <w:rsid w:val="0093612A"/>
    <w:rsid w:val="0093622F"/>
    <w:rsid w:val="00936255"/>
    <w:rsid w:val="00936267"/>
    <w:rsid w:val="009362EC"/>
    <w:rsid w:val="00936379"/>
    <w:rsid w:val="009363DA"/>
    <w:rsid w:val="00936441"/>
    <w:rsid w:val="00936458"/>
    <w:rsid w:val="00936460"/>
    <w:rsid w:val="00936505"/>
    <w:rsid w:val="00936653"/>
    <w:rsid w:val="00936702"/>
    <w:rsid w:val="00936761"/>
    <w:rsid w:val="00936773"/>
    <w:rsid w:val="00936892"/>
    <w:rsid w:val="009369B9"/>
    <w:rsid w:val="009369BE"/>
    <w:rsid w:val="009369DC"/>
    <w:rsid w:val="00936A94"/>
    <w:rsid w:val="00936AA4"/>
    <w:rsid w:val="00936B01"/>
    <w:rsid w:val="00936B84"/>
    <w:rsid w:val="00936BAD"/>
    <w:rsid w:val="00936C7E"/>
    <w:rsid w:val="00936C97"/>
    <w:rsid w:val="00936D1C"/>
    <w:rsid w:val="00936D43"/>
    <w:rsid w:val="00936E14"/>
    <w:rsid w:val="00936E3A"/>
    <w:rsid w:val="00936F1B"/>
    <w:rsid w:val="00936FFC"/>
    <w:rsid w:val="009371E8"/>
    <w:rsid w:val="009371E9"/>
    <w:rsid w:val="009371F4"/>
    <w:rsid w:val="00937249"/>
    <w:rsid w:val="009372D8"/>
    <w:rsid w:val="00937389"/>
    <w:rsid w:val="0093741C"/>
    <w:rsid w:val="00937420"/>
    <w:rsid w:val="00937423"/>
    <w:rsid w:val="00937453"/>
    <w:rsid w:val="00937568"/>
    <w:rsid w:val="0093757A"/>
    <w:rsid w:val="00937672"/>
    <w:rsid w:val="00937699"/>
    <w:rsid w:val="009376FC"/>
    <w:rsid w:val="00937752"/>
    <w:rsid w:val="0093778A"/>
    <w:rsid w:val="00937947"/>
    <w:rsid w:val="009379D1"/>
    <w:rsid w:val="00937A31"/>
    <w:rsid w:val="00937B4F"/>
    <w:rsid w:val="00937BAF"/>
    <w:rsid w:val="00937C17"/>
    <w:rsid w:val="00937CC8"/>
    <w:rsid w:val="00937CFA"/>
    <w:rsid w:val="00937D38"/>
    <w:rsid w:val="00937DC7"/>
    <w:rsid w:val="00937F77"/>
    <w:rsid w:val="00937FD4"/>
    <w:rsid w:val="0094000D"/>
    <w:rsid w:val="009400FA"/>
    <w:rsid w:val="00940116"/>
    <w:rsid w:val="009402D9"/>
    <w:rsid w:val="0094034E"/>
    <w:rsid w:val="00940448"/>
    <w:rsid w:val="0094046A"/>
    <w:rsid w:val="00940498"/>
    <w:rsid w:val="0094053F"/>
    <w:rsid w:val="00940550"/>
    <w:rsid w:val="00940558"/>
    <w:rsid w:val="00940567"/>
    <w:rsid w:val="009405D3"/>
    <w:rsid w:val="009405EF"/>
    <w:rsid w:val="009405F9"/>
    <w:rsid w:val="009406A8"/>
    <w:rsid w:val="009406B6"/>
    <w:rsid w:val="0094073E"/>
    <w:rsid w:val="0094075B"/>
    <w:rsid w:val="00940768"/>
    <w:rsid w:val="009407F5"/>
    <w:rsid w:val="009408E1"/>
    <w:rsid w:val="009409A5"/>
    <w:rsid w:val="009409BF"/>
    <w:rsid w:val="009409C3"/>
    <w:rsid w:val="00940B43"/>
    <w:rsid w:val="00940BF0"/>
    <w:rsid w:val="00940CC6"/>
    <w:rsid w:val="00940D01"/>
    <w:rsid w:val="00940D37"/>
    <w:rsid w:val="00940D6B"/>
    <w:rsid w:val="00940E70"/>
    <w:rsid w:val="00940EAD"/>
    <w:rsid w:val="00940ED8"/>
    <w:rsid w:val="0094105E"/>
    <w:rsid w:val="00941094"/>
    <w:rsid w:val="009410A7"/>
    <w:rsid w:val="009410D1"/>
    <w:rsid w:val="00941216"/>
    <w:rsid w:val="00941220"/>
    <w:rsid w:val="00941244"/>
    <w:rsid w:val="009412C6"/>
    <w:rsid w:val="009412DB"/>
    <w:rsid w:val="009412DD"/>
    <w:rsid w:val="009412EA"/>
    <w:rsid w:val="009413DB"/>
    <w:rsid w:val="009414F4"/>
    <w:rsid w:val="0094161E"/>
    <w:rsid w:val="0094167A"/>
    <w:rsid w:val="009416A6"/>
    <w:rsid w:val="009417C7"/>
    <w:rsid w:val="00941880"/>
    <w:rsid w:val="00941884"/>
    <w:rsid w:val="009418E4"/>
    <w:rsid w:val="00941AE1"/>
    <w:rsid w:val="00941BCC"/>
    <w:rsid w:val="00941C7D"/>
    <w:rsid w:val="00941C9C"/>
    <w:rsid w:val="00941CC2"/>
    <w:rsid w:val="00941CF5"/>
    <w:rsid w:val="00941D0D"/>
    <w:rsid w:val="00941D41"/>
    <w:rsid w:val="00941DAB"/>
    <w:rsid w:val="00941E2B"/>
    <w:rsid w:val="00941E6E"/>
    <w:rsid w:val="00941E9E"/>
    <w:rsid w:val="00941EBA"/>
    <w:rsid w:val="00941F12"/>
    <w:rsid w:val="00941FAC"/>
    <w:rsid w:val="0094209E"/>
    <w:rsid w:val="009420DB"/>
    <w:rsid w:val="009420EE"/>
    <w:rsid w:val="00942120"/>
    <w:rsid w:val="009421FF"/>
    <w:rsid w:val="009422D1"/>
    <w:rsid w:val="00942304"/>
    <w:rsid w:val="00942305"/>
    <w:rsid w:val="0094234D"/>
    <w:rsid w:val="0094240E"/>
    <w:rsid w:val="009425D4"/>
    <w:rsid w:val="00942611"/>
    <w:rsid w:val="00942618"/>
    <w:rsid w:val="00942622"/>
    <w:rsid w:val="0094268A"/>
    <w:rsid w:val="00942746"/>
    <w:rsid w:val="009428E9"/>
    <w:rsid w:val="00942917"/>
    <w:rsid w:val="0094293C"/>
    <w:rsid w:val="00942967"/>
    <w:rsid w:val="00942A50"/>
    <w:rsid w:val="00942A54"/>
    <w:rsid w:val="00942A76"/>
    <w:rsid w:val="00942A95"/>
    <w:rsid w:val="00942AC0"/>
    <w:rsid w:val="00942B12"/>
    <w:rsid w:val="00942B4E"/>
    <w:rsid w:val="00942B53"/>
    <w:rsid w:val="00942C0D"/>
    <w:rsid w:val="00942CC3"/>
    <w:rsid w:val="00942D98"/>
    <w:rsid w:val="00942E61"/>
    <w:rsid w:val="00942E84"/>
    <w:rsid w:val="00942EE7"/>
    <w:rsid w:val="00942F4F"/>
    <w:rsid w:val="00942FB9"/>
    <w:rsid w:val="009430A7"/>
    <w:rsid w:val="0094316A"/>
    <w:rsid w:val="00943194"/>
    <w:rsid w:val="009431ED"/>
    <w:rsid w:val="009432A9"/>
    <w:rsid w:val="00943391"/>
    <w:rsid w:val="009433D7"/>
    <w:rsid w:val="0094348C"/>
    <w:rsid w:val="00943499"/>
    <w:rsid w:val="009434A9"/>
    <w:rsid w:val="009434D3"/>
    <w:rsid w:val="009434F0"/>
    <w:rsid w:val="0094355F"/>
    <w:rsid w:val="00943687"/>
    <w:rsid w:val="009436B9"/>
    <w:rsid w:val="00943909"/>
    <w:rsid w:val="0094390C"/>
    <w:rsid w:val="0094390D"/>
    <w:rsid w:val="00943982"/>
    <w:rsid w:val="009439A7"/>
    <w:rsid w:val="009439B2"/>
    <w:rsid w:val="00943AB9"/>
    <w:rsid w:val="00943B5E"/>
    <w:rsid w:val="00943BC8"/>
    <w:rsid w:val="00943C3C"/>
    <w:rsid w:val="00943CA8"/>
    <w:rsid w:val="00943CD8"/>
    <w:rsid w:val="00943D00"/>
    <w:rsid w:val="00943DAC"/>
    <w:rsid w:val="00943FDF"/>
    <w:rsid w:val="00943FF6"/>
    <w:rsid w:val="009440AA"/>
    <w:rsid w:val="009440F9"/>
    <w:rsid w:val="009441CA"/>
    <w:rsid w:val="00944285"/>
    <w:rsid w:val="009442FE"/>
    <w:rsid w:val="0094438A"/>
    <w:rsid w:val="0094443D"/>
    <w:rsid w:val="009444D2"/>
    <w:rsid w:val="0094453B"/>
    <w:rsid w:val="0094454F"/>
    <w:rsid w:val="009445CC"/>
    <w:rsid w:val="0094467D"/>
    <w:rsid w:val="0094469A"/>
    <w:rsid w:val="00944755"/>
    <w:rsid w:val="00944834"/>
    <w:rsid w:val="0094483B"/>
    <w:rsid w:val="009448F5"/>
    <w:rsid w:val="00944928"/>
    <w:rsid w:val="0094492D"/>
    <w:rsid w:val="00944972"/>
    <w:rsid w:val="00944A09"/>
    <w:rsid w:val="00944AEE"/>
    <w:rsid w:val="00944D48"/>
    <w:rsid w:val="00944D75"/>
    <w:rsid w:val="00944E24"/>
    <w:rsid w:val="00944E99"/>
    <w:rsid w:val="00944EF8"/>
    <w:rsid w:val="00945041"/>
    <w:rsid w:val="009450B4"/>
    <w:rsid w:val="009450E5"/>
    <w:rsid w:val="00945144"/>
    <w:rsid w:val="0094517E"/>
    <w:rsid w:val="009451DC"/>
    <w:rsid w:val="00945291"/>
    <w:rsid w:val="00945296"/>
    <w:rsid w:val="009452A2"/>
    <w:rsid w:val="009452E4"/>
    <w:rsid w:val="009452F8"/>
    <w:rsid w:val="0094538A"/>
    <w:rsid w:val="009453A3"/>
    <w:rsid w:val="00945487"/>
    <w:rsid w:val="009454F0"/>
    <w:rsid w:val="009455DF"/>
    <w:rsid w:val="009455E9"/>
    <w:rsid w:val="00945849"/>
    <w:rsid w:val="00945879"/>
    <w:rsid w:val="0094587D"/>
    <w:rsid w:val="009458A3"/>
    <w:rsid w:val="009458F0"/>
    <w:rsid w:val="00945983"/>
    <w:rsid w:val="009459A4"/>
    <w:rsid w:val="009459D2"/>
    <w:rsid w:val="00945A96"/>
    <w:rsid w:val="00945C1C"/>
    <w:rsid w:val="00945C23"/>
    <w:rsid w:val="00945D2D"/>
    <w:rsid w:val="00945D53"/>
    <w:rsid w:val="00945D6C"/>
    <w:rsid w:val="00945E15"/>
    <w:rsid w:val="00945E78"/>
    <w:rsid w:val="00945EBF"/>
    <w:rsid w:val="00945ED2"/>
    <w:rsid w:val="00946071"/>
    <w:rsid w:val="0094614D"/>
    <w:rsid w:val="00946256"/>
    <w:rsid w:val="0094625C"/>
    <w:rsid w:val="0094632B"/>
    <w:rsid w:val="0094633A"/>
    <w:rsid w:val="00946371"/>
    <w:rsid w:val="009463FC"/>
    <w:rsid w:val="00946485"/>
    <w:rsid w:val="009464B7"/>
    <w:rsid w:val="009464DA"/>
    <w:rsid w:val="009464DB"/>
    <w:rsid w:val="009465A5"/>
    <w:rsid w:val="009465B0"/>
    <w:rsid w:val="00946744"/>
    <w:rsid w:val="009467CE"/>
    <w:rsid w:val="0094682C"/>
    <w:rsid w:val="00946834"/>
    <w:rsid w:val="0094683E"/>
    <w:rsid w:val="00946854"/>
    <w:rsid w:val="0094687E"/>
    <w:rsid w:val="009468E0"/>
    <w:rsid w:val="0094690F"/>
    <w:rsid w:val="0094693B"/>
    <w:rsid w:val="00946943"/>
    <w:rsid w:val="00946A73"/>
    <w:rsid w:val="00946A8A"/>
    <w:rsid w:val="00946AB3"/>
    <w:rsid w:val="00946ABC"/>
    <w:rsid w:val="00946AE6"/>
    <w:rsid w:val="00946B54"/>
    <w:rsid w:val="00946B64"/>
    <w:rsid w:val="00946B9C"/>
    <w:rsid w:val="00946B9F"/>
    <w:rsid w:val="00946BFA"/>
    <w:rsid w:val="00946C06"/>
    <w:rsid w:val="00946C0F"/>
    <w:rsid w:val="00946CA9"/>
    <w:rsid w:val="00946E38"/>
    <w:rsid w:val="00946E70"/>
    <w:rsid w:val="00946ED9"/>
    <w:rsid w:val="00946F02"/>
    <w:rsid w:val="00946FDC"/>
    <w:rsid w:val="00946FFD"/>
    <w:rsid w:val="00947076"/>
    <w:rsid w:val="009470CC"/>
    <w:rsid w:val="009470DE"/>
    <w:rsid w:val="00947109"/>
    <w:rsid w:val="0094716D"/>
    <w:rsid w:val="0094718D"/>
    <w:rsid w:val="009471AB"/>
    <w:rsid w:val="009471D3"/>
    <w:rsid w:val="009472A5"/>
    <w:rsid w:val="009474F8"/>
    <w:rsid w:val="0094753D"/>
    <w:rsid w:val="0094759E"/>
    <w:rsid w:val="009476E4"/>
    <w:rsid w:val="009476F6"/>
    <w:rsid w:val="0094772E"/>
    <w:rsid w:val="00947767"/>
    <w:rsid w:val="00947790"/>
    <w:rsid w:val="009477E5"/>
    <w:rsid w:val="009478B7"/>
    <w:rsid w:val="0094799E"/>
    <w:rsid w:val="009479B6"/>
    <w:rsid w:val="00947B25"/>
    <w:rsid w:val="00947B7A"/>
    <w:rsid w:val="00947B89"/>
    <w:rsid w:val="00947BAB"/>
    <w:rsid w:val="00947C46"/>
    <w:rsid w:val="00947C61"/>
    <w:rsid w:val="00947D52"/>
    <w:rsid w:val="00947D83"/>
    <w:rsid w:val="00947DCC"/>
    <w:rsid w:val="00947E6D"/>
    <w:rsid w:val="00947EAC"/>
    <w:rsid w:val="00947EB0"/>
    <w:rsid w:val="00947F1C"/>
    <w:rsid w:val="00947F30"/>
    <w:rsid w:val="00947F5E"/>
    <w:rsid w:val="00947F81"/>
    <w:rsid w:val="00950002"/>
    <w:rsid w:val="009500A8"/>
    <w:rsid w:val="00950117"/>
    <w:rsid w:val="00950132"/>
    <w:rsid w:val="0095029B"/>
    <w:rsid w:val="009503CF"/>
    <w:rsid w:val="009504E5"/>
    <w:rsid w:val="00950538"/>
    <w:rsid w:val="00950569"/>
    <w:rsid w:val="009505D3"/>
    <w:rsid w:val="00950633"/>
    <w:rsid w:val="00950654"/>
    <w:rsid w:val="00950682"/>
    <w:rsid w:val="009506A4"/>
    <w:rsid w:val="00950802"/>
    <w:rsid w:val="00950845"/>
    <w:rsid w:val="009509D6"/>
    <w:rsid w:val="00950A42"/>
    <w:rsid w:val="00950A61"/>
    <w:rsid w:val="00950AA0"/>
    <w:rsid w:val="00950AEE"/>
    <w:rsid w:val="00950B04"/>
    <w:rsid w:val="00950B2A"/>
    <w:rsid w:val="00950B45"/>
    <w:rsid w:val="00950B60"/>
    <w:rsid w:val="00950C95"/>
    <w:rsid w:val="00950D7F"/>
    <w:rsid w:val="00950E78"/>
    <w:rsid w:val="00950ED9"/>
    <w:rsid w:val="00950F00"/>
    <w:rsid w:val="00950F65"/>
    <w:rsid w:val="00950F7E"/>
    <w:rsid w:val="00950FBA"/>
    <w:rsid w:val="00950FF7"/>
    <w:rsid w:val="00951090"/>
    <w:rsid w:val="00951102"/>
    <w:rsid w:val="00951109"/>
    <w:rsid w:val="00951117"/>
    <w:rsid w:val="009512CB"/>
    <w:rsid w:val="009512CF"/>
    <w:rsid w:val="009512F9"/>
    <w:rsid w:val="00951302"/>
    <w:rsid w:val="009513A4"/>
    <w:rsid w:val="009513B2"/>
    <w:rsid w:val="009513E4"/>
    <w:rsid w:val="0095150B"/>
    <w:rsid w:val="00951625"/>
    <w:rsid w:val="00951675"/>
    <w:rsid w:val="009516A7"/>
    <w:rsid w:val="009516F4"/>
    <w:rsid w:val="0095176A"/>
    <w:rsid w:val="00951793"/>
    <w:rsid w:val="009517D3"/>
    <w:rsid w:val="00951818"/>
    <w:rsid w:val="00951832"/>
    <w:rsid w:val="00951834"/>
    <w:rsid w:val="0095189F"/>
    <w:rsid w:val="0095190C"/>
    <w:rsid w:val="009519DF"/>
    <w:rsid w:val="00951A7E"/>
    <w:rsid w:val="00951A8B"/>
    <w:rsid w:val="00951D9C"/>
    <w:rsid w:val="00952287"/>
    <w:rsid w:val="00952297"/>
    <w:rsid w:val="009522CF"/>
    <w:rsid w:val="00952329"/>
    <w:rsid w:val="00952330"/>
    <w:rsid w:val="00952364"/>
    <w:rsid w:val="00952367"/>
    <w:rsid w:val="00952405"/>
    <w:rsid w:val="0095241C"/>
    <w:rsid w:val="009524B6"/>
    <w:rsid w:val="00952518"/>
    <w:rsid w:val="00952562"/>
    <w:rsid w:val="0095257F"/>
    <w:rsid w:val="009525F0"/>
    <w:rsid w:val="00952602"/>
    <w:rsid w:val="00952617"/>
    <w:rsid w:val="00952628"/>
    <w:rsid w:val="0095269F"/>
    <w:rsid w:val="0095280A"/>
    <w:rsid w:val="0095281F"/>
    <w:rsid w:val="00952820"/>
    <w:rsid w:val="009528CB"/>
    <w:rsid w:val="009528FA"/>
    <w:rsid w:val="00952917"/>
    <w:rsid w:val="00952923"/>
    <w:rsid w:val="00952B40"/>
    <w:rsid w:val="00952B6C"/>
    <w:rsid w:val="00952BC7"/>
    <w:rsid w:val="00952C15"/>
    <w:rsid w:val="00952C96"/>
    <w:rsid w:val="00952D0E"/>
    <w:rsid w:val="00952DFC"/>
    <w:rsid w:val="00952E33"/>
    <w:rsid w:val="00952EE1"/>
    <w:rsid w:val="00952EF8"/>
    <w:rsid w:val="00952F1F"/>
    <w:rsid w:val="00952F6B"/>
    <w:rsid w:val="00953032"/>
    <w:rsid w:val="009530BA"/>
    <w:rsid w:val="00953110"/>
    <w:rsid w:val="009531CC"/>
    <w:rsid w:val="009532EE"/>
    <w:rsid w:val="00953308"/>
    <w:rsid w:val="00953358"/>
    <w:rsid w:val="00953398"/>
    <w:rsid w:val="009533EB"/>
    <w:rsid w:val="0095341B"/>
    <w:rsid w:val="009534E1"/>
    <w:rsid w:val="009534F2"/>
    <w:rsid w:val="009535D9"/>
    <w:rsid w:val="00953631"/>
    <w:rsid w:val="00953662"/>
    <w:rsid w:val="009536DB"/>
    <w:rsid w:val="00953725"/>
    <w:rsid w:val="00953828"/>
    <w:rsid w:val="00953843"/>
    <w:rsid w:val="009538A0"/>
    <w:rsid w:val="009539D8"/>
    <w:rsid w:val="00953A78"/>
    <w:rsid w:val="00953AC9"/>
    <w:rsid w:val="00953B3A"/>
    <w:rsid w:val="00953BE3"/>
    <w:rsid w:val="00953C13"/>
    <w:rsid w:val="00953C98"/>
    <w:rsid w:val="00953C9A"/>
    <w:rsid w:val="00953CB8"/>
    <w:rsid w:val="00953CBC"/>
    <w:rsid w:val="00953CDD"/>
    <w:rsid w:val="00953D47"/>
    <w:rsid w:val="00953D49"/>
    <w:rsid w:val="00953E17"/>
    <w:rsid w:val="00953E1D"/>
    <w:rsid w:val="00953EA2"/>
    <w:rsid w:val="00953FA6"/>
    <w:rsid w:val="0095416E"/>
    <w:rsid w:val="009541D8"/>
    <w:rsid w:val="0095425E"/>
    <w:rsid w:val="0095442E"/>
    <w:rsid w:val="0095444B"/>
    <w:rsid w:val="009544A5"/>
    <w:rsid w:val="009544AB"/>
    <w:rsid w:val="0095452A"/>
    <w:rsid w:val="00954578"/>
    <w:rsid w:val="009545D0"/>
    <w:rsid w:val="00954618"/>
    <w:rsid w:val="0095494C"/>
    <w:rsid w:val="00954962"/>
    <w:rsid w:val="00954983"/>
    <w:rsid w:val="00954AAB"/>
    <w:rsid w:val="00954B18"/>
    <w:rsid w:val="00954B34"/>
    <w:rsid w:val="00954B4D"/>
    <w:rsid w:val="00954C3C"/>
    <w:rsid w:val="00954CF6"/>
    <w:rsid w:val="00954D46"/>
    <w:rsid w:val="00954D8B"/>
    <w:rsid w:val="00954D91"/>
    <w:rsid w:val="00954DAA"/>
    <w:rsid w:val="00954EA1"/>
    <w:rsid w:val="00954EC3"/>
    <w:rsid w:val="0095501E"/>
    <w:rsid w:val="00955039"/>
    <w:rsid w:val="00955103"/>
    <w:rsid w:val="0095512B"/>
    <w:rsid w:val="00955131"/>
    <w:rsid w:val="00955224"/>
    <w:rsid w:val="0095524D"/>
    <w:rsid w:val="009552A4"/>
    <w:rsid w:val="009552C1"/>
    <w:rsid w:val="00955343"/>
    <w:rsid w:val="00955347"/>
    <w:rsid w:val="00955376"/>
    <w:rsid w:val="0095541C"/>
    <w:rsid w:val="00955513"/>
    <w:rsid w:val="0095567F"/>
    <w:rsid w:val="0095569B"/>
    <w:rsid w:val="009556C5"/>
    <w:rsid w:val="009556DB"/>
    <w:rsid w:val="009556F1"/>
    <w:rsid w:val="00955752"/>
    <w:rsid w:val="00955871"/>
    <w:rsid w:val="009558C0"/>
    <w:rsid w:val="00955900"/>
    <w:rsid w:val="0095597A"/>
    <w:rsid w:val="009559A8"/>
    <w:rsid w:val="00955A68"/>
    <w:rsid w:val="00955B35"/>
    <w:rsid w:val="00955B50"/>
    <w:rsid w:val="00955BE8"/>
    <w:rsid w:val="00955C05"/>
    <w:rsid w:val="00955CD0"/>
    <w:rsid w:val="00955DA0"/>
    <w:rsid w:val="00955DA5"/>
    <w:rsid w:val="00955EE0"/>
    <w:rsid w:val="00955F0C"/>
    <w:rsid w:val="00955FD8"/>
    <w:rsid w:val="0095600B"/>
    <w:rsid w:val="0095606A"/>
    <w:rsid w:val="0095608C"/>
    <w:rsid w:val="009560A4"/>
    <w:rsid w:val="009560AE"/>
    <w:rsid w:val="009560B7"/>
    <w:rsid w:val="009560FF"/>
    <w:rsid w:val="00956101"/>
    <w:rsid w:val="00956113"/>
    <w:rsid w:val="00956135"/>
    <w:rsid w:val="00956160"/>
    <w:rsid w:val="009561DE"/>
    <w:rsid w:val="00956293"/>
    <w:rsid w:val="009562ED"/>
    <w:rsid w:val="00956380"/>
    <w:rsid w:val="009563A9"/>
    <w:rsid w:val="009563EA"/>
    <w:rsid w:val="009563FB"/>
    <w:rsid w:val="0095649D"/>
    <w:rsid w:val="009565A3"/>
    <w:rsid w:val="0095668F"/>
    <w:rsid w:val="009566A0"/>
    <w:rsid w:val="009566BB"/>
    <w:rsid w:val="0095672F"/>
    <w:rsid w:val="00956737"/>
    <w:rsid w:val="00956775"/>
    <w:rsid w:val="00956A2B"/>
    <w:rsid w:val="00956A47"/>
    <w:rsid w:val="00956ABC"/>
    <w:rsid w:val="00956B46"/>
    <w:rsid w:val="00956B99"/>
    <w:rsid w:val="00956C54"/>
    <w:rsid w:val="00956C63"/>
    <w:rsid w:val="00956D0A"/>
    <w:rsid w:val="00956D99"/>
    <w:rsid w:val="00956DC9"/>
    <w:rsid w:val="00956E50"/>
    <w:rsid w:val="00956E65"/>
    <w:rsid w:val="00956EC6"/>
    <w:rsid w:val="00956F0E"/>
    <w:rsid w:val="00956F61"/>
    <w:rsid w:val="00956F69"/>
    <w:rsid w:val="00956FBF"/>
    <w:rsid w:val="00956FE2"/>
    <w:rsid w:val="0095705E"/>
    <w:rsid w:val="0095706C"/>
    <w:rsid w:val="0095715C"/>
    <w:rsid w:val="009571AD"/>
    <w:rsid w:val="009571E6"/>
    <w:rsid w:val="009571F7"/>
    <w:rsid w:val="00957247"/>
    <w:rsid w:val="00957260"/>
    <w:rsid w:val="009572D1"/>
    <w:rsid w:val="009573AD"/>
    <w:rsid w:val="00957446"/>
    <w:rsid w:val="009574BF"/>
    <w:rsid w:val="009574DF"/>
    <w:rsid w:val="00957510"/>
    <w:rsid w:val="0095754E"/>
    <w:rsid w:val="009575BC"/>
    <w:rsid w:val="00957692"/>
    <w:rsid w:val="0095769B"/>
    <w:rsid w:val="009576B2"/>
    <w:rsid w:val="00957755"/>
    <w:rsid w:val="00957A1F"/>
    <w:rsid w:val="00957A91"/>
    <w:rsid w:val="00957AA7"/>
    <w:rsid w:val="00957AC1"/>
    <w:rsid w:val="00957B68"/>
    <w:rsid w:val="00957BA3"/>
    <w:rsid w:val="00957C1A"/>
    <w:rsid w:val="00957D04"/>
    <w:rsid w:val="00957D76"/>
    <w:rsid w:val="00957DEE"/>
    <w:rsid w:val="00957EC7"/>
    <w:rsid w:val="00957F14"/>
    <w:rsid w:val="00957F6A"/>
    <w:rsid w:val="00957FA3"/>
    <w:rsid w:val="00960003"/>
    <w:rsid w:val="0096005B"/>
    <w:rsid w:val="00960090"/>
    <w:rsid w:val="0096009D"/>
    <w:rsid w:val="0096019B"/>
    <w:rsid w:val="009601C6"/>
    <w:rsid w:val="009602B3"/>
    <w:rsid w:val="009602BD"/>
    <w:rsid w:val="009602CD"/>
    <w:rsid w:val="0096036D"/>
    <w:rsid w:val="00960400"/>
    <w:rsid w:val="00960442"/>
    <w:rsid w:val="009604BA"/>
    <w:rsid w:val="009604C0"/>
    <w:rsid w:val="009604E0"/>
    <w:rsid w:val="0096056C"/>
    <w:rsid w:val="00960576"/>
    <w:rsid w:val="009605FC"/>
    <w:rsid w:val="00960615"/>
    <w:rsid w:val="0096079B"/>
    <w:rsid w:val="009607E5"/>
    <w:rsid w:val="0096081E"/>
    <w:rsid w:val="0096087B"/>
    <w:rsid w:val="00960A11"/>
    <w:rsid w:val="00960A2D"/>
    <w:rsid w:val="00960A6F"/>
    <w:rsid w:val="00960A77"/>
    <w:rsid w:val="00960A95"/>
    <w:rsid w:val="00960AEC"/>
    <w:rsid w:val="00960B9A"/>
    <w:rsid w:val="00960C49"/>
    <w:rsid w:val="00960E5A"/>
    <w:rsid w:val="00960E81"/>
    <w:rsid w:val="00960F40"/>
    <w:rsid w:val="00960FB0"/>
    <w:rsid w:val="00960FEC"/>
    <w:rsid w:val="0096108F"/>
    <w:rsid w:val="00961097"/>
    <w:rsid w:val="009611FE"/>
    <w:rsid w:val="009613C9"/>
    <w:rsid w:val="0096144F"/>
    <w:rsid w:val="0096151E"/>
    <w:rsid w:val="00961524"/>
    <w:rsid w:val="00961598"/>
    <w:rsid w:val="009615E3"/>
    <w:rsid w:val="00961633"/>
    <w:rsid w:val="00961749"/>
    <w:rsid w:val="00961889"/>
    <w:rsid w:val="009618CF"/>
    <w:rsid w:val="009618D0"/>
    <w:rsid w:val="009618F8"/>
    <w:rsid w:val="0096198B"/>
    <w:rsid w:val="00961A09"/>
    <w:rsid w:val="00961A9C"/>
    <w:rsid w:val="00961AB4"/>
    <w:rsid w:val="00961AF9"/>
    <w:rsid w:val="00961B1B"/>
    <w:rsid w:val="00961B83"/>
    <w:rsid w:val="00961C62"/>
    <w:rsid w:val="00961C89"/>
    <w:rsid w:val="00961C8C"/>
    <w:rsid w:val="00961D76"/>
    <w:rsid w:val="00961D7B"/>
    <w:rsid w:val="00961E21"/>
    <w:rsid w:val="00961F0F"/>
    <w:rsid w:val="00961F65"/>
    <w:rsid w:val="00962158"/>
    <w:rsid w:val="0096219B"/>
    <w:rsid w:val="0096219F"/>
    <w:rsid w:val="009621DD"/>
    <w:rsid w:val="009621F5"/>
    <w:rsid w:val="00962234"/>
    <w:rsid w:val="009622BD"/>
    <w:rsid w:val="0096231F"/>
    <w:rsid w:val="0096232C"/>
    <w:rsid w:val="009624AD"/>
    <w:rsid w:val="00962544"/>
    <w:rsid w:val="0096255E"/>
    <w:rsid w:val="0096269D"/>
    <w:rsid w:val="009626A4"/>
    <w:rsid w:val="009626BC"/>
    <w:rsid w:val="0096287B"/>
    <w:rsid w:val="009628F9"/>
    <w:rsid w:val="0096293F"/>
    <w:rsid w:val="00962AB2"/>
    <w:rsid w:val="00962ACB"/>
    <w:rsid w:val="00962B3B"/>
    <w:rsid w:val="00962B7B"/>
    <w:rsid w:val="00962B9E"/>
    <w:rsid w:val="00962BF7"/>
    <w:rsid w:val="00962C0D"/>
    <w:rsid w:val="00962CB3"/>
    <w:rsid w:val="00962D2F"/>
    <w:rsid w:val="00962E04"/>
    <w:rsid w:val="00962E0B"/>
    <w:rsid w:val="00962E15"/>
    <w:rsid w:val="00962E43"/>
    <w:rsid w:val="00962EBA"/>
    <w:rsid w:val="00962F41"/>
    <w:rsid w:val="00962F5E"/>
    <w:rsid w:val="00963008"/>
    <w:rsid w:val="00963014"/>
    <w:rsid w:val="0096302E"/>
    <w:rsid w:val="00963046"/>
    <w:rsid w:val="009630FF"/>
    <w:rsid w:val="00963136"/>
    <w:rsid w:val="009631B8"/>
    <w:rsid w:val="009631D7"/>
    <w:rsid w:val="00963245"/>
    <w:rsid w:val="00963256"/>
    <w:rsid w:val="00963262"/>
    <w:rsid w:val="0096329F"/>
    <w:rsid w:val="0096331D"/>
    <w:rsid w:val="00963344"/>
    <w:rsid w:val="0096337C"/>
    <w:rsid w:val="009633C7"/>
    <w:rsid w:val="009634E4"/>
    <w:rsid w:val="009636BF"/>
    <w:rsid w:val="009637AB"/>
    <w:rsid w:val="009638A8"/>
    <w:rsid w:val="0096390D"/>
    <w:rsid w:val="009639D4"/>
    <w:rsid w:val="00963AA1"/>
    <w:rsid w:val="00963B41"/>
    <w:rsid w:val="00963B68"/>
    <w:rsid w:val="00963B9F"/>
    <w:rsid w:val="00963C07"/>
    <w:rsid w:val="00963D24"/>
    <w:rsid w:val="00963D3F"/>
    <w:rsid w:val="00963D5D"/>
    <w:rsid w:val="00963E7B"/>
    <w:rsid w:val="00963EF0"/>
    <w:rsid w:val="00963F0B"/>
    <w:rsid w:val="00963FB6"/>
    <w:rsid w:val="009640F2"/>
    <w:rsid w:val="00964160"/>
    <w:rsid w:val="00964166"/>
    <w:rsid w:val="0096416A"/>
    <w:rsid w:val="009641F1"/>
    <w:rsid w:val="00964238"/>
    <w:rsid w:val="00964256"/>
    <w:rsid w:val="0096425D"/>
    <w:rsid w:val="00964292"/>
    <w:rsid w:val="009642B2"/>
    <w:rsid w:val="00964309"/>
    <w:rsid w:val="00964334"/>
    <w:rsid w:val="0096436F"/>
    <w:rsid w:val="009644C5"/>
    <w:rsid w:val="00964501"/>
    <w:rsid w:val="00964564"/>
    <w:rsid w:val="0096456E"/>
    <w:rsid w:val="0096457C"/>
    <w:rsid w:val="00964716"/>
    <w:rsid w:val="0096479A"/>
    <w:rsid w:val="009648F1"/>
    <w:rsid w:val="00964901"/>
    <w:rsid w:val="009649B1"/>
    <w:rsid w:val="009649BE"/>
    <w:rsid w:val="00964B8F"/>
    <w:rsid w:val="00964BB2"/>
    <w:rsid w:val="00964BB6"/>
    <w:rsid w:val="00964BBD"/>
    <w:rsid w:val="00964BCB"/>
    <w:rsid w:val="00964C70"/>
    <w:rsid w:val="00964D0D"/>
    <w:rsid w:val="00964D18"/>
    <w:rsid w:val="00964D2E"/>
    <w:rsid w:val="00964D8D"/>
    <w:rsid w:val="00964EF7"/>
    <w:rsid w:val="00964F6B"/>
    <w:rsid w:val="00965044"/>
    <w:rsid w:val="0096523E"/>
    <w:rsid w:val="00965244"/>
    <w:rsid w:val="00965381"/>
    <w:rsid w:val="009653B3"/>
    <w:rsid w:val="009654AC"/>
    <w:rsid w:val="009654BC"/>
    <w:rsid w:val="00965501"/>
    <w:rsid w:val="009655E1"/>
    <w:rsid w:val="009655EE"/>
    <w:rsid w:val="0096561C"/>
    <w:rsid w:val="0096563C"/>
    <w:rsid w:val="00965642"/>
    <w:rsid w:val="00965810"/>
    <w:rsid w:val="00965850"/>
    <w:rsid w:val="00965883"/>
    <w:rsid w:val="009658C7"/>
    <w:rsid w:val="009658F2"/>
    <w:rsid w:val="00965906"/>
    <w:rsid w:val="00965929"/>
    <w:rsid w:val="00965942"/>
    <w:rsid w:val="0096599D"/>
    <w:rsid w:val="00965A0A"/>
    <w:rsid w:val="00965A5A"/>
    <w:rsid w:val="00965AC2"/>
    <w:rsid w:val="00965AC6"/>
    <w:rsid w:val="00965B86"/>
    <w:rsid w:val="00965DAA"/>
    <w:rsid w:val="00965E38"/>
    <w:rsid w:val="00965E93"/>
    <w:rsid w:val="00965EAC"/>
    <w:rsid w:val="00965EBD"/>
    <w:rsid w:val="00965EE1"/>
    <w:rsid w:val="00965EF2"/>
    <w:rsid w:val="00965F7C"/>
    <w:rsid w:val="00965F90"/>
    <w:rsid w:val="00965FCF"/>
    <w:rsid w:val="0096608D"/>
    <w:rsid w:val="009660BF"/>
    <w:rsid w:val="0096615B"/>
    <w:rsid w:val="009661C5"/>
    <w:rsid w:val="009661CE"/>
    <w:rsid w:val="0096630D"/>
    <w:rsid w:val="00966357"/>
    <w:rsid w:val="009664E9"/>
    <w:rsid w:val="00966528"/>
    <w:rsid w:val="009665B5"/>
    <w:rsid w:val="00966653"/>
    <w:rsid w:val="0096677C"/>
    <w:rsid w:val="0096677E"/>
    <w:rsid w:val="009667DE"/>
    <w:rsid w:val="0096683C"/>
    <w:rsid w:val="009669C7"/>
    <w:rsid w:val="009669F5"/>
    <w:rsid w:val="00966AE7"/>
    <w:rsid w:val="00966BD9"/>
    <w:rsid w:val="00966C0B"/>
    <w:rsid w:val="00966C91"/>
    <w:rsid w:val="00966E33"/>
    <w:rsid w:val="00966E4A"/>
    <w:rsid w:val="00966E65"/>
    <w:rsid w:val="00966F73"/>
    <w:rsid w:val="009670DA"/>
    <w:rsid w:val="00967118"/>
    <w:rsid w:val="00967141"/>
    <w:rsid w:val="0096717D"/>
    <w:rsid w:val="00967291"/>
    <w:rsid w:val="009672A2"/>
    <w:rsid w:val="0096730A"/>
    <w:rsid w:val="0096735D"/>
    <w:rsid w:val="00967391"/>
    <w:rsid w:val="00967394"/>
    <w:rsid w:val="00967399"/>
    <w:rsid w:val="00967438"/>
    <w:rsid w:val="00967443"/>
    <w:rsid w:val="009674E5"/>
    <w:rsid w:val="009674FA"/>
    <w:rsid w:val="00967563"/>
    <w:rsid w:val="009675B0"/>
    <w:rsid w:val="00967614"/>
    <w:rsid w:val="00967727"/>
    <w:rsid w:val="0096786D"/>
    <w:rsid w:val="009678E2"/>
    <w:rsid w:val="00967930"/>
    <w:rsid w:val="00967989"/>
    <w:rsid w:val="00967A24"/>
    <w:rsid w:val="00967A5C"/>
    <w:rsid w:val="00967AA6"/>
    <w:rsid w:val="00967AE1"/>
    <w:rsid w:val="00967AF5"/>
    <w:rsid w:val="00967B3F"/>
    <w:rsid w:val="00967B4B"/>
    <w:rsid w:val="00967B97"/>
    <w:rsid w:val="00967BBD"/>
    <w:rsid w:val="00967BCC"/>
    <w:rsid w:val="00967C98"/>
    <w:rsid w:val="00967D7E"/>
    <w:rsid w:val="00967DC5"/>
    <w:rsid w:val="00967DC6"/>
    <w:rsid w:val="00967E6A"/>
    <w:rsid w:val="00967F35"/>
    <w:rsid w:val="00967F8B"/>
    <w:rsid w:val="00967F95"/>
    <w:rsid w:val="0097004C"/>
    <w:rsid w:val="00970111"/>
    <w:rsid w:val="00970142"/>
    <w:rsid w:val="00970235"/>
    <w:rsid w:val="00970359"/>
    <w:rsid w:val="00970395"/>
    <w:rsid w:val="0097042F"/>
    <w:rsid w:val="009704E2"/>
    <w:rsid w:val="009705A6"/>
    <w:rsid w:val="009705A9"/>
    <w:rsid w:val="0097062D"/>
    <w:rsid w:val="00970666"/>
    <w:rsid w:val="009706A7"/>
    <w:rsid w:val="009706F4"/>
    <w:rsid w:val="00970702"/>
    <w:rsid w:val="00970818"/>
    <w:rsid w:val="00970906"/>
    <w:rsid w:val="00970A23"/>
    <w:rsid w:val="00970C5C"/>
    <w:rsid w:val="00970C63"/>
    <w:rsid w:val="00970C79"/>
    <w:rsid w:val="00970D9E"/>
    <w:rsid w:val="00970DD7"/>
    <w:rsid w:val="00970E48"/>
    <w:rsid w:val="00970E93"/>
    <w:rsid w:val="00970EC5"/>
    <w:rsid w:val="00970F1E"/>
    <w:rsid w:val="00970F5F"/>
    <w:rsid w:val="009710A8"/>
    <w:rsid w:val="00971167"/>
    <w:rsid w:val="009712C0"/>
    <w:rsid w:val="009712CC"/>
    <w:rsid w:val="009713EB"/>
    <w:rsid w:val="0097141D"/>
    <w:rsid w:val="00971464"/>
    <w:rsid w:val="009714AC"/>
    <w:rsid w:val="00971547"/>
    <w:rsid w:val="00971555"/>
    <w:rsid w:val="00971581"/>
    <w:rsid w:val="00971609"/>
    <w:rsid w:val="009716E0"/>
    <w:rsid w:val="0097171C"/>
    <w:rsid w:val="00971732"/>
    <w:rsid w:val="00971749"/>
    <w:rsid w:val="00971759"/>
    <w:rsid w:val="00971795"/>
    <w:rsid w:val="00971843"/>
    <w:rsid w:val="00971CFB"/>
    <w:rsid w:val="00971D13"/>
    <w:rsid w:val="00971D18"/>
    <w:rsid w:val="00971D2E"/>
    <w:rsid w:val="00971DCA"/>
    <w:rsid w:val="00971E54"/>
    <w:rsid w:val="00971F71"/>
    <w:rsid w:val="00972084"/>
    <w:rsid w:val="00972090"/>
    <w:rsid w:val="0097209D"/>
    <w:rsid w:val="00972131"/>
    <w:rsid w:val="00972180"/>
    <w:rsid w:val="009721AB"/>
    <w:rsid w:val="0097232D"/>
    <w:rsid w:val="00972399"/>
    <w:rsid w:val="00972405"/>
    <w:rsid w:val="0097242E"/>
    <w:rsid w:val="00972531"/>
    <w:rsid w:val="00972613"/>
    <w:rsid w:val="00972659"/>
    <w:rsid w:val="009727BA"/>
    <w:rsid w:val="009727C3"/>
    <w:rsid w:val="00972830"/>
    <w:rsid w:val="00972894"/>
    <w:rsid w:val="009729DD"/>
    <w:rsid w:val="00972A95"/>
    <w:rsid w:val="00972C12"/>
    <w:rsid w:val="00972C4C"/>
    <w:rsid w:val="00972C75"/>
    <w:rsid w:val="00972D0B"/>
    <w:rsid w:val="00972D5C"/>
    <w:rsid w:val="00972DF7"/>
    <w:rsid w:val="00972DF9"/>
    <w:rsid w:val="00972ED4"/>
    <w:rsid w:val="00972EE5"/>
    <w:rsid w:val="00972FF4"/>
    <w:rsid w:val="00973020"/>
    <w:rsid w:val="0097305A"/>
    <w:rsid w:val="00973286"/>
    <w:rsid w:val="0097329D"/>
    <w:rsid w:val="0097343B"/>
    <w:rsid w:val="0097346A"/>
    <w:rsid w:val="00973622"/>
    <w:rsid w:val="00973695"/>
    <w:rsid w:val="00973770"/>
    <w:rsid w:val="009737B0"/>
    <w:rsid w:val="009737D9"/>
    <w:rsid w:val="009737DB"/>
    <w:rsid w:val="0097380A"/>
    <w:rsid w:val="00973A45"/>
    <w:rsid w:val="00973AAE"/>
    <w:rsid w:val="00973ABE"/>
    <w:rsid w:val="00973AD7"/>
    <w:rsid w:val="00973B76"/>
    <w:rsid w:val="00973BF3"/>
    <w:rsid w:val="00973D4E"/>
    <w:rsid w:val="00973D8D"/>
    <w:rsid w:val="00973DF8"/>
    <w:rsid w:val="00973F80"/>
    <w:rsid w:val="00973FB0"/>
    <w:rsid w:val="00973FC5"/>
    <w:rsid w:val="00974017"/>
    <w:rsid w:val="00974092"/>
    <w:rsid w:val="009740B5"/>
    <w:rsid w:val="009741D5"/>
    <w:rsid w:val="009741EF"/>
    <w:rsid w:val="009741F6"/>
    <w:rsid w:val="00974261"/>
    <w:rsid w:val="0097428F"/>
    <w:rsid w:val="0097430C"/>
    <w:rsid w:val="00974362"/>
    <w:rsid w:val="00974374"/>
    <w:rsid w:val="009743C0"/>
    <w:rsid w:val="009743C3"/>
    <w:rsid w:val="0097440E"/>
    <w:rsid w:val="0097448F"/>
    <w:rsid w:val="00974526"/>
    <w:rsid w:val="00974596"/>
    <w:rsid w:val="00974667"/>
    <w:rsid w:val="00974733"/>
    <w:rsid w:val="00974739"/>
    <w:rsid w:val="009747B3"/>
    <w:rsid w:val="009747BF"/>
    <w:rsid w:val="009748E1"/>
    <w:rsid w:val="00974901"/>
    <w:rsid w:val="00974917"/>
    <w:rsid w:val="009749EF"/>
    <w:rsid w:val="00974A38"/>
    <w:rsid w:val="00974A91"/>
    <w:rsid w:val="00974ACA"/>
    <w:rsid w:val="00974B0F"/>
    <w:rsid w:val="00974BFF"/>
    <w:rsid w:val="00974C74"/>
    <w:rsid w:val="00974C9A"/>
    <w:rsid w:val="00974D2A"/>
    <w:rsid w:val="00974D47"/>
    <w:rsid w:val="00974DA2"/>
    <w:rsid w:val="00974E9B"/>
    <w:rsid w:val="00975008"/>
    <w:rsid w:val="0097501F"/>
    <w:rsid w:val="00975033"/>
    <w:rsid w:val="00975073"/>
    <w:rsid w:val="009750C6"/>
    <w:rsid w:val="009750E2"/>
    <w:rsid w:val="009751DC"/>
    <w:rsid w:val="00975387"/>
    <w:rsid w:val="009753DE"/>
    <w:rsid w:val="0097545C"/>
    <w:rsid w:val="00975481"/>
    <w:rsid w:val="0097556A"/>
    <w:rsid w:val="0097557F"/>
    <w:rsid w:val="009755F8"/>
    <w:rsid w:val="00975613"/>
    <w:rsid w:val="009756B4"/>
    <w:rsid w:val="0097570A"/>
    <w:rsid w:val="0097578F"/>
    <w:rsid w:val="0097587D"/>
    <w:rsid w:val="009758B7"/>
    <w:rsid w:val="00975964"/>
    <w:rsid w:val="009759A9"/>
    <w:rsid w:val="009759C1"/>
    <w:rsid w:val="00975A20"/>
    <w:rsid w:val="00975A7D"/>
    <w:rsid w:val="00975C35"/>
    <w:rsid w:val="00975C7D"/>
    <w:rsid w:val="00975DC7"/>
    <w:rsid w:val="00975DE0"/>
    <w:rsid w:val="00975E40"/>
    <w:rsid w:val="00975E59"/>
    <w:rsid w:val="00975E93"/>
    <w:rsid w:val="00975EFB"/>
    <w:rsid w:val="00976019"/>
    <w:rsid w:val="00976095"/>
    <w:rsid w:val="00976099"/>
    <w:rsid w:val="0097614E"/>
    <w:rsid w:val="009762E6"/>
    <w:rsid w:val="00976347"/>
    <w:rsid w:val="009763A5"/>
    <w:rsid w:val="009763BA"/>
    <w:rsid w:val="00976576"/>
    <w:rsid w:val="009765C4"/>
    <w:rsid w:val="009765CB"/>
    <w:rsid w:val="009766AB"/>
    <w:rsid w:val="009766AE"/>
    <w:rsid w:val="0097673F"/>
    <w:rsid w:val="00976784"/>
    <w:rsid w:val="0097690F"/>
    <w:rsid w:val="00976923"/>
    <w:rsid w:val="00976A1D"/>
    <w:rsid w:val="00976A84"/>
    <w:rsid w:val="00976AE3"/>
    <w:rsid w:val="00976AF1"/>
    <w:rsid w:val="00976B0E"/>
    <w:rsid w:val="00976B4F"/>
    <w:rsid w:val="00976BB5"/>
    <w:rsid w:val="00976BE7"/>
    <w:rsid w:val="00976C54"/>
    <w:rsid w:val="00976C7F"/>
    <w:rsid w:val="00976C99"/>
    <w:rsid w:val="00976CAA"/>
    <w:rsid w:val="00976D72"/>
    <w:rsid w:val="00976D9A"/>
    <w:rsid w:val="00976DB8"/>
    <w:rsid w:val="00976DD5"/>
    <w:rsid w:val="00976E37"/>
    <w:rsid w:val="00976E7A"/>
    <w:rsid w:val="00976ED4"/>
    <w:rsid w:val="00976EFB"/>
    <w:rsid w:val="00976F26"/>
    <w:rsid w:val="009770DD"/>
    <w:rsid w:val="00977196"/>
    <w:rsid w:val="009771FC"/>
    <w:rsid w:val="0097722C"/>
    <w:rsid w:val="009772DC"/>
    <w:rsid w:val="00977328"/>
    <w:rsid w:val="0097737C"/>
    <w:rsid w:val="00977433"/>
    <w:rsid w:val="00977469"/>
    <w:rsid w:val="00977496"/>
    <w:rsid w:val="00977536"/>
    <w:rsid w:val="0097758F"/>
    <w:rsid w:val="009775A2"/>
    <w:rsid w:val="0097779A"/>
    <w:rsid w:val="0097779F"/>
    <w:rsid w:val="009777BC"/>
    <w:rsid w:val="0097793C"/>
    <w:rsid w:val="009779D7"/>
    <w:rsid w:val="009779EC"/>
    <w:rsid w:val="00977B69"/>
    <w:rsid w:val="00977BF2"/>
    <w:rsid w:val="00977C33"/>
    <w:rsid w:val="00977C48"/>
    <w:rsid w:val="00977C6E"/>
    <w:rsid w:val="00977D1D"/>
    <w:rsid w:val="00977F81"/>
    <w:rsid w:val="00977FB4"/>
    <w:rsid w:val="00980045"/>
    <w:rsid w:val="00980079"/>
    <w:rsid w:val="009800BF"/>
    <w:rsid w:val="009800CD"/>
    <w:rsid w:val="009800D8"/>
    <w:rsid w:val="009800E9"/>
    <w:rsid w:val="009801D2"/>
    <w:rsid w:val="009801DF"/>
    <w:rsid w:val="00980237"/>
    <w:rsid w:val="0098024E"/>
    <w:rsid w:val="00980253"/>
    <w:rsid w:val="00980280"/>
    <w:rsid w:val="009802F9"/>
    <w:rsid w:val="00980320"/>
    <w:rsid w:val="009804B3"/>
    <w:rsid w:val="009805B6"/>
    <w:rsid w:val="00980653"/>
    <w:rsid w:val="00980662"/>
    <w:rsid w:val="00980698"/>
    <w:rsid w:val="009806CC"/>
    <w:rsid w:val="009806F3"/>
    <w:rsid w:val="00980771"/>
    <w:rsid w:val="009807A5"/>
    <w:rsid w:val="009807AC"/>
    <w:rsid w:val="00980820"/>
    <w:rsid w:val="00980827"/>
    <w:rsid w:val="009808F7"/>
    <w:rsid w:val="00980996"/>
    <w:rsid w:val="009809C2"/>
    <w:rsid w:val="009809CA"/>
    <w:rsid w:val="00980B38"/>
    <w:rsid w:val="00980B65"/>
    <w:rsid w:val="00980BA1"/>
    <w:rsid w:val="00980CEF"/>
    <w:rsid w:val="00980D79"/>
    <w:rsid w:val="00980DF3"/>
    <w:rsid w:val="00980EB0"/>
    <w:rsid w:val="00981016"/>
    <w:rsid w:val="00981027"/>
    <w:rsid w:val="00981047"/>
    <w:rsid w:val="00981203"/>
    <w:rsid w:val="009812DD"/>
    <w:rsid w:val="0098139E"/>
    <w:rsid w:val="00981489"/>
    <w:rsid w:val="009814DA"/>
    <w:rsid w:val="0098151E"/>
    <w:rsid w:val="00981532"/>
    <w:rsid w:val="00981560"/>
    <w:rsid w:val="009816BE"/>
    <w:rsid w:val="00981711"/>
    <w:rsid w:val="009817C9"/>
    <w:rsid w:val="00981909"/>
    <w:rsid w:val="00981983"/>
    <w:rsid w:val="009819A3"/>
    <w:rsid w:val="00981A2D"/>
    <w:rsid w:val="00981ABF"/>
    <w:rsid w:val="00981B28"/>
    <w:rsid w:val="00981B90"/>
    <w:rsid w:val="00981BBB"/>
    <w:rsid w:val="00981CD4"/>
    <w:rsid w:val="00981D6E"/>
    <w:rsid w:val="00981DCA"/>
    <w:rsid w:val="00981EAC"/>
    <w:rsid w:val="00981EFA"/>
    <w:rsid w:val="00981F39"/>
    <w:rsid w:val="00981F3D"/>
    <w:rsid w:val="00981FA3"/>
    <w:rsid w:val="009820A4"/>
    <w:rsid w:val="009820BC"/>
    <w:rsid w:val="009820CE"/>
    <w:rsid w:val="009821D0"/>
    <w:rsid w:val="00982262"/>
    <w:rsid w:val="009822BF"/>
    <w:rsid w:val="009822D0"/>
    <w:rsid w:val="009822DC"/>
    <w:rsid w:val="009822E8"/>
    <w:rsid w:val="009822F0"/>
    <w:rsid w:val="0098240F"/>
    <w:rsid w:val="00982422"/>
    <w:rsid w:val="00982550"/>
    <w:rsid w:val="0098257B"/>
    <w:rsid w:val="00982666"/>
    <w:rsid w:val="00982739"/>
    <w:rsid w:val="009827CA"/>
    <w:rsid w:val="009827F1"/>
    <w:rsid w:val="0098288E"/>
    <w:rsid w:val="0098289D"/>
    <w:rsid w:val="009828A3"/>
    <w:rsid w:val="009828CE"/>
    <w:rsid w:val="0098295E"/>
    <w:rsid w:val="00982A2B"/>
    <w:rsid w:val="00982A73"/>
    <w:rsid w:val="00982A9F"/>
    <w:rsid w:val="00982AF8"/>
    <w:rsid w:val="00982C6D"/>
    <w:rsid w:val="00982CA8"/>
    <w:rsid w:val="00982CB3"/>
    <w:rsid w:val="00982CD1"/>
    <w:rsid w:val="00982D77"/>
    <w:rsid w:val="00982DA2"/>
    <w:rsid w:val="00982DB7"/>
    <w:rsid w:val="00982F45"/>
    <w:rsid w:val="0098301B"/>
    <w:rsid w:val="00983060"/>
    <w:rsid w:val="00983116"/>
    <w:rsid w:val="0098313B"/>
    <w:rsid w:val="0098316B"/>
    <w:rsid w:val="0098318A"/>
    <w:rsid w:val="00983304"/>
    <w:rsid w:val="009833E5"/>
    <w:rsid w:val="00983413"/>
    <w:rsid w:val="00983535"/>
    <w:rsid w:val="00983543"/>
    <w:rsid w:val="00983552"/>
    <w:rsid w:val="009835FF"/>
    <w:rsid w:val="00983851"/>
    <w:rsid w:val="00983861"/>
    <w:rsid w:val="00983874"/>
    <w:rsid w:val="009839E1"/>
    <w:rsid w:val="00983A7A"/>
    <w:rsid w:val="00983A7B"/>
    <w:rsid w:val="00983AC2"/>
    <w:rsid w:val="00983ACA"/>
    <w:rsid w:val="00983C9E"/>
    <w:rsid w:val="00983D0D"/>
    <w:rsid w:val="00983D0F"/>
    <w:rsid w:val="00983D2C"/>
    <w:rsid w:val="00983D81"/>
    <w:rsid w:val="00983DDC"/>
    <w:rsid w:val="00983EAE"/>
    <w:rsid w:val="00983EDC"/>
    <w:rsid w:val="00983EED"/>
    <w:rsid w:val="00983F0C"/>
    <w:rsid w:val="00983FD5"/>
    <w:rsid w:val="00984045"/>
    <w:rsid w:val="009841B0"/>
    <w:rsid w:val="009841D3"/>
    <w:rsid w:val="00984268"/>
    <w:rsid w:val="00984270"/>
    <w:rsid w:val="0098438B"/>
    <w:rsid w:val="009843CC"/>
    <w:rsid w:val="00984459"/>
    <w:rsid w:val="0098462D"/>
    <w:rsid w:val="009846FD"/>
    <w:rsid w:val="00984797"/>
    <w:rsid w:val="009847AD"/>
    <w:rsid w:val="009849C9"/>
    <w:rsid w:val="009849E3"/>
    <w:rsid w:val="009849F8"/>
    <w:rsid w:val="00984A21"/>
    <w:rsid w:val="00984A37"/>
    <w:rsid w:val="00984A71"/>
    <w:rsid w:val="00984A77"/>
    <w:rsid w:val="00984A80"/>
    <w:rsid w:val="00984AC8"/>
    <w:rsid w:val="00984BC4"/>
    <w:rsid w:val="00984C30"/>
    <w:rsid w:val="00984C96"/>
    <w:rsid w:val="00984CC1"/>
    <w:rsid w:val="00984DEF"/>
    <w:rsid w:val="00984E08"/>
    <w:rsid w:val="00984E12"/>
    <w:rsid w:val="00984E50"/>
    <w:rsid w:val="00984E72"/>
    <w:rsid w:val="00984E95"/>
    <w:rsid w:val="00984FD8"/>
    <w:rsid w:val="0098504D"/>
    <w:rsid w:val="009850FB"/>
    <w:rsid w:val="0098512E"/>
    <w:rsid w:val="009851B3"/>
    <w:rsid w:val="009851CF"/>
    <w:rsid w:val="00985304"/>
    <w:rsid w:val="009853AC"/>
    <w:rsid w:val="009853E0"/>
    <w:rsid w:val="00985563"/>
    <w:rsid w:val="009855C2"/>
    <w:rsid w:val="009855C5"/>
    <w:rsid w:val="009855F3"/>
    <w:rsid w:val="0098560F"/>
    <w:rsid w:val="0098561E"/>
    <w:rsid w:val="009858D3"/>
    <w:rsid w:val="009858F1"/>
    <w:rsid w:val="00985913"/>
    <w:rsid w:val="009859A0"/>
    <w:rsid w:val="00985AB3"/>
    <w:rsid w:val="00985B7F"/>
    <w:rsid w:val="00985B86"/>
    <w:rsid w:val="00985B8A"/>
    <w:rsid w:val="00985BE3"/>
    <w:rsid w:val="00985C43"/>
    <w:rsid w:val="00985C4B"/>
    <w:rsid w:val="00985D2A"/>
    <w:rsid w:val="00985D87"/>
    <w:rsid w:val="00985DF0"/>
    <w:rsid w:val="00985E08"/>
    <w:rsid w:val="00985E53"/>
    <w:rsid w:val="00985EA3"/>
    <w:rsid w:val="00985EC8"/>
    <w:rsid w:val="00985F80"/>
    <w:rsid w:val="00985FC5"/>
    <w:rsid w:val="00986076"/>
    <w:rsid w:val="0098615A"/>
    <w:rsid w:val="00986219"/>
    <w:rsid w:val="00986226"/>
    <w:rsid w:val="00986248"/>
    <w:rsid w:val="0098626F"/>
    <w:rsid w:val="009862A5"/>
    <w:rsid w:val="009862F4"/>
    <w:rsid w:val="00986444"/>
    <w:rsid w:val="009865CE"/>
    <w:rsid w:val="009865EE"/>
    <w:rsid w:val="00986674"/>
    <w:rsid w:val="009867CA"/>
    <w:rsid w:val="0098680D"/>
    <w:rsid w:val="0098684F"/>
    <w:rsid w:val="009868D3"/>
    <w:rsid w:val="00986916"/>
    <w:rsid w:val="00986931"/>
    <w:rsid w:val="00986932"/>
    <w:rsid w:val="00986A93"/>
    <w:rsid w:val="00986A94"/>
    <w:rsid w:val="00986ACA"/>
    <w:rsid w:val="00986B5C"/>
    <w:rsid w:val="00986C5C"/>
    <w:rsid w:val="00986C5E"/>
    <w:rsid w:val="00986DAF"/>
    <w:rsid w:val="00986DBE"/>
    <w:rsid w:val="00986DDC"/>
    <w:rsid w:val="00986DF6"/>
    <w:rsid w:val="00986E43"/>
    <w:rsid w:val="00986EA1"/>
    <w:rsid w:val="00986EB9"/>
    <w:rsid w:val="00986EFB"/>
    <w:rsid w:val="00986FE4"/>
    <w:rsid w:val="00986FEC"/>
    <w:rsid w:val="00987015"/>
    <w:rsid w:val="0098703B"/>
    <w:rsid w:val="009870AA"/>
    <w:rsid w:val="0098720F"/>
    <w:rsid w:val="0098724E"/>
    <w:rsid w:val="00987271"/>
    <w:rsid w:val="009872B1"/>
    <w:rsid w:val="009872E2"/>
    <w:rsid w:val="0098738F"/>
    <w:rsid w:val="009873D5"/>
    <w:rsid w:val="00987468"/>
    <w:rsid w:val="009874B6"/>
    <w:rsid w:val="009874DC"/>
    <w:rsid w:val="00987504"/>
    <w:rsid w:val="00987562"/>
    <w:rsid w:val="00987602"/>
    <w:rsid w:val="00987609"/>
    <w:rsid w:val="00987644"/>
    <w:rsid w:val="009876BC"/>
    <w:rsid w:val="009876F9"/>
    <w:rsid w:val="00987705"/>
    <w:rsid w:val="009877A1"/>
    <w:rsid w:val="009877C8"/>
    <w:rsid w:val="009878C0"/>
    <w:rsid w:val="009879AF"/>
    <w:rsid w:val="009879D8"/>
    <w:rsid w:val="009879FF"/>
    <w:rsid w:val="00987B95"/>
    <w:rsid w:val="00987C48"/>
    <w:rsid w:val="00987C75"/>
    <w:rsid w:val="00987CB0"/>
    <w:rsid w:val="00987D30"/>
    <w:rsid w:val="00987D43"/>
    <w:rsid w:val="00987D63"/>
    <w:rsid w:val="00987DD2"/>
    <w:rsid w:val="00987ECF"/>
    <w:rsid w:val="00987FC6"/>
    <w:rsid w:val="0098FFCE"/>
    <w:rsid w:val="00990001"/>
    <w:rsid w:val="00990050"/>
    <w:rsid w:val="0099005B"/>
    <w:rsid w:val="0099016A"/>
    <w:rsid w:val="00990199"/>
    <w:rsid w:val="009901E0"/>
    <w:rsid w:val="00990222"/>
    <w:rsid w:val="00990396"/>
    <w:rsid w:val="009903FA"/>
    <w:rsid w:val="00990432"/>
    <w:rsid w:val="00990476"/>
    <w:rsid w:val="00990527"/>
    <w:rsid w:val="00990552"/>
    <w:rsid w:val="0099058A"/>
    <w:rsid w:val="00990590"/>
    <w:rsid w:val="009905D5"/>
    <w:rsid w:val="00990642"/>
    <w:rsid w:val="00990677"/>
    <w:rsid w:val="00990894"/>
    <w:rsid w:val="009908C6"/>
    <w:rsid w:val="00990957"/>
    <w:rsid w:val="00990AEB"/>
    <w:rsid w:val="00990B4B"/>
    <w:rsid w:val="00990B55"/>
    <w:rsid w:val="00990B6A"/>
    <w:rsid w:val="00990C01"/>
    <w:rsid w:val="00990C4B"/>
    <w:rsid w:val="00990CDF"/>
    <w:rsid w:val="00990DBF"/>
    <w:rsid w:val="00990ED6"/>
    <w:rsid w:val="00990F41"/>
    <w:rsid w:val="00990FB6"/>
    <w:rsid w:val="00991005"/>
    <w:rsid w:val="0099102C"/>
    <w:rsid w:val="0099120C"/>
    <w:rsid w:val="00991284"/>
    <w:rsid w:val="00991286"/>
    <w:rsid w:val="009912DA"/>
    <w:rsid w:val="009913F3"/>
    <w:rsid w:val="00991464"/>
    <w:rsid w:val="0099147C"/>
    <w:rsid w:val="009915A1"/>
    <w:rsid w:val="00991649"/>
    <w:rsid w:val="00991679"/>
    <w:rsid w:val="00991684"/>
    <w:rsid w:val="0099169C"/>
    <w:rsid w:val="009916E4"/>
    <w:rsid w:val="00991700"/>
    <w:rsid w:val="009917B5"/>
    <w:rsid w:val="009917CD"/>
    <w:rsid w:val="009917FB"/>
    <w:rsid w:val="0099181D"/>
    <w:rsid w:val="00991873"/>
    <w:rsid w:val="0099188F"/>
    <w:rsid w:val="0099190A"/>
    <w:rsid w:val="0099191B"/>
    <w:rsid w:val="00991959"/>
    <w:rsid w:val="0099198D"/>
    <w:rsid w:val="00991997"/>
    <w:rsid w:val="00991AB4"/>
    <w:rsid w:val="00991B49"/>
    <w:rsid w:val="00991BDB"/>
    <w:rsid w:val="00991C09"/>
    <w:rsid w:val="00991C13"/>
    <w:rsid w:val="00991C3E"/>
    <w:rsid w:val="00991CA8"/>
    <w:rsid w:val="00991CC1"/>
    <w:rsid w:val="00991D78"/>
    <w:rsid w:val="00991DDC"/>
    <w:rsid w:val="00991DEB"/>
    <w:rsid w:val="00991E0D"/>
    <w:rsid w:val="00991E94"/>
    <w:rsid w:val="00991F2D"/>
    <w:rsid w:val="00991F75"/>
    <w:rsid w:val="00991FC1"/>
    <w:rsid w:val="00991FD9"/>
    <w:rsid w:val="00991FE4"/>
    <w:rsid w:val="00992028"/>
    <w:rsid w:val="00992148"/>
    <w:rsid w:val="00992150"/>
    <w:rsid w:val="0099218F"/>
    <w:rsid w:val="0099219A"/>
    <w:rsid w:val="009921A5"/>
    <w:rsid w:val="00992258"/>
    <w:rsid w:val="009923FF"/>
    <w:rsid w:val="009924EB"/>
    <w:rsid w:val="00992535"/>
    <w:rsid w:val="009925B2"/>
    <w:rsid w:val="009925C9"/>
    <w:rsid w:val="00992788"/>
    <w:rsid w:val="009927DD"/>
    <w:rsid w:val="009928E3"/>
    <w:rsid w:val="009928E8"/>
    <w:rsid w:val="00992908"/>
    <w:rsid w:val="00992935"/>
    <w:rsid w:val="009929B1"/>
    <w:rsid w:val="00992A4F"/>
    <w:rsid w:val="00992AAC"/>
    <w:rsid w:val="00992B1B"/>
    <w:rsid w:val="00992B29"/>
    <w:rsid w:val="00992B67"/>
    <w:rsid w:val="00992B6D"/>
    <w:rsid w:val="00992BA8"/>
    <w:rsid w:val="00992BF7"/>
    <w:rsid w:val="00992C29"/>
    <w:rsid w:val="00992CA5"/>
    <w:rsid w:val="00992CE0"/>
    <w:rsid w:val="00992DB4"/>
    <w:rsid w:val="00992E0A"/>
    <w:rsid w:val="00992E8C"/>
    <w:rsid w:val="00992EFD"/>
    <w:rsid w:val="00992FDA"/>
    <w:rsid w:val="00993197"/>
    <w:rsid w:val="009931F9"/>
    <w:rsid w:val="00993267"/>
    <w:rsid w:val="0099327A"/>
    <w:rsid w:val="00993310"/>
    <w:rsid w:val="00993320"/>
    <w:rsid w:val="00993322"/>
    <w:rsid w:val="009934ED"/>
    <w:rsid w:val="009934EF"/>
    <w:rsid w:val="0099361A"/>
    <w:rsid w:val="0099363C"/>
    <w:rsid w:val="00993696"/>
    <w:rsid w:val="009936F0"/>
    <w:rsid w:val="00993712"/>
    <w:rsid w:val="00993776"/>
    <w:rsid w:val="009937FA"/>
    <w:rsid w:val="00993838"/>
    <w:rsid w:val="00993847"/>
    <w:rsid w:val="0099386A"/>
    <w:rsid w:val="00993A1C"/>
    <w:rsid w:val="00993A4B"/>
    <w:rsid w:val="00993AB4"/>
    <w:rsid w:val="00993BE7"/>
    <w:rsid w:val="00993D03"/>
    <w:rsid w:val="00993D92"/>
    <w:rsid w:val="00993E08"/>
    <w:rsid w:val="00993EE2"/>
    <w:rsid w:val="00993EFA"/>
    <w:rsid w:val="00993F17"/>
    <w:rsid w:val="009940C9"/>
    <w:rsid w:val="00994250"/>
    <w:rsid w:val="009942CA"/>
    <w:rsid w:val="0099432E"/>
    <w:rsid w:val="0099435C"/>
    <w:rsid w:val="00994384"/>
    <w:rsid w:val="009943D7"/>
    <w:rsid w:val="009943D8"/>
    <w:rsid w:val="00994578"/>
    <w:rsid w:val="009945C3"/>
    <w:rsid w:val="00994612"/>
    <w:rsid w:val="0099468A"/>
    <w:rsid w:val="009946DF"/>
    <w:rsid w:val="00994710"/>
    <w:rsid w:val="00994896"/>
    <w:rsid w:val="0099499C"/>
    <w:rsid w:val="009949D2"/>
    <w:rsid w:val="00994A0D"/>
    <w:rsid w:val="00994AED"/>
    <w:rsid w:val="00994C34"/>
    <w:rsid w:val="00994C60"/>
    <w:rsid w:val="00994C81"/>
    <w:rsid w:val="00994CCF"/>
    <w:rsid w:val="00994D83"/>
    <w:rsid w:val="00994E00"/>
    <w:rsid w:val="009950EB"/>
    <w:rsid w:val="00995139"/>
    <w:rsid w:val="00995148"/>
    <w:rsid w:val="00995270"/>
    <w:rsid w:val="00995367"/>
    <w:rsid w:val="00995370"/>
    <w:rsid w:val="009953D9"/>
    <w:rsid w:val="00995471"/>
    <w:rsid w:val="009956C4"/>
    <w:rsid w:val="0099576E"/>
    <w:rsid w:val="009957B7"/>
    <w:rsid w:val="0099591A"/>
    <w:rsid w:val="00995950"/>
    <w:rsid w:val="00995987"/>
    <w:rsid w:val="009959CD"/>
    <w:rsid w:val="009959D4"/>
    <w:rsid w:val="00995A30"/>
    <w:rsid w:val="00995B1F"/>
    <w:rsid w:val="00995BAF"/>
    <w:rsid w:val="00995D5E"/>
    <w:rsid w:val="00995D8C"/>
    <w:rsid w:val="00995E6F"/>
    <w:rsid w:val="00995E9F"/>
    <w:rsid w:val="00995ED4"/>
    <w:rsid w:val="00995F7E"/>
    <w:rsid w:val="0099613E"/>
    <w:rsid w:val="00996166"/>
    <w:rsid w:val="0099622B"/>
    <w:rsid w:val="00996267"/>
    <w:rsid w:val="009962B1"/>
    <w:rsid w:val="009962C2"/>
    <w:rsid w:val="00996314"/>
    <w:rsid w:val="0099634A"/>
    <w:rsid w:val="00996378"/>
    <w:rsid w:val="00996395"/>
    <w:rsid w:val="009963E1"/>
    <w:rsid w:val="009963E9"/>
    <w:rsid w:val="00996446"/>
    <w:rsid w:val="00996503"/>
    <w:rsid w:val="009965E6"/>
    <w:rsid w:val="009965F3"/>
    <w:rsid w:val="00996688"/>
    <w:rsid w:val="009966E3"/>
    <w:rsid w:val="0099675A"/>
    <w:rsid w:val="009967F8"/>
    <w:rsid w:val="0099684A"/>
    <w:rsid w:val="00996851"/>
    <w:rsid w:val="00996870"/>
    <w:rsid w:val="0099692A"/>
    <w:rsid w:val="0099693E"/>
    <w:rsid w:val="009969B0"/>
    <w:rsid w:val="00996A8F"/>
    <w:rsid w:val="00996AF2"/>
    <w:rsid w:val="00996B2C"/>
    <w:rsid w:val="00996B4D"/>
    <w:rsid w:val="00996B59"/>
    <w:rsid w:val="00996C42"/>
    <w:rsid w:val="00996C87"/>
    <w:rsid w:val="00996CBC"/>
    <w:rsid w:val="00996DE1"/>
    <w:rsid w:val="00996DF9"/>
    <w:rsid w:val="00996E2D"/>
    <w:rsid w:val="00996E96"/>
    <w:rsid w:val="00996F0F"/>
    <w:rsid w:val="00996F19"/>
    <w:rsid w:val="00996FAF"/>
    <w:rsid w:val="00996FE3"/>
    <w:rsid w:val="0099701E"/>
    <w:rsid w:val="0099706D"/>
    <w:rsid w:val="00997148"/>
    <w:rsid w:val="00997222"/>
    <w:rsid w:val="0099724A"/>
    <w:rsid w:val="00997292"/>
    <w:rsid w:val="00997414"/>
    <w:rsid w:val="009974D7"/>
    <w:rsid w:val="009974FF"/>
    <w:rsid w:val="009976BA"/>
    <w:rsid w:val="00997736"/>
    <w:rsid w:val="0099773C"/>
    <w:rsid w:val="00997776"/>
    <w:rsid w:val="009979BB"/>
    <w:rsid w:val="00997A48"/>
    <w:rsid w:val="00997A67"/>
    <w:rsid w:val="00997A6E"/>
    <w:rsid w:val="00997AEB"/>
    <w:rsid w:val="00997B51"/>
    <w:rsid w:val="00997B77"/>
    <w:rsid w:val="00997D0F"/>
    <w:rsid w:val="00997D5C"/>
    <w:rsid w:val="00997D5F"/>
    <w:rsid w:val="00997D94"/>
    <w:rsid w:val="00997E7B"/>
    <w:rsid w:val="00997EA1"/>
    <w:rsid w:val="00997EB6"/>
    <w:rsid w:val="009A0019"/>
    <w:rsid w:val="009A007D"/>
    <w:rsid w:val="009A00F7"/>
    <w:rsid w:val="009A0129"/>
    <w:rsid w:val="009A0145"/>
    <w:rsid w:val="009A0231"/>
    <w:rsid w:val="009A02AE"/>
    <w:rsid w:val="009A0370"/>
    <w:rsid w:val="009A0472"/>
    <w:rsid w:val="009A04F3"/>
    <w:rsid w:val="009A05DD"/>
    <w:rsid w:val="009A06F5"/>
    <w:rsid w:val="009A0734"/>
    <w:rsid w:val="009A076B"/>
    <w:rsid w:val="009A07A4"/>
    <w:rsid w:val="009A084D"/>
    <w:rsid w:val="009A087F"/>
    <w:rsid w:val="009A095A"/>
    <w:rsid w:val="009A0C7B"/>
    <w:rsid w:val="009A0CC0"/>
    <w:rsid w:val="009A0D03"/>
    <w:rsid w:val="009A0D34"/>
    <w:rsid w:val="009A0DFF"/>
    <w:rsid w:val="009A0F68"/>
    <w:rsid w:val="009A0FA7"/>
    <w:rsid w:val="009A0FD4"/>
    <w:rsid w:val="009A0FEA"/>
    <w:rsid w:val="009A1087"/>
    <w:rsid w:val="009A1135"/>
    <w:rsid w:val="009A1208"/>
    <w:rsid w:val="009A1322"/>
    <w:rsid w:val="009A140F"/>
    <w:rsid w:val="009A1410"/>
    <w:rsid w:val="009A144B"/>
    <w:rsid w:val="009A14E0"/>
    <w:rsid w:val="009A1508"/>
    <w:rsid w:val="009A157A"/>
    <w:rsid w:val="009A1679"/>
    <w:rsid w:val="009A16FE"/>
    <w:rsid w:val="009A170A"/>
    <w:rsid w:val="009A17D8"/>
    <w:rsid w:val="009A17E8"/>
    <w:rsid w:val="009A1926"/>
    <w:rsid w:val="009A195C"/>
    <w:rsid w:val="009A19AC"/>
    <w:rsid w:val="009A19F0"/>
    <w:rsid w:val="009A1AEE"/>
    <w:rsid w:val="009A1B84"/>
    <w:rsid w:val="009A1B92"/>
    <w:rsid w:val="009A1C35"/>
    <w:rsid w:val="009A1CD2"/>
    <w:rsid w:val="009A1E11"/>
    <w:rsid w:val="009A1EDA"/>
    <w:rsid w:val="009A1F31"/>
    <w:rsid w:val="009A2000"/>
    <w:rsid w:val="009A2026"/>
    <w:rsid w:val="009A2103"/>
    <w:rsid w:val="009A214A"/>
    <w:rsid w:val="009A2436"/>
    <w:rsid w:val="009A24BA"/>
    <w:rsid w:val="009A253B"/>
    <w:rsid w:val="009A257E"/>
    <w:rsid w:val="009A2627"/>
    <w:rsid w:val="009A263F"/>
    <w:rsid w:val="009A2664"/>
    <w:rsid w:val="009A2709"/>
    <w:rsid w:val="009A2714"/>
    <w:rsid w:val="009A2717"/>
    <w:rsid w:val="009A27F8"/>
    <w:rsid w:val="009A2928"/>
    <w:rsid w:val="009A298B"/>
    <w:rsid w:val="009A29A0"/>
    <w:rsid w:val="009A29B8"/>
    <w:rsid w:val="009A2A0C"/>
    <w:rsid w:val="009A2A24"/>
    <w:rsid w:val="009A2BCC"/>
    <w:rsid w:val="009A2C99"/>
    <w:rsid w:val="009A2D50"/>
    <w:rsid w:val="009A2DAD"/>
    <w:rsid w:val="009A2DC7"/>
    <w:rsid w:val="009A2E08"/>
    <w:rsid w:val="009A2F4B"/>
    <w:rsid w:val="009A3039"/>
    <w:rsid w:val="009A30BD"/>
    <w:rsid w:val="009A310A"/>
    <w:rsid w:val="009A3191"/>
    <w:rsid w:val="009A31AC"/>
    <w:rsid w:val="009A3263"/>
    <w:rsid w:val="009A32A0"/>
    <w:rsid w:val="009A332B"/>
    <w:rsid w:val="009A34AD"/>
    <w:rsid w:val="009A353D"/>
    <w:rsid w:val="009A354C"/>
    <w:rsid w:val="009A3569"/>
    <w:rsid w:val="009A35ED"/>
    <w:rsid w:val="009A35F5"/>
    <w:rsid w:val="009A3711"/>
    <w:rsid w:val="009A3730"/>
    <w:rsid w:val="009A374E"/>
    <w:rsid w:val="009A385D"/>
    <w:rsid w:val="009A38D5"/>
    <w:rsid w:val="009A39A4"/>
    <w:rsid w:val="009A3B4C"/>
    <w:rsid w:val="009A3C32"/>
    <w:rsid w:val="009A3C34"/>
    <w:rsid w:val="009A3CED"/>
    <w:rsid w:val="009A3E6A"/>
    <w:rsid w:val="009A3E96"/>
    <w:rsid w:val="009A3EE4"/>
    <w:rsid w:val="009A3EF9"/>
    <w:rsid w:val="009A4010"/>
    <w:rsid w:val="009A40B1"/>
    <w:rsid w:val="009A41AC"/>
    <w:rsid w:val="009A421D"/>
    <w:rsid w:val="009A4224"/>
    <w:rsid w:val="009A4226"/>
    <w:rsid w:val="009A4380"/>
    <w:rsid w:val="009A4488"/>
    <w:rsid w:val="009A45D0"/>
    <w:rsid w:val="009A45FB"/>
    <w:rsid w:val="009A4622"/>
    <w:rsid w:val="009A465F"/>
    <w:rsid w:val="009A46D0"/>
    <w:rsid w:val="009A46EE"/>
    <w:rsid w:val="009A4719"/>
    <w:rsid w:val="009A4782"/>
    <w:rsid w:val="009A478C"/>
    <w:rsid w:val="009A4982"/>
    <w:rsid w:val="009A499C"/>
    <w:rsid w:val="009A49DD"/>
    <w:rsid w:val="009A49F8"/>
    <w:rsid w:val="009A4A46"/>
    <w:rsid w:val="009A4B17"/>
    <w:rsid w:val="009A4B69"/>
    <w:rsid w:val="009A4C3D"/>
    <w:rsid w:val="009A4C5B"/>
    <w:rsid w:val="009A4C99"/>
    <w:rsid w:val="009A4CBD"/>
    <w:rsid w:val="009A4CF0"/>
    <w:rsid w:val="009A4D2C"/>
    <w:rsid w:val="009A4D9F"/>
    <w:rsid w:val="009A4DD5"/>
    <w:rsid w:val="009A4E13"/>
    <w:rsid w:val="009A4E86"/>
    <w:rsid w:val="009A501D"/>
    <w:rsid w:val="009A502C"/>
    <w:rsid w:val="009A50B2"/>
    <w:rsid w:val="009A50C3"/>
    <w:rsid w:val="009A50E1"/>
    <w:rsid w:val="009A50F2"/>
    <w:rsid w:val="009A5103"/>
    <w:rsid w:val="009A5177"/>
    <w:rsid w:val="009A5237"/>
    <w:rsid w:val="009A5311"/>
    <w:rsid w:val="009A5339"/>
    <w:rsid w:val="009A54D5"/>
    <w:rsid w:val="009A559C"/>
    <w:rsid w:val="009A55AD"/>
    <w:rsid w:val="009A560E"/>
    <w:rsid w:val="009A5612"/>
    <w:rsid w:val="009A5642"/>
    <w:rsid w:val="009A56A9"/>
    <w:rsid w:val="009A571C"/>
    <w:rsid w:val="009A5786"/>
    <w:rsid w:val="009A57AC"/>
    <w:rsid w:val="009A58DE"/>
    <w:rsid w:val="009A59CA"/>
    <w:rsid w:val="009A59E8"/>
    <w:rsid w:val="009A59F2"/>
    <w:rsid w:val="009A5A81"/>
    <w:rsid w:val="009A5C03"/>
    <w:rsid w:val="009A5C30"/>
    <w:rsid w:val="009A5C49"/>
    <w:rsid w:val="009A5E09"/>
    <w:rsid w:val="009A5E88"/>
    <w:rsid w:val="009A5E95"/>
    <w:rsid w:val="009A5F3F"/>
    <w:rsid w:val="009A6145"/>
    <w:rsid w:val="009A6306"/>
    <w:rsid w:val="009A649C"/>
    <w:rsid w:val="009A64D1"/>
    <w:rsid w:val="009A65ED"/>
    <w:rsid w:val="009A66C8"/>
    <w:rsid w:val="009A67F8"/>
    <w:rsid w:val="009A68C0"/>
    <w:rsid w:val="009A68E8"/>
    <w:rsid w:val="009A6933"/>
    <w:rsid w:val="009A69F2"/>
    <w:rsid w:val="009A6B7E"/>
    <w:rsid w:val="009A6B82"/>
    <w:rsid w:val="009A6B8C"/>
    <w:rsid w:val="009A6BBF"/>
    <w:rsid w:val="009A6C07"/>
    <w:rsid w:val="009A6C0A"/>
    <w:rsid w:val="009A6C62"/>
    <w:rsid w:val="009A6CA5"/>
    <w:rsid w:val="009A6CBF"/>
    <w:rsid w:val="009A6CE0"/>
    <w:rsid w:val="009A6D53"/>
    <w:rsid w:val="009A6D76"/>
    <w:rsid w:val="009A6E67"/>
    <w:rsid w:val="009A6F1D"/>
    <w:rsid w:val="009A6F97"/>
    <w:rsid w:val="009A6FA3"/>
    <w:rsid w:val="009A704C"/>
    <w:rsid w:val="009A70CC"/>
    <w:rsid w:val="009A725B"/>
    <w:rsid w:val="009A729C"/>
    <w:rsid w:val="009A72A3"/>
    <w:rsid w:val="009A72A8"/>
    <w:rsid w:val="009A7314"/>
    <w:rsid w:val="009A7340"/>
    <w:rsid w:val="009A7400"/>
    <w:rsid w:val="009A745B"/>
    <w:rsid w:val="009A74C5"/>
    <w:rsid w:val="009A7561"/>
    <w:rsid w:val="009A7667"/>
    <w:rsid w:val="009A76F7"/>
    <w:rsid w:val="009A7778"/>
    <w:rsid w:val="009A77C1"/>
    <w:rsid w:val="009A77E4"/>
    <w:rsid w:val="009A785E"/>
    <w:rsid w:val="009A7959"/>
    <w:rsid w:val="009A797D"/>
    <w:rsid w:val="009A79B4"/>
    <w:rsid w:val="009A79D1"/>
    <w:rsid w:val="009A79D3"/>
    <w:rsid w:val="009A7AA2"/>
    <w:rsid w:val="009A7AB1"/>
    <w:rsid w:val="009A7AC9"/>
    <w:rsid w:val="009A7B83"/>
    <w:rsid w:val="009A7CB5"/>
    <w:rsid w:val="009A7CCA"/>
    <w:rsid w:val="009A7CE6"/>
    <w:rsid w:val="009A7D44"/>
    <w:rsid w:val="009A7D73"/>
    <w:rsid w:val="009A7EBA"/>
    <w:rsid w:val="009A7EF0"/>
    <w:rsid w:val="009A7F13"/>
    <w:rsid w:val="009A7F80"/>
    <w:rsid w:val="009A7FCC"/>
    <w:rsid w:val="009B002E"/>
    <w:rsid w:val="009B009E"/>
    <w:rsid w:val="009B00FE"/>
    <w:rsid w:val="009B0136"/>
    <w:rsid w:val="009B027D"/>
    <w:rsid w:val="009B02AA"/>
    <w:rsid w:val="009B044F"/>
    <w:rsid w:val="009B0457"/>
    <w:rsid w:val="009B0483"/>
    <w:rsid w:val="009B07DE"/>
    <w:rsid w:val="009B0831"/>
    <w:rsid w:val="009B08B3"/>
    <w:rsid w:val="009B08CB"/>
    <w:rsid w:val="009B0917"/>
    <w:rsid w:val="009B0923"/>
    <w:rsid w:val="009B092B"/>
    <w:rsid w:val="009B09A2"/>
    <w:rsid w:val="009B09DB"/>
    <w:rsid w:val="009B0ACE"/>
    <w:rsid w:val="009B0B29"/>
    <w:rsid w:val="009B0BFB"/>
    <w:rsid w:val="009B0C01"/>
    <w:rsid w:val="009B0C19"/>
    <w:rsid w:val="009B0E17"/>
    <w:rsid w:val="009B0E44"/>
    <w:rsid w:val="009B0E45"/>
    <w:rsid w:val="009B0E4D"/>
    <w:rsid w:val="009B0F63"/>
    <w:rsid w:val="009B0F8F"/>
    <w:rsid w:val="009B0FF7"/>
    <w:rsid w:val="009B10B4"/>
    <w:rsid w:val="009B1107"/>
    <w:rsid w:val="009B113B"/>
    <w:rsid w:val="009B122F"/>
    <w:rsid w:val="009B1346"/>
    <w:rsid w:val="009B1406"/>
    <w:rsid w:val="009B142B"/>
    <w:rsid w:val="009B1462"/>
    <w:rsid w:val="009B146B"/>
    <w:rsid w:val="009B1582"/>
    <w:rsid w:val="009B159A"/>
    <w:rsid w:val="009B15CB"/>
    <w:rsid w:val="009B15FE"/>
    <w:rsid w:val="009B161A"/>
    <w:rsid w:val="009B1651"/>
    <w:rsid w:val="009B16DD"/>
    <w:rsid w:val="009B1777"/>
    <w:rsid w:val="009B1827"/>
    <w:rsid w:val="009B1888"/>
    <w:rsid w:val="009B18A8"/>
    <w:rsid w:val="009B18D3"/>
    <w:rsid w:val="009B18F2"/>
    <w:rsid w:val="009B18FD"/>
    <w:rsid w:val="009B19B4"/>
    <w:rsid w:val="009B19C0"/>
    <w:rsid w:val="009B1AD8"/>
    <w:rsid w:val="009B1B5F"/>
    <w:rsid w:val="009B1BB2"/>
    <w:rsid w:val="009B1C1C"/>
    <w:rsid w:val="009B1C25"/>
    <w:rsid w:val="009B1C2C"/>
    <w:rsid w:val="009B1CA0"/>
    <w:rsid w:val="009B1CDA"/>
    <w:rsid w:val="009B1D37"/>
    <w:rsid w:val="009B1DCC"/>
    <w:rsid w:val="009B1DE1"/>
    <w:rsid w:val="009B1DE2"/>
    <w:rsid w:val="009B1F0C"/>
    <w:rsid w:val="009B1FA0"/>
    <w:rsid w:val="009B2013"/>
    <w:rsid w:val="009B205B"/>
    <w:rsid w:val="009B20E5"/>
    <w:rsid w:val="009B210C"/>
    <w:rsid w:val="009B214D"/>
    <w:rsid w:val="009B219B"/>
    <w:rsid w:val="009B21EE"/>
    <w:rsid w:val="009B220C"/>
    <w:rsid w:val="009B223D"/>
    <w:rsid w:val="009B22F1"/>
    <w:rsid w:val="009B22F9"/>
    <w:rsid w:val="009B239A"/>
    <w:rsid w:val="009B24F8"/>
    <w:rsid w:val="009B25C3"/>
    <w:rsid w:val="009B2660"/>
    <w:rsid w:val="009B28AF"/>
    <w:rsid w:val="009B28F3"/>
    <w:rsid w:val="009B297D"/>
    <w:rsid w:val="009B2A32"/>
    <w:rsid w:val="009B2A4D"/>
    <w:rsid w:val="009B2A6F"/>
    <w:rsid w:val="009B2BAB"/>
    <w:rsid w:val="009B2C53"/>
    <w:rsid w:val="009B2D91"/>
    <w:rsid w:val="009B2DA3"/>
    <w:rsid w:val="009B2E15"/>
    <w:rsid w:val="009B2E3E"/>
    <w:rsid w:val="009B2E6E"/>
    <w:rsid w:val="009B2EE1"/>
    <w:rsid w:val="009B2F25"/>
    <w:rsid w:val="009B2F89"/>
    <w:rsid w:val="009B2FED"/>
    <w:rsid w:val="009B307F"/>
    <w:rsid w:val="009B3273"/>
    <w:rsid w:val="009B3473"/>
    <w:rsid w:val="009B3480"/>
    <w:rsid w:val="009B349C"/>
    <w:rsid w:val="009B351E"/>
    <w:rsid w:val="009B36D8"/>
    <w:rsid w:val="009B3746"/>
    <w:rsid w:val="009B3898"/>
    <w:rsid w:val="009B38BA"/>
    <w:rsid w:val="009B392D"/>
    <w:rsid w:val="009B394C"/>
    <w:rsid w:val="009B396B"/>
    <w:rsid w:val="009B399B"/>
    <w:rsid w:val="009B39B5"/>
    <w:rsid w:val="009B3A3E"/>
    <w:rsid w:val="009B3A9E"/>
    <w:rsid w:val="009B3BBF"/>
    <w:rsid w:val="009B3C0A"/>
    <w:rsid w:val="009B3C7C"/>
    <w:rsid w:val="009B3D6B"/>
    <w:rsid w:val="009B3DF4"/>
    <w:rsid w:val="009B403C"/>
    <w:rsid w:val="009B4043"/>
    <w:rsid w:val="009B4058"/>
    <w:rsid w:val="009B4122"/>
    <w:rsid w:val="009B41AA"/>
    <w:rsid w:val="009B424D"/>
    <w:rsid w:val="009B4286"/>
    <w:rsid w:val="009B42CA"/>
    <w:rsid w:val="009B43C9"/>
    <w:rsid w:val="009B44A5"/>
    <w:rsid w:val="009B46D0"/>
    <w:rsid w:val="009B4713"/>
    <w:rsid w:val="009B4739"/>
    <w:rsid w:val="009B47B9"/>
    <w:rsid w:val="009B47F5"/>
    <w:rsid w:val="009B48E4"/>
    <w:rsid w:val="009B48F2"/>
    <w:rsid w:val="009B4A69"/>
    <w:rsid w:val="009B4ADD"/>
    <w:rsid w:val="009B4BAD"/>
    <w:rsid w:val="009B4BDB"/>
    <w:rsid w:val="009B4C0D"/>
    <w:rsid w:val="009B4C9A"/>
    <w:rsid w:val="009B4CB1"/>
    <w:rsid w:val="009B4D53"/>
    <w:rsid w:val="009B4E54"/>
    <w:rsid w:val="009B4E6A"/>
    <w:rsid w:val="009B4E8D"/>
    <w:rsid w:val="009B4F82"/>
    <w:rsid w:val="009B501F"/>
    <w:rsid w:val="009B50FC"/>
    <w:rsid w:val="009B51A5"/>
    <w:rsid w:val="009B524F"/>
    <w:rsid w:val="009B5288"/>
    <w:rsid w:val="009B5394"/>
    <w:rsid w:val="009B53DA"/>
    <w:rsid w:val="009B5512"/>
    <w:rsid w:val="009B5539"/>
    <w:rsid w:val="009B554E"/>
    <w:rsid w:val="009B5597"/>
    <w:rsid w:val="009B55AA"/>
    <w:rsid w:val="009B5650"/>
    <w:rsid w:val="009B5692"/>
    <w:rsid w:val="009B56FE"/>
    <w:rsid w:val="009B58C5"/>
    <w:rsid w:val="009B5932"/>
    <w:rsid w:val="009B5999"/>
    <w:rsid w:val="009B5AE3"/>
    <w:rsid w:val="009B5B8B"/>
    <w:rsid w:val="009B5D03"/>
    <w:rsid w:val="009B5D95"/>
    <w:rsid w:val="009B5D99"/>
    <w:rsid w:val="009B5DED"/>
    <w:rsid w:val="009B5EB7"/>
    <w:rsid w:val="009B5F69"/>
    <w:rsid w:val="009B6154"/>
    <w:rsid w:val="009B6190"/>
    <w:rsid w:val="009B622B"/>
    <w:rsid w:val="009B62EE"/>
    <w:rsid w:val="009B64C1"/>
    <w:rsid w:val="009B6531"/>
    <w:rsid w:val="009B6533"/>
    <w:rsid w:val="009B6658"/>
    <w:rsid w:val="009B6707"/>
    <w:rsid w:val="009B6923"/>
    <w:rsid w:val="009B693A"/>
    <w:rsid w:val="009B6A94"/>
    <w:rsid w:val="009B6B08"/>
    <w:rsid w:val="009B6B7D"/>
    <w:rsid w:val="009B6B95"/>
    <w:rsid w:val="009B6C0E"/>
    <w:rsid w:val="009B6C75"/>
    <w:rsid w:val="009B6CAE"/>
    <w:rsid w:val="009B6D45"/>
    <w:rsid w:val="009B6D87"/>
    <w:rsid w:val="009B6DDB"/>
    <w:rsid w:val="009B6DE0"/>
    <w:rsid w:val="009B6E69"/>
    <w:rsid w:val="009B6EE2"/>
    <w:rsid w:val="009B6F2E"/>
    <w:rsid w:val="009B6F60"/>
    <w:rsid w:val="009B6FE9"/>
    <w:rsid w:val="009B70E8"/>
    <w:rsid w:val="009B71F8"/>
    <w:rsid w:val="009B726A"/>
    <w:rsid w:val="009B72A9"/>
    <w:rsid w:val="009B72E6"/>
    <w:rsid w:val="009B72F1"/>
    <w:rsid w:val="009B7421"/>
    <w:rsid w:val="009B74DC"/>
    <w:rsid w:val="009B74F4"/>
    <w:rsid w:val="009B7599"/>
    <w:rsid w:val="009B75E1"/>
    <w:rsid w:val="009B7659"/>
    <w:rsid w:val="009B77C6"/>
    <w:rsid w:val="009B7853"/>
    <w:rsid w:val="009B7860"/>
    <w:rsid w:val="009B7894"/>
    <w:rsid w:val="009B78FA"/>
    <w:rsid w:val="009B791A"/>
    <w:rsid w:val="009B794F"/>
    <w:rsid w:val="009B7A45"/>
    <w:rsid w:val="009B7AF2"/>
    <w:rsid w:val="009B7B7E"/>
    <w:rsid w:val="009B7B80"/>
    <w:rsid w:val="009B7BCD"/>
    <w:rsid w:val="009B7C2F"/>
    <w:rsid w:val="009B7C3E"/>
    <w:rsid w:val="009B7CBB"/>
    <w:rsid w:val="009B7CC7"/>
    <w:rsid w:val="009B7CD7"/>
    <w:rsid w:val="009B7D03"/>
    <w:rsid w:val="009C006B"/>
    <w:rsid w:val="009C0076"/>
    <w:rsid w:val="009C00E9"/>
    <w:rsid w:val="009C0135"/>
    <w:rsid w:val="009C01AF"/>
    <w:rsid w:val="009C01BC"/>
    <w:rsid w:val="009C01DC"/>
    <w:rsid w:val="009C0201"/>
    <w:rsid w:val="009C029D"/>
    <w:rsid w:val="009C02DA"/>
    <w:rsid w:val="009C0301"/>
    <w:rsid w:val="009C0329"/>
    <w:rsid w:val="009C03E6"/>
    <w:rsid w:val="009C0414"/>
    <w:rsid w:val="009C041E"/>
    <w:rsid w:val="009C051A"/>
    <w:rsid w:val="009C05D8"/>
    <w:rsid w:val="009C0617"/>
    <w:rsid w:val="009C0667"/>
    <w:rsid w:val="009C078F"/>
    <w:rsid w:val="009C07BC"/>
    <w:rsid w:val="009C093D"/>
    <w:rsid w:val="009C0A98"/>
    <w:rsid w:val="009C0AA2"/>
    <w:rsid w:val="009C0ADA"/>
    <w:rsid w:val="009C0B0C"/>
    <w:rsid w:val="009C0B48"/>
    <w:rsid w:val="009C0B7A"/>
    <w:rsid w:val="009C0BD0"/>
    <w:rsid w:val="009C0C4E"/>
    <w:rsid w:val="009C0C70"/>
    <w:rsid w:val="009C0CB6"/>
    <w:rsid w:val="009C0CDF"/>
    <w:rsid w:val="009C0CF4"/>
    <w:rsid w:val="009C0CF7"/>
    <w:rsid w:val="009C0D4E"/>
    <w:rsid w:val="009C0D73"/>
    <w:rsid w:val="009C0DA0"/>
    <w:rsid w:val="009C0E18"/>
    <w:rsid w:val="009C0F04"/>
    <w:rsid w:val="009C1058"/>
    <w:rsid w:val="009C1061"/>
    <w:rsid w:val="009C10A2"/>
    <w:rsid w:val="009C1119"/>
    <w:rsid w:val="009C11F6"/>
    <w:rsid w:val="009C1215"/>
    <w:rsid w:val="009C1244"/>
    <w:rsid w:val="009C1352"/>
    <w:rsid w:val="009C1362"/>
    <w:rsid w:val="009C145D"/>
    <w:rsid w:val="009C1491"/>
    <w:rsid w:val="009C14AF"/>
    <w:rsid w:val="009C14DF"/>
    <w:rsid w:val="009C154E"/>
    <w:rsid w:val="009C15B2"/>
    <w:rsid w:val="009C15BE"/>
    <w:rsid w:val="009C15F0"/>
    <w:rsid w:val="009C15F5"/>
    <w:rsid w:val="009C16CC"/>
    <w:rsid w:val="009C16EC"/>
    <w:rsid w:val="009C1722"/>
    <w:rsid w:val="009C174D"/>
    <w:rsid w:val="009C1833"/>
    <w:rsid w:val="009C1899"/>
    <w:rsid w:val="009C18CF"/>
    <w:rsid w:val="009C18D6"/>
    <w:rsid w:val="009C19A1"/>
    <w:rsid w:val="009C19C7"/>
    <w:rsid w:val="009C1A36"/>
    <w:rsid w:val="009C1AEE"/>
    <w:rsid w:val="009C1B14"/>
    <w:rsid w:val="009C1B86"/>
    <w:rsid w:val="009C1B8A"/>
    <w:rsid w:val="009C1B90"/>
    <w:rsid w:val="009C1B9C"/>
    <w:rsid w:val="009C1BEB"/>
    <w:rsid w:val="009C1C0B"/>
    <w:rsid w:val="009C1CB0"/>
    <w:rsid w:val="009C1D19"/>
    <w:rsid w:val="009C1D8D"/>
    <w:rsid w:val="009C1EF6"/>
    <w:rsid w:val="009C1F10"/>
    <w:rsid w:val="009C1F37"/>
    <w:rsid w:val="009C1F3D"/>
    <w:rsid w:val="009C1F5D"/>
    <w:rsid w:val="009C1FAA"/>
    <w:rsid w:val="009C1FB4"/>
    <w:rsid w:val="009C2038"/>
    <w:rsid w:val="009C21AE"/>
    <w:rsid w:val="009C23C0"/>
    <w:rsid w:val="009C2493"/>
    <w:rsid w:val="009C24EC"/>
    <w:rsid w:val="009C2673"/>
    <w:rsid w:val="009C2704"/>
    <w:rsid w:val="009C27E5"/>
    <w:rsid w:val="009C28FC"/>
    <w:rsid w:val="009C2992"/>
    <w:rsid w:val="009C2A7B"/>
    <w:rsid w:val="009C2AA3"/>
    <w:rsid w:val="009C2C02"/>
    <w:rsid w:val="009C2E1B"/>
    <w:rsid w:val="009C2E41"/>
    <w:rsid w:val="009C2ED8"/>
    <w:rsid w:val="009C2F30"/>
    <w:rsid w:val="009C2FA4"/>
    <w:rsid w:val="009C3032"/>
    <w:rsid w:val="009C30E3"/>
    <w:rsid w:val="009C3101"/>
    <w:rsid w:val="009C3120"/>
    <w:rsid w:val="009C318F"/>
    <w:rsid w:val="009C32E6"/>
    <w:rsid w:val="009C3307"/>
    <w:rsid w:val="009C3357"/>
    <w:rsid w:val="009C34A3"/>
    <w:rsid w:val="009C34C1"/>
    <w:rsid w:val="009C3552"/>
    <w:rsid w:val="009C359D"/>
    <w:rsid w:val="009C35B2"/>
    <w:rsid w:val="009C3641"/>
    <w:rsid w:val="009C3665"/>
    <w:rsid w:val="009C36E1"/>
    <w:rsid w:val="009C36F5"/>
    <w:rsid w:val="009C3862"/>
    <w:rsid w:val="009C38D2"/>
    <w:rsid w:val="009C3919"/>
    <w:rsid w:val="009C3924"/>
    <w:rsid w:val="009C3950"/>
    <w:rsid w:val="009C3951"/>
    <w:rsid w:val="009C3952"/>
    <w:rsid w:val="009C395B"/>
    <w:rsid w:val="009C3964"/>
    <w:rsid w:val="009C3A6F"/>
    <w:rsid w:val="009C3AC0"/>
    <w:rsid w:val="009C3B95"/>
    <w:rsid w:val="009C3B9D"/>
    <w:rsid w:val="009C3BC1"/>
    <w:rsid w:val="009C3BDF"/>
    <w:rsid w:val="009C3BF3"/>
    <w:rsid w:val="009C3D54"/>
    <w:rsid w:val="009C3E14"/>
    <w:rsid w:val="009C3E42"/>
    <w:rsid w:val="009C3EAF"/>
    <w:rsid w:val="009C3EEE"/>
    <w:rsid w:val="009C4001"/>
    <w:rsid w:val="009C4082"/>
    <w:rsid w:val="009C410F"/>
    <w:rsid w:val="009C413F"/>
    <w:rsid w:val="009C419D"/>
    <w:rsid w:val="009C425A"/>
    <w:rsid w:val="009C42A1"/>
    <w:rsid w:val="009C42A8"/>
    <w:rsid w:val="009C43A6"/>
    <w:rsid w:val="009C43EE"/>
    <w:rsid w:val="009C43FA"/>
    <w:rsid w:val="009C443C"/>
    <w:rsid w:val="009C44A5"/>
    <w:rsid w:val="009C45C3"/>
    <w:rsid w:val="009C47AB"/>
    <w:rsid w:val="009C47B2"/>
    <w:rsid w:val="009C485C"/>
    <w:rsid w:val="009C4953"/>
    <w:rsid w:val="009C49FF"/>
    <w:rsid w:val="009C4A7A"/>
    <w:rsid w:val="009C4ACA"/>
    <w:rsid w:val="009C4ADE"/>
    <w:rsid w:val="009C4AF6"/>
    <w:rsid w:val="009C4BEB"/>
    <w:rsid w:val="009C4CD9"/>
    <w:rsid w:val="009C4CDA"/>
    <w:rsid w:val="009C4D4F"/>
    <w:rsid w:val="009C4D9B"/>
    <w:rsid w:val="009C4DCA"/>
    <w:rsid w:val="009C4E6E"/>
    <w:rsid w:val="009C4EA9"/>
    <w:rsid w:val="009C4EBC"/>
    <w:rsid w:val="009C4EE4"/>
    <w:rsid w:val="009C4F2E"/>
    <w:rsid w:val="009C4FAE"/>
    <w:rsid w:val="009C4FBC"/>
    <w:rsid w:val="009C5100"/>
    <w:rsid w:val="009C5116"/>
    <w:rsid w:val="009C5182"/>
    <w:rsid w:val="009C51E1"/>
    <w:rsid w:val="009C5262"/>
    <w:rsid w:val="009C52F8"/>
    <w:rsid w:val="009C5358"/>
    <w:rsid w:val="009C541E"/>
    <w:rsid w:val="009C5524"/>
    <w:rsid w:val="009C55BC"/>
    <w:rsid w:val="009C5658"/>
    <w:rsid w:val="009C565A"/>
    <w:rsid w:val="009C566C"/>
    <w:rsid w:val="009C56F5"/>
    <w:rsid w:val="009C5706"/>
    <w:rsid w:val="009C57FC"/>
    <w:rsid w:val="009C580F"/>
    <w:rsid w:val="009C5878"/>
    <w:rsid w:val="009C5883"/>
    <w:rsid w:val="009C58D3"/>
    <w:rsid w:val="009C58E6"/>
    <w:rsid w:val="009C5997"/>
    <w:rsid w:val="009C5A04"/>
    <w:rsid w:val="009C5A10"/>
    <w:rsid w:val="009C5A13"/>
    <w:rsid w:val="009C5A15"/>
    <w:rsid w:val="009C5A93"/>
    <w:rsid w:val="009C5B36"/>
    <w:rsid w:val="009C5B3C"/>
    <w:rsid w:val="009C5B84"/>
    <w:rsid w:val="009C5C27"/>
    <w:rsid w:val="009C5C2D"/>
    <w:rsid w:val="009C5C87"/>
    <w:rsid w:val="009C5CC9"/>
    <w:rsid w:val="009C5D29"/>
    <w:rsid w:val="009C5D4E"/>
    <w:rsid w:val="009C5E64"/>
    <w:rsid w:val="009C5EB4"/>
    <w:rsid w:val="009C5F0D"/>
    <w:rsid w:val="009C5F8E"/>
    <w:rsid w:val="009C6101"/>
    <w:rsid w:val="009C6164"/>
    <w:rsid w:val="009C61D6"/>
    <w:rsid w:val="009C625B"/>
    <w:rsid w:val="009C630B"/>
    <w:rsid w:val="009C6378"/>
    <w:rsid w:val="009C6405"/>
    <w:rsid w:val="009C642B"/>
    <w:rsid w:val="009C64DA"/>
    <w:rsid w:val="009C64ED"/>
    <w:rsid w:val="009C653B"/>
    <w:rsid w:val="009C65AE"/>
    <w:rsid w:val="009C65B5"/>
    <w:rsid w:val="009C65DD"/>
    <w:rsid w:val="009C65DE"/>
    <w:rsid w:val="009C6612"/>
    <w:rsid w:val="009C662A"/>
    <w:rsid w:val="009C66AD"/>
    <w:rsid w:val="009C6884"/>
    <w:rsid w:val="009C6890"/>
    <w:rsid w:val="009C69D0"/>
    <w:rsid w:val="009C6A44"/>
    <w:rsid w:val="009C6AD6"/>
    <w:rsid w:val="009C6ADC"/>
    <w:rsid w:val="009C6B05"/>
    <w:rsid w:val="009C6B4B"/>
    <w:rsid w:val="009C6B85"/>
    <w:rsid w:val="009C6BBB"/>
    <w:rsid w:val="009C6BD0"/>
    <w:rsid w:val="009C6C89"/>
    <w:rsid w:val="009C6CFD"/>
    <w:rsid w:val="009C6DF9"/>
    <w:rsid w:val="009C6EB6"/>
    <w:rsid w:val="009C6F4D"/>
    <w:rsid w:val="009C711E"/>
    <w:rsid w:val="009C717A"/>
    <w:rsid w:val="009C71FB"/>
    <w:rsid w:val="009C724D"/>
    <w:rsid w:val="009C7340"/>
    <w:rsid w:val="009C73A3"/>
    <w:rsid w:val="009C73CB"/>
    <w:rsid w:val="009C73D1"/>
    <w:rsid w:val="009C73F2"/>
    <w:rsid w:val="009C749F"/>
    <w:rsid w:val="009C7537"/>
    <w:rsid w:val="009C7588"/>
    <w:rsid w:val="009C759C"/>
    <w:rsid w:val="009C7827"/>
    <w:rsid w:val="009C7829"/>
    <w:rsid w:val="009C793F"/>
    <w:rsid w:val="009C7988"/>
    <w:rsid w:val="009C79B9"/>
    <w:rsid w:val="009C7A0C"/>
    <w:rsid w:val="009C7A71"/>
    <w:rsid w:val="009C7A8E"/>
    <w:rsid w:val="009C7BB0"/>
    <w:rsid w:val="009C7BCC"/>
    <w:rsid w:val="009C7CD0"/>
    <w:rsid w:val="009C7E2C"/>
    <w:rsid w:val="009C7EE5"/>
    <w:rsid w:val="009C7F23"/>
    <w:rsid w:val="009C7FBF"/>
    <w:rsid w:val="009D00CA"/>
    <w:rsid w:val="009D01C7"/>
    <w:rsid w:val="009D01CF"/>
    <w:rsid w:val="009D01F9"/>
    <w:rsid w:val="009D0225"/>
    <w:rsid w:val="009D026F"/>
    <w:rsid w:val="009D033B"/>
    <w:rsid w:val="009D034F"/>
    <w:rsid w:val="009D0354"/>
    <w:rsid w:val="009D0395"/>
    <w:rsid w:val="009D03A1"/>
    <w:rsid w:val="009D03B2"/>
    <w:rsid w:val="009D053F"/>
    <w:rsid w:val="009D0567"/>
    <w:rsid w:val="009D0690"/>
    <w:rsid w:val="009D06E9"/>
    <w:rsid w:val="009D06EA"/>
    <w:rsid w:val="009D0742"/>
    <w:rsid w:val="009D0766"/>
    <w:rsid w:val="009D0838"/>
    <w:rsid w:val="009D0848"/>
    <w:rsid w:val="009D0857"/>
    <w:rsid w:val="009D087F"/>
    <w:rsid w:val="009D0892"/>
    <w:rsid w:val="009D0893"/>
    <w:rsid w:val="009D0894"/>
    <w:rsid w:val="009D08FD"/>
    <w:rsid w:val="009D0B36"/>
    <w:rsid w:val="009D0C27"/>
    <w:rsid w:val="009D0C49"/>
    <w:rsid w:val="009D0C7F"/>
    <w:rsid w:val="009D0CAC"/>
    <w:rsid w:val="009D0D65"/>
    <w:rsid w:val="009D0E2B"/>
    <w:rsid w:val="009D0E7A"/>
    <w:rsid w:val="009D0EA1"/>
    <w:rsid w:val="009D0EB6"/>
    <w:rsid w:val="009D100A"/>
    <w:rsid w:val="009D1023"/>
    <w:rsid w:val="009D1039"/>
    <w:rsid w:val="009D1067"/>
    <w:rsid w:val="009D113A"/>
    <w:rsid w:val="009D1197"/>
    <w:rsid w:val="009D1209"/>
    <w:rsid w:val="009D1313"/>
    <w:rsid w:val="009D14F5"/>
    <w:rsid w:val="009D1547"/>
    <w:rsid w:val="009D155E"/>
    <w:rsid w:val="009D15B0"/>
    <w:rsid w:val="009D16EA"/>
    <w:rsid w:val="009D16FF"/>
    <w:rsid w:val="009D1801"/>
    <w:rsid w:val="009D18EC"/>
    <w:rsid w:val="009D18F7"/>
    <w:rsid w:val="009D1A98"/>
    <w:rsid w:val="009D1A99"/>
    <w:rsid w:val="009D1C75"/>
    <w:rsid w:val="009D1C8C"/>
    <w:rsid w:val="009D1DDC"/>
    <w:rsid w:val="009D1DFE"/>
    <w:rsid w:val="009D1E69"/>
    <w:rsid w:val="009D1ECC"/>
    <w:rsid w:val="009D1F0B"/>
    <w:rsid w:val="009D1F21"/>
    <w:rsid w:val="009D1FE6"/>
    <w:rsid w:val="009D2021"/>
    <w:rsid w:val="009D2023"/>
    <w:rsid w:val="009D224A"/>
    <w:rsid w:val="009D22D8"/>
    <w:rsid w:val="009D22EE"/>
    <w:rsid w:val="009D2375"/>
    <w:rsid w:val="009D2377"/>
    <w:rsid w:val="009D23B1"/>
    <w:rsid w:val="009D24E4"/>
    <w:rsid w:val="009D25CF"/>
    <w:rsid w:val="009D2617"/>
    <w:rsid w:val="009D267C"/>
    <w:rsid w:val="009D270C"/>
    <w:rsid w:val="009D2718"/>
    <w:rsid w:val="009D2756"/>
    <w:rsid w:val="009D2897"/>
    <w:rsid w:val="009D28B7"/>
    <w:rsid w:val="009D2965"/>
    <w:rsid w:val="009D2A71"/>
    <w:rsid w:val="009D2AC9"/>
    <w:rsid w:val="009D2B05"/>
    <w:rsid w:val="009D2B73"/>
    <w:rsid w:val="009D2B92"/>
    <w:rsid w:val="009D2C0F"/>
    <w:rsid w:val="009D2C40"/>
    <w:rsid w:val="009D2D5C"/>
    <w:rsid w:val="009D2DE2"/>
    <w:rsid w:val="009D2E9B"/>
    <w:rsid w:val="009D2EB5"/>
    <w:rsid w:val="009D2F05"/>
    <w:rsid w:val="009D2F2F"/>
    <w:rsid w:val="009D307C"/>
    <w:rsid w:val="009D3109"/>
    <w:rsid w:val="009D3148"/>
    <w:rsid w:val="009D316D"/>
    <w:rsid w:val="009D31F7"/>
    <w:rsid w:val="009D322C"/>
    <w:rsid w:val="009D32ED"/>
    <w:rsid w:val="009D332B"/>
    <w:rsid w:val="009D33B9"/>
    <w:rsid w:val="009D343C"/>
    <w:rsid w:val="009D3484"/>
    <w:rsid w:val="009D3498"/>
    <w:rsid w:val="009D34B5"/>
    <w:rsid w:val="009D34B7"/>
    <w:rsid w:val="009D34FE"/>
    <w:rsid w:val="009D350B"/>
    <w:rsid w:val="009D35F8"/>
    <w:rsid w:val="009D36CB"/>
    <w:rsid w:val="009D36DA"/>
    <w:rsid w:val="009D3703"/>
    <w:rsid w:val="009D3918"/>
    <w:rsid w:val="009D3925"/>
    <w:rsid w:val="009D39A6"/>
    <w:rsid w:val="009D3A2B"/>
    <w:rsid w:val="009D3AC6"/>
    <w:rsid w:val="009D3BD2"/>
    <w:rsid w:val="009D3C5B"/>
    <w:rsid w:val="009D3C62"/>
    <w:rsid w:val="009D3CFC"/>
    <w:rsid w:val="009D3D03"/>
    <w:rsid w:val="009D3D1C"/>
    <w:rsid w:val="009D3D87"/>
    <w:rsid w:val="009D3E48"/>
    <w:rsid w:val="009D3E53"/>
    <w:rsid w:val="009D3EB8"/>
    <w:rsid w:val="009D3EF2"/>
    <w:rsid w:val="009D3F69"/>
    <w:rsid w:val="009D3F6F"/>
    <w:rsid w:val="009D3FBA"/>
    <w:rsid w:val="009D400B"/>
    <w:rsid w:val="009D402F"/>
    <w:rsid w:val="009D403E"/>
    <w:rsid w:val="009D408B"/>
    <w:rsid w:val="009D4097"/>
    <w:rsid w:val="009D41E6"/>
    <w:rsid w:val="009D41F7"/>
    <w:rsid w:val="009D423B"/>
    <w:rsid w:val="009D433A"/>
    <w:rsid w:val="009D438A"/>
    <w:rsid w:val="009D446F"/>
    <w:rsid w:val="009D44B5"/>
    <w:rsid w:val="009D4544"/>
    <w:rsid w:val="009D4612"/>
    <w:rsid w:val="009D4614"/>
    <w:rsid w:val="009D470F"/>
    <w:rsid w:val="009D4824"/>
    <w:rsid w:val="009D482B"/>
    <w:rsid w:val="009D49BB"/>
    <w:rsid w:val="009D49C9"/>
    <w:rsid w:val="009D49F2"/>
    <w:rsid w:val="009D49F5"/>
    <w:rsid w:val="009D4A2D"/>
    <w:rsid w:val="009D4A39"/>
    <w:rsid w:val="009D4A7B"/>
    <w:rsid w:val="009D4AD2"/>
    <w:rsid w:val="009D4BC7"/>
    <w:rsid w:val="009D4CAD"/>
    <w:rsid w:val="009D4D1B"/>
    <w:rsid w:val="009D4F8F"/>
    <w:rsid w:val="009D5107"/>
    <w:rsid w:val="009D51D2"/>
    <w:rsid w:val="009D51DF"/>
    <w:rsid w:val="009D520C"/>
    <w:rsid w:val="009D521D"/>
    <w:rsid w:val="009D52A9"/>
    <w:rsid w:val="009D531F"/>
    <w:rsid w:val="009D5347"/>
    <w:rsid w:val="009D5449"/>
    <w:rsid w:val="009D544C"/>
    <w:rsid w:val="009D54BA"/>
    <w:rsid w:val="009D5501"/>
    <w:rsid w:val="009D5692"/>
    <w:rsid w:val="009D57BF"/>
    <w:rsid w:val="009D57DB"/>
    <w:rsid w:val="009D580B"/>
    <w:rsid w:val="009D580C"/>
    <w:rsid w:val="009D5845"/>
    <w:rsid w:val="009D58AC"/>
    <w:rsid w:val="009D58C3"/>
    <w:rsid w:val="009D58FB"/>
    <w:rsid w:val="009D5933"/>
    <w:rsid w:val="009D59AA"/>
    <w:rsid w:val="009D5A39"/>
    <w:rsid w:val="009D5A81"/>
    <w:rsid w:val="009D5AE1"/>
    <w:rsid w:val="009D5AE2"/>
    <w:rsid w:val="009D5B25"/>
    <w:rsid w:val="009D5BBE"/>
    <w:rsid w:val="009D5BF5"/>
    <w:rsid w:val="009D5C63"/>
    <w:rsid w:val="009D5D01"/>
    <w:rsid w:val="009D5DA6"/>
    <w:rsid w:val="009D5DEF"/>
    <w:rsid w:val="009D5DFA"/>
    <w:rsid w:val="009D5E54"/>
    <w:rsid w:val="009D5E60"/>
    <w:rsid w:val="009D5EF0"/>
    <w:rsid w:val="009D5FA4"/>
    <w:rsid w:val="009D6072"/>
    <w:rsid w:val="009D6080"/>
    <w:rsid w:val="009D60A0"/>
    <w:rsid w:val="009D60D7"/>
    <w:rsid w:val="009D6101"/>
    <w:rsid w:val="009D6112"/>
    <w:rsid w:val="009D6142"/>
    <w:rsid w:val="009D615E"/>
    <w:rsid w:val="009D6176"/>
    <w:rsid w:val="009D61C8"/>
    <w:rsid w:val="009D626F"/>
    <w:rsid w:val="009D62FB"/>
    <w:rsid w:val="009D634D"/>
    <w:rsid w:val="009D6466"/>
    <w:rsid w:val="009D650A"/>
    <w:rsid w:val="009D6530"/>
    <w:rsid w:val="009D65D3"/>
    <w:rsid w:val="009D6602"/>
    <w:rsid w:val="009D661D"/>
    <w:rsid w:val="009D666E"/>
    <w:rsid w:val="009D6760"/>
    <w:rsid w:val="009D6794"/>
    <w:rsid w:val="009D67A3"/>
    <w:rsid w:val="009D6838"/>
    <w:rsid w:val="009D6849"/>
    <w:rsid w:val="009D68F2"/>
    <w:rsid w:val="009D6966"/>
    <w:rsid w:val="009D69D2"/>
    <w:rsid w:val="009D6A21"/>
    <w:rsid w:val="009D6A84"/>
    <w:rsid w:val="009D6AA2"/>
    <w:rsid w:val="009D6AC0"/>
    <w:rsid w:val="009D6B65"/>
    <w:rsid w:val="009D6B8A"/>
    <w:rsid w:val="009D6C9C"/>
    <w:rsid w:val="009D6CB6"/>
    <w:rsid w:val="009D6CEA"/>
    <w:rsid w:val="009D6D01"/>
    <w:rsid w:val="009D6D88"/>
    <w:rsid w:val="009D6FC5"/>
    <w:rsid w:val="009D7182"/>
    <w:rsid w:val="009D721F"/>
    <w:rsid w:val="009D724F"/>
    <w:rsid w:val="009D7275"/>
    <w:rsid w:val="009D73DD"/>
    <w:rsid w:val="009D7490"/>
    <w:rsid w:val="009D75C6"/>
    <w:rsid w:val="009D75C8"/>
    <w:rsid w:val="009D7615"/>
    <w:rsid w:val="009D762A"/>
    <w:rsid w:val="009D76D1"/>
    <w:rsid w:val="009D7731"/>
    <w:rsid w:val="009D7768"/>
    <w:rsid w:val="009D7796"/>
    <w:rsid w:val="009D786B"/>
    <w:rsid w:val="009D7951"/>
    <w:rsid w:val="009D7A3D"/>
    <w:rsid w:val="009D7A81"/>
    <w:rsid w:val="009D7AFF"/>
    <w:rsid w:val="009D7C4E"/>
    <w:rsid w:val="009D7C6D"/>
    <w:rsid w:val="009D7D0B"/>
    <w:rsid w:val="009D7D55"/>
    <w:rsid w:val="009D7F7D"/>
    <w:rsid w:val="009D7FB0"/>
    <w:rsid w:val="009E005A"/>
    <w:rsid w:val="009E0094"/>
    <w:rsid w:val="009E00DD"/>
    <w:rsid w:val="009E012C"/>
    <w:rsid w:val="009E01A7"/>
    <w:rsid w:val="009E0283"/>
    <w:rsid w:val="009E02AE"/>
    <w:rsid w:val="009E02C2"/>
    <w:rsid w:val="009E0305"/>
    <w:rsid w:val="009E033C"/>
    <w:rsid w:val="009E039F"/>
    <w:rsid w:val="009E03AE"/>
    <w:rsid w:val="009E0465"/>
    <w:rsid w:val="009E04D6"/>
    <w:rsid w:val="009E0768"/>
    <w:rsid w:val="009E07C8"/>
    <w:rsid w:val="009E0830"/>
    <w:rsid w:val="009E0895"/>
    <w:rsid w:val="009E08E8"/>
    <w:rsid w:val="009E0A51"/>
    <w:rsid w:val="009E0B22"/>
    <w:rsid w:val="009E0B4F"/>
    <w:rsid w:val="009E0B7C"/>
    <w:rsid w:val="009E0C1D"/>
    <w:rsid w:val="009E0C49"/>
    <w:rsid w:val="009E0C8F"/>
    <w:rsid w:val="009E0CFC"/>
    <w:rsid w:val="009E0D8D"/>
    <w:rsid w:val="009E0DDB"/>
    <w:rsid w:val="009E0DEB"/>
    <w:rsid w:val="009E100F"/>
    <w:rsid w:val="009E1039"/>
    <w:rsid w:val="009E1055"/>
    <w:rsid w:val="009E10D2"/>
    <w:rsid w:val="009E1174"/>
    <w:rsid w:val="009E11B5"/>
    <w:rsid w:val="009E1224"/>
    <w:rsid w:val="009E1268"/>
    <w:rsid w:val="009E12CF"/>
    <w:rsid w:val="009E134B"/>
    <w:rsid w:val="009E134E"/>
    <w:rsid w:val="009E13B9"/>
    <w:rsid w:val="009E1477"/>
    <w:rsid w:val="009E14A2"/>
    <w:rsid w:val="009E1539"/>
    <w:rsid w:val="009E1683"/>
    <w:rsid w:val="009E168E"/>
    <w:rsid w:val="009E1697"/>
    <w:rsid w:val="009E16C5"/>
    <w:rsid w:val="009E175B"/>
    <w:rsid w:val="009E183A"/>
    <w:rsid w:val="009E1866"/>
    <w:rsid w:val="009E18A5"/>
    <w:rsid w:val="009E1A05"/>
    <w:rsid w:val="009E1A39"/>
    <w:rsid w:val="009E1A64"/>
    <w:rsid w:val="009E1A85"/>
    <w:rsid w:val="009E1AA2"/>
    <w:rsid w:val="009E1AAC"/>
    <w:rsid w:val="009E1ABC"/>
    <w:rsid w:val="009E1B57"/>
    <w:rsid w:val="009E1BF5"/>
    <w:rsid w:val="009E1CA8"/>
    <w:rsid w:val="009E1D0D"/>
    <w:rsid w:val="009E1D93"/>
    <w:rsid w:val="009E1E7E"/>
    <w:rsid w:val="009E1F3C"/>
    <w:rsid w:val="009E2023"/>
    <w:rsid w:val="009E205D"/>
    <w:rsid w:val="009E2171"/>
    <w:rsid w:val="009E2173"/>
    <w:rsid w:val="009E219C"/>
    <w:rsid w:val="009E2203"/>
    <w:rsid w:val="009E24C9"/>
    <w:rsid w:val="009E2588"/>
    <w:rsid w:val="009E260B"/>
    <w:rsid w:val="009E26D1"/>
    <w:rsid w:val="009E26FF"/>
    <w:rsid w:val="009E2727"/>
    <w:rsid w:val="009E2992"/>
    <w:rsid w:val="009E2996"/>
    <w:rsid w:val="009E29EB"/>
    <w:rsid w:val="009E2A05"/>
    <w:rsid w:val="009E2A07"/>
    <w:rsid w:val="009E2A78"/>
    <w:rsid w:val="009E2A82"/>
    <w:rsid w:val="009E2A9D"/>
    <w:rsid w:val="009E2B71"/>
    <w:rsid w:val="009E2B90"/>
    <w:rsid w:val="009E2CE9"/>
    <w:rsid w:val="009E2D81"/>
    <w:rsid w:val="009E2E36"/>
    <w:rsid w:val="009E2E47"/>
    <w:rsid w:val="009E2EE4"/>
    <w:rsid w:val="009E2FAB"/>
    <w:rsid w:val="009E308A"/>
    <w:rsid w:val="009E313F"/>
    <w:rsid w:val="009E3148"/>
    <w:rsid w:val="009E31EB"/>
    <w:rsid w:val="009E3216"/>
    <w:rsid w:val="009E321F"/>
    <w:rsid w:val="009E3363"/>
    <w:rsid w:val="009E3387"/>
    <w:rsid w:val="009E352F"/>
    <w:rsid w:val="009E3663"/>
    <w:rsid w:val="009E368F"/>
    <w:rsid w:val="009E36A2"/>
    <w:rsid w:val="009E36CE"/>
    <w:rsid w:val="009E36F8"/>
    <w:rsid w:val="009E38F0"/>
    <w:rsid w:val="009E3940"/>
    <w:rsid w:val="009E3A1C"/>
    <w:rsid w:val="009E3AA7"/>
    <w:rsid w:val="009E3AAA"/>
    <w:rsid w:val="009E3ABF"/>
    <w:rsid w:val="009E3B5D"/>
    <w:rsid w:val="009E3B79"/>
    <w:rsid w:val="009E3B97"/>
    <w:rsid w:val="009E3D29"/>
    <w:rsid w:val="009E404A"/>
    <w:rsid w:val="009E40CA"/>
    <w:rsid w:val="009E412C"/>
    <w:rsid w:val="009E41EC"/>
    <w:rsid w:val="009E4258"/>
    <w:rsid w:val="009E42FB"/>
    <w:rsid w:val="009E436A"/>
    <w:rsid w:val="009E43A7"/>
    <w:rsid w:val="009E4427"/>
    <w:rsid w:val="009E44B8"/>
    <w:rsid w:val="009E44F1"/>
    <w:rsid w:val="009E45E5"/>
    <w:rsid w:val="009E4623"/>
    <w:rsid w:val="009E464E"/>
    <w:rsid w:val="009E46C7"/>
    <w:rsid w:val="009E47ED"/>
    <w:rsid w:val="009E4925"/>
    <w:rsid w:val="009E4A2E"/>
    <w:rsid w:val="009E4A5D"/>
    <w:rsid w:val="009E4C2B"/>
    <w:rsid w:val="009E4C5A"/>
    <w:rsid w:val="009E4C70"/>
    <w:rsid w:val="009E4D24"/>
    <w:rsid w:val="009E4E08"/>
    <w:rsid w:val="009E4E20"/>
    <w:rsid w:val="009E4EA4"/>
    <w:rsid w:val="009E4EE2"/>
    <w:rsid w:val="009E4EE5"/>
    <w:rsid w:val="009E4FCD"/>
    <w:rsid w:val="009E5038"/>
    <w:rsid w:val="009E5109"/>
    <w:rsid w:val="009E5112"/>
    <w:rsid w:val="009E5182"/>
    <w:rsid w:val="009E5450"/>
    <w:rsid w:val="009E54B4"/>
    <w:rsid w:val="009E5507"/>
    <w:rsid w:val="009E550E"/>
    <w:rsid w:val="009E557C"/>
    <w:rsid w:val="009E557F"/>
    <w:rsid w:val="009E558D"/>
    <w:rsid w:val="009E564D"/>
    <w:rsid w:val="009E567D"/>
    <w:rsid w:val="009E56A5"/>
    <w:rsid w:val="009E5704"/>
    <w:rsid w:val="009E576E"/>
    <w:rsid w:val="009E578D"/>
    <w:rsid w:val="009E57C8"/>
    <w:rsid w:val="009E58E6"/>
    <w:rsid w:val="009E5B0D"/>
    <w:rsid w:val="009E5BA8"/>
    <w:rsid w:val="009E5BDD"/>
    <w:rsid w:val="009E5C22"/>
    <w:rsid w:val="009E5C80"/>
    <w:rsid w:val="009E5CE8"/>
    <w:rsid w:val="009E5CFF"/>
    <w:rsid w:val="009E5D03"/>
    <w:rsid w:val="009E5D7C"/>
    <w:rsid w:val="009E5DA9"/>
    <w:rsid w:val="009E5E3E"/>
    <w:rsid w:val="009E5EC4"/>
    <w:rsid w:val="009E5F15"/>
    <w:rsid w:val="009E60E4"/>
    <w:rsid w:val="009E6196"/>
    <w:rsid w:val="009E61A0"/>
    <w:rsid w:val="009E6287"/>
    <w:rsid w:val="009E62C7"/>
    <w:rsid w:val="009E6436"/>
    <w:rsid w:val="009E6469"/>
    <w:rsid w:val="009E658D"/>
    <w:rsid w:val="009E6630"/>
    <w:rsid w:val="009E66B2"/>
    <w:rsid w:val="009E66C2"/>
    <w:rsid w:val="009E6744"/>
    <w:rsid w:val="009E674B"/>
    <w:rsid w:val="009E67B4"/>
    <w:rsid w:val="009E687F"/>
    <w:rsid w:val="009E6927"/>
    <w:rsid w:val="009E6939"/>
    <w:rsid w:val="009E6996"/>
    <w:rsid w:val="009E6A15"/>
    <w:rsid w:val="009E6A1E"/>
    <w:rsid w:val="009E6A4C"/>
    <w:rsid w:val="009E6A51"/>
    <w:rsid w:val="009E6A84"/>
    <w:rsid w:val="009E6B0D"/>
    <w:rsid w:val="009E6B55"/>
    <w:rsid w:val="009E6BEF"/>
    <w:rsid w:val="009E6C02"/>
    <w:rsid w:val="009E6C5A"/>
    <w:rsid w:val="009E6CA7"/>
    <w:rsid w:val="009E6CB2"/>
    <w:rsid w:val="009E6D3B"/>
    <w:rsid w:val="009E6D47"/>
    <w:rsid w:val="009E6F35"/>
    <w:rsid w:val="009E7028"/>
    <w:rsid w:val="009E7129"/>
    <w:rsid w:val="009E71A6"/>
    <w:rsid w:val="009E7200"/>
    <w:rsid w:val="009E721B"/>
    <w:rsid w:val="009E7277"/>
    <w:rsid w:val="009E7319"/>
    <w:rsid w:val="009E734C"/>
    <w:rsid w:val="009E740F"/>
    <w:rsid w:val="009E742D"/>
    <w:rsid w:val="009E7558"/>
    <w:rsid w:val="009E7631"/>
    <w:rsid w:val="009E763C"/>
    <w:rsid w:val="009E765B"/>
    <w:rsid w:val="009E765F"/>
    <w:rsid w:val="009E767E"/>
    <w:rsid w:val="009E76B2"/>
    <w:rsid w:val="009E76BD"/>
    <w:rsid w:val="009E7801"/>
    <w:rsid w:val="009E783F"/>
    <w:rsid w:val="009E7930"/>
    <w:rsid w:val="009E7A65"/>
    <w:rsid w:val="009E7B0F"/>
    <w:rsid w:val="009E7B82"/>
    <w:rsid w:val="009E7C94"/>
    <w:rsid w:val="009E7CEA"/>
    <w:rsid w:val="009E7E5F"/>
    <w:rsid w:val="009E7E87"/>
    <w:rsid w:val="009E7F7B"/>
    <w:rsid w:val="009F0010"/>
    <w:rsid w:val="009F011E"/>
    <w:rsid w:val="009F0175"/>
    <w:rsid w:val="009F0252"/>
    <w:rsid w:val="009F02CC"/>
    <w:rsid w:val="009F033A"/>
    <w:rsid w:val="009F040C"/>
    <w:rsid w:val="009F041B"/>
    <w:rsid w:val="009F0606"/>
    <w:rsid w:val="009F0695"/>
    <w:rsid w:val="009F06CB"/>
    <w:rsid w:val="009F0705"/>
    <w:rsid w:val="009F0832"/>
    <w:rsid w:val="009F086F"/>
    <w:rsid w:val="009F08F6"/>
    <w:rsid w:val="009F0914"/>
    <w:rsid w:val="009F095A"/>
    <w:rsid w:val="009F09D8"/>
    <w:rsid w:val="009F0A5F"/>
    <w:rsid w:val="009F0A61"/>
    <w:rsid w:val="009F0A89"/>
    <w:rsid w:val="009F0B6F"/>
    <w:rsid w:val="009F0CDA"/>
    <w:rsid w:val="009F0E08"/>
    <w:rsid w:val="009F0E58"/>
    <w:rsid w:val="009F0E90"/>
    <w:rsid w:val="009F0EC7"/>
    <w:rsid w:val="009F0ECC"/>
    <w:rsid w:val="009F115B"/>
    <w:rsid w:val="009F11D4"/>
    <w:rsid w:val="009F12A5"/>
    <w:rsid w:val="009F12D0"/>
    <w:rsid w:val="009F12D3"/>
    <w:rsid w:val="009F133E"/>
    <w:rsid w:val="009F1343"/>
    <w:rsid w:val="009F1377"/>
    <w:rsid w:val="009F1389"/>
    <w:rsid w:val="009F13E1"/>
    <w:rsid w:val="009F1409"/>
    <w:rsid w:val="009F1446"/>
    <w:rsid w:val="009F144C"/>
    <w:rsid w:val="009F1473"/>
    <w:rsid w:val="009F1590"/>
    <w:rsid w:val="009F175F"/>
    <w:rsid w:val="009F1802"/>
    <w:rsid w:val="009F1862"/>
    <w:rsid w:val="009F1893"/>
    <w:rsid w:val="009F190D"/>
    <w:rsid w:val="009F1933"/>
    <w:rsid w:val="009F19B7"/>
    <w:rsid w:val="009F1A59"/>
    <w:rsid w:val="009F1AA8"/>
    <w:rsid w:val="009F1ABC"/>
    <w:rsid w:val="009F1ACE"/>
    <w:rsid w:val="009F1ADF"/>
    <w:rsid w:val="009F1B0F"/>
    <w:rsid w:val="009F1B4C"/>
    <w:rsid w:val="009F1B8C"/>
    <w:rsid w:val="009F1BCF"/>
    <w:rsid w:val="009F1C40"/>
    <w:rsid w:val="009F1C94"/>
    <w:rsid w:val="009F1D63"/>
    <w:rsid w:val="009F1EC1"/>
    <w:rsid w:val="009F1F7A"/>
    <w:rsid w:val="009F208B"/>
    <w:rsid w:val="009F2429"/>
    <w:rsid w:val="009F246B"/>
    <w:rsid w:val="009F250C"/>
    <w:rsid w:val="009F2532"/>
    <w:rsid w:val="009F263B"/>
    <w:rsid w:val="009F276B"/>
    <w:rsid w:val="009F27C3"/>
    <w:rsid w:val="009F2801"/>
    <w:rsid w:val="009F282B"/>
    <w:rsid w:val="009F2860"/>
    <w:rsid w:val="009F2886"/>
    <w:rsid w:val="009F2AD2"/>
    <w:rsid w:val="009F2B13"/>
    <w:rsid w:val="009F2B15"/>
    <w:rsid w:val="009F2C73"/>
    <w:rsid w:val="009F2D0C"/>
    <w:rsid w:val="009F2D86"/>
    <w:rsid w:val="009F3002"/>
    <w:rsid w:val="009F3082"/>
    <w:rsid w:val="009F30C9"/>
    <w:rsid w:val="009F3105"/>
    <w:rsid w:val="009F31D5"/>
    <w:rsid w:val="009F327C"/>
    <w:rsid w:val="009F35BD"/>
    <w:rsid w:val="009F35DE"/>
    <w:rsid w:val="009F36DE"/>
    <w:rsid w:val="009F37D7"/>
    <w:rsid w:val="009F381D"/>
    <w:rsid w:val="009F3855"/>
    <w:rsid w:val="009F3928"/>
    <w:rsid w:val="009F39A7"/>
    <w:rsid w:val="009F39C4"/>
    <w:rsid w:val="009F3A3A"/>
    <w:rsid w:val="009F3A85"/>
    <w:rsid w:val="009F3B1D"/>
    <w:rsid w:val="009F3B77"/>
    <w:rsid w:val="009F3BBF"/>
    <w:rsid w:val="009F3C81"/>
    <w:rsid w:val="009F3CAD"/>
    <w:rsid w:val="009F3CF7"/>
    <w:rsid w:val="009F3D71"/>
    <w:rsid w:val="009F3E0A"/>
    <w:rsid w:val="009F3E39"/>
    <w:rsid w:val="009F3E8F"/>
    <w:rsid w:val="009F3ED5"/>
    <w:rsid w:val="009F3FFF"/>
    <w:rsid w:val="009F403C"/>
    <w:rsid w:val="009F40D1"/>
    <w:rsid w:val="009F4108"/>
    <w:rsid w:val="009F4112"/>
    <w:rsid w:val="009F419A"/>
    <w:rsid w:val="009F4341"/>
    <w:rsid w:val="009F4345"/>
    <w:rsid w:val="009F43FF"/>
    <w:rsid w:val="009F44EC"/>
    <w:rsid w:val="009F45FF"/>
    <w:rsid w:val="009F47C0"/>
    <w:rsid w:val="009F484B"/>
    <w:rsid w:val="009F48B3"/>
    <w:rsid w:val="009F4939"/>
    <w:rsid w:val="009F495D"/>
    <w:rsid w:val="009F498B"/>
    <w:rsid w:val="009F49A8"/>
    <w:rsid w:val="009F4A55"/>
    <w:rsid w:val="009F4A9C"/>
    <w:rsid w:val="009F4B41"/>
    <w:rsid w:val="009F4C05"/>
    <w:rsid w:val="009F4CCF"/>
    <w:rsid w:val="009F4CE9"/>
    <w:rsid w:val="009F4D36"/>
    <w:rsid w:val="009F4E51"/>
    <w:rsid w:val="009F4E7E"/>
    <w:rsid w:val="009F4EBB"/>
    <w:rsid w:val="009F4F42"/>
    <w:rsid w:val="009F4FD5"/>
    <w:rsid w:val="009F507E"/>
    <w:rsid w:val="009F521C"/>
    <w:rsid w:val="009F5249"/>
    <w:rsid w:val="009F52C5"/>
    <w:rsid w:val="009F53B0"/>
    <w:rsid w:val="009F54AE"/>
    <w:rsid w:val="009F54C5"/>
    <w:rsid w:val="009F5580"/>
    <w:rsid w:val="009F5603"/>
    <w:rsid w:val="009F5637"/>
    <w:rsid w:val="009F56FF"/>
    <w:rsid w:val="009F5771"/>
    <w:rsid w:val="009F5853"/>
    <w:rsid w:val="009F58AA"/>
    <w:rsid w:val="009F58D1"/>
    <w:rsid w:val="009F593F"/>
    <w:rsid w:val="009F5970"/>
    <w:rsid w:val="009F5A1A"/>
    <w:rsid w:val="009F5AB4"/>
    <w:rsid w:val="009F5CE9"/>
    <w:rsid w:val="009F5CEE"/>
    <w:rsid w:val="009F5E5F"/>
    <w:rsid w:val="009F5EAA"/>
    <w:rsid w:val="009F60EC"/>
    <w:rsid w:val="009F6102"/>
    <w:rsid w:val="009F61D0"/>
    <w:rsid w:val="009F6272"/>
    <w:rsid w:val="009F6400"/>
    <w:rsid w:val="009F6570"/>
    <w:rsid w:val="009F65F0"/>
    <w:rsid w:val="009F669F"/>
    <w:rsid w:val="009F67E5"/>
    <w:rsid w:val="009F67E7"/>
    <w:rsid w:val="009F683C"/>
    <w:rsid w:val="009F68C5"/>
    <w:rsid w:val="009F6924"/>
    <w:rsid w:val="009F699A"/>
    <w:rsid w:val="009F69F9"/>
    <w:rsid w:val="009F6A5E"/>
    <w:rsid w:val="009F6A8D"/>
    <w:rsid w:val="009F6AF4"/>
    <w:rsid w:val="009F6B10"/>
    <w:rsid w:val="009F6B1F"/>
    <w:rsid w:val="009F6BB7"/>
    <w:rsid w:val="009F6BC1"/>
    <w:rsid w:val="009F6CA8"/>
    <w:rsid w:val="009F6CBE"/>
    <w:rsid w:val="009F6CF1"/>
    <w:rsid w:val="009F6D24"/>
    <w:rsid w:val="009F6D6F"/>
    <w:rsid w:val="009F6EB5"/>
    <w:rsid w:val="009F6EBB"/>
    <w:rsid w:val="009F6FC5"/>
    <w:rsid w:val="009F6FF6"/>
    <w:rsid w:val="009F706B"/>
    <w:rsid w:val="009F7089"/>
    <w:rsid w:val="009F7169"/>
    <w:rsid w:val="009F71E7"/>
    <w:rsid w:val="009F722F"/>
    <w:rsid w:val="009F723D"/>
    <w:rsid w:val="009F728E"/>
    <w:rsid w:val="009F7390"/>
    <w:rsid w:val="009F73AC"/>
    <w:rsid w:val="009F73D9"/>
    <w:rsid w:val="009F7506"/>
    <w:rsid w:val="009F7553"/>
    <w:rsid w:val="009F7558"/>
    <w:rsid w:val="009F77E3"/>
    <w:rsid w:val="009F785C"/>
    <w:rsid w:val="009F7883"/>
    <w:rsid w:val="009F7976"/>
    <w:rsid w:val="009F79B3"/>
    <w:rsid w:val="009F79F8"/>
    <w:rsid w:val="009F7A69"/>
    <w:rsid w:val="009F7AC0"/>
    <w:rsid w:val="009F7B05"/>
    <w:rsid w:val="009F7B33"/>
    <w:rsid w:val="009F7B5C"/>
    <w:rsid w:val="009F7B80"/>
    <w:rsid w:val="009F7D64"/>
    <w:rsid w:val="009F7D69"/>
    <w:rsid w:val="009F7E36"/>
    <w:rsid w:val="009F7E6D"/>
    <w:rsid w:val="009F7EC1"/>
    <w:rsid w:val="009F7ED0"/>
    <w:rsid w:val="009F7F01"/>
    <w:rsid w:val="009F7F34"/>
    <w:rsid w:val="009F7F4B"/>
    <w:rsid w:val="00A00054"/>
    <w:rsid w:val="00A00059"/>
    <w:rsid w:val="00A001EB"/>
    <w:rsid w:val="00A0023C"/>
    <w:rsid w:val="00A0025E"/>
    <w:rsid w:val="00A0026F"/>
    <w:rsid w:val="00A003B0"/>
    <w:rsid w:val="00A003B1"/>
    <w:rsid w:val="00A003E3"/>
    <w:rsid w:val="00A004D8"/>
    <w:rsid w:val="00A004EE"/>
    <w:rsid w:val="00A00563"/>
    <w:rsid w:val="00A00698"/>
    <w:rsid w:val="00A006FC"/>
    <w:rsid w:val="00A00766"/>
    <w:rsid w:val="00A008BE"/>
    <w:rsid w:val="00A0093E"/>
    <w:rsid w:val="00A0098B"/>
    <w:rsid w:val="00A00995"/>
    <w:rsid w:val="00A009C8"/>
    <w:rsid w:val="00A009DD"/>
    <w:rsid w:val="00A009FE"/>
    <w:rsid w:val="00A00A2A"/>
    <w:rsid w:val="00A00A58"/>
    <w:rsid w:val="00A00B02"/>
    <w:rsid w:val="00A00B5D"/>
    <w:rsid w:val="00A00D6E"/>
    <w:rsid w:val="00A00DF5"/>
    <w:rsid w:val="00A00EA7"/>
    <w:rsid w:val="00A00F2B"/>
    <w:rsid w:val="00A00F9D"/>
    <w:rsid w:val="00A0105B"/>
    <w:rsid w:val="00A01066"/>
    <w:rsid w:val="00A0106F"/>
    <w:rsid w:val="00A01298"/>
    <w:rsid w:val="00A01310"/>
    <w:rsid w:val="00A01370"/>
    <w:rsid w:val="00A01424"/>
    <w:rsid w:val="00A0149A"/>
    <w:rsid w:val="00A01518"/>
    <w:rsid w:val="00A0163D"/>
    <w:rsid w:val="00A016ED"/>
    <w:rsid w:val="00A0174D"/>
    <w:rsid w:val="00A01764"/>
    <w:rsid w:val="00A01767"/>
    <w:rsid w:val="00A0177F"/>
    <w:rsid w:val="00A017D3"/>
    <w:rsid w:val="00A01817"/>
    <w:rsid w:val="00A018A1"/>
    <w:rsid w:val="00A018BA"/>
    <w:rsid w:val="00A01A19"/>
    <w:rsid w:val="00A01A89"/>
    <w:rsid w:val="00A01ABF"/>
    <w:rsid w:val="00A01AC1"/>
    <w:rsid w:val="00A01ACB"/>
    <w:rsid w:val="00A01B43"/>
    <w:rsid w:val="00A01BBE"/>
    <w:rsid w:val="00A01BDB"/>
    <w:rsid w:val="00A01BE3"/>
    <w:rsid w:val="00A01CB8"/>
    <w:rsid w:val="00A01CEF"/>
    <w:rsid w:val="00A01DC2"/>
    <w:rsid w:val="00A01E37"/>
    <w:rsid w:val="00A01F73"/>
    <w:rsid w:val="00A01FF5"/>
    <w:rsid w:val="00A02019"/>
    <w:rsid w:val="00A0206D"/>
    <w:rsid w:val="00A0222E"/>
    <w:rsid w:val="00A0239C"/>
    <w:rsid w:val="00A023FD"/>
    <w:rsid w:val="00A02407"/>
    <w:rsid w:val="00A0246F"/>
    <w:rsid w:val="00A02481"/>
    <w:rsid w:val="00A024E7"/>
    <w:rsid w:val="00A02599"/>
    <w:rsid w:val="00A02767"/>
    <w:rsid w:val="00A02784"/>
    <w:rsid w:val="00A027DF"/>
    <w:rsid w:val="00A0282C"/>
    <w:rsid w:val="00A028B9"/>
    <w:rsid w:val="00A02A1F"/>
    <w:rsid w:val="00A02A3F"/>
    <w:rsid w:val="00A02AE1"/>
    <w:rsid w:val="00A02B19"/>
    <w:rsid w:val="00A02BA9"/>
    <w:rsid w:val="00A02BED"/>
    <w:rsid w:val="00A02C16"/>
    <w:rsid w:val="00A02C4A"/>
    <w:rsid w:val="00A02EA5"/>
    <w:rsid w:val="00A02F2A"/>
    <w:rsid w:val="00A02F52"/>
    <w:rsid w:val="00A02FC7"/>
    <w:rsid w:val="00A0304A"/>
    <w:rsid w:val="00A030ED"/>
    <w:rsid w:val="00A031B9"/>
    <w:rsid w:val="00A03268"/>
    <w:rsid w:val="00A0338A"/>
    <w:rsid w:val="00A0339A"/>
    <w:rsid w:val="00A033B8"/>
    <w:rsid w:val="00A0344F"/>
    <w:rsid w:val="00A03458"/>
    <w:rsid w:val="00A034D4"/>
    <w:rsid w:val="00A03511"/>
    <w:rsid w:val="00A03573"/>
    <w:rsid w:val="00A0360C"/>
    <w:rsid w:val="00A03675"/>
    <w:rsid w:val="00A03684"/>
    <w:rsid w:val="00A036AC"/>
    <w:rsid w:val="00A036F3"/>
    <w:rsid w:val="00A036F8"/>
    <w:rsid w:val="00A03721"/>
    <w:rsid w:val="00A03732"/>
    <w:rsid w:val="00A03803"/>
    <w:rsid w:val="00A03972"/>
    <w:rsid w:val="00A039AE"/>
    <w:rsid w:val="00A03AD2"/>
    <w:rsid w:val="00A03ADB"/>
    <w:rsid w:val="00A03AFF"/>
    <w:rsid w:val="00A03BB8"/>
    <w:rsid w:val="00A03BF5"/>
    <w:rsid w:val="00A03C35"/>
    <w:rsid w:val="00A03CB1"/>
    <w:rsid w:val="00A03CE6"/>
    <w:rsid w:val="00A03E27"/>
    <w:rsid w:val="00A03E49"/>
    <w:rsid w:val="00A03F8A"/>
    <w:rsid w:val="00A04000"/>
    <w:rsid w:val="00A04019"/>
    <w:rsid w:val="00A040B7"/>
    <w:rsid w:val="00A041AD"/>
    <w:rsid w:val="00A041C3"/>
    <w:rsid w:val="00A0421C"/>
    <w:rsid w:val="00A0424C"/>
    <w:rsid w:val="00A04253"/>
    <w:rsid w:val="00A0427E"/>
    <w:rsid w:val="00A042D5"/>
    <w:rsid w:val="00A04303"/>
    <w:rsid w:val="00A04319"/>
    <w:rsid w:val="00A04385"/>
    <w:rsid w:val="00A04563"/>
    <w:rsid w:val="00A04586"/>
    <w:rsid w:val="00A045F9"/>
    <w:rsid w:val="00A04617"/>
    <w:rsid w:val="00A0461A"/>
    <w:rsid w:val="00A046FF"/>
    <w:rsid w:val="00A047F8"/>
    <w:rsid w:val="00A04824"/>
    <w:rsid w:val="00A0482E"/>
    <w:rsid w:val="00A04892"/>
    <w:rsid w:val="00A04904"/>
    <w:rsid w:val="00A04967"/>
    <w:rsid w:val="00A04985"/>
    <w:rsid w:val="00A049AC"/>
    <w:rsid w:val="00A049B7"/>
    <w:rsid w:val="00A049C6"/>
    <w:rsid w:val="00A04A44"/>
    <w:rsid w:val="00A04AD9"/>
    <w:rsid w:val="00A04B33"/>
    <w:rsid w:val="00A04B8F"/>
    <w:rsid w:val="00A04BDC"/>
    <w:rsid w:val="00A04BE3"/>
    <w:rsid w:val="00A04BEA"/>
    <w:rsid w:val="00A04BFE"/>
    <w:rsid w:val="00A04CF9"/>
    <w:rsid w:val="00A04DA1"/>
    <w:rsid w:val="00A04DDC"/>
    <w:rsid w:val="00A04E29"/>
    <w:rsid w:val="00A04E87"/>
    <w:rsid w:val="00A04ECD"/>
    <w:rsid w:val="00A04F02"/>
    <w:rsid w:val="00A04F17"/>
    <w:rsid w:val="00A04F9A"/>
    <w:rsid w:val="00A04FC0"/>
    <w:rsid w:val="00A04FCB"/>
    <w:rsid w:val="00A04FF0"/>
    <w:rsid w:val="00A051F9"/>
    <w:rsid w:val="00A0525F"/>
    <w:rsid w:val="00A052B3"/>
    <w:rsid w:val="00A0546E"/>
    <w:rsid w:val="00A05563"/>
    <w:rsid w:val="00A0556B"/>
    <w:rsid w:val="00A056A2"/>
    <w:rsid w:val="00A056B8"/>
    <w:rsid w:val="00A0571C"/>
    <w:rsid w:val="00A05744"/>
    <w:rsid w:val="00A05746"/>
    <w:rsid w:val="00A05784"/>
    <w:rsid w:val="00A057D6"/>
    <w:rsid w:val="00A057D7"/>
    <w:rsid w:val="00A057FF"/>
    <w:rsid w:val="00A0584B"/>
    <w:rsid w:val="00A058B8"/>
    <w:rsid w:val="00A058C5"/>
    <w:rsid w:val="00A058D4"/>
    <w:rsid w:val="00A058F2"/>
    <w:rsid w:val="00A05A2C"/>
    <w:rsid w:val="00A05A37"/>
    <w:rsid w:val="00A05AB9"/>
    <w:rsid w:val="00A05ACC"/>
    <w:rsid w:val="00A05B5D"/>
    <w:rsid w:val="00A05B72"/>
    <w:rsid w:val="00A05C39"/>
    <w:rsid w:val="00A05C88"/>
    <w:rsid w:val="00A05CC2"/>
    <w:rsid w:val="00A05D4E"/>
    <w:rsid w:val="00A05DC0"/>
    <w:rsid w:val="00A05DEF"/>
    <w:rsid w:val="00A05E34"/>
    <w:rsid w:val="00A05F6E"/>
    <w:rsid w:val="00A0611A"/>
    <w:rsid w:val="00A06131"/>
    <w:rsid w:val="00A061BF"/>
    <w:rsid w:val="00A0620A"/>
    <w:rsid w:val="00A06277"/>
    <w:rsid w:val="00A06284"/>
    <w:rsid w:val="00A062E3"/>
    <w:rsid w:val="00A062FA"/>
    <w:rsid w:val="00A06316"/>
    <w:rsid w:val="00A06356"/>
    <w:rsid w:val="00A0636D"/>
    <w:rsid w:val="00A063C9"/>
    <w:rsid w:val="00A06454"/>
    <w:rsid w:val="00A06548"/>
    <w:rsid w:val="00A06625"/>
    <w:rsid w:val="00A06635"/>
    <w:rsid w:val="00A067B3"/>
    <w:rsid w:val="00A06819"/>
    <w:rsid w:val="00A0681A"/>
    <w:rsid w:val="00A06829"/>
    <w:rsid w:val="00A068CA"/>
    <w:rsid w:val="00A068D3"/>
    <w:rsid w:val="00A068E6"/>
    <w:rsid w:val="00A068EE"/>
    <w:rsid w:val="00A0691C"/>
    <w:rsid w:val="00A069A9"/>
    <w:rsid w:val="00A069BE"/>
    <w:rsid w:val="00A069CD"/>
    <w:rsid w:val="00A06B56"/>
    <w:rsid w:val="00A06B6E"/>
    <w:rsid w:val="00A06BDE"/>
    <w:rsid w:val="00A06C32"/>
    <w:rsid w:val="00A06C52"/>
    <w:rsid w:val="00A06D39"/>
    <w:rsid w:val="00A06D61"/>
    <w:rsid w:val="00A06E34"/>
    <w:rsid w:val="00A06E71"/>
    <w:rsid w:val="00A06EA4"/>
    <w:rsid w:val="00A06F0D"/>
    <w:rsid w:val="00A06F3B"/>
    <w:rsid w:val="00A06F50"/>
    <w:rsid w:val="00A06FA5"/>
    <w:rsid w:val="00A06FD1"/>
    <w:rsid w:val="00A06FD7"/>
    <w:rsid w:val="00A07003"/>
    <w:rsid w:val="00A07027"/>
    <w:rsid w:val="00A071E7"/>
    <w:rsid w:val="00A071F2"/>
    <w:rsid w:val="00A07260"/>
    <w:rsid w:val="00A07267"/>
    <w:rsid w:val="00A0732A"/>
    <w:rsid w:val="00A07357"/>
    <w:rsid w:val="00A073B8"/>
    <w:rsid w:val="00A0754D"/>
    <w:rsid w:val="00A07551"/>
    <w:rsid w:val="00A0755E"/>
    <w:rsid w:val="00A075BD"/>
    <w:rsid w:val="00A0765A"/>
    <w:rsid w:val="00A07786"/>
    <w:rsid w:val="00A0789E"/>
    <w:rsid w:val="00A078CD"/>
    <w:rsid w:val="00A0795F"/>
    <w:rsid w:val="00A079E1"/>
    <w:rsid w:val="00A079EB"/>
    <w:rsid w:val="00A079FE"/>
    <w:rsid w:val="00A07A7B"/>
    <w:rsid w:val="00A07B8F"/>
    <w:rsid w:val="00A07C1B"/>
    <w:rsid w:val="00A07C49"/>
    <w:rsid w:val="00A07C6F"/>
    <w:rsid w:val="00A07C73"/>
    <w:rsid w:val="00A07CD6"/>
    <w:rsid w:val="00A07D30"/>
    <w:rsid w:val="00A07D3C"/>
    <w:rsid w:val="00A07D45"/>
    <w:rsid w:val="00A07E7B"/>
    <w:rsid w:val="00A07F36"/>
    <w:rsid w:val="00A07FA2"/>
    <w:rsid w:val="00A07FE8"/>
    <w:rsid w:val="00A07FF7"/>
    <w:rsid w:val="00A1004C"/>
    <w:rsid w:val="00A101A6"/>
    <w:rsid w:val="00A101E0"/>
    <w:rsid w:val="00A10289"/>
    <w:rsid w:val="00A102BC"/>
    <w:rsid w:val="00A102D3"/>
    <w:rsid w:val="00A1032B"/>
    <w:rsid w:val="00A104EF"/>
    <w:rsid w:val="00A105EB"/>
    <w:rsid w:val="00A1065D"/>
    <w:rsid w:val="00A106CC"/>
    <w:rsid w:val="00A1091B"/>
    <w:rsid w:val="00A10A1F"/>
    <w:rsid w:val="00A10AAC"/>
    <w:rsid w:val="00A10BDF"/>
    <w:rsid w:val="00A10C80"/>
    <w:rsid w:val="00A10CDC"/>
    <w:rsid w:val="00A10D13"/>
    <w:rsid w:val="00A10EC8"/>
    <w:rsid w:val="00A11001"/>
    <w:rsid w:val="00A1102F"/>
    <w:rsid w:val="00A11033"/>
    <w:rsid w:val="00A11046"/>
    <w:rsid w:val="00A11160"/>
    <w:rsid w:val="00A11223"/>
    <w:rsid w:val="00A1125F"/>
    <w:rsid w:val="00A112D7"/>
    <w:rsid w:val="00A11318"/>
    <w:rsid w:val="00A113D8"/>
    <w:rsid w:val="00A113EA"/>
    <w:rsid w:val="00A114D6"/>
    <w:rsid w:val="00A114D7"/>
    <w:rsid w:val="00A11598"/>
    <w:rsid w:val="00A117ED"/>
    <w:rsid w:val="00A1190D"/>
    <w:rsid w:val="00A11925"/>
    <w:rsid w:val="00A11930"/>
    <w:rsid w:val="00A11A38"/>
    <w:rsid w:val="00A11A65"/>
    <w:rsid w:val="00A11B52"/>
    <w:rsid w:val="00A11B60"/>
    <w:rsid w:val="00A11B9B"/>
    <w:rsid w:val="00A11DA6"/>
    <w:rsid w:val="00A11E76"/>
    <w:rsid w:val="00A11EAF"/>
    <w:rsid w:val="00A11F15"/>
    <w:rsid w:val="00A11F88"/>
    <w:rsid w:val="00A1213C"/>
    <w:rsid w:val="00A12176"/>
    <w:rsid w:val="00A123B1"/>
    <w:rsid w:val="00A12414"/>
    <w:rsid w:val="00A12529"/>
    <w:rsid w:val="00A12694"/>
    <w:rsid w:val="00A126F6"/>
    <w:rsid w:val="00A1273A"/>
    <w:rsid w:val="00A12752"/>
    <w:rsid w:val="00A12797"/>
    <w:rsid w:val="00A12930"/>
    <w:rsid w:val="00A129DF"/>
    <w:rsid w:val="00A12AF5"/>
    <w:rsid w:val="00A12B31"/>
    <w:rsid w:val="00A12BB5"/>
    <w:rsid w:val="00A12BDF"/>
    <w:rsid w:val="00A12BE5"/>
    <w:rsid w:val="00A12BEC"/>
    <w:rsid w:val="00A12C38"/>
    <w:rsid w:val="00A12C7C"/>
    <w:rsid w:val="00A12CD4"/>
    <w:rsid w:val="00A12D15"/>
    <w:rsid w:val="00A12D67"/>
    <w:rsid w:val="00A12DFD"/>
    <w:rsid w:val="00A12E1C"/>
    <w:rsid w:val="00A12F21"/>
    <w:rsid w:val="00A12F2F"/>
    <w:rsid w:val="00A12F78"/>
    <w:rsid w:val="00A12FB6"/>
    <w:rsid w:val="00A12FD1"/>
    <w:rsid w:val="00A1311F"/>
    <w:rsid w:val="00A1319C"/>
    <w:rsid w:val="00A131DB"/>
    <w:rsid w:val="00A133A1"/>
    <w:rsid w:val="00A13411"/>
    <w:rsid w:val="00A1343A"/>
    <w:rsid w:val="00A13440"/>
    <w:rsid w:val="00A134B6"/>
    <w:rsid w:val="00A13501"/>
    <w:rsid w:val="00A13597"/>
    <w:rsid w:val="00A1363A"/>
    <w:rsid w:val="00A1365B"/>
    <w:rsid w:val="00A13743"/>
    <w:rsid w:val="00A1377C"/>
    <w:rsid w:val="00A1384C"/>
    <w:rsid w:val="00A1387E"/>
    <w:rsid w:val="00A13983"/>
    <w:rsid w:val="00A139F9"/>
    <w:rsid w:val="00A13A69"/>
    <w:rsid w:val="00A13B3C"/>
    <w:rsid w:val="00A13B98"/>
    <w:rsid w:val="00A13D39"/>
    <w:rsid w:val="00A13F1F"/>
    <w:rsid w:val="00A13F2C"/>
    <w:rsid w:val="00A13F6A"/>
    <w:rsid w:val="00A140C6"/>
    <w:rsid w:val="00A1413E"/>
    <w:rsid w:val="00A14206"/>
    <w:rsid w:val="00A144AE"/>
    <w:rsid w:val="00A144BA"/>
    <w:rsid w:val="00A144E5"/>
    <w:rsid w:val="00A14528"/>
    <w:rsid w:val="00A14537"/>
    <w:rsid w:val="00A146A2"/>
    <w:rsid w:val="00A146CE"/>
    <w:rsid w:val="00A14785"/>
    <w:rsid w:val="00A14807"/>
    <w:rsid w:val="00A148AF"/>
    <w:rsid w:val="00A149A2"/>
    <w:rsid w:val="00A149B2"/>
    <w:rsid w:val="00A14A1A"/>
    <w:rsid w:val="00A14AB2"/>
    <w:rsid w:val="00A14B74"/>
    <w:rsid w:val="00A14B80"/>
    <w:rsid w:val="00A14C13"/>
    <w:rsid w:val="00A14CDA"/>
    <w:rsid w:val="00A14D2F"/>
    <w:rsid w:val="00A14DC7"/>
    <w:rsid w:val="00A14E38"/>
    <w:rsid w:val="00A14F28"/>
    <w:rsid w:val="00A14F6B"/>
    <w:rsid w:val="00A14F8E"/>
    <w:rsid w:val="00A14FD7"/>
    <w:rsid w:val="00A1506D"/>
    <w:rsid w:val="00A15118"/>
    <w:rsid w:val="00A15156"/>
    <w:rsid w:val="00A1518B"/>
    <w:rsid w:val="00A1529F"/>
    <w:rsid w:val="00A152CD"/>
    <w:rsid w:val="00A152D5"/>
    <w:rsid w:val="00A15318"/>
    <w:rsid w:val="00A153A3"/>
    <w:rsid w:val="00A15475"/>
    <w:rsid w:val="00A154B8"/>
    <w:rsid w:val="00A15541"/>
    <w:rsid w:val="00A15588"/>
    <w:rsid w:val="00A155A1"/>
    <w:rsid w:val="00A155D8"/>
    <w:rsid w:val="00A155F4"/>
    <w:rsid w:val="00A1565E"/>
    <w:rsid w:val="00A15664"/>
    <w:rsid w:val="00A15671"/>
    <w:rsid w:val="00A15759"/>
    <w:rsid w:val="00A15867"/>
    <w:rsid w:val="00A15901"/>
    <w:rsid w:val="00A15924"/>
    <w:rsid w:val="00A1597E"/>
    <w:rsid w:val="00A159DC"/>
    <w:rsid w:val="00A15A83"/>
    <w:rsid w:val="00A15A8B"/>
    <w:rsid w:val="00A15AF0"/>
    <w:rsid w:val="00A15B16"/>
    <w:rsid w:val="00A15B1D"/>
    <w:rsid w:val="00A15BDA"/>
    <w:rsid w:val="00A15D72"/>
    <w:rsid w:val="00A15DAF"/>
    <w:rsid w:val="00A15EB0"/>
    <w:rsid w:val="00A15ED7"/>
    <w:rsid w:val="00A15FEA"/>
    <w:rsid w:val="00A15FFA"/>
    <w:rsid w:val="00A1609A"/>
    <w:rsid w:val="00A160EC"/>
    <w:rsid w:val="00A1614B"/>
    <w:rsid w:val="00A1619D"/>
    <w:rsid w:val="00A161AE"/>
    <w:rsid w:val="00A161B4"/>
    <w:rsid w:val="00A16255"/>
    <w:rsid w:val="00A162A6"/>
    <w:rsid w:val="00A16591"/>
    <w:rsid w:val="00A165E7"/>
    <w:rsid w:val="00A1660E"/>
    <w:rsid w:val="00A16612"/>
    <w:rsid w:val="00A1665A"/>
    <w:rsid w:val="00A16667"/>
    <w:rsid w:val="00A16684"/>
    <w:rsid w:val="00A1672F"/>
    <w:rsid w:val="00A16799"/>
    <w:rsid w:val="00A167C0"/>
    <w:rsid w:val="00A167EC"/>
    <w:rsid w:val="00A1682A"/>
    <w:rsid w:val="00A16888"/>
    <w:rsid w:val="00A1689A"/>
    <w:rsid w:val="00A168E0"/>
    <w:rsid w:val="00A16902"/>
    <w:rsid w:val="00A1696E"/>
    <w:rsid w:val="00A169AF"/>
    <w:rsid w:val="00A16A7E"/>
    <w:rsid w:val="00A16AA8"/>
    <w:rsid w:val="00A16B36"/>
    <w:rsid w:val="00A16BE1"/>
    <w:rsid w:val="00A16C25"/>
    <w:rsid w:val="00A16CCF"/>
    <w:rsid w:val="00A16D47"/>
    <w:rsid w:val="00A16D51"/>
    <w:rsid w:val="00A16D6A"/>
    <w:rsid w:val="00A16DFD"/>
    <w:rsid w:val="00A16E35"/>
    <w:rsid w:val="00A16F06"/>
    <w:rsid w:val="00A16F19"/>
    <w:rsid w:val="00A16F53"/>
    <w:rsid w:val="00A16FC3"/>
    <w:rsid w:val="00A16FDB"/>
    <w:rsid w:val="00A16FF8"/>
    <w:rsid w:val="00A1711F"/>
    <w:rsid w:val="00A17137"/>
    <w:rsid w:val="00A171A6"/>
    <w:rsid w:val="00A1721A"/>
    <w:rsid w:val="00A17220"/>
    <w:rsid w:val="00A173E0"/>
    <w:rsid w:val="00A174AB"/>
    <w:rsid w:val="00A1759E"/>
    <w:rsid w:val="00A175BB"/>
    <w:rsid w:val="00A1767B"/>
    <w:rsid w:val="00A177F5"/>
    <w:rsid w:val="00A1782B"/>
    <w:rsid w:val="00A178F9"/>
    <w:rsid w:val="00A17924"/>
    <w:rsid w:val="00A17A8E"/>
    <w:rsid w:val="00A17C45"/>
    <w:rsid w:val="00A17CBF"/>
    <w:rsid w:val="00A17DA1"/>
    <w:rsid w:val="00A17E65"/>
    <w:rsid w:val="00A17F27"/>
    <w:rsid w:val="00A17F65"/>
    <w:rsid w:val="00A2003C"/>
    <w:rsid w:val="00A2013E"/>
    <w:rsid w:val="00A201AD"/>
    <w:rsid w:val="00A2021E"/>
    <w:rsid w:val="00A20250"/>
    <w:rsid w:val="00A2036E"/>
    <w:rsid w:val="00A203BC"/>
    <w:rsid w:val="00A203F9"/>
    <w:rsid w:val="00A204E3"/>
    <w:rsid w:val="00A20714"/>
    <w:rsid w:val="00A20718"/>
    <w:rsid w:val="00A2073B"/>
    <w:rsid w:val="00A207B0"/>
    <w:rsid w:val="00A208D8"/>
    <w:rsid w:val="00A209AF"/>
    <w:rsid w:val="00A20A69"/>
    <w:rsid w:val="00A20A9F"/>
    <w:rsid w:val="00A20B07"/>
    <w:rsid w:val="00A20B29"/>
    <w:rsid w:val="00A20BAE"/>
    <w:rsid w:val="00A20BDA"/>
    <w:rsid w:val="00A20CA2"/>
    <w:rsid w:val="00A20CDA"/>
    <w:rsid w:val="00A20CDF"/>
    <w:rsid w:val="00A20D41"/>
    <w:rsid w:val="00A20E22"/>
    <w:rsid w:val="00A20E81"/>
    <w:rsid w:val="00A20E99"/>
    <w:rsid w:val="00A20F05"/>
    <w:rsid w:val="00A20F2A"/>
    <w:rsid w:val="00A210A3"/>
    <w:rsid w:val="00A21279"/>
    <w:rsid w:val="00A2127A"/>
    <w:rsid w:val="00A212DB"/>
    <w:rsid w:val="00A2132C"/>
    <w:rsid w:val="00A2138B"/>
    <w:rsid w:val="00A213A8"/>
    <w:rsid w:val="00A213C6"/>
    <w:rsid w:val="00A21469"/>
    <w:rsid w:val="00A21470"/>
    <w:rsid w:val="00A21477"/>
    <w:rsid w:val="00A21516"/>
    <w:rsid w:val="00A21557"/>
    <w:rsid w:val="00A215FE"/>
    <w:rsid w:val="00A216E7"/>
    <w:rsid w:val="00A216FD"/>
    <w:rsid w:val="00A2171E"/>
    <w:rsid w:val="00A219A6"/>
    <w:rsid w:val="00A21AC0"/>
    <w:rsid w:val="00A21B0D"/>
    <w:rsid w:val="00A21C48"/>
    <w:rsid w:val="00A21C6D"/>
    <w:rsid w:val="00A21D52"/>
    <w:rsid w:val="00A21D7E"/>
    <w:rsid w:val="00A21E45"/>
    <w:rsid w:val="00A21E57"/>
    <w:rsid w:val="00A21EAC"/>
    <w:rsid w:val="00A21EBE"/>
    <w:rsid w:val="00A21FA0"/>
    <w:rsid w:val="00A22044"/>
    <w:rsid w:val="00A22064"/>
    <w:rsid w:val="00A220DB"/>
    <w:rsid w:val="00A220F9"/>
    <w:rsid w:val="00A22131"/>
    <w:rsid w:val="00A222C1"/>
    <w:rsid w:val="00A22303"/>
    <w:rsid w:val="00A22378"/>
    <w:rsid w:val="00A22385"/>
    <w:rsid w:val="00A2240B"/>
    <w:rsid w:val="00A225C5"/>
    <w:rsid w:val="00A2274A"/>
    <w:rsid w:val="00A227D4"/>
    <w:rsid w:val="00A2286D"/>
    <w:rsid w:val="00A228A0"/>
    <w:rsid w:val="00A228BE"/>
    <w:rsid w:val="00A228BF"/>
    <w:rsid w:val="00A2292B"/>
    <w:rsid w:val="00A229D3"/>
    <w:rsid w:val="00A229F3"/>
    <w:rsid w:val="00A22A62"/>
    <w:rsid w:val="00A22AEB"/>
    <w:rsid w:val="00A22B21"/>
    <w:rsid w:val="00A22BEE"/>
    <w:rsid w:val="00A22C91"/>
    <w:rsid w:val="00A22D73"/>
    <w:rsid w:val="00A22E4A"/>
    <w:rsid w:val="00A22E57"/>
    <w:rsid w:val="00A22E75"/>
    <w:rsid w:val="00A22EAD"/>
    <w:rsid w:val="00A22ED4"/>
    <w:rsid w:val="00A22F3E"/>
    <w:rsid w:val="00A22F4A"/>
    <w:rsid w:val="00A22FC6"/>
    <w:rsid w:val="00A2307F"/>
    <w:rsid w:val="00A230A8"/>
    <w:rsid w:val="00A230BE"/>
    <w:rsid w:val="00A230CC"/>
    <w:rsid w:val="00A2314A"/>
    <w:rsid w:val="00A231D0"/>
    <w:rsid w:val="00A231E2"/>
    <w:rsid w:val="00A23357"/>
    <w:rsid w:val="00A23404"/>
    <w:rsid w:val="00A2352A"/>
    <w:rsid w:val="00A2364A"/>
    <w:rsid w:val="00A23654"/>
    <w:rsid w:val="00A2366E"/>
    <w:rsid w:val="00A236C6"/>
    <w:rsid w:val="00A236CA"/>
    <w:rsid w:val="00A236F7"/>
    <w:rsid w:val="00A2373D"/>
    <w:rsid w:val="00A23784"/>
    <w:rsid w:val="00A23822"/>
    <w:rsid w:val="00A23830"/>
    <w:rsid w:val="00A2394E"/>
    <w:rsid w:val="00A23B7B"/>
    <w:rsid w:val="00A23B9D"/>
    <w:rsid w:val="00A23BB7"/>
    <w:rsid w:val="00A23BCC"/>
    <w:rsid w:val="00A23BE7"/>
    <w:rsid w:val="00A23C1D"/>
    <w:rsid w:val="00A23E59"/>
    <w:rsid w:val="00A23E6C"/>
    <w:rsid w:val="00A23F16"/>
    <w:rsid w:val="00A23F5C"/>
    <w:rsid w:val="00A23F98"/>
    <w:rsid w:val="00A2411D"/>
    <w:rsid w:val="00A24163"/>
    <w:rsid w:val="00A24167"/>
    <w:rsid w:val="00A241E5"/>
    <w:rsid w:val="00A243CB"/>
    <w:rsid w:val="00A24482"/>
    <w:rsid w:val="00A244DB"/>
    <w:rsid w:val="00A24560"/>
    <w:rsid w:val="00A245BD"/>
    <w:rsid w:val="00A2461D"/>
    <w:rsid w:val="00A24637"/>
    <w:rsid w:val="00A2464F"/>
    <w:rsid w:val="00A246F1"/>
    <w:rsid w:val="00A2497A"/>
    <w:rsid w:val="00A249C7"/>
    <w:rsid w:val="00A24AF7"/>
    <w:rsid w:val="00A24C9E"/>
    <w:rsid w:val="00A24DE8"/>
    <w:rsid w:val="00A24E5F"/>
    <w:rsid w:val="00A24E8C"/>
    <w:rsid w:val="00A24EEA"/>
    <w:rsid w:val="00A24FA3"/>
    <w:rsid w:val="00A2500E"/>
    <w:rsid w:val="00A2505B"/>
    <w:rsid w:val="00A2507F"/>
    <w:rsid w:val="00A250F2"/>
    <w:rsid w:val="00A25142"/>
    <w:rsid w:val="00A25167"/>
    <w:rsid w:val="00A251AF"/>
    <w:rsid w:val="00A25233"/>
    <w:rsid w:val="00A25442"/>
    <w:rsid w:val="00A2547E"/>
    <w:rsid w:val="00A25486"/>
    <w:rsid w:val="00A254E8"/>
    <w:rsid w:val="00A2556B"/>
    <w:rsid w:val="00A255A2"/>
    <w:rsid w:val="00A2564E"/>
    <w:rsid w:val="00A256B8"/>
    <w:rsid w:val="00A256C3"/>
    <w:rsid w:val="00A2575B"/>
    <w:rsid w:val="00A25802"/>
    <w:rsid w:val="00A25821"/>
    <w:rsid w:val="00A25826"/>
    <w:rsid w:val="00A258D1"/>
    <w:rsid w:val="00A25933"/>
    <w:rsid w:val="00A259C6"/>
    <w:rsid w:val="00A25ABE"/>
    <w:rsid w:val="00A25B18"/>
    <w:rsid w:val="00A25B47"/>
    <w:rsid w:val="00A25BE8"/>
    <w:rsid w:val="00A25C18"/>
    <w:rsid w:val="00A25C63"/>
    <w:rsid w:val="00A25C92"/>
    <w:rsid w:val="00A25D0D"/>
    <w:rsid w:val="00A25EB4"/>
    <w:rsid w:val="00A25F0F"/>
    <w:rsid w:val="00A260FD"/>
    <w:rsid w:val="00A261D1"/>
    <w:rsid w:val="00A26272"/>
    <w:rsid w:val="00A26273"/>
    <w:rsid w:val="00A262D3"/>
    <w:rsid w:val="00A26353"/>
    <w:rsid w:val="00A26401"/>
    <w:rsid w:val="00A26449"/>
    <w:rsid w:val="00A264D6"/>
    <w:rsid w:val="00A2653E"/>
    <w:rsid w:val="00A2658D"/>
    <w:rsid w:val="00A265AE"/>
    <w:rsid w:val="00A265E2"/>
    <w:rsid w:val="00A2670B"/>
    <w:rsid w:val="00A26736"/>
    <w:rsid w:val="00A2682E"/>
    <w:rsid w:val="00A2683F"/>
    <w:rsid w:val="00A268D3"/>
    <w:rsid w:val="00A269A6"/>
    <w:rsid w:val="00A269C0"/>
    <w:rsid w:val="00A269E1"/>
    <w:rsid w:val="00A26AEA"/>
    <w:rsid w:val="00A26B8C"/>
    <w:rsid w:val="00A26D8F"/>
    <w:rsid w:val="00A26DFB"/>
    <w:rsid w:val="00A26EF8"/>
    <w:rsid w:val="00A26FE6"/>
    <w:rsid w:val="00A27001"/>
    <w:rsid w:val="00A270BE"/>
    <w:rsid w:val="00A270EB"/>
    <w:rsid w:val="00A2715E"/>
    <w:rsid w:val="00A2723D"/>
    <w:rsid w:val="00A27282"/>
    <w:rsid w:val="00A2732C"/>
    <w:rsid w:val="00A27422"/>
    <w:rsid w:val="00A27432"/>
    <w:rsid w:val="00A275A3"/>
    <w:rsid w:val="00A275DF"/>
    <w:rsid w:val="00A27626"/>
    <w:rsid w:val="00A2784D"/>
    <w:rsid w:val="00A278C1"/>
    <w:rsid w:val="00A27924"/>
    <w:rsid w:val="00A279BC"/>
    <w:rsid w:val="00A279C5"/>
    <w:rsid w:val="00A27A15"/>
    <w:rsid w:val="00A27A8A"/>
    <w:rsid w:val="00A27B22"/>
    <w:rsid w:val="00A27BA6"/>
    <w:rsid w:val="00A27C1F"/>
    <w:rsid w:val="00A27C3B"/>
    <w:rsid w:val="00A27DBA"/>
    <w:rsid w:val="00A27DEF"/>
    <w:rsid w:val="00A27E6E"/>
    <w:rsid w:val="00A27F25"/>
    <w:rsid w:val="00A27F35"/>
    <w:rsid w:val="00A27F9B"/>
    <w:rsid w:val="00A3005A"/>
    <w:rsid w:val="00A30080"/>
    <w:rsid w:val="00A300C3"/>
    <w:rsid w:val="00A300D4"/>
    <w:rsid w:val="00A300D7"/>
    <w:rsid w:val="00A300E5"/>
    <w:rsid w:val="00A30145"/>
    <w:rsid w:val="00A30288"/>
    <w:rsid w:val="00A302A3"/>
    <w:rsid w:val="00A30344"/>
    <w:rsid w:val="00A30439"/>
    <w:rsid w:val="00A30567"/>
    <w:rsid w:val="00A305A4"/>
    <w:rsid w:val="00A305B9"/>
    <w:rsid w:val="00A305DE"/>
    <w:rsid w:val="00A30623"/>
    <w:rsid w:val="00A30729"/>
    <w:rsid w:val="00A3078C"/>
    <w:rsid w:val="00A30826"/>
    <w:rsid w:val="00A30874"/>
    <w:rsid w:val="00A3089D"/>
    <w:rsid w:val="00A30A34"/>
    <w:rsid w:val="00A30A92"/>
    <w:rsid w:val="00A30B03"/>
    <w:rsid w:val="00A30BD0"/>
    <w:rsid w:val="00A30D0C"/>
    <w:rsid w:val="00A30E12"/>
    <w:rsid w:val="00A30ED1"/>
    <w:rsid w:val="00A30F1D"/>
    <w:rsid w:val="00A30F35"/>
    <w:rsid w:val="00A310B3"/>
    <w:rsid w:val="00A3114D"/>
    <w:rsid w:val="00A3119F"/>
    <w:rsid w:val="00A31215"/>
    <w:rsid w:val="00A31267"/>
    <w:rsid w:val="00A313E5"/>
    <w:rsid w:val="00A313E7"/>
    <w:rsid w:val="00A314BE"/>
    <w:rsid w:val="00A314F7"/>
    <w:rsid w:val="00A31509"/>
    <w:rsid w:val="00A31560"/>
    <w:rsid w:val="00A315BC"/>
    <w:rsid w:val="00A315F5"/>
    <w:rsid w:val="00A315F9"/>
    <w:rsid w:val="00A31790"/>
    <w:rsid w:val="00A31856"/>
    <w:rsid w:val="00A31A03"/>
    <w:rsid w:val="00A31A33"/>
    <w:rsid w:val="00A31B98"/>
    <w:rsid w:val="00A31BCC"/>
    <w:rsid w:val="00A31C7A"/>
    <w:rsid w:val="00A31CFE"/>
    <w:rsid w:val="00A31D18"/>
    <w:rsid w:val="00A31D2E"/>
    <w:rsid w:val="00A31D4D"/>
    <w:rsid w:val="00A31E76"/>
    <w:rsid w:val="00A31E8D"/>
    <w:rsid w:val="00A31EC9"/>
    <w:rsid w:val="00A31EE0"/>
    <w:rsid w:val="00A32067"/>
    <w:rsid w:val="00A321D9"/>
    <w:rsid w:val="00A322A1"/>
    <w:rsid w:val="00A322A7"/>
    <w:rsid w:val="00A32351"/>
    <w:rsid w:val="00A32391"/>
    <w:rsid w:val="00A32438"/>
    <w:rsid w:val="00A32446"/>
    <w:rsid w:val="00A32471"/>
    <w:rsid w:val="00A32550"/>
    <w:rsid w:val="00A3259E"/>
    <w:rsid w:val="00A325EB"/>
    <w:rsid w:val="00A32622"/>
    <w:rsid w:val="00A3271B"/>
    <w:rsid w:val="00A3283A"/>
    <w:rsid w:val="00A32860"/>
    <w:rsid w:val="00A3291B"/>
    <w:rsid w:val="00A3294E"/>
    <w:rsid w:val="00A32995"/>
    <w:rsid w:val="00A3299F"/>
    <w:rsid w:val="00A329C3"/>
    <w:rsid w:val="00A32C4C"/>
    <w:rsid w:val="00A32CD6"/>
    <w:rsid w:val="00A32CEF"/>
    <w:rsid w:val="00A32D3B"/>
    <w:rsid w:val="00A32D43"/>
    <w:rsid w:val="00A32D53"/>
    <w:rsid w:val="00A32E2C"/>
    <w:rsid w:val="00A32E42"/>
    <w:rsid w:val="00A32EBA"/>
    <w:rsid w:val="00A32FED"/>
    <w:rsid w:val="00A32FFA"/>
    <w:rsid w:val="00A33004"/>
    <w:rsid w:val="00A3308F"/>
    <w:rsid w:val="00A33093"/>
    <w:rsid w:val="00A330A8"/>
    <w:rsid w:val="00A33105"/>
    <w:rsid w:val="00A3312C"/>
    <w:rsid w:val="00A33141"/>
    <w:rsid w:val="00A3317F"/>
    <w:rsid w:val="00A33283"/>
    <w:rsid w:val="00A33344"/>
    <w:rsid w:val="00A33446"/>
    <w:rsid w:val="00A334F5"/>
    <w:rsid w:val="00A335BA"/>
    <w:rsid w:val="00A335D3"/>
    <w:rsid w:val="00A335F2"/>
    <w:rsid w:val="00A33621"/>
    <w:rsid w:val="00A337C6"/>
    <w:rsid w:val="00A33817"/>
    <w:rsid w:val="00A339CC"/>
    <w:rsid w:val="00A339F3"/>
    <w:rsid w:val="00A33A40"/>
    <w:rsid w:val="00A33AD7"/>
    <w:rsid w:val="00A33C28"/>
    <w:rsid w:val="00A33D32"/>
    <w:rsid w:val="00A33D4D"/>
    <w:rsid w:val="00A33DE4"/>
    <w:rsid w:val="00A33E2A"/>
    <w:rsid w:val="00A33E7B"/>
    <w:rsid w:val="00A33FFD"/>
    <w:rsid w:val="00A340B3"/>
    <w:rsid w:val="00A340E0"/>
    <w:rsid w:val="00A340FC"/>
    <w:rsid w:val="00A34186"/>
    <w:rsid w:val="00A3418D"/>
    <w:rsid w:val="00A341ED"/>
    <w:rsid w:val="00A341FC"/>
    <w:rsid w:val="00A34221"/>
    <w:rsid w:val="00A34227"/>
    <w:rsid w:val="00A342A0"/>
    <w:rsid w:val="00A343E8"/>
    <w:rsid w:val="00A34439"/>
    <w:rsid w:val="00A34447"/>
    <w:rsid w:val="00A344A6"/>
    <w:rsid w:val="00A344DC"/>
    <w:rsid w:val="00A34520"/>
    <w:rsid w:val="00A34575"/>
    <w:rsid w:val="00A345D4"/>
    <w:rsid w:val="00A345ED"/>
    <w:rsid w:val="00A34632"/>
    <w:rsid w:val="00A346BB"/>
    <w:rsid w:val="00A346F3"/>
    <w:rsid w:val="00A347E7"/>
    <w:rsid w:val="00A3480A"/>
    <w:rsid w:val="00A348E6"/>
    <w:rsid w:val="00A348E8"/>
    <w:rsid w:val="00A34926"/>
    <w:rsid w:val="00A34A34"/>
    <w:rsid w:val="00A34AC6"/>
    <w:rsid w:val="00A34B49"/>
    <w:rsid w:val="00A34B68"/>
    <w:rsid w:val="00A34B74"/>
    <w:rsid w:val="00A34C79"/>
    <w:rsid w:val="00A34CCA"/>
    <w:rsid w:val="00A34D7B"/>
    <w:rsid w:val="00A34DB7"/>
    <w:rsid w:val="00A34EBF"/>
    <w:rsid w:val="00A34F02"/>
    <w:rsid w:val="00A35008"/>
    <w:rsid w:val="00A35084"/>
    <w:rsid w:val="00A350A9"/>
    <w:rsid w:val="00A35112"/>
    <w:rsid w:val="00A35197"/>
    <w:rsid w:val="00A351A8"/>
    <w:rsid w:val="00A3532D"/>
    <w:rsid w:val="00A353B6"/>
    <w:rsid w:val="00A353FA"/>
    <w:rsid w:val="00A35558"/>
    <w:rsid w:val="00A3555E"/>
    <w:rsid w:val="00A35591"/>
    <w:rsid w:val="00A35620"/>
    <w:rsid w:val="00A35670"/>
    <w:rsid w:val="00A35671"/>
    <w:rsid w:val="00A35677"/>
    <w:rsid w:val="00A35679"/>
    <w:rsid w:val="00A357C1"/>
    <w:rsid w:val="00A357C5"/>
    <w:rsid w:val="00A35802"/>
    <w:rsid w:val="00A3583A"/>
    <w:rsid w:val="00A358F7"/>
    <w:rsid w:val="00A3592E"/>
    <w:rsid w:val="00A35B9F"/>
    <w:rsid w:val="00A35BB8"/>
    <w:rsid w:val="00A35C79"/>
    <w:rsid w:val="00A35D48"/>
    <w:rsid w:val="00A35D5C"/>
    <w:rsid w:val="00A35D87"/>
    <w:rsid w:val="00A35EE6"/>
    <w:rsid w:val="00A3603D"/>
    <w:rsid w:val="00A360DA"/>
    <w:rsid w:val="00A360F4"/>
    <w:rsid w:val="00A36121"/>
    <w:rsid w:val="00A3619C"/>
    <w:rsid w:val="00A3620D"/>
    <w:rsid w:val="00A36217"/>
    <w:rsid w:val="00A36247"/>
    <w:rsid w:val="00A362D1"/>
    <w:rsid w:val="00A362D9"/>
    <w:rsid w:val="00A362E8"/>
    <w:rsid w:val="00A3639A"/>
    <w:rsid w:val="00A363B1"/>
    <w:rsid w:val="00A364AB"/>
    <w:rsid w:val="00A364E9"/>
    <w:rsid w:val="00A365A5"/>
    <w:rsid w:val="00A3660D"/>
    <w:rsid w:val="00A36613"/>
    <w:rsid w:val="00A36622"/>
    <w:rsid w:val="00A36650"/>
    <w:rsid w:val="00A3677E"/>
    <w:rsid w:val="00A36810"/>
    <w:rsid w:val="00A368BF"/>
    <w:rsid w:val="00A36A2D"/>
    <w:rsid w:val="00A36B75"/>
    <w:rsid w:val="00A36BA1"/>
    <w:rsid w:val="00A36D01"/>
    <w:rsid w:val="00A36DB4"/>
    <w:rsid w:val="00A36E0C"/>
    <w:rsid w:val="00A36F14"/>
    <w:rsid w:val="00A36F22"/>
    <w:rsid w:val="00A36FEE"/>
    <w:rsid w:val="00A37043"/>
    <w:rsid w:val="00A370E2"/>
    <w:rsid w:val="00A370F5"/>
    <w:rsid w:val="00A37245"/>
    <w:rsid w:val="00A37265"/>
    <w:rsid w:val="00A372C4"/>
    <w:rsid w:val="00A37385"/>
    <w:rsid w:val="00A374A8"/>
    <w:rsid w:val="00A37506"/>
    <w:rsid w:val="00A3758F"/>
    <w:rsid w:val="00A375A0"/>
    <w:rsid w:val="00A37654"/>
    <w:rsid w:val="00A3768C"/>
    <w:rsid w:val="00A376C7"/>
    <w:rsid w:val="00A376E7"/>
    <w:rsid w:val="00A37774"/>
    <w:rsid w:val="00A37871"/>
    <w:rsid w:val="00A37893"/>
    <w:rsid w:val="00A3794B"/>
    <w:rsid w:val="00A379EE"/>
    <w:rsid w:val="00A37A50"/>
    <w:rsid w:val="00A37A52"/>
    <w:rsid w:val="00A37B49"/>
    <w:rsid w:val="00A37BAE"/>
    <w:rsid w:val="00A37CAA"/>
    <w:rsid w:val="00A37CBE"/>
    <w:rsid w:val="00A37D3E"/>
    <w:rsid w:val="00A37DDF"/>
    <w:rsid w:val="00A37DF3"/>
    <w:rsid w:val="00A37E69"/>
    <w:rsid w:val="00A37E6E"/>
    <w:rsid w:val="00A37EDF"/>
    <w:rsid w:val="00A37F14"/>
    <w:rsid w:val="00A37F77"/>
    <w:rsid w:val="00A37FD3"/>
    <w:rsid w:val="00A40011"/>
    <w:rsid w:val="00A4008D"/>
    <w:rsid w:val="00A40106"/>
    <w:rsid w:val="00A40114"/>
    <w:rsid w:val="00A40244"/>
    <w:rsid w:val="00A40286"/>
    <w:rsid w:val="00A402FA"/>
    <w:rsid w:val="00A40354"/>
    <w:rsid w:val="00A4044D"/>
    <w:rsid w:val="00A406C9"/>
    <w:rsid w:val="00A4076B"/>
    <w:rsid w:val="00A407B2"/>
    <w:rsid w:val="00A4080D"/>
    <w:rsid w:val="00A409AF"/>
    <w:rsid w:val="00A409FE"/>
    <w:rsid w:val="00A40A15"/>
    <w:rsid w:val="00A40A50"/>
    <w:rsid w:val="00A40A52"/>
    <w:rsid w:val="00A40AAA"/>
    <w:rsid w:val="00A40B5F"/>
    <w:rsid w:val="00A40C09"/>
    <w:rsid w:val="00A40D46"/>
    <w:rsid w:val="00A40D60"/>
    <w:rsid w:val="00A40E0C"/>
    <w:rsid w:val="00A40E16"/>
    <w:rsid w:val="00A40E99"/>
    <w:rsid w:val="00A40F3A"/>
    <w:rsid w:val="00A40F95"/>
    <w:rsid w:val="00A40F98"/>
    <w:rsid w:val="00A41009"/>
    <w:rsid w:val="00A4107C"/>
    <w:rsid w:val="00A41131"/>
    <w:rsid w:val="00A411BB"/>
    <w:rsid w:val="00A412DE"/>
    <w:rsid w:val="00A412F0"/>
    <w:rsid w:val="00A4141F"/>
    <w:rsid w:val="00A414BB"/>
    <w:rsid w:val="00A414F9"/>
    <w:rsid w:val="00A41565"/>
    <w:rsid w:val="00A41690"/>
    <w:rsid w:val="00A41773"/>
    <w:rsid w:val="00A41869"/>
    <w:rsid w:val="00A4188C"/>
    <w:rsid w:val="00A41995"/>
    <w:rsid w:val="00A419C0"/>
    <w:rsid w:val="00A41B0D"/>
    <w:rsid w:val="00A41B51"/>
    <w:rsid w:val="00A41D5B"/>
    <w:rsid w:val="00A41D81"/>
    <w:rsid w:val="00A41E95"/>
    <w:rsid w:val="00A41EAD"/>
    <w:rsid w:val="00A41ED3"/>
    <w:rsid w:val="00A41EFD"/>
    <w:rsid w:val="00A41F5E"/>
    <w:rsid w:val="00A41FF9"/>
    <w:rsid w:val="00A4209F"/>
    <w:rsid w:val="00A420FA"/>
    <w:rsid w:val="00A4215B"/>
    <w:rsid w:val="00A421AE"/>
    <w:rsid w:val="00A421E6"/>
    <w:rsid w:val="00A4233A"/>
    <w:rsid w:val="00A42402"/>
    <w:rsid w:val="00A42452"/>
    <w:rsid w:val="00A42596"/>
    <w:rsid w:val="00A425F8"/>
    <w:rsid w:val="00A42605"/>
    <w:rsid w:val="00A426BE"/>
    <w:rsid w:val="00A426E2"/>
    <w:rsid w:val="00A42769"/>
    <w:rsid w:val="00A4279B"/>
    <w:rsid w:val="00A428D2"/>
    <w:rsid w:val="00A42A60"/>
    <w:rsid w:val="00A42AAC"/>
    <w:rsid w:val="00A42AFF"/>
    <w:rsid w:val="00A42B07"/>
    <w:rsid w:val="00A42BED"/>
    <w:rsid w:val="00A42C55"/>
    <w:rsid w:val="00A42D77"/>
    <w:rsid w:val="00A42DD8"/>
    <w:rsid w:val="00A42DFA"/>
    <w:rsid w:val="00A42F99"/>
    <w:rsid w:val="00A43029"/>
    <w:rsid w:val="00A43032"/>
    <w:rsid w:val="00A43089"/>
    <w:rsid w:val="00A4343B"/>
    <w:rsid w:val="00A434F2"/>
    <w:rsid w:val="00A43517"/>
    <w:rsid w:val="00A4355E"/>
    <w:rsid w:val="00A43657"/>
    <w:rsid w:val="00A43715"/>
    <w:rsid w:val="00A43731"/>
    <w:rsid w:val="00A437F2"/>
    <w:rsid w:val="00A4380E"/>
    <w:rsid w:val="00A438B9"/>
    <w:rsid w:val="00A438E8"/>
    <w:rsid w:val="00A438F5"/>
    <w:rsid w:val="00A4399C"/>
    <w:rsid w:val="00A439A0"/>
    <w:rsid w:val="00A439CB"/>
    <w:rsid w:val="00A43A90"/>
    <w:rsid w:val="00A43B68"/>
    <w:rsid w:val="00A43CAB"/>
    <w:rsid w:val="00A43CBF"/>
    <w:rsid w:val="00A43CC9"/>
    <w:rsid w:val="00A43D87"/>
    <w:rsid w:val="00A43DF7"/>
    <w:rsid w:val="00A43E67"/>
    <w:rsid w:val="00A43EC1"/>
    <w:rsid w:val="00A43EFE"/>
    <w:rsid w:val="00A4409A"/>
    <w:rsid w:val="00A440B7"/>
    <w:rsid w:val="00A4411E"/>
    <w:rsid w:val="00A44174"/>
    <w:rsid w:val="00A4417A"/>
    <w:rsid w:val="00A441F3"/>
    <w:rsid w:val="00A4423F"/>
    <w:rsid w:val="00A44253"/>
    <w:rsid w:val="00A443F4"/>
    <w:rsid w:val="00A44406"/>
    <w:rsid w:val="00A4446E"/>
    <w:rsid w:val="00A444CA"/>
    <w:rsid w:val="00A444E8"/>
    <w:rsid w:val="00A44533"/>
    <w:rsid w:val="00A44552"/>
    <w:rsid w:val="00A44576"/>
    <w:rsid w:val="00A445AB"/>
    <w:rsid w:val="00A446D6"/>
    <w:rsid w:val="00A446F1"/>
    <w:rsid w:val="00A447D1"/>
    <w:rsid w:val="00A447F6"/>
    <w:rsid w:val="00A44853"/>
    <w:rsid w:val="00A44858"/>
    <w:rsid w:val="00A448C4"/>
    <w:rsid w:val="00A449AF"/>
    <w:rsid w:val="00A449D1"/>
    <w:rsid w:val="00A44A22"/>
    <w:rsid w:val="00A44B62"/>
    <w:rsid w:val="00A44BC0"/>
    <w:rsid w:val="00A44D1B"/>
    <w:rsid w:val="00A44D3C"/>
    <w:rsid w:val="00A44E3F"/>
    <w:rsid w:val="00A44EC0"/>
    <w:rsid w:val="00A44FC1"/>
    <w:rsid w:val="00A451F3"/>
    <w:rsid w:val="00A452D6"/>
    <w:rsid w:val="00A452ED"/>
    <w:rsid w:val="00A45395"/>
    <w:rsid w:val="00A4539E"/>
    <w:rsid w:val="00A45491"/>
    <w:rsid w:val="00A4552D"/>
    <w:rsid w:val="00A45535"/>
    <w:rsid w:val="00A45586"/>
    <w:rsid w:val="00A455BC"/>
    <w:rsid w:val="00A456F2"/>
    <w:rsid w:val="00A4578A"/>
    <w:rsid w:val="00A4579C"/>
    <w:rsid w:val="00A457F1"/>
    <w:rsid w:val="00A459C2"/>
    <w:rsid w:val="00A45A47"/>
    <w:rsid w:val="00A45A71"/>
    <w:rsid w:val="00A45A95"/>
    <w:rsid w:val="00A45AB1"/>
    <w:rsid w:val="00A45ADD"/>
    <w:rsid w:val="00A45BF3"/>
    <w:rsid w:val="00A45C22"/>
    <w:rsid w:val="00A45CFC"/>
    <w:rsid w:val="00A45D04"/>
    <w:rsid w:val="00A45E45"/>
    <w:rsid w:val="00A45E87"/>
    <w:rsid w:val="00A45EA2"/>
    <w:rsid w:val="00A45ED7"/>
    <w:rsid w:val="00A45EEA"/>
    <w:rsid w:val="00A45F1B"/>
    <w:rsid w:val="00A4601F"/>
    <w:rsid w:val="00A4609C"/>
    <w:rsid w:val="00A460A3"/>
    <w:rsid w:val="00A460AA"/>
    <w:rsid w:val="00A46153"/>
    <w:rsid w:val="00A462AA"/>
    <w:rsid w:val="00A462AD"/>
    <w:rsid w:val="00A4633B"/>
    <w:rsid w:val="00A4637C"/>
    <w:rsid w:val="00A464F8"/>
    <w:rsid w:val="00A465F9"/>
    <w:rsid w:val="00A46671"/>
    <w:rsid w:val="00A4680D"/>
    <w:rsid w:val="00A4687D"/>
    <w:rsid w:val="00A468A0"/>
    <w:rsid w:val="00A469D4"/>
    <w:rsid w:val="00A469F2"/>
    <w:rsid w:val="00A469F3"/>
    <w:rsid w:val="00A46A23"/>
    <w:rsid w:val="00A46A30"/>
    <w:rsid w:val="00A46A38"/>
    <w:rsid w:val="00A46B53"/>
    <w:rsid w:val="00A46B6B"/>
    <w:rsid w:val="00A46B90"/>
    <w:rsid w:val="00A46BAB"/>
    <w:rsid w:val="00A46BB0"/>
    <w:rsid w:val="00A46BDD"/>
    <w:rsid w:val="00A46BDE"/>
    <w:rsid w:val="00A46C42"/>
    <w:rsid w:val="00A46C43"/>
    <w:rsid w:val="00A46C4C"/>
    <w:rsid w:val="00A46C91"/>
    <w:rsid w:val="00A46DA4"/>
    <w:rsid w:val="00A46E31"/>
    <w:rsid w:val="00A46EF4"/>
    <w:rsid w:val="00A46F27"/>
    <w:rsid w:val="00A46F64"/>
    <w:rsid w:val="00A4702B"/>
    <w:rsid w:val="00A47143"/>
    <w:rsid w:val="00A471A7"/>
    <w:rsid w:val="00A47209"/>
    <w:rsid w:val="00A47214"/>
    <w:rsid w:val="00A47246"/>
    <w:rsid w:val="00A47284"/>
    <w:rsid w:val="00A4734C"/>
    <w:rsid w:val="00A473A1"/>
    <w:rsid w:val="00A47420"/>
    <w:rsid w:val="00A47432"/>
    <w:rsid w:val="00A4763E"/>
    <w:rsid w:val="00A47693"/>
    <w:rsid w:val="00A477BD"/>
    <w:rsid w:val="00A477CA"/>
    <w:rsid w:val="00A47863"/>
    <w:rsid w:val="00A47870"/>
    <w:rsid w:val="00A47AF4"/>
    <w:rsid w:val="00A47BB2"/>
    <w:rsid w:val="00A47BE8"/>
    <w:rsid w:val="00A47C4F"/>
    <w:rsid w:val="00A47CD7"/>
    <w:rsid w:val="00A47D38"/>
    <w:rsid w:val="00A47DCA"/>
    <w:rsid w:val="00A47E5F"/>
    <w:rsid w:val="00A47FBC"/>
    <w:rsid w:val="00A47FD9"/>
    <w:rsid w:val="00A50033"/>
    <w:rsid w:val="00A50056"/>
    <w:rsid w:val="00A501F3"/>
    <w:rsid w:val="00A5022B"/>
    <w:rsid w:val="00A5026B"/>
    <w:rsid w:val="00A5026F"/>
    <w:rsid w:val="00A50270"/>
    <w:rsid w:val="00A502CD"/>
    <w:rsid w:val="00A5036D"/>
    <w:rsid w:val="00A505BA"/>
    <w:rsid w:val="00A5065F"/>
    <w:rsid w:val="00A5069B"/>
    <w:rsid w:val="00A506D2"/>
    <w:rsid w:val="00A50780"/>
    <w:rsid w:val="00A507CE"/>
    <w:rsid w:val="00A50836"/>
    <w:rsid w:val="00A50888"/>
    <w:rsid w:val="00A50963"/>
    <w:rsid w:val="00A50A03"/>
    <w:rsid w:val="00A50AB3"/>
    <w:rsid w:val="00A50B19"/>
    <w:rsid w:val="00A50B66"/>
    <w:rsid w:val="00A50B86"/>
    <w:rsid w:val="00A50C07"/>
    <w:rsid w:val="00A50C21"/>
    <w:rsid w:val="00A50C7C"/>
    <w:rsid w:val="00A50CC4"/>
    <w:rsid w:val="00A50DCE"/>
    <w:rsid w:val="00A50E21"/>
    <w:rsid w:val="00A50E2C"/>
    <w:rsid w:val="00A50EB6"/>
    <w:rsid w:val="00A50ED1"/>
    <w:rsid w:val="00A50F98"/>
    <w:rsid w:val="00A50FA6"/>
    <w:rsid w:val="00A50FC9"/>
    <w:rsid w:val="00A510ED"/>
    <w:rsid w:val="00A511BF"/>
    <w:rsid w:val="00A5121B"/>
    <w:rsid w:val="00A51354"/>
    <w:rsid w:val="00A51405"/>
    <w:rsid w:val="00A51653"/>
    <w:rsid w:val="00A516A5"/>
    <w:rsid w:val="00A51758"/>
    <w:rsid w:val="00A517C2"/>
    <w:rsid w:val="00A5180D"/>
    <w:rsid w:val="00A518F2"/>
    <w:rsid w:val="00A519C7"/>
    <w:rsid w:val="00A519DC"/>
    <w:rsid w:val="00A51A8D"/>
    <w:rsid w:val="00A51ABE"/>
    <w:rsid w:val="00A51B84"/>
    <w:rsid w:val="00A51BFF"/>
    <w:rsid w:val="00A51C3D"/>
    <w:rsid w:val="00A51CFF"/>
    <w:rsid w:val="00A51D46"/>
    <w:rsid w:val="00A51DC6"/>
    <w:rsid w:val="00A51E1E"/>
    <w:rsid w:val="00A51E9C"/>
    <w:rsid w:val="00A51F69"/>
    <w:rsid w:val="00A51F92"/>
    <w:rsid w:val="00A51FC8"/>
    <w:rsid w:val="00A5210F"/>
    <w:rsid w:val="00A5212E"/>
    <w:rsid w:val="00A52236"/>
    <w:rsid w:val="00A5234F"/>
    <w:rsid w:val="00A5235D"/>
    <w:rsid w:val="00A523B3"/>
    <w:rsid w:val="00A523BC"/>
    <w:rsid w:val="00A5252C"/>
    <w:rsid w:val="00A525F9"/>
    <w:rsid w:val="00A526BA"/>
    <w:rsid w:val="00A526F7"/>
    <w:rsid w:val="00A5274B"/>
    <w:rsid w:val="00A52768"/>
    <w:rsid w:val="00A5277D"/>
    <w:rsid w:val="00A52808"/>
    <w:rsid w:val="00A529E4"/>
    <w:rsid w:val="00A52A05"/>
    <w:rsid w:val="00A52B13"/>
    <w:rsid w:val="00A52B20"/>
    <w:rsid w:val="00A52B2E"/>
    <w:rsid w:val="00A52B42"/>
    <w:rsid w:val="00A52BC3"/>
    <w:rsid w:val="00A52BE6"/>
    <w:rsid w:val="00A52C7C"/>
    <w:rsid w:val="00A52C9E"/>
    <w:rsid w:val="00A52CBD"/>
    <w:rsid w:val="00A52CBF"/>
    <w:rsid w:val="00A52CDA"/>
    <w:rsid w:val="00A52CF1"/>
    <w:rsid w:val="00A52D86"/>
    <w:rsid w:val="00A52DAE"/>
    <w:rsid w:val="00A52DDA"/>
    <w:rsid w:val="00A52E4E"/>
    <w:rsid w:val="00A52E63"/>
    <w:rsid w:val="00A52E67"/>
    <w:rsid w:val="00A52ED1"/>
    <w:rsid w:val="00A52F6F"/>
    <w:rsid w:val="00A52FE3"/>
    <w:rsid w:val="00A5304B"/>
    <w:rsid w:val="00A53053"/>
    <w:rsid w:val="00A530EE"/>
    <w:rsid w:val="00A530F3"/>
    <w:rsid w:val="00A53162"/>
    <w:rsid w:val="00A531A8"/>
    <w:rsid w:val="00A53245"/>
    <w:rsid w:val="00A532DE"/>
    <w:rsid w:val="00A53411"/>
    <w:rsid w:val="00A5356E"/>
    <w:rsid w:val="00A535B1"/>
    <w:rsid w:val="00A536F0"/>
    <w:rsid w:val="00A53704"/>
    <w:rsid w:val="00A53809"/>
    <w:rsid w:val="00A53838"/>
    <w:rsid w:val="00A53841"/>
    <w:rsid w:val="00A5389D"/>
    <w:rsid w:val="00A538D4"/>
    <w:rsid w:val="00A538DA"/>
    <w:rsid w:val="00A53953"/>
    <w:rsid w:val="00A539A7"/>
    <w:rsid w:val="00A53A3C"/>
    <w:rsid w:val="00A53A68"/>
    <w:rsid w:val="00A53A88"/>
    <w:rsid w:val="00A53A8C"/>
    <w:rsid w:val="00A53B6E"/>
    <w:rsid w:val="00A53B80"/>
    <w:rsid w:val="00A53B89"/>
    <w:rsid w:val="00A53BF9"/>
    <w:rsid w:val="00A53CA4"/>
    <w:rsid w:val="00A53DD4"/>
    <w:rsid w:val="00A53DDB"/>
    <w:rsid w:val="00A53E29"/>
    <w:rsid w:val="00A53EDD"/>
    <w:rsid w:val="00A53F0F"/>
    <w:rsid w:val="00A53F58"/>
    <w:rsid w:val="00A53F9D"/>
    <w:rsid w:val="00A53FB5"/>
    <w:rsid w:val="00A540BB"/>
    <w:rsid w:val="00A54108"/>
    <w:rsid w:val="00A54109"/>
    <w:rsid w:val="00A54173"/>
    <w:rsid w:val="00A54174"/>
    <w:rsid w:val="00A542A6"/>
    <w:rsid w:val="00A542A8"/>
    <w:rsid w:val="00A54302"/>
    <w:rsid w:val="00A54333"/>
    <w:rsid w:val="00A54348"/>
    <w:rsid w:val="00A54358"/>
    <w:rsid w:val="00A5438A"/>
    <w:rsid w:val="00A543DB"/>
    <w:rsid w:val="00A5443E"/>
    <w:rsid w:val="00A545CE"/>
    <w:rsid w:val="00A5462F"/>
    <w:rsid w:val="00A5464E"/>
    <w:rsid w:val="00A547D4"/>
    <w:rsid w:val="00A54844"/>
    <w:rsid w:val="00A54851"/>
    <w:rsid w:val="00A548A7"/>
    <w:rsid w:val="00A548BF"/>
    <w:rsid w:val="00A54930"/>
    <w:rsid w:val="00A5496D"/>
    <w:rsid w:val="00A549A6"/>
    <w:rsid w:val="00A54A51"/>
    <w:rsid w:val="00A54BD9"/>
    <w:rsid w:val="00A54BFB"/>
    <w:rsid w:val="00A54DDD"/>
    <w:rsid w:val="00A54E64"/>
    <w:rsid w:val="00A54EB2"/>
    <w:rsid w:val="00A54F16"/>
    <w:rsid w:val="00A54F65"/>
    <w:rsid w:val="00A54F70"/>
    <w:rsid w:val="00A54F8B"/>
    <w:rsid w:val="00A54FAA"/>
    <w:rsid w:val="00A54FF2"/>
    <w:rsid w:val="00A54FFC"/>
    <w:rsid w:val="00A54FFF"/>
    <w:rsid w:val="00A55067"/>
    <w:rsid w:val="00A55092"/>
    <w:rsid w:val="00A551C7"/>
    <w:rsid w:val="00A551D6"/>
    <w:rsid w:val="00A5526C"/>
    <w:rsid w:val="00A55313"/>
    <w:rsid w:val="00A55343"/>
    <w:rsid w:val="00A5542E"/>
    <w:rsid w:val="00A554B0"/>
    <w:rsid w:val="00A554BC"/>
    <w:rsid w:val="00A55543"/>
    <w:rsid w:val="00A555D5"/>
    <w:rsid w:val="00A555F2"/>
    <w:rsid w:val="00A556A9"/>
    <w:rsid w:val="00A5572D"/>
    <w:rsid w:val="00A55731"/>
    <w:rsid w:val="00A55789"/>
    <w:rsid w:val="00A557A5"/>
    <w:rsid w:val="00A55866"/>
    <w:rsid w:val="00A55870"/>
    <w:rsid w:val="00A55873"/>
    <w:rsid w:val="00A5587E"/>
    <w:rsid w:val="00A559AE"/>
    <w:rsid w:val="00A559DE"/>
    <w:rsid w:val="00A559EC"/>
    <w:rsid w:val="00A55A63"/>
    <w:rsid w:val="00A55AFA"/>
    <w:rsid w:val="00A55B85"/>
    <w:rsid w:val="00A55BF2"/>
    <w:rsid w:val="00A55C54"/>
    <w:rsid w:val="00A55C92"/>
    <w:rsid w:val="00A55D9D"/>
    <w:rsid w:val="00A55E29"/>
    <w:rsid w:val="00A55E2A"/>
    <w:rsid w:val="00A55E65"/>
    <w:rsid w:val="00A55F0F"/>
    <w:rsid w:val="00A55F55"/>
    <w:rsid w:val="00A560A5"/>
    <w:rsid w:val="00A560BF"/>
    <w:rsid w:val="00A560CA"/>
    <w:rsid w:val="00A56108"/>
    <w:rsid w:val="00A561F7"/>
    <w:rsid w:val="00A56297"/>
    <w:rsid w:val="00A562A0"/>
    <w:rsid w:val="00A56354"/>
    <w:rsid w:val="00A564BE"/>
    <w:rsid w:val="00A564F4"/>
    <w:rsid w:val="00A56531"/>
    <w:rsid w:val="00A566A7"/>
    <w:rsid w:val="00A566E6"/>
    <w:rsid w:val="00A56746"/>
    <w:rsid w:val="00A5677D"/>
    <w:rsid w:val="00A5678A"/>
    <w:rsid w:val="00A567AB"/>
    <w:rsid w:val="00A5683F"/>
    <w:rsid w:val="00A5689A"/>
    <w:rsid w:val="00A5695E"/>
    <w:rsid w:val="00A56965"/>
    <w:rsid w:val="00A56A55"/>
    <w:rsid w:val="00A56BB3"/>
    <w:rsid w:val="00A56BFE"/>
    <w:rsid w:val="00A56C17"/>
    <w:rsid w:val="00A56C78"/>
    <w:rsid w:val="00A56C92"/>
    <w:rsid w:val="00A56CAA"/>
    <w:rsid w:val="00A56CC4"/>
    <w:rsid w:val="00A56CC5"/>
    <w:rsid w:val="00A56D3A"/>
    <w:rsid w:val="00A56D50"/>
    <w:rsid w:val="00A56D99"/>
    <w:rsid w:val="00A56E36"/>
    <w:rsid w:val="00A56EF7"/>
    <w:rsid w:val="00A56F89"/>
    <w:rsid w:val="00A56FB6"/>
    <w:rsid w:val="00A56FF4"/>
    <w:rsid w:val="00A57005"/>
    <w:rsid w:val="00A57064"/>
    <w:rsid w:val="00A5706A"/>
    <w:rsid w:val="00A570A8"/>
    <w:rsid w:val="00A5718F"/>
    <w:rsid w:val="00A57229"/>
    <w:rsid w:val="00A5723D"/>
    <w:rsid w:val="00A57291"/>
    <w:rsid w:val="00A57306"/>
    <w:rsid w:val="00A574A3"/>
    <w:rsid w:val="00A574E6"/>
    <w:rsid w:val="00A57551"/>
    <w:rsid w:val="00A576D8"/>
    <w:rsid w:val="00A576F7"/>
    <w:rsid w:val="00A57721"/>
    <w:rsid w:val="00A577F6"/>
    <w:rsid w:val="00A5783A"/>
    <w:rsid w:val="00A57848"/>
    <w:rsid w:val="00A5785D"/>
    <w:rsid w:val="00A578AF"/>
    <w:rsid w:val="00A578BC"/>
    <w:rsid w:val="00A578EF"/>
    <w:rsid w:val="00A5794D"/>
    <w:rsid w:val="00A57A07"/>
    <w:rsid w:val="00A57A2D"/>
    <w:rsid w:val="00A57BD9"/>
    <w:rsid w:val="00A57CBC"/>
    <w:rsid w:val="00A57D2A"/>
    <w:rsid w:val="00A57E68"/>
    <w:rsid w:val="00A57EAC"/>
    <w:rsid w:val="00A57ECD"/>
    <w:rsid w:val="00A57EDF"/>
    <w:rsid w:val="00A57EEC"/>
    <w:rsid w:val="00A57F5D"/>
    <w:rsid w:val="00A6004A"/>
    <w:rsid w:val="00A600AD"/>
    <w:rsid w:val="00A6011C"/>
    <w:rsid w:val="00A60274"/>
    <w:rsid w:val="00A602EE"/>
    <w:rsid w:val="00A6032B"/>
    <w:rsid w:val="00A60425"/>
    <w:rsid w:val="00A6043A"/>
    <w:rsid w:val="00A60500"/>
    <w:rsid w:val="00A6052F"/>
    <w:rsid w:val="00A60597"/>
    <w:rsid w:val="00A605C6"/>
    <w:rsid w:val="00A605DF"/>
    <w:rsid w:val="00A6069F"/>
    <w:rsid w:val="00A60729"/>
    <w:rsid w:val="00A607D1"/>
    <w:rsid w:val="00A60859"/>
    <w:rsid w:val="00A60861"/>
    <w:rsid w:val="00A60895"/>
    <w:rsid w:val="00A6092E"/>
    <w:rsid w:val="00A60A10"/>
    <w:rsid w:val="00A60A29"/>
    <w:rsid w:val="00A60B0C"/>
    <w:rsid w:val="00A60BA0"/>
    <w:rsid w:val="00A60BE9"/>
    <w:rsid w:val="00A60D5C"/>
    <w:rsid w:val="00A60DD5"/>
    <w:rsid w:val="00A60E14"/>
    <w:rsid w:val="00A61001"/>
    <w:rsid w:val="00A6100A"/>
    <w:rsid w:val="00A6106D"/>
    <w:rsid w:val="00A6109D"/>
    <w:rsid w:val="00A610AB"/>
    <w:rsid w:val="00A610B7"/>
    <w:rsid w:val="00A61190"/>
    <w:rsid w:val="00A611D0"/>
    <w:rsid w:val="00A611F3"/>
    <w:rsid w:val="00A61220"/>
    <w:rsid w:val="00A6131B"/>
    <w:rsid w:val="00A614E2"/>
    <w:rsid w:val="00A614F9"/>
    <w:rsid w:val="00A614FE"/>
    <w:rsid w:val="00A61528"/>
    <w:rsid w:val="00A615CC"/>
    <w:rsid w:val="00A6168B"/>
    <w:rsid w:val="00A6170C"/>
    <w:rsid w:val="00A61727"/>
    <w:rsid w:val="00A6177B"/>
    <w:rsid w:val="00A6178D"/>
    <w:rsid w:val="00A6184B"/>
    <w:rsid w:val="00A61887"/>
    <w:rsid w:val="00A618A0"/>
    <w:rsid w:val="00A618B5"/>
    <w:rsid w:val="00A618C6"/>
    <w:rsid w:val="00A61A3D"/>
    <w:rsid w:val="00A61BC5"/>
    <w:rsid w:val="00A61C25"/>
    <w:rsid w:val="00A61C4A"/>
    <w:rsid w:val="00A61CC5"/>
    <w:rsid w:val="00A61CEF"/>
    <w:rsid w:val="00A61D48"/>
    <w:rsid w:val="00A61D9A"/>
    <w:rsid w:val="00A61E13"/>
    <w:rsid w:val="00A61E49"/>
    <w:rsid w:val="00A61EAD"/>
    <w:rsid w:val="00A6208E"/>
    <w:rsid w:val="00A62289"/>
    <w:rsid w:val="00A6240D"/>
    <w:rsid w:val="00A62412"/>
    <w:rsid w:val="00A624FA"/>
    <w:rsid w:val="00A62553"/>
    <w:rsid w:val="00A628BE"/>
    <w:rsid w:val="00A6298F"/>
    <w:rsid w:val="00A629A2"/>
    <w:rsid w:val="00A629E4"/>
    <w:rsid w:val="00A62A4C"/>
    <w:rsid w:val="00A62A6C"/>
    <w:rsid w:val="00A62B2D"/>
    <w:rsid w:val="00A62C34"/>
    <w:rsid w:val="00A62C3A"/>
    <w:rsid w:val="00A62D6C"/>
    <w:rsid w:val="00A62D71"/>
    <w:rsid w:val="00A62DCB"/>
    <w:rsid w:val="00A62EB0"/>
    <w:rsid w:val="00A62F4F"/>
    <w:rsid w:val="00A62FD8"/>
    <w:rsid w:val="00A6308C"/>
    <w:rsid w:val="00A630C5"/>
    <w:rsid w:val="00A6311C"/>
    <w:rsid w:val="00A632BE"/>
    <w:rsid w:val="00A632C7"/>
    <w:rsid w:val="00A6333B"/>
    <w:rsid w:val="00A6338C"/>
    <w:rsid w:val="00A634E5"/>
    <w:rsid w:val="00A636EA"/>
    <w:rsid w:val="00A63709"/>
    <w:rsid w:val="00A6370B"/>
    <w:rsid w:val="00A6370F"/>
    <w:rsid w:val="00A63728"/>
    <w:rsid w:val="00A63919"/>
    <w:rsid w:val="00A63941"/>
    <w:rsid w:val="00A63947"/>
    <w:rsid w:val="00A63A9D"/>
    <w:rsid w:val="00A63AAD"/>
    <w:rsid w:val="00A63AF6"/>
    <w:rsid w:val="00A63B94"/>
    <w:rsid w:val="00A63C1D"/>
    <w:rsid w:val="00A63CED"/>
    <w:rsid w:val="00A63D00"/>
    <w:rsid w:val="00A63D86"/>
    <w:rsid w:val="00A63E46"/>
    <w:rsid w:val="00A63EEA"/>
    <w:rsid w:val="00A63F2D"/>
    <w:rsid w:val="00A63F91"/>
    <w:rsid w:val="00A63FEB"/>
    <w:rsid w:val="00A64025"/>
    <w:rsid w:val="00A64107"/>
    <w:rsid w:val="00A641C2"/>
    <w:rsid w:val="00A6425B"/>
    <w:rsid w:val="00A64272"/>
    <w:rsid w:val="00A6430F"/>
    <w:rsid w:val="00A643E1"/>
    <w:rsid w:val="00A64432"/>
    <w:rsid w:val="00A644D2"/>
    <w:rsid w:val="00A64516"/>
    <w:rsid w:val="00A645D3"/>
    <w:rsid w:val="00A645E1"/>
    <w:rsid w:val="00A64633"/>
    <w:rsid w:val="00A6469C"/>
    <w:rsid w:val="00A648A9"/>
    <w:rsid w:val="00A6498B"/>
    <w:rsid w:val="00A64A1B"/>
    <w:rsid w:val="00A64A77"/>
    <w:rsid w:val="00A64BDC"/>
    <w:rsid w:val="00A64BF1"/>
    <w:rsid w:val="00A64C75"/>
    <w:rsid w:val="00A64C92"/>
    <w:rsid w:val="00A64DB1"/>
    <w:rsid w:val="00A64DF2"/>
    <w:rsid w:val="00A64E24"/>
    <w:rsid w:val="00A64E5C"/>
    <w:rsid w:val="00A64EA3"/>
    <w:rsid w:val="00A65006"/>
    <w:rsid w:val="00A65025"/>
    <w:rsid w:val="00A6507E"/>
    <w:rsid w:val="00A6510E"/>
    <w:rsid w:val="00A651AC"/>
    <w:rsid w:val="00A651C9"/>
    <w:rsid w:val="00A65265"/>
    <w:rsid w:val="00A652B6"/>
    <w:rsid w:val="00A65455"/>
    <w:rsid w:val="00A65465"/>
    <w:rsid w:val="00A65515"/>
    <w:rsid w:val="00A65528"/>
    <w:rsid w:val="00A655F1"/>
    <w:rsid w:val="00A65649"/>
    <w:rsid w:val="00A65682"/>
    <w:rsid w:val="00A65696"/>
    <w:rsid w:val="00A65736"/>
    <w:rsid w:val="00A65756"/>
    <w:rsid w:val="00A657BF"/>
    <w:rsid w:val="00A65809"/>
    <w:rsid w:val="00A65991"/>
    <w:rsid w:val="00A65A48"/>
    <w:rsid w:val="00A65A73"/>
    <w:rsid w:val="00A65B2A"/>
    <w:rsid w:val="00A65B3B"/>
    <w:rsid w:val="00A65BB7"/>
    <w:rsid w:val="00A65BF9"/>
    <w:rsid w:val="00A65C5E"/>
    <w:rsid w:val="00A65D3C"/>
    <w:rsid w:val="00A65DEF"/>
    <w:rsid w:val="00A65DF3"/>
    <w:rsid w:val="00A65DF4"/>
    <w:rsid w:val="00A65E4C"/>
    <w:rsid w:val="00A65E6F"/>
    <w:rsid w:val="00A65E8D"/>
    <w:rsid w:val="00A65E98"/>
    <w:rsid w:val="00A65EC1"/>
    <w:rsid w:val="00A65F43"/>
    <w:rsid w:val="00A65FF9"/>
    <w:rsid w:val="00A660A9"/>
    <w:rsid w:val="00A660B8"/>
    <w:rsid w:val="00A660C1"/>
    <w:rsid w:val="00A66238"/>
    <w:rsid w:val="00A6623E"/>
    <w:rsid w:val="00A66274"/>
    <w:rsid w:val="00A66278"/>
    <w:rsid w:val="00A6628D"/>
    <w:rsid w:val="00A6638D"/>
    <w:rsid w:val="00A664A9"/>
    <w:rsid w:val="00A665BC"/>
    <w:rsid w:val="00A6664D"/>
    <w:rsid w:val="00A66698"/>
    <w:rsid w:val="00A666E7"/>
    <w:rsid w:val="00A66727"/>
    <w:rsid w:val="00A66814"/>
    <w:rsid w:val="00A669D3"/>
    <w:rsid w:val="00A66A69"/>
    <w:rsid w:val="00A66ADB"/>
    <w:rsid w:val="00A66B03"/>
    <w:rsid w:val="00A66BA7"/>
    <w:rsid w:val="00A66BBA"/>
    <w:rsid w:val="00A66BBB"/>
    <w:rsid w:val="00A66CE5"/>
    <w:rsid w:val="00A66F1F"/>
    <w:rsid w:val="00A66FD1"/>
    <w:rsid w:val="00A6700B"/>
    <w:rsid w:val="00A67060"/>
    <w:rsid w:val="00A67061"/>
    <w:rsid w:val="00A67074"/>
    <w:rsid w:val="00A670C7"/>
    <w:rsid w:val="00A6710E"/>
    <w:rsid w:val="00A671CA"/>
    <w:rsid w:val="00A67284"/>
    <w:rsid w:val="00A672F1"/>
    <w:rsid w:val="00A6740E"/>
    <w:rsid w:val="00A6744D"/>
    <w:rsid w:val="00A676D2"/>
    <w:rsid w:val="00A67766"/>
    <w:rsid w:val="00A67785"/>
    <w:rsid w:val="00A677BE"/>
    <w:rsid w:val="00A67822"/>
    <w:rsid w:val="00A67851"/>
    <w:rsid w:val="00A67862"/>
    <w:rsid w:val="00A6788B"/>
    <w:rsid w:val="00A678B4"/>
    <w:rsid w:val="00A678FB"/>
    <w:rsid w:val="00A679C4"/>
    <w:rsid w:val="00A67A7B"/>
    <w:rsid w:val="00A67B2E"/>
    <w:rsid w:val="00A67B8B"/>
    <w:rsid w:val="00A67CE1"/>
    <w:rsid w:val="00A67D4D"/>
    <w:rsid w:val="00A67D8D"/>
    <w:rsid w:val="00A67E7F"/>
    <w:rsid w:val="00A67ED4"/>
    <w:rsid w:val="00A67ED9"/>
    <w:rsid w:val="00A67FB4"/>
    <w:rsid w:val="00A67FEE"/>
    <w:rsid w:val="00A70149"/>
    <w:rsid w:val="00A7014F"/>
    <w:rsid w:val="00A701DE"/>
    <w:rsid w:val="00A702CF"/>
    <w:rsid w:val="00A702FC"/>
    <w:rsid w:val="00A702FD"/>
    <w:rsid w:val="00A70347"/>
    <w:rsid w:val="00A70377"/>
    <w:rsid w:val="00A70486"/>
    <w:rsid w:val="00A704AB"/>
    <w:rsid w:val="00A704F2"/>
    <w:rsid w:val="00A70519"/>
    <w:rsid w:val="00A7061A"/>
    <w:rsid w:val="00A7069B"/>
    <w:rsid w:val="00A706B8"/>
    <w:rsid w:val="00A706EF"/>
    <w:rsid w:val="00A707DF"/>
    <w:rsid w:val="00A708CA"/>
    <w:rsid w:val="00A70904"/>
    <w:rsid w:val="00A7096E"/>
    <w:rsid w:val="00A709DF"/>
    <w:rsid w:val="00A70A11"/>
    <w:rsid w:val="00A70CAE"/>
    <w:rsid w:val="00A70CB1"/>
    <w:rsid w:val="00A70DB9"/>
    <w:rsid w:val="00A70E27"/>
    <w:rsid w:val="00A70EB9"/>
    <w:rsid w:val="00A70F25"/>
    <w:rsid w:val="00A70F51"/>
    <w:rsid w:val="00A70F68"/>
    <w:rsid w:val="00A70FA1"/>
    <w:rsid w:val="00A70FE0"/>
    <w:rsid w:val="00A70FE6"/>
    <w:rsid w:val="00A71199"/>
    <w:rsid w:val="00A711C7"/>
    <w:rsid w:val="00A712E1"/>
    <w:rsid w:val="00A712EF"/>
    <w:rsid w:val="00A7135A"/>
    <w:rsid w:val="00A71374"/>
    <w:rsid w:val="00A71422"/>
    <w:rsid w:val="00A71481"/>
    <w:rsid w:val="00A715B0"/>
    <w:rsid w:val="00A715BB"/>
    <w:rsid w:val="00A71666"/>
    <w:rsid w:val="00A716A2"/>
    <w:rsid w:val="00A717E4"/>
    <w:rsid w:val="00A71853"/>
    <w:rsid w:val="00A718ED"/>
    <w:rsid w:val="00A71917"/>
    <w:rsid w:val="00A7191F"/>
    <w:rsid w:val="00A71A15"/>
    <w:rsid w:val="00A71A6B"/>
    <w:rsid w:val="00A71AA6"/>
    <w:rsid w:val="00A71B2C"/>
    <w:rsid w:val="00A71C8C"/>
    <w:rsid w:val="00A71CDB"/>
    <w:rsid w:val="00A71CDD"/>
    <w:rsid w:val="00A71D00"/>
    <w:rsid w:val="00A71D1C"/>
    <w:rsid w:val="00A71D81"/>
    <w:rsid w:val="00A71DD1"/>
    <w:rsid w:val="00A71E92"/>
    <w:rsid w:val="00A71F3B"/>
    <w:rsid w:val="00A7201F"/>
    <w:rsid w:val="00A72049"/>
    <w:rsid w:val="00A72116"/>
    <w:rsid w:val="00A72148"/>
    <w:rsid w:val="00A72165"/>
    <w:rsid w:val="00A721C9"/>
    <w:rsid w:val="00A722CA"/>
    <w:rsid w:val="00A722DD"/>
    <w:rsid w:val="00A7238C"/>
    <w:rsid w:val="00A72393"/>
    <w:rsid w:val="00A723B1"/>
    <w:rsid w:val="00A72483"/>
    <w:rsid w:val="00A72634"/>
    <w:rsid w:val="00A7263F"/>
    <w:rsid w:val="00A726BA"/>
    <w:rsid w:val="00A7275A"/>
    <w:rsid w:val="00A727EF"/>
    <w:rsid w:val="00A72880"/>
    <w:rsid w:val="00A728CA"/>
    <w:rsid w:val="00A7299E"/>
    <w:rsid w:val="00A72A55"/>
    <w:rsid w:val="00A72A59"/>
    <w:rsid w:val="00A72B29"/>
    <w:rsid w:val="00A72B9E"/>
    <w:rsid w:val="00A72BAB"/>
    <w:rsid w:val="00A72C93"/>
    <w:rsid w:val="00A72CA4"/>
    <w:rsid w:val="00A72CF8"/>
    <w:rsid w:val="00A72D5F"/>
    <w:rsid w:val="00A72D76"/>
    <w:rsid w:val="00A72E34"/>
    <w:rsid w:val="00A72E78"/>
    <w:rsid w:val="00A72EB7"/>
    <w:rsid w:val="00A72F34"/>
    <w:rsid w:val="00A72F43"/>
    <w:rsid w:val="00A72FA5"/>
    <w:rsid w:val="00A72FD4"/>
    <w:rsid w:val="00A73031"/>
    <w:rsid w:val="00A73062"/>
    <w:rsid w:val="00A730F3"/>
    <w:rsid w:val="00A7314F"/>
    <w:rsid w:val="00A732EF"/>
    <w:rsid w:val="00A73352"/>
    <w:rsid w:val="00A7336D"/>
    <w:rsid w:val="00A73470"/>
    <w:rsid w:val="00A734A3"/>
    <w:rsid w:val="00A73503"/>
    <w:rsid w:val="00A73513"/>
    <w:rsid w:val="00A73516"/>
    <w:rsid w:val="00A735E6"/>
    <w:rsid w:val="00A7362C"/>
    <w:rsid w:val="00A73669"/>
    <w:rsid w:val="00A7366B"/>
    <w:rsid w:val="00A73858"/>
    <w:rsid w:val="00A73995"/>
    <w:rsid w:val="00A739A0"/>
    <w:rsid w:val="00A73A42"/>
    <w:rsid w:val="00A73A5F"/>
    <w:rsid w:val="00A73B15"/>
    <w:rsid w:val="00A73B63"/>
    <w:rsid w:val="00A73BEE"/>
    <w:rsid w:val="00A73C9F"/>
    <w:rsid w:val="00A73CA0"/>
    <w:rsid w:val="00A73D50"/>
    <w:rsid w:val="00A73E5C"/>
    <w:rsid w:val="00A73EAA"/>
    <w:rsid w:val="00A73EFA"/>
    <w:rsid w:val="00A74016"/>
    <w:rsid w:val="00A7401A"/>
    <w:rsid w:val="00A74132"/>
    <w:rsid w:val="00A741DB"/>
    <w:rsid w:val="00A74206"/>
    <w:rsid w:val="00A7424E"/>
    <w:rsid w:val="00A74355"/>
    <w:rsid w:val="00A74365"/>
    <w:rsid w:val="00A74396"/>
    <w:rsid w:val="00A743D4"/>
    <w:rsid w:val="00A744AD"/>
    <w:rsid w:val="00A74525"/>
    <w:rsid w:val="00A7457F"/>
    <w:rsid w:val="00A7462B"/>
    <w:rsid w:val="00A74647"/>
    <w:rsid w:val="00A746A2"/>
    <w:rsid w:val="00A746AB"/>
    <w:rsid w:val="00A746B0"/>
    <w:rsid w:val="00A7470D"/>
    <w:rsid w:val="00A74774"/>
    <w:rsid w:val="00A74A65"/>
    <w:rsid w:val="00A74A6B"/>
    <w:rsid w:val="00A74AD9"/>
    <w:rsid w:val="00A74AF5"/>
    <w:rsid w:val="00A74B2C"/>
    <w:rsid w:val="00A74C21"/>
    <w:rsid w:val="00A74C3C"/>
    <w:rsid w:val="00A74C3D"/>
    <w:rsid w:val="00A74E3E"/>
    <w:rsid w:val="00A75006"/>
    <w:rsid w:val="00A75046"/>
    <w:rsid w:val="00A750EC"/>
    <w:rsid w:val="00A751A9"/>
    <w:rsid w:val="00A751B8"/>
    <w:rsid w:val="00A751D0"/>
    <w:rsid w:val="00A7522F"/>
    <w:rsid w:val="00A752C6"/>
    <w:rsid w:val="00A752C8"/>
    <w:rsid w:val="00A752E8"/>
    <w:rsid w:val="00A75303"/>
    <w:rsid w:val="00A753BB"/>
    <w:rsid w:val="00A7541D"/>
    <w:rsid w:val="00A7547F"/>
    <w:rsid w:val="00A75512"/>
    <w:rsid w:val="00A756CC"/>
    <w:rsid w:val="00A756F4"/>
    <w:rsid w:val="00A75876"/>
    <w:rsid w:val="00A758DB"/>
    <w:rsid w:val="00A75938"/>
    <w:rsid w:val="00A75A26"/>
    <w:rsid w:val="00A75A4B"/>
    <w:rsid w:val="00A75AB2"/>
    <w:rsid w:val="00A75B49"/>
    <w:rsid w:val="00A75BED"/>
    <w:rsid w:val="00A75C0E"/>
    <w:rsid w:val="00A75C14"/>
    <w:rsid w:val="00A75CB9"/>
    <w:rsid w:val="00A75D88"/>
    <w:rsid w:val="00A75DD3"/>
    <w:rsid w:val="00A75E7D"/>
    <w:rsid w:val="00A75EB4"/>
    <w:rsid w:val="00A75ED1"/>
    <w:rsid w:val="00A76059"/>
    <w:rsid w:val="00A76102"/>
    <w:rsid w:val="00A76153"/>
    <w:rsid w:val="00A76154"/>
    <w:rsid w:val="00A761C2"/>
    <w:rsid w:val="00A761E1"/>
    <w:rsid w:val="00A76214"/>
    <w:rsid w:val="00A7622C"/>
    <w:rsid w:val="00A76264"/>
    <w:rsid w:val="00A762C7"/>
    <w:rsid w:val="00A76373"/>
    <w:rsid w:val="00A7653D"/>
    <w:rsid w:val="00A765ED"/>
    <w:rsid w:val="00A76624"/>
    <w:rsid w:val="00A76685"/>
    <w:rsid w:val="00A766E4"/>
    <w:rsid w:val="00A7672E"/>
    <w:rsid w:val="00A7674F"/>
    <w:rsid w:val="00A76793"/>
    <w:rsid w:val="00A767FA"/>
    <w:rsid w:val="00A76887"/>
    <w:rsid w:val="00A768ED"/>
    <w:rsid w:val="00A76959"/>
    <w:rsid w:val="00A7698B"/>
    <w:rsid w:val="00A76A54"/>
    <w:rsid w:val="00A76CBE"/>
    <w:rsid w:val="00A76D5F"/>
    <w:rsid w:val="00A76DD3"/>
    <w:rsid w:val="00A76F7F"/>
    <w:rsid w:val="00A76F88"/>
    <w:rsid w:val="00A76FC1"/>
    <w:rsid w:val="00A77015"/>
    <w:rsid w:val="00A77168"/>
    <w:rsid w:val="00A771EB"/>
    <w:rsid w:val="00A77425"/>
    <w:rsid w:val="00A77455"/>
    <w:rsid w:val="00A77466"/>
    <w:rsid w:val="00A7749D"/>
    <w:rsid w:val="00A77505"/>
    <w:rsid w:val="00A77664"/>
    <w:rsid w:val="00A77712"/>
    <w:rsid w:val="00A777CA"/>
    <w:rsid w:val="00A777F2"/>
    <w:rsid w:val="00A77826"/>
    <w:rsid w:val="00A778C3"/>
    <w:rsid w:val="00A77909"/>
    <w:rsid w:val="00A7798E"/>
    <w:rsid w:val="00A77AC6"/>
    <w:rsid w:val="00A77AEA"/>
    <w:rsid w:val="00A77B89"/>
    <w:rsid w:val="00A77BCF"/>
    <w:rsid w:val="00A77D65"/>
    <w:rsid w:val="00A77D70"/>
    <w:rsid w:val="00A77DA1"/>
    <w:rsid w:val="00A77FFD"/>
    <w:rsid w:val="00A8000F"/>
    <w:rsid w:val="00A80050"/>
    <w:rsid w:val="00A800F0"/>
    <w:rsid w:val="00A80185"/>
    <w:rsid w:val="00A80274"/>
    <w:rsid w:val="00A803CC"/>
    <w:rsid w:val="00A803CE"/>
    <w:rsid w:val="00A803E2"/>
    <w:rsid w:val="00A8041A"/>
    <w:rsid w:val="00A8046D"/>
    <w:rsid w:val="00A80593"/>
    <w:rsid w:val="00A806AF"/>
    <w:rsid w:val="00A806EF"/>
    <w:rsid w:val="00A8072E"/>
    <w:rsid w:val="00A807C5"/>
    <w:rsid w:val="00A8083C"/>
    <w:rsid w:val="00A8091F"/>
    <w:rsid w:val="00A8094F"/>
    <w:rsid w:val="00A80A6C"/>
    <w:rsid w:val="00A80A90"/>
    <w:rsid w:val="00A80AA7"/>
    <w:rsid w:val="00A80B4A"/>
    <w:rsid w:val="00A80BC2"/>
    <w:rsid w:val="00A80C83"/>
    <w:rsid w:val="00A80CBF"/>
    <w:rsid w:val="00A80CF2"/>
    <w:rsid w:val="00A80D87"/>
    <w:rsid w:val="00A80EF2"/>
    <w:rsid w:val="00A80FE8"/>
    <w:rsid w:val="00A81024"/>
    <w:rsid w:val="00A81090"/>
    <w:rsid w:val="00A810BD"/>
    <w:rsid w:val="00A8111D"/>
    <w:rsid w:val="00A81243"/>
    <w:rsid w:val="00A8127E"/>
    <w:rsid w:val="00A81325"/>
    <w:rsid w:val="00A81429"/>
    <w:rsid w:val="00A814DE"/>
    <w:rsid w:val="00A81638"/>
    <w:rsid w:val="00A816EB"/>
    <w:rsid w:val="00A816F4"/>
    <w:rsid w:val="00A81736"/>
    <w:rsid w:val="00A81757"/>
    <w:rsid w:val="00A81797"/>
    <w:rsid w:val="00A817D8"/>
    <w:rsid w:val="00A8180E"/>
    <w:rsid w:val="00A81875"/>
    <w:rsid w:val="00A8188D"/>
    <w:rsid w:val="00A818E6"/>
    <w:rsid w:val="00A819AB"/>
    <w:rsid w:val="00A819E7"/>
    <w:rsid w:val="00A81A2B"/>
    <w:rsid w:val="00A81A66"/>
    <w:rsid w:val="00A81AFB"/>
    <w:rsid w:val="00A81B6B"/>
    <w:rsid w:val="00A81BBA"/>
    <w:rsid w:val="00A81C3D"/>
    <w:rsid w:val="00A81C50"/>
    <w:rsid w:val="00A81CA1"/>
    <w:rsid w:val="00A81CD7"/>
    <w:rsid w:val="00A81D4D"/>
    <w:rsid w:val="00A81E4F"/>
    <w:rsid w:val="00A81E96"/>
    <w:rsid w:val="00A81EA9"/>
    <w:rsid w:val="00A81F51"/>
    <w:rsid w:val="00A82087"/>
    <w:rsid w:val="00A820A8"/>
    <w:rsid w:val="00A821F0"/>
    <w:rsid w:val="00A82270"/>
    <w:rsid w:val="00A82303"/>
    <w:rsid w:val="00A82385"/>
    <w:rsid w:val="00A82408"/>
    <w:rsid w:val="00A82432"/>
    <w:rsid w:val="00A82496"/>
    <w:rsid w:val="00A824AA"/>
    <w:rsid w:val="00A824DC"/>
    <w:rsid w:val="00A824E8"/>
    <w:rsid w:val="00A8252F"/>
    <w:rsid w:val="00A8253C"/>
    <w:rsid w:val="00A8257E"/>
    <w:rsid w:val="00A825E4"/>
    <w:rsid w:val="00A82629"/>
    <w:rsid w:val="00A82635"/>
    <w:rsid w:val="00A826BF"/>
    <w:rsid w:val="00A8270D"/>
    <w:rsid w:val="00A82713"/>
    <w:rsid w:val="00A8282A"/>
    <w:rsid w:val="00A82892"/>
    <w:rsid w:val="00A829B5"/>
    <w:rsid w:val="00A82A58"/>
    <w:rsid w:val="00A82AA2"/>
    <w:rsid w:val="00A82B1D"/>
    <w:rsid w:val="00A82BE3"/>
    <w:rsid w:val="00A82C30"/>
    <w:rsid w:val="00A82C3F"/>
    <w:rsid w:val="00A82CF7"/>
    <w:rsid w:val="00A82D06"/>
    <w:rsid w:val="00A82D36"/>
    <w:rsid w:val="00A82D6E"/>
    <w:rsid w:val="00A82D82"/>
    <w:rsid w:val="00A82DD8"/>
    <w:rsid w:val="00A82E46"/>
    <w:rsid w:val="00A82E84"/>
    <w:rsid w:val="00A82EF1"/>
    <w:rsid w:val="00A83001"/>
    <w:rsid w:val="00A83013"/>
    <w:rsid w:val="00A83098"/>
    <w:rsid w:val="00A83122"/>
    <w:rsid w:val="00A83129"/>
    <w:rsid w:val="00A83161"/>
    <w:rsid w:val="00A83179"/>
    <w:rsid w:val="00A83215"/>
    <w:rsid w:val="00A83303"/>
    <w:rsid w:val="00A83374"/>
    <w:rsid w:val="00A833A0"/>
    <w:rsid w:val="00A833A1"/>
    <w:rsid w:val="00A8346B"/>
    <w:rsid w:val="00A836ED"/>
    <w:rsid w:val="00A8387C"/>
    <w:rsid w:val="00A838AF"/>
    <w:rsid w:val="00A838D0"/>
    <w:rsid w:val="00A838EE"/>
    <w:rsid w:val="00A8390E"/>
    <w:rsid w:val="00A83914"/>
    <w:rsid w:val="00A83A7A"/>
    <w:rsid w:val="00A83ACB"/>
    <w:rsid w:val="00A83AEE"/>
    <w:rsid w:val="00A83B00"/>
    <w:rsid w:val="00A83B3B"/>
    <w:rsid w:val="00A83BCC"/>
    <w:rsid w:val="00A83C67"/>
    <w:rsid w:val="00A83D2C"/>
    <w:rsid w:val="00A83E1C"/>
    <w:rsid w:val="00A83EEA"/>
    <w:rsid w:val="00A83F34"/>
    <w:rsid w:val="00A83F64"/>
    <w:rsid w:val="00A83F7D"/>
    <w:rsid w:val="00A83FB2"/>
    <w:rsid w:val="00A8408A"/>
    <w:rsid w:val="00A840C1"/>
    <w:rsid w:val="00A840D5"/>
    <w:rsid w:val="00A840FE"/>
    <w:rsid w:val="00A84122"/>
    <w:rsid w:val="00A84164"/>
    <w:rsid w:val="00A84178"/>
    <w:rsid w:val="00A84226"/>
    <w:rsid w:val="00A84254"/>
    <w:rsid w:val="00A84280"/>
    <w:rsid w:val="00A843AB"/>
    <w:rsid w:val="00A843BE"/>
    <w:rsid w:val="00A8449A"/>
    <w:rsid w:val="00A844DF"/>
    <w:rsid w:val="00A84539"/>
    <w:rsid w:val="00A84574"/>
    <w:rsid w:val="00A845B6"/>
    <w:rsid w:val="00A846C1"/>
    <w:rsid w:val="00A84720"/>
    <w:rsid w:val="00A84779"/>
    <w:rsid w:val="00A8484E"/>
    <w:rsid w:val="00A84940"/>
    <w:rsid w:val="00A84A05"/>
    <w:rsid w:val="00A84A52"/>
    <w:rsid w:val="00A84A83"/>
    <w:rsid w:val="00A84A9C"/>
    <w:rsid w:val="00A84B21"/>
    <w:rsid w:val="00A84B24"/>
    <w:rsid w:val="00A84B74"/>
    <w:rsid w:val="00A84C48"/>
    <w:rsid w:val="00A84C86"/>
    <w:rsid w:val="00A84D31"/>
    <w:rsid w:val="00A84D48"/>
    <w:rsid w:val="00A84DC7"/>
    <w:rsid w:val="00A85033"/>
    <w:rsid w:val="00A850C5"/>
    <w:rsid w:val="00A85185"/>
    <w:rsid w:val="00A851B3"/>
    <w:rsid w:val="00A85375"/>
    <w:rsid w:val="00A85659"/>
    <w:rsid w:val="00A8565E"/>
    <w:rsid w:val="00A857A7"/>
    <w:rsid w:val="00A858F2"/>
    <w:rsid w:val="00A85962"/>
    <w:rsid w:val="00A85AAB"/>
    <w:rsid w:val="00A85AB3"/>
    <w:rsid w:val="00A85AEA"/>
    <w:rsid w:val="00A85B0B"/>
    <w:rsid w:val="00A85B8B"/>
    <w:rsid w:val="00A85BBF"/>
    <w:rsid w:val="00A85C9C"/>
    <w:rsid w:val="00A85D65"/>
    <w:rsid w:val="00A85DA8"/>
    <w:rsid w:val="00A85DB5"/>
    <w:rsid w:val="00A85DE5"/>
    <w:rsid w:val="00A85E5D"/>
    <w:rsid w:val="00A85F3C"/>
    <w:rsid w:val="00A85F62"/>
    <w:rsid w:val="00A85F7A"/>
    <w:rsid w:val="00A86008"/>
    <w:rsid w:val="00A8600A"/>
    <w:rsid w:val="00A86032"/>
    <w:rsid w:val="00A86051"/>
    <w:rsid w:val="00A8605A"/>
    <w:rsid w:val="00A860AC"/>
    <w:rsid w:val="00A86293"/>
    <w:rsid w:val="00A862A7"/>
    <w:rsid w:val="00A862C7"/>
    <w:rsid w:val="00A86326"/>
    <w:rsid w:val="00A86343"/>
    <w:rsid w:val="00A8636A"/>
    <w:rsid w:val="00A8651D"/>
    <w:rsid w:val="00A86540"/>
    <w:rsid w:val="00A86541"/>
    <w:rsid w:val="00A86550"/>
    <w:rsid w:val="00A86573"/>
    <w:rsid w:val="00A8660B"/>
    <w:rsid w:val="00A86677"/>
    <w:rsid w:val="00A8670F"/>
    <w:rsid w:val="00A8672F"/>
    <w:rsid w:val="00A86844"/>
    <w:rsid w:val="00A8684D"/>
    <w:rsid w:val="00A8685E"/>
    <w:rsid w:val="00A86889"/>
    <w:rsid w:val="00A86966"/>
    <w:rsid w:val="00A869BA"/>
    <w:rsid w:val="00A86BA0"/>
    <w:rsid w:val="00A86C0E"/>
    <w:rsid w:val="00A86C63"/>
    <w:rsid w:val="00A86D6A"/>
    <w:rsid w:val="00A86D7D"/>
    <w:rsid w:val="00A86EF7"/>
    <w:rsid w:val="00A8706D"/>
    <w:rsid w:val="00A870EA"/>
    <w:rsid w:val="00A87101"/>
    <w:rsid w:val="00A8713F"/>
    <w:rsid w:val="00A872D5"/>
    <w:rsid w:val="00A872DB"/>
    <w:rsid w:val="00A872E1"/>
    <w:rsid w:val="00A873BC"/>
    <w:rsid w:val="00A87465"/>
    <w:rsid w:val="00A8748D"/>
    <w:rsid w:val="00A875DF"/>
    <w:rsid w:val="00A8766D"/>
    <w:rsid w:val="00A8775F"/>
    <w:rsid w:val="00A877C9"/>
    <w:rsid w:val="00A877E1"/>
    <w:rsid w:val="00A878D4"/>
    <w:rsid w:val="00A87912"/>
    <w:rsid w:val="00A8793B"/>
    <w:rsid w:val="00A87B5C"/>
    <w:rsid w:val="00A87CAA"/>
    <w:rsid w:val="00A87F47"/>
    <w:rsid w:val="00A87F9C"/>
    <w:rsid w:val="00A90189"/>
    <w:rsid w:val="00A901EB"/>
    <w:rsid w:val="00A90211"/>
    <w:rsid w:val="00A90284"/>
    <w:rsid w:val="00A9029B"/>
    <w:rsid w:val="00A902F1"/>
    <w:rsid w:val="00A90305"/>
    <w:rsid w:val="00A903D3"/>
    <w:rsid w:val="00A904D1"/>
    <w:rsid w:val="00A90536"/>
    <w:rsid w:val="00A905BA"/>
    <w:rsid w:val="00A905C3"/>
    <w:rsid w:val="00A9060A"/>
    <w:rsid w:val="00A9084E"/>
    <w:rsid w:val="00A9088A"/>
    <w:rsid w:val="00A908BA"/>
    <w:rsid w:val="00A908D3"/>
    <w:rsid w:val="00A9090D"/>
    <w:rsid w:val="00A9092D"/>
    <w:rsid w:val="00A90958"/>
    <w:rsid w:val="00A909A1"/>
    <w:rsid w:val="00A909C5"/>
    <w:rsid w:val="00A909D0"/>
    <w:rsid w:val="00A90A82"/>
    <w:rsid w:val="00A90B46"/>
    <w:rsid w:val="00A90BAF"/>
    <w:rsid w:val="00A90BCE"/>
    <w:rsid w:val="00A90C0C"/>
    <w:rsid w:val="00A90CC3"/>
    <w:rsid w:val="00A90D5A"/>
    <w:rsid w:val="00A90D64"/>
    <w:rsid w:val="00A90DBB"/>
    <w:rsid w:val="00A90DD2"/>
    <w:rsid w:val="00A90E96"/>
    <w:rsid w:val="00A90EBA"/>
    <w:rsid w:val="00A90EBD"/>
    <w:rsid w:val="00A90F6F"/>
    <w:rsid w:val="00A90FC9"/>
    <w:rsid w:val="00A91044"/>
    <w:rsid w:val="00A91045"/>
    <w:rsid w:val="00A91115"/>
    <w:rsid w:val="00A91118"/>
    <w:rsid w:val="00A911A0"/>
    <w:rsid w:val="00A91207"/>
    <w:rsid w:val="00A91208"/>
    <w:rsid w:val="00A9121A"/>
    <w:rsid w:val="00A91262"/>
    <w:rsid w:val="00A912EC"/>
    <w:rsid w:val="00A91313"/>
    <w:rsid w:val="00A9136A"/>
    <w:rsid w:val="00A91371"/>
    <w:rsid w:val="00A913D1"/>
    <w:rsid w:val="00A91469"/>
    <w:rsid w:val="00A914E0"/>
    <w:rsid w:val="00A91576"/>
    <w:rsid w:val="00A91577"/>
    <w:rsid w:val="00A915BF"/>
    <w:rsid w:val="00A915D7"/>
    <w:rsid w:val="00A91699"/>
    <w:rsid w:val="00A916B2"/>
    <w:rsid w:val="00A916D4"/>
    <w:rsid w:val="00A916D9"/>
    <w:rsid w:val="00A9179C"/>
    <w:rsid w:val="00A917DE"/>
    <w:rsid w:val="00A91914"/>
    <w:rsid w:val="00A919AD"/>
    <w:rsid w:val="00A91A96"/>
    <w:rsid w:val="00A91AA0"/>
    <w:rsid w:val="00A91AC5"/>
    <w:rsid w:val="00A91BC8"/>
    <w:rsid w:val="00A91C7D"/>
    <w:rsid w:val="00A91CE5"/>
    <w:rsid w:val="00A91DF7"/>
    <w:rsid w:val="00A91E32"/>
    <w:rsid w:val="00A91E64"/>
    <w:rsid w:val="00A91EC3"/>
    <w:rsid w:val="00A91F02"/>
    <w:rsid w:val="00A9200D"/>
    <w:rsid w:val="00A92033"/>
    <w:rsid w:val="00A92099"/>
    <w:rsid w:val="00A92191"/>
    <w:rsid w:val="00A9219D"/>
    <w:rsid w:val="00A92212"/>
    <w:rsid w:val="00A92216"/>
    <w:rsid w:val="00A92251"/>
    <w:rsid w:val="00A92264"/>
    <w:rsid w:val="00A922DD"/>
    <w:rsid w:val="00A9233C"/>
    <w:rsid w:val="00A9234C"/>
    <w:rsid w:val="00A92372"/>
    <w:rsid w:val="00A923A7"/>
    <w:rsid w:val="00A9254B"/>
    <w:rsid w:val="00A92578"/>
    <w:rsid w:val="00A925BE"/>
    <w:rsid w:val="00A925ED"/>
    <w:rsid w:val="00A925F2"/>
    <w:rsid w:val="00A92637"/>
    <w:rsid w:val="00A9272C"/>
    <w:rsid w:val="00A927B6"/>
    <w:rsid w:val="00A928D1"/>
    <w:rsid w:val="00A928EC"/>
    <w:rsid w:val="00A9291F"/>
    <w:rsid w:val="00A92926"/>
    <w:rsid w:val="00A92935"/>
    <w:rsid w:val="00A92943"/>
    <w:rsid w:val="00A92951"/>
    <w:rsid w:val="00A92967"/>
    <w:rsid w:val="00A929FC"/>
    <w:rsid w:val="00A92D0E"/>
    <w:rsid w:val="00A92E80"/>
    <w:rsid w:val="00A92E81"/>
    <w:rsid w:val="00A92FC5"/>
    <w:rsid w:val="00A930C9"/>
    <w:rsid w:val="00A93100"/>
    <w:rsid w:val="00A931F1"/>
    <w:rsid w:val="00A9321E"/>
    <w:rsid w:val="00A9323C"/>
    <w:rsid w:val="00A933C2"/>
    <w:rsid w:val="00A934E2"/>
    <w:rsid w:val="00A9353A"/>
    <w:rsid w:val="00A9366B"/>
    <w:rsid w:val="00A93688"/>
    <w:rsid w:val="00A936B3"/>
    <w:rsid w:val="00A936BA"/>
    <w:rsid w:val="00A93772"/>
    <w:rsid w:val="00A9379B"/>
    <w:rsid w:val="00A938BD"/>
    <w:rsid w:val="00A938BF"/>
    <w:rsid w:val="00A93904"/>
    <w:rsid w:val="00A939D5"/>
    <w:rsid w:val="00A93B58"/>
    <w:rsid w:val="00A93B90"/>
    <w:rsid w:val="00A93B94"/>
    <w:rsid w:val="00A93CCC"/>
    <w:rsid w:val="00A93CF2"/>
    <w:rsid w:val="00A93D87"/>
    <w:rsid w:val="00A93D91"/>
    <w:rsid w:val="00A93DA6"/>
    <w:rsid w:val="00A93E4A"/>
    <w:rsid w:val="00A93E5F"/>
    <w:rsid w:val="00A93EAF"/>
    <w:rsid w:val="00A93ECB"/>
    <w:rsid w:val="00A93FD4"/>
    <w:rsid w:val="00A93FF9"/>
    <w:rsid w:val="00A9401D"/>
    <w:rsid w:val="00A94137"/>
    <w:rsid w:val="00A94218"/>
    <w:rsid w:val="00A94258"/>
    <w:rsid w:val="00A9425A"/>
    <w:rsid w:val="00A942C2"/>
    <w:rsid w:val="00A942CF"/>
    <w:rsid w:val="00A94307"/>
    <w:rsid w:val="00A94383"/>
    <w:rsid w:val="00A94403"/>
    <w:rsid w:val="00A94434"/>
    <w:rsid w:val="00A94525"/>
    <w:rsid w:val="00A94555"/>
    <w:rsid w:val="00A9461E"/>
    <w:rsid w:val="00A9463C"/>
    <w:rsid w:val="00A946D3"/>
    <w:rsid w:val="00A9473B"/>
    <w:rsid w:val="00A9476B"/>
    <w:rsid w:val="00A94856"/>
    <w:rsid w:val="00A94921"/>
    <w:rsid w:val="00A9498B"/>
    <w:rsid w:val="00A94A0E"/>
    <w:rsid w:val="00A94A27"/>
    <w:rsid w:val="00A94A66"/>
    <w:rsid w:val="00A94B8E"/>
    <w:rsid w:val="00A94BBC"/>
    <w:rsid w:val="00A94C43"/>
    <w:rsid w:val="00A94C94"/>
    <w:rsid w:val="00A94CA6"/>
    <w:rsid w:val="00A94CD3"/>
    <w:rsid w:val="00A94D2F"/>
    <w:rsid w:val="00A94D82"/>
    <w:rsid w:val="00A94DC0"/>
    <w:rsid w:val="00A94E56"/>
    <w:rsid w:val="00A94EE1"/>
    <w:rsid w:val="00A94EE2"/>
    <w:rsid w:val="00A94F04"/>
    <w:rsid w:val="00A94F1E"/>
    <w:rsid w:val="00A94F6D"/>
    <w:rsid w:val="00A94FAD"/>
    <w:rsid w:val="00A94FF8"/>
    <w:rsid w:val="00A95119"/>
    <w:rsid w:val="00A951AC"/>
    <w:rsid w:val="00A951D1"/>
    <w:rsid w:val="00A951F8"/>
    <w:rsid w:val="00A95273"/>
    <w:rsid w:val="00A95275"/>
    <w:rsid w:val="00A95283"/>
    <w:rsid w:val="00A95287"/>
    <w:rsid w:val="00A95477"/>
    <w:rsid w:val="00A955F4"/>
    <w:rsid w:val="00A9560C"/>
    <w:rsid w:val="00A9563D"/>
    <w:rsid w:val="00A9569D"/>
    <w:rsid w:val="00A956EE"/>
    <w:rsid w:val="00A9575F"/>
    <w:rsid w:val="00A95777"/>
    <w:rsid w:val="00A957BA"/>
    <w:rsid w:val="00A9583E"/>
    <w:rsid w:val="00A95875"/>
    <w:rsid w:val="00A958FB"/>
    <w:rsid w:val="00A95910"/>
    <w:rsid w:val="00A95926"/>
    <w:rsid w:val="00A95951"/>
    <w:rsid w:val="00A95986"/>
    <w:rsid w:val="00A95A24"/>
    <w:rsid w:val="00A95A40"/>
    <w:rsid w:val="00A95A7E"/>
    <w:rsid w:val="00A95AB4"/>
    <w:rsid w:val="00A95AC7"/>
    <w:rsid w:val="00A95ACC"/>
    <w:rsid w:val="00A95B26"/>
    <w:rsid w:val="00A95C0D"/>
    <w:rsid w:val="00A95C3F"/>
    <w:rsid w:val="00A95C8D"/>
    <w:rsid w:val="00A95D2D"/>
    <w:rsid w:val="00A95F8D"/>
    <w:rsid w:val="00A9601F"/>
    <w:rsid w:val="00A9609C"/>
    <w:rsid w:val="00A960E4"/>
    <w:rsid w:val="00A96101"/>
    <w:rsid w:val="00A9624F"/>
    <w:rsid w:val="00A962E0"/>
    <w:rsid w:val="00A962F4"/>
    <w:rsid w:val="00A96313"/>
    <w:rsid w:val="00A96322"/>
    <w:rsid w:val="00A9632E"/>
    <w:rsid w:val="00A963CC"/>
    <w:rsid w:val="00A964FA"/>
    <w:rsid w:val="00A9651E"/>
    <w:rsid w:val="00A965E5"/>
    <w:rsid w:val="00A9662D"/>
    <w:rsid w:val="00A966C7"/>
    <w:rsid w:val="00A966FC"/>
    <w:rsid w:val="00A9676F"/>
    <w:rsid w:val="00A96776"/>
    <w:rsid w:val="00A967FB"/>
    <w:rsid w:val="00A968A5"/>
    <w:rsid w:val="00A968D0"/>
    <w:rsid w:val="00A968E3"/>
    <w:rsid w:val="00A96923"/>
    <w:rsid w:val="00A969FF"/>
    <w:rsid w:val="00A96A8C"/>
    <w:rsid w:val="00A96AE6"/>
    <w:rsid w:val="00A96AEB"/>
    <w:rsid w:val="00A96B03"/>
    <w:rsid w:val="00A96C17"/>
    <w:rsid w:val="00A96C89"/>
    <w:rsid w:val="00A96CB0"/>
    <w:rsid w:val="00A96CC6"/>
    <w:rsid w:val="00A96F8F"/>
    <w:rsid w:val="00A96F94"/>
    <w:rsid w:val="00A97048"/>
    <w:rsid w:val="00A97059"/>
    <w:rsid w:val="00A97061"/>
    <w:rsid w:val="00A970D8"/>
    <w:rsid w:val="00A97115"/>
    <w:rsid w:val="00A97170"/>
    <w:rsid w:val="00A9719B"/>
    <w:rsid w:val="00A971AB"/>
    <w:rsid w:val="00A971C4"/>
    <w:rsid w:val="00A973AD"/>
    <w:rsid w:val="00A97418"/>
    <w:rsid w:val="00A97473"/>
    <w:rsid w:val="00A97478"/>
    <w:rsid w:val="00A974DA"/>
    <w:rsid w:val="00A97524"/>
    <w:rsid w:val="00A975A2"/>
    <w:rsid w:val="00A976CF"/>
    <w:rsid w:val="00A97734"/>
    <w:rsid w:val="00A9774C"/>
    <w:rsid w:val="00A97808"/>
    <w:rsid w:val="00A97815"/>
    <w:rsid w:val="00A9783A"/>
    <w:rsid w:val="00A97904"/>
    <w:rsid w:val="00A9798F"/>
    <w:rsid w:val="00A97A57"/>
    <w:rsid w:val="00A97A5B"/>
    <w:rsid w:val="00A97ACE"/>
    <w:rsid w:val="00A97D83"/>
    <w:rsid w:val="00A97DE8"/>
    <w:rsid w:val="00A97E35"/>
    <w:rsid w:val="00A97E40"/>
    <w:rsid w:val="00A97E89"/>
    <w:rsid w:val="00A97E97"/>
    <w:rsid w:val="00A97E98"/>
    <w:rsid w:val="00A97EEF"/>
    <w:rsid w:val="00A97F75"/>
    <w:rsid w:val="00AA0003"/>
    <w:rsid w:val="00AA0009"/>
    <w:rsid w:val="00AA0011"/>
    <w:rsid w:val="00AA0060"/>
    <w:rsid w:val="00AA00EB"/>
    <w:rsid w:val="00AA010B"/>
    <w:rsid w:val="00AA0162"/>
    <w:rsid w:val="00AA0179"/>
    <w:rsid w:val="00AA01BF"/>
    <w:rsid w:val="00AA0248"/>
    <w:rsid w:val="00AA0276"/>
    <w:rsid w:val="00AA0295"/>
    <w:rsid w:val="00AA02FD"/>
    <w:rsid w:val="00AA0341"/>
    <w:rsid w:val="00AA034C"/>
    <w:rsid w:val="00AA03D0"/>
    <w:rsid w:val="00AA0512"/>
    <w:rsid w:val="00AA0526"/>
    <w:rsid w:val="00AA054D"/>
    <w:rsid w:val="00AA0624"/>
    <w:rsid w:val="00AA067F"/>
    <w:rsid w:val="00AA06A6"/>
    <w:rsid w:val="00AA0736"/>
    <w:rsid w:val="00AA0825"/>
    <w:rsid w:val="00AA091C"/>
    <w:rsid w:val="00AA0A24"/>
    <w:rsid w:val="00AA0B30"/>
    <w:rsid w:val="00AA0B85"/>
    <w:rsid w:val="00AA0BAF"/>
    <w:rsid w:val="00AA0C04"/>
    <w:rsid w:val="00AA0C9D"/>
    <w:rsid w:val="00AA0DBD"/>
    <w:rsid w:val="00AA0EA2"/>
    <w:rsid w:val="00AA0F9D"/>
    <w:rsid w:val="00AA1002"/>
    <w:rsid w:val="00AA1069"/>
    <w:rsid w:val="00AA10BD"/>
    <w:rsid w:val="00AA116D"/>
    <w:rsid w:val="00AA11FE"/>
    <w:rsid w:val="00AA1238"/>
    <w:rsid w:val="00AA1277"/>
    <w:rsid w:val="00AA13E7"/>
    <w:rsid w:val="00AA14FE"/>
    <w:rsid w:val="00AA1536"/>
    <w:rsid w:val="00AA15C8"/>
    <w:rsid w:val="00AA16F3"/>
    <w:rsid w:val="00AA1753"/>
    <w:rsid w:val="00AA17FD"/>
    <w:rsid w:val="00AA1832"/>
    <w:rsid w:val="00AA18B0"/>
    <w:rsid w:val="00AA18E2"/>
    <w:rsid w:val="00AA19A7"/>
    <w:rsid w:val="00AA19CE"/>
    <w:rsid w:val="00AA19EC"/>
    <w:rsid w:val="00AA1A4E"/>
    <w:rsid w:val="00AA1D20"/>
    <w:rsid w:val="00AA1DB7"/>
    <w:rsid w:val="00AA1DD8"/>
    <w:rsid w:val="00AA1E41"/>
    <w:rsid w:val="00AA1ECA"/>
    <w:rsid w:val="00AA1FB8"/>
    <w:rsid w:val="00AA1FC9"/>
    <w:rsid w:val="00AA2085"/>
    <w:rsid w:val="00AA2194"/>
    <w:rsid w:val="00AA2258"/>
    <w:rsid w:val="00AA225B"/>
    <w:rsid w:val="00AA22AC"/>
    <w:rsid w:val="00AA2318"/>
    <w:rsid w:val="00AA2384"/>
    <w:rsid w:val="00AA238D"/>
    <w:rsid w:val="00AA23A2"/>
    <w:rsid w:val="00AA24AF"/>
    <w:rsid w:val="00AA2616"/>
    <w:rsid w:val="00AA26C2"/>
    <w:rsid w:val="00AA26F4"/>
    <w:rsid w:val="00AA271F"/>
    <w:rsid w:val="00AA28C1"/>
    <w:rsid w:val="00AA28D3"/>
    <w:rsid w:val="00AA2976"/>
    <w:rsid w:val="00AA29DD"/>
    <w:rsid w:val="00AA29E1"/>
    <w:rsid w:val="00AA2A53"/>
    <w:rsid w:val="00AA2AF7"/>
    <w:rsid w:val="00AA2B2A"/>
    <w:rsid w:val="00AA2B37"/>
    <w:rsid w:val="00AA2B49"/>
    <w:rsid w:val="00AA2BAB"/>
    <w:rsid w:val="00AA2C9B"/>
    <w:rsid w:val="00AA2DB2"/>
    <w:rsid w:val="00AA2DBB"/>
    <w:rsid w:val="00AA2E11"/>
    <w:rsid w:val="00AA2E23"/>
    <w:rsid w:val="00AA2E4C"/>
    <w:rsid w:val="00AA2E4E"/>
    <w:rsid w:val="00AA3053"/>
    <w:rsid w:val="00AA31FD"/>
    <w:rsid w:val="00AA3233"/>
    <w:rsid w:val="00AA32B7"/>
    <w:rsid w:val="00AA3338"/>
    <w:rsid w:val="00AA3422"/>
    <w:rsid w:val="00AA3481"/>
    <w:rsid w:val="00AA3734"/>
    <w:rsid w:val="00AA373F"/>
    <w:rsid w:val="00AA376E"/>
    <w:rsid w:val="00AA3787"/>
    <w:rsid w:val="00AA37F4"/>
    <w:rsid w:val="00AA3852"/>
    <w:rsid w:val="00AA38C4"/>
    <w:rsid w:val="00AA3943"/>
    <w:rsid w:val="00AA3998"/>
    <w:rsid w:val="00AA3A13"/>
    <w:rsid w:val="00AA3A53"/>
    <w:rsid w:val="00AA3AA0"/>
    <w:rsid w:val="00AA3B77"/>
    <w:rsid w:val="00AA3C47"/>
    <w:rsid w:val="00AA3C48"/>
    <w:rsid w:val="00AA3CF8"/>
    <w:rsid w:val="00AA3E07"/>
    <w:rsid w:val="00AA3E61"/>
    <w:rsid w:val="00AA3F35"/>
    <w:rsid w:val="00AA3F63"/>
    <w:rsid w:val="00AA3FAB"/>
    <w:rsid w:val="00AA4131"/>
    <w:rsid w:val="00AA416E"/>
    <w:rsid w:val="00AA41EA"/>
    <w:rsid w:val="00AA4271"/>
    <w:rsid w:val="00AA4298"/>
    <w:rsid w:val="00AA42A5"/>
    <w:rsid w:val="00AA42AA"/>
    <w:rsid w:val="00AA42F3"/>
    <w:rsid w:val="00AA4330"/>
    <w:rsid w:val="00AA449D"/>
    <w:rsid w:val="00AA450B"/>
    <w:rsid w:val="00AA462E"/>
    <w:rsid w:val="00AA4769"/>
    <w:rsid w:val="00AA47F8"/>
    <w:rsid w:val="00AA48D4"/>
    <w:rsid w:val="00AA48F8"/>
    <w:rsid w:val="00AA4A10"/>
    <w:rsid w:val="00AA4AA2"/>
    <w:rsid w:val="00AA4AEE"/>
    <w:rsid w:val="00AA4B6F"/>
    <w:rsid w:val="00AA4CB7"/>
    <w:rsid w:val="00AA4CD3"/>
    <w:rsid w:val="00AA4D8C"/>
    <w:rsid w:val="00AA4E23"/>
    <w:rsid w:val="00AA4E72"/>
    <w:rsid w:val="00AA4EB6"/>
    <w:rsid w:val="00AA4EF2"/>
    <w:rsid w:val="00AA4F97"/>
    <w:rsid w:val="00AA4FCF"/>
    <w:rsid w:val="00AA5018"/>
    <w:rsid w:val="00AA502C"/>
    <w:rsid w:val="00AA5081"/>
    <w:rsid w:val="00AA50ED"/>
    <w:rsid w:val="00AA5161"/>
    <w:rsid w:val="00AA5163"/>
    <w:rsid w:val="00AA518A"/>
    <w:rsid w:val="00AA51FE"/>
    <w:rsid w:val="00AA520C"/>
    <w:rsid w:val="00AA525B"/>
    <w:rsid w:val="00AA534C"/>
    <w:rsid w:val="00AA53B8"/>
    <w:rsid w:val="00AA53CE"/>
    <w:rsid w:val="00AA5581"/>
    <w:rsid w:val="00AA55F5"/>
    <w:rsid w:val="00AA56DE"/>
    <w:rsid w:val="00AA57B4"/>
    <w:rsid w:val="00AA5808"/>
    <w:rsid w:val="00AA581A"/>
    <w:rsid w:val="00AA58E4"/>
    <w:rsid w:val="00AA5A2B"/>
    <w:rsid w:val="00AA5AE1"/>
    <w:rsid w:val="00AA5B1E"/>
    <w:rsid w:val="00AA5D18"/>
    <w:rsid w:val="00AA5D67"/>
    <w:rsid w:val="00AA5FF7"/>
    <w:rsid w:val="00AA6063"/>
    <w:rsid w:val="00AA616B"/>
    <w:rsid w:val="00AA621A"/>
    <w:rsid w:val="00AA62D5"/>
    <w:rsid w:val="00AA644F"/>
    <w:rsid w:val="00AA64D6"/>
    <w:rsid w:val="00AA64F8"/>
    <w:rsid w:val="00AA65D1"/>
    <w:rsid w:val="00AA667D"/>
    <w:rsid w:val="00AA667F"/>
    <w:rsid w:val="00AA66A7"/>
    <w:rsid w:val="00AA66E8"/>
    <w:rsid w:val="00AA670C"/>
    <w:rsid w:val="00AA6755"/>
    <w:rsid w:val="00AA67C0"/>
    <w:rsid w:val="00AA6822"/>
    <w:rsid w:val="00AA683B"/>
    <w:rsid w:val="00AA68AF"/>
    <w:rsid w:val="00AA6920"/>
    <w:rsid w:val="00AA6982"/>
    <w:rsid w:val="00AA69A4"/>
    <w:rsid w:val="00AA6A5D"/>
    <w:rsid w:val="00AA6A97"/>
    <w:rsid w:val="00AA6B2D"/>
    <w:rsid w:val="00AA6BB1"/>
    <w:rsid w:val="00AA6BBD"/>
    <w:rsid w:val="00AA6E1F"/>
    <w:rsid w:val="00AA6E85"/>
    <w:rsid w:val="00AA6F73"/>
    <w:rsid w:val="00AA7019"/>
    <w:rsid w:val="00AA7021"/>
    <w:rsid w:val="00AA70C5"/>
    <w:rsid w:val="00AA7174"/>
    <w:rsid w:val="00AA7183"/>
    <w:rsid w:val="00AA71E2"/>
    <w:rsid w:val="00AA720D"/>
    <w:rsid w:val="00AA723E"/>
    <w:rsid w:val="00AA7383"/>
    <w:rsid w:val="00AA741A"/>
    <w:rsid w:val="00AA7439"/>
    <w:rsid w:val="00AA746E"/>
    <w:rsid w:val="00AA7495"/>
    <w:rsid w:val="00AA750D"/>
    <w:rsid w:val="00AA751A"/>
    <w:rsid w:val="00AA7527"/>
    <w:rsid w:val="00AA752D"/>
    <w:rsid w:val="00AA7539"/>
    <w:rsid w:val="00AA76DA"/>
    <w:rsid w:val="00AA772D"/>
    <w:rsid w:val="00AA77EE"/>
    <w:rsid w:val="00AA780A"/>
    <w:rsid w:val="00AA784C"/>
    <w:rsid w:val="00AA7870"/>
    <w:rsid w:val="00AA799D"/>
    <w:rsid w:val="00AA7A60"/>
    <w:rsid w:val="00AA7AA1"/>
    <w:rsid w:val="00AA7AB0"/>
    <w:rsid w:val="00AA7AFD"/>
    <w:rsid w:val="00AA7C06"/>
    <w:rsid w:val="00AA7CCB"/>
    <w:rsid w:val="00AA7D00"/>
    <w:rsid w:val="00AA7D47"/>
    <w:rsid w:val="00AA7F69"/>
    <w:rsid w:val="00AA7FAC"/>
    <w:rsid w:val="00AB0081"/>
    <w:rsid w:val="00AB0096"/>
    <w:rsid w:val="00AB0261"/>
    <w:rsid w:val="00AB02DA"/>
    <w:rsid w:val="00AB030F"/>
    <w:rsid w:val="00AB0320"/>
    <w:rsid w:val="00AB0354"/>
    <w:rsid w:val="00AB0438"/>
    <w:rsid w:val="00AB04AD"/>
    <w:rsid w:val="00AB058A"/>
    <w:rsid w:val="00AB0601"/>
    <w:rsid w:val="00AB065E"/>
    <w:rsid w:val="00AB069A"/>
    <w:rsid w:val="00AB078B"/>
    <w:rsid w:val="00AB07CA"/>
    <w:rsid w:val="00AB0801"/>
    <w:rsid w:val="00AB0807"/>
    <w:rsid w:val="00AB08D4"/>
    <w:rsid w:val="00AB08DB"/>
    <w:rsid w:val="00AB0907"/>
    <w:rsid w:val="00AB0970"/>
    <w:rsid w:val="00AB09D1"/>
    <w:rsid w:val="00AB0A21"/>
    <w:rsid w:val="00AB0A54"/>
    <w:rsid w:val="00AB0A8B"/>
    <w:rsid w:val="00AB0B3C"/>
    <w:rsid w:val="00AB0C1B"/>
    <w:rsid w:val="00AB0C4E"/>
    <w:rsid w:val="00AB0CE6"/>
    <w:rsid w:val="00AB0DF8"/>
    <w:rsid w:val="00AB0ED3"/>
    <w:rsid w:val="00AB0FB6"/>
    <w:rsid w:val="00AB108A"/>
    <w:rsid w:val="00AB109B"/>
    <w:rsid w:val="00AB1123"/>
    <w:rsid w:val="00AB112E"/>
    <w:rsid w:val="00AB11AF"/>
    <w:rsid w:val="00AB11B0"/>
    <w:rsid w:val="00AB12C0"/>
    <w:rsid w:val="00AB1342"/>
    <w:rsid w:val="00AB1415"/>
    <w:rsid w:val="00AB142A"/>
    <w:rsid w:val="00AB1455"/>
    <w:rsid w:val="00AB1472"/>
    <w:rsid w:val="00AB151D"/>
    <w:rsid w:val="00AB153F"/>
    <w:rsid w:val="00AB15DB"/>
    <w:rsid w:val="00AB15EB"/>
    <w:rsid w:val="00AB15EF"/>
    <w:rsid w:val="00AB1669"/>
    <w:rsid w:val="00AB167C"/>
    <w:rsid w:val="00AB1690"/>
    <w:rsid w:val="00AB180E"/>
    <w:rsid w:val="00AB1897"/>
    <w:rsid w:val="00AB18F6"/>
    <w:rsid w:val="00AB19D4"/>
    <w:rsid w:val="00AB1AD1"/>
    <w:rsid w:val="00AB1B00"/>
    <w:rsid w:val="00AB1BF8"/>
    <w:rsid w:val="00AB1C14"/>
    <w:rsid w:val="00AB1C49"/>
    <w:rsid w:val="00AB1D1F"/>
    <w:rsid w:val="00AB1D52"/>
    <w:rsid w:val="00AB1D59"/>
    <w:rsid w:val="00AB1E44"/>
    <w:rsid w:val="00AB1E9F"/>
    <w:rsid w:val="00AB1EA6"/>
    <w:rsid w:val="00AB1F71"/>
    <w:rsid w:val="00AB224D"/>
    <w:rsid w:val="00AB22A0"/>
    <w:rsid w:val="00AB2320"/>
    <w:rsid w:val="00AB23A4"/>
    <w:rsid w:val="00AB243C"/>
    <w:rsid w:val="00AB2476"/>
    <w:rsid w:val="00AB2548"/>
    <w:rsid w:val="00AB256D"/>
    <w:rsid w:val="00AB259E"/>
    <w:rsid w:val="00AB26C6"/>
    <w:rsid w:val="00AB272B"/>
    <w:rsid w:val="00AB2753"/>
    <w:rsid w:val="00AB291F"/>
    <w:rsid w:val="00AB2966"/>
    <w:rsid w:val="00AB2A7B"/>
    <w:rsid w:val="00AB2D67"/>
    <w:rsid w:val="00AB2D85"/>
    <w:rsid w:val="00AB2F45"/>
    <w:rsid w:val="00AB2F86"/>
    <w:rsid w:val="00AB3094"/>
    <w:rsid w:val="00AB30DD"/>
    <w:rsid w:val="00AB30ED"/>
    <w:rsid w:val="00AB3127"/>
    <w:rsid w:val="00AB3217"/>
    <w:rsid w:val="00AB328A"/>
    <w:rsid w:val="00AB344D"/>
    <w:rsid w:val="00AB34A2"/>
    <w:rsid w:val="00AB3690"/>
    <w:rsid w:val="00AB3730"/>
    <w:rsid w:val="00AB3765"/>
    <w:rsid w:val="00AB3785"/>
    <w:rsid w:val="00AB392C"/>
    <w:rsid w:val="00AB393B"/>
    <w:rsid w:val="00AB3A0D"/>
    <w:rsid w:val="00AB3AD6"/>
    <w:rsid w:val="00AB3B87"/>
    <w:rsid w:val="00AB3BA5"/>
    <w:rsid w:val="00AB3BA8"/>
    <w:rsid w:val="00AB3C13"/>
    <w:rsid w:val="00AB3C20"/>
    <w:rsid w:val="00AB3C34"/>
    <w:rsid w:val="00AB3C5B"/>
    <w:rsid w:val="00AB3C75"/>
    <w:rsid w:val="00AB3CD8"/>
    <w:rsid w:val="00AB3D13"/>
    <w:rsid w:val="00AB3D44"/>
    <w:rsid w:val="00AB3E25"/>
    <w:rsid w:val="00AB3E3F"/>
    <w:rsid w:val="00AB3F0B"/>
    <w:rsid w:val="00AB40B5"/>
    <w:rsid w:val="00AB417A"/>
    <w:rsid w:val="00AB41D1"/>
    <w:rsid w:val="00AB4238"/>
    <w:rsid w:val="00AB42A5"/>
    <w:rsid w:val="00AB43F9"/>
    <w:rsid w:val="00AB442A"/>
    <w:rsid w:val="00AB4481"/>
    <w:rsid w:val="00AB451B"/>
    <w:rsid w:val="00AB455A"/>
    <w:rsid w:val="00AB4572"/>
    <w:rsid w:val="00AB4614"/>
    <w:rsid w:val="00AB4626"/>
    <w:rsid w:val="00AB4631"/>
    <w:rsid w:val="00AB4648"/>
    <w:rsid w:val="00AB4765"/>
    <w:rsid w:val="00AB4984"/>
    <w:rsid w:val="00AB4A6A"/>
    <w:rsid w:val="00AB4A99"/>
    <w:rsid w:val="00AB4B49"/>
    <w:rsid w:val="00AB4B7C"/>
    <w:rsid w:val="00AB4C19"/>
    <w:rsid w:val="00AB4C71"/>
    <w:rsid w:val="00AB4C9E"/>
    <w:rsid w:val="00AB4CA8"/>
    <w:rsid w:val="00AB4CB2"/>
    <w:rsid w:val="00AB4D2F"/>
    <w:rsid w:val="00AB4DE4"/>
    <w:rsid w:val="00AB4DEE"/>
    <w:rsid w:val="00AB4E67"/>
    <w:rsid w:val="00AB4EBC"/>
    <w:rsid w:val="00AB5049"/>
    <w:rsid w:val="00AB5055"/>
    <w:rsid w:val="00AB505C"/>
    <w:rsid w:val="00AB508A"/>
    <w:rsid w:val="00AB50E5"/>
    <w:rsid w:val="00AB5127"/>
    <w:rsid w:val="00AB5159"/>
    <w:rsid w:val="00AB51A7"/>
    <w:rsid w:val="00AB51BF"/>
    <w:rsid w:val="00AB5274"/>
    <w:rsid w:val="00AB5339"/>
    <w:rsid w:val="00AB551D"/>
    <w:rsid w:val="00AB5528"/>
    <w:rsid w:val="00AB5655"/>
    <w:rsid w:val="00AB5665"/>
    <w:rsid w:val="00AB5669"/>
    <w:rsid w:val="00AB56C7"/>
    <w:rsid w:val="00AB56C9"/>
    <w:rsid w:val="00AB574F"/>
    <w:rsid w:val="00AB5773"/>
    <w:rsid w:val="00AB587A"/>
    <w:rsid w:val="00AB58C8"/>
    <w:rsid w:val="00AB58F8"/>
    <w:rsid w:val="00AB5A98"/>
    <w:rsid w:val="00AB5CA3"/>
    <w:rsid w:val="00AB5E0A"/>
    <w:rsid w:val="00AB5E18"/>
    <w:rsid w:val="00AB5E5A"/>
    <w:rsid w:val="00AB5F54"/>
    <w:rsid w:val="00AB6023"/>
    <w:rsid w:val="00AB60C1"/>
    <w:rsid w:val="00AB60F2"/>
    <w:rsid w:val="00AB622B"/>
    <w:rsid w:val="00AB6332"/>
    <w:rsid w:val="00AB63A9"/>
    <w:rsid w:val="00AB640C"/>
    <w:rsid w:val="00AB641B"/>
    <w:rsid w:val="00AB6445"/>
    <w:rsid w:val="00AB6495"/>
    <w:rsid w:val="00AB6630"/>
    <w:rsid w:val="00AB6677"/>
    <w:rsid w:val="00AB66C6"/>
    <w:rsid w:val="00AB6741"/>
    <w:rsid w:val="00AB67D1"/>
    <w:rsid w:val="00AB67FF"/>
    <w:rsid w:val="00AB6899"/>
    <w:rsid w:val="00AB6934"/>
    <w:rsid w:val="00AB6A15"/>
    <w:rsid w:val="00AB6A24"/>
    <w:rsid w:val="00AB6B3C"/>
    <w:rsid w:val="00AB6BD4"/>
    <w:rsid w:val="00AB6C12"/>
    <w:rsid w:val="00AB6D59"/>
    <w:rsid w:val="00AB6E3D"/>
    <w:rsid w:val="00AB6FB9"/>
    <w:rsid w:val="00AB6FC2"/>
    <w:rsid w:val="00AB6FD8"/>
    <w:rsid w:val="00AB704D"/>
    <w:rsid w:val="00AB7057"/>
    <w:rsid w:val="00AB7095"/>
    <w:rsid w:val="00AB7105"/>
    <w:rsid w:val="00AB71E4"/>
    <w:rsid w:val="00AB720B"/>
    <w:rsid w:val="00AB724D"/>
    <w:rsid w:val="00AB72E4"/>
    <w:rsid w:val="00AB730D"/>
    <w:rsid w:val="00AB7311"/>
    <w:rsid w:val="00AB7347"/>
    <w:rsid w:val="00AB7404"/>
    <w:rsid w:val="00AB7452"/>
    <w:rsid w:val="00AB74EB"/>
    <w:rsid w:val="00AB74F8"/>
    <w:rsid w:val="00AB75A1"/>
    <w:rsid w:val="00AB77F9"/>
    <w:rsid w:val="00AB7810"/>
    <w:rsid w:val="00AB788C"/>
    <w:rsid w:val="00AB78B0"/>
    <w:rsid w:val="00AB78D2"/>
    <w:rsid w:val="00AB78F5"/>
    <w:rsid w:val="00AB79A6"/>
    <w:rsid w:val="00AB7A24"/>
    <w:rsid w:val="00AB7A7C"/>
    <w:rsid w:val="00AB7A8F"/>
    <w:rsid w:val="00AB7AC4"/>
    <w:rsid w:val="00AB7AD6"/>
    <w:rsid w:val="00AB7C5C"/>
    <w:rsid w:val="00AB7C70"/>
    <w:rsid w:val="00AB7D9F"/>
    <w:rsid w:val="00AB7E05"/>
    <w:rsid w:val="00AB7E7D"/>
    <w:rsid w:val="00AB7F38"/>
    <w:rsid w:val="00AB7F62"/>
    <w:rsid w:val="00AB7F7C"/>
    <w:rsid w:val="00AC0042"/>
    <w:rsid w:val="00AC02BF"/>
    <w:rsid w:val="00AC0348"/>
    <w:rsid w:val="00AC0354"/>
    <w:rsid w:val="00AC03F0"/>
    <w:rsid w:val="00AC05A2"/>
    <w:rsid w:val="00AC05B7"/>
    <w:rsid w:val="00AC07B3"/>
    <w:rsid w:val="00AC07DC"/>
    <w:rsid w:val="00AC088F"/>
    <w:rsid w:val="00AC097B"/>
    <w:rsid w:val="00AC0986"/>
    <w:rsid w:val="00AC0A42"/>
    <w:rsid w:val="00AC0A83"/>
    <w:rsid w:val="00AC0BA8"/>
    <w:rsid w:val="00AC0C08"/>
    <w:rsid w:val="00AC0C82"/>
    <w:rsid w:val="00AC0CD3"/>
    <w:rsid w:val="00AC0DA3"/>
    <w:rsid w:val="00AC0E90"/>
    <w:rsid w:val="00AC0FEC"/>
    <w:rsid w:val="00AC10C3"/>
    <w:rsid w:val="00AC11D2"/>
    <w:rsid w:val="00AC141C"/>
    <w:rsid w:val="00AC1501"/>
    <w:rsid w:val="00AC1518"/>
    <w:rsid w:val="00AC15F4"/>
    <w:rsid w:val="00AC175D"/>
    <w:rsid w:val="00AC18BE"/>
    <w:rsid w:val="00AC190D"/>
    <w:rsid w:val="00AC1990"/>
    <w:rsid w:val="00AC19DA"/>
    <w:rsid w:val="00AC1A91"/>
    <w:rsid w:val="00AC1AE9"/>
    <w:rsid w:val="00AC1C08"/>
    <w:rsid w:val="00AC1C60"/>
    <w:rsid w:val="00AC1D0E"/>
    <w:rsid w:val="00AC1D7A"/>
    <w:rsid w:val="00AC1DBC"/>
    <w:rsid w:val="00AC1E74"/>
    <w:rsid w:val="00AC1F7A"/>
    <w:rsid w:val="00AC2028"/>
    <w:rsid w:val="00AC21A2"/>
    <w:rsid w:val="00AC221F"/>
    <w:rsid w:val="00AC231E"/>
    <w:rsid w:val="00AC2328"/>
    <w:rsid w:val="00AC233E"/>
    <w:rsid w:val="00AC2446"/>
    <w:rsid w:val="00AC249C"/>
    <w:rsid w:val="00AC24B8"/>
    <w:rsid w:val="00AC24D2"/>
    <w:rsid w:val="00AC25A3"/>
    <w:rsid w:val="00AC25ED"/>
    <w:rsid w:val="00AC25EE"/>
    <w:rsid w:val="00AC25F4"/>
    <w:rsid w:val="00AC272B"/>
    <w:rsid w:val="00AC27B9"/>
    <w:rsid w:val="00AC280F"/>
    <w:rsid w:val="00AC2841"/>
    <w:rsid w:val="00AC287A"/>
    <w:rsid w:val="00AC2953"/>
    <w:rsid w:val="00AC2A08"/>
    <w:rsid w:val="00AC2A21"/>
    <w:rsid w:val="00AC2A2C"/>
    <w:rsid w:val="00AC2A38"/>
    <w:rsid w:val="00AC2B10"/>
    <w:rsid w:val="00AC2CDC"/>
    <w:rsid w:val="00AC2CF3"/>
    <w:rsid w:val="00AC2D58"/>
    <w:rsid w:val="00AC2E29"/>
    <w:rsid w:val="00AC2E61"/>
    <w:rsid w:val="00AC2F34"/>
    <w:rsid w:val="00AC2FA4"/>
    <w:rsid w:val="00AC3036"/>
    <w:rsid w:val="00AC31CA"/>
    <w:rsid w:val="00AC329F"/>
    <w:rsid w:val="00AC32E3"/>
    <w:rsid w:val="00AC3303"/>
    <w:rsid w:val="00AC33A9"/>
    <w:rsid w:val="00AC33AE"/>
    <w:rsid w:val="00AC344B"/>
    <w:rsid w:val="00AC3491"/>
    <w:rsid w:val="00AC350A"/>
    <w:rsid w:val="00AC3553"/>
    <w:rsid w:val="00AC3725"/>
    <w:rsid w:val="00AC3774"/>
    <w:rsid w:val="00AC38BC"/>
    <w:rsid w:val="00AC3914"/>
    <w:rsid w:val="00AC3920"/>
    <w:rsid w:val="00AC3931"/>
    <w:rsid w:val="00AC394F"/>
    <w:rsid w:val="00AC39B6"/>
    <w:rsid w:val="00AC39C5"/>
    <w:rsid w:val="00AC3AC0"/>
    <w:rsid w:val="00AC3AEE"/>
    <w:rsid w:val="00AC3B49"/>
    <w:rsid w:val="00AC3B61"/>
    <w:rsid w:val="00AC3BC7"/>
    <w:rsid w:val="00AC3D17"/>
    <w:rsid w:val="00AC3E23"/>
    <w:rsid w:val="00AC3E8B"/>
    <w:rsid w:val="00AC3F10"/>
    <w:rsid w:val="00AC3F1D"/>
    <w:rsid w:val="00AC3F58"/>
    <w:rsid w:val="00AC3F99"/>
    <w:rsid w:val="00AC3FB7"/>
    <w:rsid w:val="00AC41AB"/>
    <w:rsid w:val="00AC4236"/>
    <w:rsid w:val="00AC4252"/>
    <w:rsid w:val="00AC42B6"/>
    <w:rsid w:val="00AC432D"/>
    <w:rsid w:val="00AC4344"/>
    <w:rsid w:val="00AC4376"/>
    <w:rsid w:val="00AC4394"/>
    <w:rsid w:val="00AC439E"/>
    <w:rsid w:val="00AC43BF"/>
    <w:rsid w:val="00AC43F6"/>
    <w:rsid w:val="00AC44C4"/>
    <w:rsid w:val="00AC4574"/>
    <w:rsid w:val="00AC464A"/>
    <w:rsid w:val="00AC4799"/>
    <w:rsid w:val="00AC47D5"/>
    <w:rsid w:val="00AC4931"/>
    <w:rsid w:val="00AC495D"/>
    <w:rsid w:val="00AC4A31"/>
    <w:rsid w:val="00AC4B47"/>
    <w:rsid w:val="00AC4C56"/>
    <w:rsid w:val="00AC4C6C"/>
    <w:rsid w:val="00AC4D86"/>
    <w:rsid w:val="00AC4F55"/>
    <w:rsid w:val="00AC514C"/>
    <w:rsid w:val="00AC518A"/>
    <w:rsid w:val="00AC528F"/>
    <w:rsid w:val="00AC529F"/>
    <w:rsid w:val="00AC52A6"/>
    <w:rsid w:val="00AC53CA"/>
    <w:rsid w:val="00AC546D"/>
    <w:rsid w:val="00AC5564"/>
    <w:rsid w:val="00AC5633"/>
    <w:rsid w:val="00AC563C"/>
    <w:rsid w:val="00AC5715"/>
    <w:rsid w:val="00AC572D"/>
    <w:rsid w:val="00AC5758"/>
    <w:rsid w:val="00AC576F"/>
    <w:rsid w:val="00AC57A6"/>
    <w:rsid w:val="00AC57CE"/>
    <w:rsid w:val="00AC5816"/>
    <w:rsid w:val="00AC586D"/>
    <w:rsid w:val="00AC58F8"/>
    <w:rsid w:val="00AC5953"/>
    <w:rsid w:val="00AC595B"/>
    <w:rsid w:val="00AC5B00"/>
    <w:rsid w:val="00AC5B19"/>
    <w:rsid w:val="00AC5B32"/>
    <w:rsid w:val="00AC5B6E"/>
    <w:rsid w:val="00AC5C12"/>
    <w:rsid w:val="00AC5D5B"/>
    <w:rsid w:val="00AC5EB2"/>
    <w:rsid w:val="00AC5EDB"/>
    <w:rsid w:val="00AC601E"/>
    <w:rsid w:val="00AC60F1"/>
    <w:rsid w:val="00AC6166"/>
    <w:rsid w:val="00AC6189"/>
    <w:rsid w:val="00AC62F2"/>
    <w:rsid w:val="00AC646C"/>
    <w:rsid w:val="00AC64C7"/>
    <w:rsid w:val="00AC6552"/>
    <w:rsid w:val="00AC6559"/>
    <w:rsid w:val="00AC6586"/>
    <w:rsid w:val="00AC659B"/>
    <w:rsid w:val="00AC65EB"/>
    <w:rsid w:val="00AC6635"/>
    <w:rsid w:val="00AC675A"/>
    <w:rsid w:val="00AC675E"/>
    <w:rsid w:val="00AC6770"/>
    <w:rsid w:val="00AC6890"/>
    <w:rsid w:val="00AC68CA"/>
    <w:rsid w:val="00AC6986"/>
    <w:rsid w:val="00AC6B98"/>
    <w:rsid w:val="00AC6C34"/>
    <w:rsid w:val="00AC6C46"/>
    <w:rsid w:val="00AC6C5E"/>
    <w:rsid w:val="00AC6C8A"/>
    <w:rsid w:val="00AC6E5E"/>
    <w:rsid w:val="00AC6E7D"/>
    <w:rsid w:val="00AC6EDC"/>
    <w:rsid w:val="00AC6EF1"/>
    <w:rsid w:val="00AC6F11"/>
    <w:rsid w:val="00AC6F22"/>
    <w:rsid w:val="00AC6F3A"/>
    <w:rsid w:val="00AC6F7A"/>
    <w:rsid w:val="00AC6FAD"/>
    <w:rsid w:val="00AC7085"/>
    <w:rsid w:val="00AC7165"/>
    <w:rsid w:val="00AC71E5"/>
    <w:rsid w:val="00AC72E9"/>
    <w:rsid w:val="00AC7387"/>
    <w:rsid w:val="00AC746F"/>
    <w:rsid w:val="00AC7526"/>
    <w:rsid w:val="00AC7542"/>
    <w:rsid w:val="00AC7691"/>
    <w:rsid w:val="00AC76AE"/>
    <w:rsid w:val="00AC77A6"/>
    <w:rsid w:val="00AC77A9"/>
    <w:rsid w:val="00AC77CE"/>
    <w:rsid w:val="00AC7898"/>
    <w:rsid w:val="00AC7A80"/>
    <w:rsid w:val="00AC7B4F"/>
    <w:rsid w:val="00AC7B68"/>
    <w:rsid w:val="00AC7BA3"/>
    <w:rsid w:val="00AC7BBB"/>
    <w:rsid w:val="00AC7C24"/>
    <w:rsid w:val="00AC7C5E"/>
    <w:rsid w:val="00AC7C85"/>
    <w:rsid w:val="00AC7DA6"/>
    <w:rsid w:val="00AC7DE8"/>
    <w:rsid w:val="00AC7E95"/>
    <w:rsid w:val="00AD005F"/>
    <w:rsid w:val="00AD01CA"/>
    <w:rsid w:val="00AD01CD"/>
    <w:rsid w:val="00AD0202"/>
    <w:rsid w:val="00AD0216"/>
    <w:rsid w:val="00AD0289"/>
    <w:rsid w:val="00AD03CF"/>
    <w:rsid w:val="00AD046D"/>
    <w:rsid w:val="00AD04BA"/>
    <w:rsid w:val="00AD04E9"/>
    <w:rsid w:val="00AD05E7"/>
    <w:rsid w:val="00AD05E8"/>
    <w:rsid w:val="00AD069D"/>
    <w:rsid w:val="00AD0719"/>
    <w:rsid w:val="00AD07B0"/>
    <w:rsid w:val="00AD086D"/>
    <w:rsid w:val="00AD09FB"/>
    <w:rsid w:val="00AD0A79"/>
    <w:rsid w:val="00AD0AD2"/>
    <w:rsid w:val="00AD0B80"/>
    <w:rsid w:val="00AD0B99"/>
    <w:rsid w:val="00AD0BC0"/>
    <w:rsid w:val="00AD0BE9"/>
    <w:rsid w:val="00AD0C7B"/>
    <w:rsid w:val="00AD0D43"/>
    <w:rsid w:val="00AD0D66"/>
    <w:rsid w:val="00AD0DBF"/>
    <w:rsid w:val="00AD0E1A"/>
    <w:rsid w:val="00AD0E3A"/>
    <w:rsid w:val="00AD0FC0"/>
    <w:rsid w:val="00AD1032"/>
    <w:rsid w:val="00AD107B"/>
    <w:rsid w:val="00AD10B2"/>
    <w:rsid w:val="00AD11D8"/>
    <w:rsid w:val="00AD1296"/>
    <w:rsid w:val="00AD1297"/>
    <w:rsid w:val="00AD129B"/>
    <w:rsid w:val="00AD135C"/>
    <w:rsid w:val="00AD1377"/>
    <w:rsid w:val="00AD14F9"/>
    <w:rsid w:val="00AD1512"/>
    <w:rsid w:val="00AD15A8"/>
    <w:rsid w:val="00AD15CF"/>
    <w:rsid w:val="00AD15DB"/>
    <w:rsid w:val="00AD15DE"/>
    <w:rsid w:val="00AD1651"/>
    <w:rsid w:val="00AD16C3"/>
    <w:rsid w:val="00AD16E8"/>
    <w:rsid w:val="00AD1726"/>
    <w:rsid w:val="00AD17E3"/>
    <w:rsid w:val="00AD180E"/>
    <w:rsid w:val="00AD183A"/>
    <w:rsid w:val="00AD183B"/>
    <w:rsid w:val="00AD1870"/>
    <w:rsid w:val="00AD190F"/>
    <w:rsid w:val="00AD197D"/>
    <w:rsid w:val="00AD1A3E"/>
    <w:rsid w:val="00AD1AD8"/>
    <w:rsid w:val="00AD1AF0"/>
    <w:rsid w:val="00AD1B12"/>
    <w:rsid w:val="00AD1B5C"/>
    <w:rsid w:val="00AD1BA9"/>
    <w:rsid w:val="00AD1BAD"/>
    <w:rsid w:val="00AD1BEC"/>
    <w:rsid w:val="00AD1C7E"/>
    <w:rsid w:val="00AD1CE1"/>
    <w:rsid w:val="00AD1D13"/>
    <w:rsid w:val="00AD1D58"/>
    <w:rsid w:val="00AD1E76"/>
    <w:rsid w:val="00AD1F3C"/>
    <w:rsid w:val="00AD1F60"/>
    <w:rsid w:val="00AD1F9E"/>
    <w:rsid w:val="00AD1FAF"/>
    <w:rsid w:val="00AD206B"/>
    <w:rsid w:val="00AD20F2"/>
    <w:rsid w:val="00AD2210"/>
    <w:rsid w:val="00AD22C2"/>
    <w:rsid w:val="00AD2303"/>
    <w:rsid w:val="00AD2326"/>
    <w:rsid w:val="00AD2350"/>
    <w:rsid w:val="00AD23DA"/>
    <w:rsid w:val="00AD241B"/>
    <w:rsid w:val="00AD24E9"/>
    <w:rsid w:val="00AD259A"/>
    <w:rsid w:val="00AD25FB"/>
    <w:rsid w:val="00AD26C0"/>
    <w:rsid w:val="00AD26E8"/>
    <w:rsid w:val="00AD271F"/>
    <w:rsid w:val="00AD27B3"/>
    <w:rsid w:val="00AD27D4"/>
    <w:rsid w:val="00AD28FA"/>
    <w:rsid w:val="00AD2919"/>
    <w:rsid w:val="00AD29ED"/>
    <w:rsid w:val="00AD2A0A"/>
    <w:rsid w:val="00AD2AA5"/>
    <w:rsid w:val="00AD2B1F"/>
    <w:rsid w:val="00AD2B36"/>
    <w:rsid w:val="00AD2E05"/>
    <w:rsid w:val="00AD2ECD"/>
    <w:rsid w:val="00AD2F78"/>
    <w:rsid w:val="00AD3054"/>
    <w:rsid w:val="00AD3078"/>
    <w:rsid w:val="00AD317E"/>
    <w:rsid w:val="00AD31BC"/>
    <w:rsid w:val="00AD32EA"/>
    <w:rsid w:val="00AD347B"/>
    <w:rsid w:val="00AD34CF"/>
    <w:rsid w:val="00AD350D"/>
    <w:rsid w:val="00AD3569"/>
    <w:rsid w:val="00AD35F8"/>
    <w:rsid w:val="00AD3627"/>
    <w:rsid w:val="00AD3718"/>
    <w:rsid w:val="00AD375B"/>
    <w:rsid w:val="00AD3A56"/>
    <w:rsid w:val="00AD3AAF"/>
    <w:rsid w:val="00AD3AEF"/>
    <w:rsid w:val="00AD3B51"/>
    <w:rsid w:val="00AD3C7F"/>
    <w:rsid w:val="00AD3CC0"/>
    <w:rsid w:val="00AD3CEA"/>
    <w:rsid w:val="00AD3D90"/>
    <w:rsid w:val="00AD3E08"/>
    <w:rsid w:val="00AD3E1B"/>
    <w:rsid w:val="00AD3E43"/>
    <w:rsid w:val="00AD3E4F"/>
    <w:rsid w:val="00AD3E55"/>
    <w:rsid w:val="00AD3F2C"/>
    <w:rsid w:val="00AD3F88"/>
    <w:rsid w:val="00AD403C"/>
    <w:rsid w:val="00AD4060"/>
    <w:rsid w:val="00AD4069"/>
    <w:rsid w:val="00AD40BC"/>
    <w:rsid w:val="00AD40D0"/>
    <w:rsid w:val="00AD40FD"/>
    <w:rsid w:val="00AD4118"/>
    <w:rsid w:val="00AD4162"/>
    <w:rsid w:val="00AD41A5"/>
    <w:rsid w:val="00AD4269"/>
    <w:rsid w:val="00AD44B0"/>
    <w:rsid w:val="00AD44DF"/>
    <w:rsid w:val="00AD4543"/>
    <w:rsid w:val="00AD45C4"/>
    <w:rsid w:val="00AD4626"/>
    <w:rsid w:val="00AD46C7"/>
    <w:rsid w:val="00AD46E5"/>
    <w:rsid w:val="00AD4768"/>
    <w:rsid w:val="00AD47D4"/>
    <w:rsid w:val="00AD4812"/>
    <w:rsid w:val="00AD49C9"/>
    <w:rsid w:val="00AD49EB"/>
    <w:rsid w:val="00AD4A22"/>
    <w:rsid w:val="00AD4AE8"/>
    <w:rsid w:val="00AD4BB1"/>
    <w:rsid w:val="00AD4BC2"/>
    <w:rsid w:val="00AD4C30"/>
    <w:rsid w:val="00AD4D72"/>
    <w:rsid w:val="00AD4D96"/>
    <w:rsid w:val="00AD4DD7"/>
    <w:rsid w:val="00AD4E0E"/>
    <w:rsid w:val="00AD4E44"/>
    <w:rsid w:val="00AD4EB5"/>
    <w:rsid w:val="00AD4ED7"/>
    <w:rsid w:val="00AD4F56"/>
    <w:rsid w:val="00AD4F88"/>
    <w:rsid w:val="00AD4FED"/>
    <w:rsid w:val="00AD5108"/>
    <w:rsid w:val="00AD51AB"/>
    <w:rsid w:val="00AD51B6"/>
    <w:rsid w:val="00AD5203"/>
    <w:rsid w:val="00AD524D"/>
    <w:rsid w:val="00AD5250"/>
    <w:rsid w:val="00AD528E"/>
    <w:rsid w:val="00AD534A"/>
    <w:rsid w:val="00AD54A7"/>
    <w:rsid w:val="00AD54C9"/>
    <w:rsid w:val="00AD553C"/>
    <w:rsid w:val="00AD55E9"/>
    <w:rsid w:val="00AD55FF"/>
    <w:rsid w:val="00AD5629"/>
    <w:rsid w:val="00AD5653"/>
    <w:rsid w:val="00AD56AF"/>
    <w:rsid w:val="00AD5757"/>
    <w:rsid w:val="00AD584B"/>
    <w:rsid w:val="00AD592F"/>
    <w:rsid w:val="00AD5933"/>
    <w:rsid w:val="00AD5AB2"/>
    <w:rsid w:val="00AD5AC3"/>
    <w:rsid w:val="00AD5B13"/>
    <w:rsid w:val="00AD5B90"/>
    <w:rsid w:val="00AD5BD5"/>
    <w:rsid w:val="00AD5BE9"/>
    <w:rsid w:val="00AD5BF1"/>
    <w:rsid w:val="00AD5CDC"/>
    <w:rsid w:val="00AD5E37"/>
    <w:rsid w:val="00AD5E55"/>
    <w:rsid w:val="00AD5EBC"/>
    <w:rsid w:val="00AD5F33"/>
    <w:rsid w:val="00AD5F67"/>
    <w:rsid w:val="00AD5F94"/>
    <w:rsid w:val="00AD5FB6"/>
    <w:rsid w:val="00AD607D"/>
    <w:rsid w:val="00AD6179"/>
    <w:rsid w:val="00AD630B"/>
    <w:rsid w:val="00AD63C4"/>
    <w:rsid w:val="00AD63C6"/>
    <w:rsid w:val="00AD6436"/>
    <w:rsid w:val="00AD6451"/>
    <w:rsid w:val="00AD6455"/>
    <w:rsid w:val="00AD6480"/>
    <w:rsid w:val="00AD6622"/>
    <w:rsid w:val="00AD6689"/>
    <w:rsid w:val="00AD6720"/>
    <w:rsid w:val="00AD678C"/>
    <w:rsid w:val="00AD6807"/>
    <w:rsid w:val="00AD6862"/>
    <w:rsid w:val="00AD6877"/>
    <w:rsid w:val="00AD68E4"/>
    <w:rsid w:val="00AD6943"/>
    <w:rsid w:val="00AD697C"/>
    <w:rsid w:val="00AD69C5"/>
    <w:rsid w:val="00AD69EB"/>
    <w:rsid w:val="00AD6A62"/>
    <w:rsid w:val="00AD6AA3"/>
    <w:rsid w:val="00AD6B6F"/>
    <w:rsid w:val="00AD6BD7"/>
    <w:rsid w:val="00AD6C87"/>
    <w:rsid w:val="00AD6D1D"/>
    <w:rsid w:val="00AD6DE6"/>
    <w:rsid w:val="00AD6DEC"/>
    <w:rsid w:val="00AD6E77"/>
    <w:rsid w:val="00AD6F1D"/>
    <w:rsid w:val="00AD6F80"/>
    <w:rsid w:val="00AD7009"/>
    <w:rsid w:val="00AD7084"/>
    <w:rsid w:val="00AD7088"/>
    <w:rsid w:val="00AD70CD"/>
    <w:rsid w:val="00AD7189"/>
    <w:rsid w:val="00AD7356"/>
    <w:rsid w:val="00AD7382"/>
    <w:rsid w:val="00AD73B4"/>
    <w:rsid w:val="00AD73E0"/>
    <w:rsid w:val="00AD7433"/>
    <w:rsid w:val="00AD744C"/>
    <w:rsid w:val="00AD74F0"/>
    <w:rsid w:val="00AD7518"/>
    <w:rsid w:val="00AD7587"/>
    <w:rsid w:val="00AD7599"/>
    <w:rsid w:val="00AD769C"/>
    <w:rsid w:val="00AD770B"/>
    <w:rsid w:val="00AD7776"/>
    <w:rsid w:val="00AD7860"/>
    <w:rsid w:val="00AD79AB"/>
    <w:rsid w:val="00AD7A79"/>
    <w:rsid w:val="00AD7AC3"/>
    <w:rsid w:val="00AD7B18"/>
    <w:rsid w:val="00AD7B40"/>
    <w:rsid w:val="00AD7B4F"/>
    <w:rsid w:val="00AD7BEC"/>
    <w:rsid w:val="00AD7C70"/>
    <w:rsid w:val="00AD7CB8"/>
    <w:rsid w:val="00AD7DD2"/>
    <w:rsid w:val="00AD7DFA"/>
    <w:rsid w:val="00AD7E25"/>
    <w:rsid w:val="00AD7E54"/>
    <w:rsid w:val="00AD7F23"/>
    <w:rsid w:val="00AD7F6C"/>
    <w:rsid w:val="00AE00B3"/>
    <w:rsid w:val="00AE0169"/>
    <w:rsid w:val="00AE01D1"/>
    <w:rsid w:val="00AE0214"/>
    <w:rsid w:val="00AE0227"/>
    <w:rsid w:val="00AE02A3"/>
    <w:rsid w:val="00AE02FD"/>
    <w:rsid w:val="00AE034F"/>
    <w:rsid w:val="00AE0461"/>
    <w:rsid w:val="00AE04A3"/>
    <w:rsid w:val="00AE04FA"/>
    <w:rsid w:val="00AE051C"/>
    <w:rsid w:val="00AE0670"/>
    <w:rsid w:val="00AE06B1"/>
    <w:rsid w:val="00AE0737"/>
    <w:rsid w:val="00AE076A"/>
    <w:rsid w:val="00AE0793"/>
    <w:rsid w:val="00AE0850"/>
    <w:rsid w:val="00AE0860"/>
    <w:rsid w:val="00AE08D6"/>
    <w:rsid w:val="00AE0A35"/>
    <w:rsid w:val="00AE0BA7"/>
    <w:rsid w:val="00AE0D0C"/>
    <w:rsid w:val="00AE0D6B"/>
    <w:rsid w:val="00AE0D9C"/>
    <w:rsid w:val="00AE0E10"/>
    <w:rsid w:val="00AE0E90"/>
    <w:rsid w:val="00AE0E9E"/>
    <w:rsid w:val="00AE0F49"/>
    <w:rsid w:val="00AE0F5A"/>
    <w:rsid w:val="00AE0FED"/>
    <w:rsid w:val="00AE11A8"/>
    <w:rsid w:val="00AE12A5"/>
    <w:rsid w:val="00AE132C"/>
    <w:rsid w:val="00AE1493"/>
    <w:rsid w:val="00AE1567"/>
    <w:rsid w:val="00AE157D"/>
    <w:rsid w:val="00AE1591"/>
    <w:rsid w:val="00AE15C3"/>
    <w:rsid w:val="00AE1622"/>
    <w:rsid w:val="00AE162D"/>
    <w:rsid w:val="00AE175A"/>
    <w:rsid w:val="00AE178A"/>
    <w:rsid w:val="00AE17FF"/>
    <w:rsid w:val="00AE185A"/>
    <w:rsid w:val="00AE187D"/>
    <w:rsid w:val="00AE19DD"/>
    <w:rsid w:val="00AE1A7A"/>
    <w:rsid w:val="00AE1AAA"/>
    <w:rsid w:val="00AE1AF7"/>
    <w:rsid w:val="00AE1B0C"/>
    <w:rsid w:val="00AE1B1A"/>
    <w:rsid w:val="00AE1B56"/>
    <w:rsid w:val="00AE1BFF"/>
    <w:rsid w:val="00AE1CAF"/>
    <w:rsid w:val="00AE1CE3"/>
    <w:rsid w:val="00AE1DA2"/>
    <w:rsid w:val="00AE1DAE"/>
    <w:rsid w:val="00AE1DBD"/>
    <w:rsid w:val="00AE1DD3"/>
    <w:rsid w:val="00AE1EFD"/>
    <w:rsid w:val="00AE1F80"/>
    <w:rsid w:val="00AE1FAB"/>
    <w:rsid w:val="00AE1FFF"/>
    <w:rsid w:val="00AE2075"/>
    <w:rsid w:val="00AE217F"/>
    <w:rsid w:val="00AE21D8"/>
    <w:rsid w:val="00AE2225"/>
    <w:rsid w:val="00AE22B5"/>
    <w:rsid w:val="00AE231D"/>
    <w:rsid w:val="00AE2358"/>
    <w:rsid w:val="00AE2415"/>
    <w:rsid w:val="00AE2476"/>
    <w:rsid w:val="00AE24A8"/>
    <w:rsid w:val="00AE25C9"/>
    <w:rsid w:val="00AE26AA"/>
    <w:rsid w:val="00AE2718"/>
    <w:rsid w:val="00AE2761"/>
    <w:rsid w:val="00AE27C1"/>
    <w:rsid w:val="00AE283F"/>
    <w:rsid w:val="00AE2951"/>
    <w:rsid w:val="00AE2992"/>
    <w:rsid w:val="00AE2AF9"/>
    <w:rsid w:val="00AE2EE0"/>
    <w:rsid w:val="00AE2F7C"/>
    <w:rsid w:val="00AE2F7D"/>
    <w:rsid w:val="00AE2FC8"/>
    <w:rsid w:val="00AE305D"/>
    <w:rsid w:val="00AE3171"/>
    <w:rsid w:val="00AE3180"/>
    <w:rsid w:val="00AE3182"/>
    <w:rsid w:val="00AE31CE"/>
    <w:rsid w:val="00AE31E0"/>
    <w:rsid w:val="00AE321B"/>
    <w:rsid w:val="00AE324F"/>
    <w:rsid w:val="00AE32BF"/>
    <w:rsid w:val="00AE3326"/>
    <w:rsid w:val="00AE33B1"/>
    <w:rsid w:val="00AE3431"/>
    <w:rsid w:val="00AE3477"/>
    <w:rsid w:val="00AE3551"/>
    <w:rsid w:val="00AE3614"/>
    <w:rsid w:val="00AE3619"/>
    <w:rsid w:val="00AE3638"/>
    <w:rsid w:val="00AE367F"/>
    <w:rsid w:val="00AE3690"/>
    <w:rsid w:val="00AE3702"/>
    <w:rsid w:val="00AE373D"/>
    <w:rsid w:val="00AE3783"/>
    <w:rsid w:val="00AE37B1"/>
    <w:rsid w:val="00AE3941"/>
    <w:rsid w:val="00AE397C"/>
    <w:rsid w:val="00AE3985"/>
    <w:rsid w:val="00AE39DD"/>
    <w:rsid w:val="00AE39E4"/>
    <w:rsid w:val="00AE39F5"/>
    <w:rsid w:val="00AE3A82"/>
    <w:rsid w:val="00AE3C3A"/>
    <w:rsid w:val="00AE3D9C"/>
    <w:rsid w:val="00AE3E2E"/>
    <w:rsid w:val="00AE3E4C"/>
    <w:rsid w:val="00AE3EBC"/>
    <w:rsid w:val="00AE3EDC"/>
    <w:rsid w:val="00AE3FB5"/>
    <w:rsid w:val="00AE3FD1"/>
    <w:rsid w:val="00AE4011"/>
    <w:rsid w:val="00AE4090"/>
    <w:rsid w:val="00AE40F3"/>
    <w:rsid w:val="00AE41AA"/>
    <w:rsid w:val="00AE4208"/>
    <w:rsid w:val="00AE4230"/>
    <w:rsid w:val="00AE4362"/>
    <w:rsid w:val="00AE4387"/>
    <w:rsid w:val="00AE43CD"/>
    <w:rsid w:val="00AE43D0"/>
    <w:rsid w:val="00AE4426"/>
    <w:rsid w:val="00AE445A"/>
    <w:rsid w:val="00AE445D"/>
    <w:rsid w:val="00AE4481"/>
    <w:rsid w:val="00AE4486"/>
    <w:rsid w:val="00AE44CF"/>
    <w:rsid w:val="00AE456C"/>
    <w:rsid w:val="00AE4609"/>
    <w:rsid w:val="00AE46DD"/>
    <w:rsid w:val="00AE46F7"/>
    <w:rsid w:val="00AE4801"/>
    <w:rsid w:val="00AE4851"/>
    <w:rsid w:val="00AE48E4"/>
    <w:rsid w:val="00AE4974"/>
    <w:rsid w:val="00AE4997"/>
    <w:rsid w:val="00AE49BF"/>
    <w:rsid w:val="00AE4C19"/>
    <w:rsid w:val="00AE4C99"/>
    <w:rsid w:val="00AE4CF4"/>
    <w:rsid w:val="00AE4DB4"/>
    <w:rsid w:val="00AE4E04"/>
    <w:rsid w:val="00AE4E37"/>
    <w:rsid w:val="00AE4EBB"/>
    <w:rsid w:val="00AE4F36"/>
    <w:rsid w:val="00AE4F75"/>
    <w:rsid w:val="00AE5020"/>
    <w:rsid w:val="00AE515E"/>
    <w:rsid w:val="00AE5162"/>
    <w:rsid w:val="00AE5182"/>
    <w:rsid w:val="00AE5186"/>
    <w:rsid w:val="00AE5245"/>
    <w:rsid w:val="00AE527F"/>
    <w:rsid w:val="00AE52E9"/>
    <w:rsid w:val="00AE532A"/>
    <w:rsid w:val="00AE5364"/>
    <w:rsid w:val="00AE53C9"/>
    <w:rsid w:val="00AE53F9"/>
    <w:rsid w:val="00AE54AA"/>
    <w:rsid w:val="00AE5554"/>
    <w:rsid w:val="00AE556B"/>
    <w:rsid w:val="00AE557A"/>
    <w:rsid w:val="00AE5583"/>
    <w:rsid w:val="00AE576B"/>
    <w:rsid w:val="00AE5859"/>
    <w:rsid w:val="00AE58B0"/>
    <w:rsid w:val="00AE5941"/>
    <w:rsid w:val="00AE594E"/>
    <w:rsid w:val="00AE5955"/>
    <w:rsid w:val="00AE5A25"/>
    <w:rsid w:val="00AE5A6C"/>
    <w:rsid w:val="00AE5B14"/>
    <w:rsid w:val="00AE5B2D"/>
    <w:rsid w:val="00AE5C41"/>
    <w:rsid w:val="00AE5CFA"/>
    <w:rsid w:val="00AE5DBF"/>
    <w:rsid w:val="00AE5EE1"/>
    <w:rsid w:val="00AE5F05"/>
    <w:rsid w:val="00AE607A"/>
    <w:rsid w:val="00AE6098"/>
    <w:rsid w:val="00AE60C2"/>
    <w:rsid w:val="00AE6198"/>
    <w:rsid w:val="00AE62D6"/>
    <w:rsid w:val="00AE6313"/>
    <w:rsid w:val="00AE6314"/>
    <w:rsid w:val="00AE633E"/>
    <w:rsid w:val="00AE63BF"/>
    <w:rsid w:val="00AE63F9"/>
    <w:rsid w:val="00AE64C9"/>
    <w:rsid w:val="00AE64CE"/>
    <w:rsid w:val="00AE6523"/>
    <w:rsid w:val="00AE65B8"/>
    <w:rsid w:val="00AE660F"/>
    <w:rsid w:val="00AE6668"/>
    <w:rsid w:val="00AE66EF"/>
    <w:rsid w:val="00AE676C"/>
    <w:rsid w:val="00AE6828"/>
    <w:rsid w:val="00AE6863"/>
    <w:rsid w:val="00AE6975"/>
    <w:rsid w:val="00AE69D1"/>
    <w:rsid w:val="00AE6AED"/>
    <w:rsid w:val="00AE6B51"/>
    <w:rsid w:val="00AE6BA1"/>
    <w:rsid w:val="00AE6BB3"/>
    <w:rsid w:val="00AE6C40"/>
    <w:rsid w:val="00AE6CA4"/>
    <w:rsid w:val="00AE6CAF"/>
    <w:rsid w:val="00AE6CCA"/>
    <w:rsid w:val="00AE6DEF"/>
    <w:rsid w:val="00AE6E3C"/>
    <w:rsid w:val="00AE6F2D"/>
    <w:rsid w:val="00AE6FA9"/>
    <w:rsid w:val="00AE6FAC"/>
    <w:rsid w:val="00AE6FB1"/>
    <w:rsid w:val="00AE7397"/>
    <w:rsid w:val="00AE7466"/>
    <w:rsid w:val="00AE74F4"/>
    <w:rsid w:val="00AE758B"/>
    <w:rsid w:val="00AE75E3"/>
    <w:rsid w:val="00AE7630"/>
    <w:rsid w:val="00AE7759"/>
    <w:rsid w:val="00AE778B"/>
    <w:rsid w:val="00AE792B"/>
    <w:rsid w:val="00AE79A6"/>
    <w:rsid w:val="00AE7A18"/>
    <w:rsid w:val="00AE7A3F"/>
    <w:rsid w:val="00AE7A65"/>
    <w:rsid w:val="00AE7AB5"/>
    <w:rsid w:val="00AE7B56"/>
    <w:rsid w:val="00AE7B75"/>
    <w:rsid w:val="00AE7BDB"/>
    <w:rsid w:val="00AE7BEB"/>
    <w:rsid w:val="00AE7CD1"/>
    <w:rsid w:val="00AE7D44"/>
    <w:rsid w:val="00AE7D91"/>
    <w:rsid w:val="00AE7E08"/>
    <w:rsid w:val="00AE7EB9"/>
    <w:rsid w:val="00AE7F64"/>
    <w:rsid w:val="00AE7F88"/>
    <w:rsid w:val="00AF00A0"/>
    <w:rsid w:val="00AF0187"/>
    <w:rsid w:val="00AF01E0"/>
    <w:rsid w:val="00AF023E"/>
    <w:rsid w:val="00AF036C"/>
    <w:rsid w:val="00AF0394"/>
    <w:rsid w:val="00AF03EB"/>
    <w:rsid w:val="00AF0497"/>
    <w:rsid w:val="00AF04C3"/>
    <w:rsid w:val="00AF058E"/>
    <w:rsid w:val="00AF05B4"/>
    <w:rsid w:val="00AF0600"/>
    <w:rsid w:val="00AF073E"/>
    <w:rsid w:val="00AF077D"/>
    <w:rsid w:val="00AF07D4"/>
    <w:rsid w:val="00AF0839"/>
    <w:rsid w:val="00AF0890"/>
    <w:rsid w:val="00AF08CB"/>
    <w:rsid w:val="00AF09D6"/>
    <w:rsid w:val="00AF09F6"/>
    <w:rsid w:val="00AF0ACA"/>
    <w:rsid w:val="00AF0AF6"/>
    <w:rsid w:val="00AF0B30"/>
    <w:rsid w:val="00AF0B3B"/>
    <w:rsid w:val="00AF0B5F"/>
    <w:rsid w:val="00AF0C19"/>
    <w:rsid w:val="00AF0CAF"/>
    <w:rsid w:val="00AF0CB1"/>
    <w:rsid w:val="00AF0CE3"/>
    <w:rsid w:val="00AF0D59"/>
    <w:rsid w:val="00AF0D5C"/>
    <w:rsid w:val="00AF0D9F"/>
    <w:rsid w:val="00AF0DD8"/>
    <w:rsid w:val="00AF0EAF"/>
    <w:rsid w:val="00AF0ECE"/>
    <w:rsid w:val="00AF1073"/>
    <w:rsid w:val="00AF1080"/>
    <w:rsid w:val="00AF10AC"/>
    <w:rsid w:val="00AF10DB"/>
    <w:rsid w:val="00AF112B"/>
    <w:rsid w:val="00AF1204"/>
    <w:rsid w:val="00AF1243"/>
    <w:rsid w:val="00AF12B4"/>
    <w:rsid w:val="00AF1301"/>
    <w:rsid w:val="00AF1332"/>
    <w:rsid w:val="00AF1345"/>
    <w:rsid w:val="00AF1396"/>
    <w:rsid w:val="00AF148A"/>
    <w:rsid w:val="00AF14DF"/>
    <w:rsid w:val="00AF159A"/>
    <w:rsid w:val="00AF1713"/>
    <w:rsid w:val="00AF17D6"/>
    <w:rsid w:val="00AF17EC"/>
    <w:rsid w:val="00AF188C"/>
    <w:rsid w:val="00AF18EB"/>
    <w:rsid w:val="00AF198C"/>
    <w:rsid w:val="00AF19BE"/>
    <w:rsid w:val="00AF19C4"/>
    <w:rsid w:val="00AF1A33"/>
    <w:rsid w:val="00AF1A48"/>
    <w:rsid w:val="00AF1C31"/>
    <w:rsid w:val="00AF1CAC"/>
    <w:rsid w:val="00AF1D21"/>
    <w:rsid w:val="00AF1D51"/>
    <w:rsid w:val="00AF1ECF"/>
    <w:rsid w:val="00AF1F03"/>
    <w:rsid w:val="00AF1F10"/>
    <w:rsid w:val="00AF1F18"/>
    <w:rsid w:val="00AF1F9F"/>
    <w:rsid w:val="00AF2004"/>
    <w:rsid w:val="00AF20D1"/>
    <w:rsid w:val="00AF211B"/>
    <w:rsid w:val="00AF2137"/>
    <w:rsid w:val="00AF2166"/>
    <w:rsid w:val="00AF2168"/>
    <w:rsid w:val="00AF2305"/>
    <w:rsid w:val="00AF23F4"/>
    <w:rsid w:val="00AF245E"/>
    <w:rsid w:val="00AF2503"/>
    <w:rsid w:val="00AF2518"/>
    <w:rsid w:val="00AF2536"/>
    <w:rsid w:val="00AF25AA"/>
    <w:rsid w:val="00AF25B0"/>
    <w:rsid w:val="00AF26AB"/>
    <w:rsid w:val="00AF275D"/>
    <w:rsid w:val="00AF2783"/>
    <w:rsid w:val="00AF2824"/>
    <w:rsid w:val="00AF2861"/>
    <w:rsid w:val="00AF28C7"/>
    <w:rsid w:val="00AF28E9"/>
    <w:rsid w:val="00AF2AA5"/>
    <w:rsid w:val="00AF2B10"/>
    <w:rsid w:val="00AF2B6D"/>
    <w:rsid w:val="00AF2CDC"/>
    <w:rsid w:val="00AF2DA0"/>
    <w:rsid w:val="00AF2DCB"/>
    <w:rsid w:val="00AF2E06"/>
    <w:rsid w:val="00AF2F08"/>
    <w:rsid w:val="00AF305E"/>
    <w:rsid w:val="00AF3079"/>
    <w:rsid w:val="00AF30F5"/>
    <w:rsid w:val="00AF30FB"/>
    <w:rsid w:val="00AF3147"/>
    <w:rsid w:val="00AF316A"/>
    <w:rsid w:val="00AF3182"/>
    <w:rsid w:val="00AF32A8"/>
    <w:rsid w:val="00AF32E5"/>
    <w:rsid w:val="00AF3364"/>
    <w:rsid w:val="00AF33ED"/>
    <w:rsid w:val="00AF3473"/>
    <w:rsid w:val="00AF34A9"/>
    <w:rsid w:val="00AF34CC"/>
    <w:rsid w:val="00AF35B9"/>
    <w:rsid w:val="00AF366F"/>
    <w:rsid w:val="00AF3680"/>
    <w:rsid w:val="00AF36B7"/>
    <w:rsid w:val="00AF37AB"/>
    <w:rsid w:val="00AF3912"/>
    <w:rsid w:val="00AF39BA"/>
    <w:rsid w:val="00AF3BF2"/>
    <w:rsid w:val="00AF3C0C"/>
    <w:rsid w:val="00AF3C13"/>
    <w:rsid w:val="00AF3C4F"/>
    <w:rsid w:val="00AF3C67"/>
    <w:rsid w:val="00AF3C85"/>
    <w:rsid w:val="00AF3F1C"/>
    <w:rsid w:val="00AF3F8D"/>
    <w:rsid w:val="00AF402F"/>
    <w:rsid w:val="00AF4087"/>
    <w:rsid w:val="00AF40CD"/>
    <w:rsid w:val="00AF4241"/>
    <w:rsid w:val="00AF4267"/>
    <w:rsid w:val="00AF42E5"/>
    <w:rsid w:val="00AF42FD"/>
    <w:rsid w:val="00AF4516"/>
    <w:rsid w:val="00AF4523"/>
    <w:rsid w:val="00AF4585"/>
    <w:rsid w:val="00AF462A"/>
    <w:rsid w:val="00AF46AC"/>
    <w:rsid w:val="00AF46DD"/>
    <w:rsid w:val="00AF472C"/>
    <w:rsid w:val="00AF4804"/>
    <w:rsid w:val="00AF48B8"/>
    <w:rsid w:val="00AF4A59"/>
    <w:rsid w:val="00AF4B40"/>
    <w:rsid w:val="00AF4C0E"/>
    <w:rsid w:val="00AF4C2A"/>
    <w:rsid w:val="00AF4C40"/>
    <w:rsid w:val="00AF4D23"/>
    <w:rsid w:val="00AF4D61"/>
    <w:rsid w:val="00AF4DBD"/>
    <w:rsid w:val="00AF4E05"/>
    <w:rsid w:val="00AF4E1F"/>
    <w:rsid w:val="00AF4E33"/>
    <w:rsid w:val="00AF4E44"/>
    <w:rsid w:val="00AF4E78"/>
    <w:rsid w:val="00AF4EF0"/>
    <w:rsid w:val="00AF5024"/>
    <w:rsid w:val="00AF50B5"/>
    <w:rsid w:val="00AF5163"/>
    <w:rsid w:val="00AF52D8"/>
    <w:rsid w:val="00AF52F2"/>
    <w:rsid w:val="00AF5379"/>
    <w:rsid w:val="00AF53C0"/>
    <w:rsid w:val="00AF5400"/>
    <w:rsid w:val="00AF5491"/>
    <w:rsid w:val="00AF54A9"/>
    <w:rsid w:val="00AF550C"/>
    <w:rsid w:val="00AF562E"/>
    <w:rsid w:val="00AF5634"/>
    <w:rsid w:val="00AF564A"/>
    <w:rsid w:val="00AF567A"/>
    <w:rsid w:val="00AF5708"/>
    <w:rsid w:val="00AF571A"/>
    <w:rsid w:val="00AF5730"/>
    <w:rsid w:val="00AF582B"/>
    <w:rsid w:val="00AF5858"/>
    <w:rsid w:val="00AF58E4"/>
    <w:rsid w:val="00AF5929"/>
    <w:rsid w:val="00AF595A"/>
    <w:rsid w:val="00AF5975"/>
    <w:rsid w:val="00AF59AD"/>
    <w:rsid w:val="00AF59C6"/>
    <w:rsid w:val="00AF5A28"/>
    <w:rsid w:val="00AF5A29"/>
    <w:rsid w:val="00AF5B03"/>
    <w:rsid w:val="00AF5C17"/>
    <w:rsid w:val="00AF5C75"/>
    <w:rsid w:val="00AF5D23"/>
    <w:rsid w:val="00AF5D91"/>
    <w:rsid w:val="00AF5DC9"/>
    <w:rsid w:val="00AF5E0A"/>
    <w:rsid w:val="00AF5E2C"/>
    <w:rsid w:val="00AF5E56"/>
    <w:rsid w:val="00AF5EB5"/>
    <w:rsid w:val="00AF5EF0"/>
    <w:rsid w:val="00AF5EFE"/>
    <w:rsid w:val="00AF5F29"/>
    <w:rsid w:val="00AF600E"/>
    <w:rsid w:val="00AF602E"/>
    <w:rsid w:val="00AF60ED"/>
    <w:rsid w:val="00AF6263"/>
    <w:rsid w:val="00AF6291"/>
    <w:rsid w:val="00AF62E5"/>
    <w:rsid w:val="00AF6416"/>
    <w:rsid w:val="00AF641A"/>
    <w:rsid w:val="00AF64C0"/>
    <w:rsid w:val="00AF6507"/>
    <w:rsid w:val="00AF6559"/>
    <w:rsid w:val="00AF65C1"/>
    <w:rsid w:val="00AF65EE"/>
    <w:rsid w:val="00AF65FF"/>
    <w:rsid w:val="00AF667D"/>
    <w:rsid w:val="00AF6739"/>
    <w:rsid w:val="00AF6746"/>
    <w:rsid w:val="00AF67C4"/>
    <w:rsid w:val="00AF684C"/>
    <w:rsid w:val="00AF697C"/>
    <w:rsid w:val="00AF6A09"/>
    <w:rsid w:val="00AF6A53"/>
    <w:rsid w:val="00AF6A56"/>
    <w:rsid w:val="00AF6BA9"/>
    <w:rsid w:val="00AF6BD2"/>
    <w:rsid w:val="00AF6BE4"/>
    <w:rsid w:val="00AF6C54"/>
    <w:rsid w:val="00AF6C7C"/>
    <w:rsid w:val="00AF6CC9"/>
    <w:rsid w:val="00AF6D79"/>
    <w:rsid w:val="00AF6DD8"/>
    <w:rsid w:val="00AF6E18"/>
    <w:rsid w:val="00AF6EB9"/>
    <w:rsid w:val="00AF6EBF"/>
    <w:rsid w:val="00AF6F2E"/>
    <w:rsid w:val="00AF6FC3"/>
    <w:rsid w:val="00AF728F"/>
    <w:rsid w:val="00AF72C7"/>
    <w:rsid w:val="00AF7316"/>
    <w:rsid w:val="00AF739C"/>
    <w:rsid w:val="00AF7403"/>
    <w:rsid w:val="00AF75F2"/>
    <w:rsid w:val="00AF764B"/>
    <w:rsid w:val="00AF77A0"/>
    <w:rsid w:val="00AF7877"/>
    <w:rsid w:val="00AF7880"/>
    <w:rsid w:val="00AF78C7"/>
    <w:rsid w:val="00AF796A"/>
    <w:rsid w:val="00AF7A36"/>
    <w:rsid w:val="00AF7A92"/>
    <w:rsid w:val="00AF7A9B"/>
    <w:rsid w:val="00AF7AA2"/>
    <w:rsid w:val="00AF7B33"/>
    <w:rsid w:val="00AF7B6F"/>
    <w:rsid w:val="00AF7B83"/>
    <w:rsid w:val="00AF7BA4"/>
    <w:rsid w:val="00AF7BBD"/>
    <w:rsid w:val="00AF7DCF"/>
    <w:rsid w:val="00AF7E92"/>
    <w:rsid w:val="00AF7F42"/>
    <w:rsid w:val="00AF7F55"/>
    <w:rsid w:val="00B001C1"/>
    <w:rsid w:val="00B001CA"/>
    <w:rsid w:val="00B001E7"/>
    <w:rsid w:val="00B00242"/>
    <w:rsid w:val="00B00254"/>
    <w:rsid w:val="00B00323"/>
    <w:rsid w:val="00B0039A"/>
    <w:rsid w:val="00B004EA"/>
    <w:rsid w:val="00B00523"/>
    <w:rsid w:val="00B005A5"/>
    <w:rsid w:val="00B00733"/>
    <w:rsid w:val="00B00827"/>
    <w:rsid w:val="00B00865"/>
    <w:rsid w:val="00B008D3"/>
    <w:rsid w:val="00B0099A"/>
    <w:rsid w:val="00B00A83"/>
    <w:rsid w:val="00B00B44"/>
    <w:rsid w:val="00B00B79"/>
    <w:rsid w:val="00B00B7C"/>
    <w:rsid w:val="00B00B93"/>
    <w:rsid w:val="00B00C1A"/>
    <w:rsid w:val="00B00CB8"/>
    <w:rsid w:val="00B00DFF"/>
    <w:rsid w:val="00B00E05"/>
    <w:rsid w:val="00B00E0C"/>
    <w:rsid w:val="00B00E42"/>
    <w:rsid w:val="00B00E48"/>
    <w:rsid w:val="00B00EA0"/>
    <w:rsid w:val="00B00F0C"/>
    <w:rsid w:val="00B00FB9"/>
    <w:rsid w:val="00B00FF8"/>
    <w:rsid w:val="00B01005"/>
    <w:rsid w:val="00B01212"/>
    <w:rsid w:val="00B012C0"/>
    <w:rsid w:val="00B01328"/>
    <w:rsid w:val="00B0135F"/>
    <w:rsid w:val="00B013CB"/>
    <w:rsid w:val="00B0144E"/>
    <w:rsid w:val="00B01522"/>
    <w:rsid w:val="00B015E2"/>
    <w:rsid w:val="00B01626"/>
    <w:rsid w:val="00B0179D"/>
    <w:rsid w:val="00B019ED"/>
    <w:rsid w:val="00B01A22"/>
    <w:rsid w:val="00B01B04"/>
    <w:rsid w:val="00B01BCA"/>
    <w:rsid w:val="00B01BFE"/>
    <w:rsid w:val="00B01C0D"/>
    <w:rsid w:val="00B01C57"/>
    <w:rsid w:val="00B01C63"/>
    <w:rsid w:val="00B01D05"/>
    <w:rsid w:val="00B01D2B"/>
    <w:rsid w:val="00B01DEE"/>
    <w:rsid w:val="00B01E63"/>
    <w:rsid w:val="00B020A1"/>
    <w:rsid w:val="00B021CB"/>
    <w:rsid w:val="00B02276"/>
    <w:rsid w:val="00B023A5"/>
    <w:rsid w:val="00B0248B"/>
    <w:rsid w:val="00B02534"/>
    <w:rsid w:val="00B02599"/>
    <w:rsid w:val="00B0272E"/>
    <w:rsid w:val="00B02740"/>
    <w:rsid w:val="00B02754"/>
    <w:rsid w:val="00B0275B"/>
    <w:rsid w:val="00B027A2"/>
    <w:rsid w:val="00B027E0"/>
    <w:rsid w:val="00B02847"/>
    <w:rsid w:val="00B02927"/>
    <w:rsid w:val="00B0292E"/>
    <w:rsid w:val="00B0293B"/>
    <w:rsid w:val="00B029CD"/>
    <w:rsid w:val="00B029CE"/>
    <w:rsid w:val="00B02A2A"/>
    <w:rsid w:val="00B02A4B"/>
    <w:rsid w:val="00B02D1B"/>
    <w:rsid w:val="00B02E12"/>
    <w:rsid w:val="00B02E25"/>
    <w:rsid w:val="00B02E37"/>
    <w:rsid w:val="00B02E66"/>
    <w:rsid w:val="00B02EE0"/>
    <w:rsid w:val="00B02F1B"/>
    <w:rsid w:val="00B02FCC"/>
    <w:rsid w:val="00B030D1"/>
    <w:rsid w:val="00B031EF"/>
    <w:rsid w:val="00B03205"/>
    <w:rsid w:val="00B03292"/>
    <w:rsid w:val="00B032E6"/>
    <w:rsid w:val="00B0330F"/>
    <w:rsid w:val="00B03385"/>
    <w:rsid w:val="00B03542"/>
    <w:rsid w:val="00B0355B"/>
    <w:rsid w:val="00B0356D"/>
    <w:rsid w:val="00B0357D"/>
    <w:rsid w:val="00B035ED"/>
    <w:rsid w:val="00B0362E"/>
    <w:rsid w:val="00B03660"/>
    <w:rsid w:val="00B036B6"/>
    <w:rsid w:val="00B036F5"/>
    <w:rsid w:val="00B03745"/>
    <w:rsid w:val="00B0376B"/>
    <w:rsid w:val="00B0383F"/>
    <w:rsid w:val="00B03895"/>
    <w:rsid w:val="00B03AC7"/>
    <w:rsid w:val="00B03BD6"/>
    <w:rsid w:val="00B03BE0"/>
    <w:rsid w:val="00B03CBA"/>
    <w:rsid w:val="00B03DD8"/>
    <w:rsid w:val="00B03E75"/>
    <w:rsid w:val="00B03EDD"/>
    <w:rsid w:val="00B03EE8"/>
    <w:rsid w:val="00B03FF1"/>
    <w:rsid w:val="00B04060"/>
    <w:rsid w:val="00B040C8"/>
    <w:rsid w:val="00B0413E"/>
    <w:rsid w:val="00B041F9"/>
    <w:rsid w:val="00B0420A"/>
    <w:rsid w:val="00B04256"/>
    <w:rsid w:val="00B042EE"/>
    <w:rsid w:val="00B0433B"/>
    <w:rsid w:val="00B04383"/>
    <w:rsid w:val="00B043AF"/>
    <w:rsid w:val="00B0447D"/>
    <w:rsid w:val="00B044B0"/>
    <w:rsid w:val="00B044BE"/>
    <w:rsid w:val="00B044C2"/>
    <w:rsid w:val="00B044D7"/>
    <w:rsid w:val="00B044EA"/>
    <w:rsid w:val="00B04525"/>
    <w:rsid w:val="00B04546"/>
    <w:rsid w:val="00B0454F"/>
    <w:rsid w:val="00B045A3"/>
    <w:rsid w:val="00B045CB"/>
    <w:rsid w:val="00B046B0"/>
    <w:rsid w:val="00B047A5"/>
    <w:rsid w:val="00B049C7"/>
    <w:rsid w:val="00B049F0"/>
    <w:rsid w:val="00B04A80"/>
    <w:rsid w:val="00B04A97"/>
    <w:rsid w:val="00B04AC1"/>
    <w:rsid w:val="00B04AE3"/>
    <w:rsid w:val="00B04B17"/>
    <w:rsid w:val="00B04C36"/>
    <w:rsid w:val="00B04C52"/>
    <w:rsid w:val="00B04C6A"/>
    <w:rsid w:val="00B04C77"/>
    <w:rsid w:val="00B04D3A"/>
    <w:rsid w:val="00B04D47"/>
    <w:rsid w:val="00B04DB3"/>
    <w:rsid w:val="00B04DCF"/>
    <w:rsid w:val="00B04DF5"/>
    <w:rsid w:val="00B04E44"/>
    <w:rsid w:val="00B04E92"/>
    <w:rsid w:val="00B04EDA"/>
    <w:rsid w:val="00B04F08"/>
    <w:rsid w:val="00B05034"/>
    <w:rsid w:val="00B05039"/>
    <w:rsid w:val="00B05056"/>
    <w:rsid w:val="00B0505B"/>
    <w:rsid w:val="00B05072"/>
    <w:rsid w:val="00B050C3"/>
    <w:rsid w:val="00B050C5"/>
    <w:rsid w:val="00B051A1"/>
    <w:rsid w:val="00B051B0"/>
    <w:rsid w:val="00B05235"/>
    <w:rsid w:val="00B05268"/>
    <w:rsid w:val="00B0530A"/>
    <w:rsid w:val="00B0530E"/>
    <w:rsid w:val="00B05395"/>
    <w:rsid w:val="00B05422"/>
    <w:rsid w:val="00B05692"/>
    <w:rsid w:val="00B05748"/>
    <w:rsid w:val="00B05842"/>
    <w:rsid w:val="00B05846"/>
    <w:rsid w:val="00B05904"/>
    <w:rsid w:val="00B05950"/>
    <w:rsid w:val="00B05A80"/>
    <w:rsid w:val="00B05B5D"/>
    <w:rsid w:val="00B05B63"/>
    <w:rsid w:val="00B05BC6"/>
    <w:rsid w:val="00B05C20"/>
    <w:rsid w:val="00B05CF3"/>
    <w:rsid w:val="00B05D09"/>
    <w:rsid w:val="00B05DFE"/>
    <w:rsid w:val="00B05E7B"/>
    <w:rsid w:val="00B05EF9"/>
    <w:rsid w:val="00B05F01"/>
    <w:rsid w:val="00B05F78"/>
    <w:rsid w:val="00B05FEC"/>
    <w:rsid w:val="00B05FF9"/>
    <w:rsid w:val="00B06036"/>
    <w:rsid w:val="00B0604E"/>
    <w:rsid w:val="00B06126"/>
    <w:rsid w:val="00B06166"/>
    <w:rsid w:val="00B0623A"/>
    <w:rsid w:val="00B062CC"/>
    <w:rsid w:val="00B0630C"/>
    <w:rsid w:val="00B0631B"/>
    <w:rsid w:val="00B06343"/>
    <w:rsid w:val="00B06409"/>
    <w:rsid w:val="00B0641F"/>
    <w:rsid w:val="00B06438"/>
    <w:rsid w:val="00B06461"/>
    <w:rsid w:val="00B06584"/>
    <w:rsid w:val="00B0666C"/>
    <w:rsid w:val="00B06711"/>
    <w:rsid w:val="00B0676F"/>
    <w:rsid w:val="00B06803"/>
    <w:rsid w:val="00B068B3"/>
    <w:rsid w:val="00B0696A"/>
    <w:rsid w:val="00B06980"/>
    <w:rsid w:val="00B06A74"/>
    <w:rsid w:val="00B06AAF"/>
    <w:rsid w:val="00B06AC6"/>
    <w:rsid w:val="00B06C31"/>
    <w:rsid w:val="00B06C85"/>
    <w:rsid w:val="00B06D24"/>
    <w:rsid w:val="00B06D81"/>
    <w:rsid w:val="00B06DCC"/>
    <w:rsid w:val="00B06DFF"/>
    <w:rsid w:val="00B06E24"/>
    <w:rsid w:val="00B06E7E"/>
    <w:rsid w:val="00B06F0B"/>
    <w:rsid w:val="00B06F17"/>
    <w:rsid w:val="00B06FE9"/>
    <w:rsid w:val="00B07061"/>
    <w:rsid w:val="00B070B8"/>
    <w:rsid w:val="00B070DD"/>
    <w:rsid w:val="00B070F0"/>
    <w:rsid w:val="00B070FB"/>
    <w:rsid w:val="00B07231"/>
    <w:rsid w:val="00B0725C"/>
    <w:rsid w:val="00B072BE"/>
    <w:rsid w:val="00B072EF"/>
    <w:rsid w:val="00B07407"/>
    <w:rsid w:val="00B0748C"/>
    <w:rsid w:val="00B074B8"/>
    <w:rsid w:val="00B07581"/>
    <w:rsid w:val="00B0758C"/>
    <w:rsid w:val="00B075F7"/>
    <w:rsid w:val="00B07654"/>
    <w:rsid w:val="00B07672"/>
    <w:rsid w:val="00B076C8"/>
    <w:rsid w:val="00B0770B"/>
    <w:rsid w:val="00B077D3"/>
    <w:rsid w:val="00B07934"/>
    <w:rsid w:val="00B07956"/>
    <w:rsid w:val="00B07958"/>
    <w:rsid w:val="00B079A8"/>
    <w:rsid w:val="00B07A53"/>
    <w:rsid w:val="00B07B5E"/>
    <w:rsid w:val="00B07B67"/>
    <w:rsid w:val="00B07B89"/>
    <w:rsid w:val="00B07BB2"/>
    <w:rsid w:val="00B07BC0"/>
    <w:rsid w:val="00B07BCD"/>
    <w:rsid w:val="00B07BFD"/>
    <w:rsid w:val="00B07D5A"/>
    <w:rsid w:val="00B07E04"/>
    <w:rsid w:val="00B07E75"/>
    <w:rsid w:val="00B07EF1"/>
    <w:rsid w:val="00B07F8F"/>
    <w:rsid w:val="00B10017"/>
    <w:rsid w:val="00B1017B"/>
    <w:rsid w:val="00B101FB"/>
    <w:rsid w:val="00B1029F"/>
    <w:rsid w:val="00B102F9"/>
    <w:rsid w:val="00B1031E"/>
    <w:rsid w:val="00B1034D"/>
    <w:rsid w:val="00B104F9"/>
    <w:rsid w:val="00B10582"/>
    <w:rsid w:val="00B1063A"/>
    <w:rsid w:val="00B106CE"/>
    <w:rsid w:val="00B106E1"/>
    <w:rsid w:val="00B10709"/>
    <w:rsid w:val="00B107B9"/>
    <w:rsid w:val="00B10864"/>
    <w:rsid w:val="00B1090C"/>
    <w:rsid w:val="00B10915"/>
    <w:rsid w:val="00B109DB"/>
    <w:rsid w:val="00B10A50"/>
    <w:rsid w:val="00B10A7C"/>
    <w:rsid w:val="00B10B4D"/>
    <w:rsid w:val="00B10B92"/>
    <w:rsid w:val="00B10BCD"/>
    <w:rsid w:val="00B10C9E"/>
    <w:rsid w:val="00B10D63"/>
    <w:rsid w:val="00B10D91"/>
    <w:rsid w:val="00B10DB7"/>
    <w:rsid w:val="00B10E53"/>
    <w:rsid w:val="00B10E8B"/>
    <w:rsid w:val="00B10ED7"/>
    <w:rsid w:val="00B1111D"/>
    <w:rsid w:val="00B11124"/>
    <w:rsid w:val="00B11182"/>
    <w:rsid w:val="00B1120D"/>
    <w:rsid w:val="00B11336"/>
    <w:rsid w:val="00B11369"/>
    <w:rsid w:val="00B113FD"/>
    <w:rsid w:val="00B114A6"/>
    <w:rsid w:val="00B11591"/>
    <w:rsid w:val="00B11676"/>
    <w:rsid w:val="00B1175E"/>
    <w:rsid w:val="00B11899"/>
    <w:rsid w:val="00B118D7"/>
    <w:rsid w:val="00B119CD"/>
    <w:rsid w:val="00B119DA"/>
    <w:rsid w:val="00B11A64"/>
    <w:rsid w:val="00B11A67"/>
    <w:rsid w:val="00B11AE5"/>
    <w:rsid w:val="00B11B6E"/>
    <w:rsid w:val="00B11C81"/>
    <w:rsid w:val="00B11D81"/>
    <w:rsid w:val="00B11DAF"/>
    <w:rsid w:val="00B11DC2"/>
    <w:rsid w:val="00B11DD5"/>
    <w:rsid w:val="00B11EA5"/>
    <w:rsid w:val="00B11F5C"/>
    <w:rsid w:val="00B11FCD"/>
    <w:rsid w:val="00B12092"/>
    <w:rsid w:val="00B120C4"/>
    <w:rsid w:val="00B120FC"/>
    <w:rsid w:val="00B120FD"/>
    <w:rsid w:val="00B12150"/>
    <w:rsid w:val="00B12256"/>
    <w:rsid w:val="00B123F2"/>
    <w:rsid w:val="00B12400"/>
    <w:rsid w:val="00B1241A"/>
    <w:rsid w:val="00B12515"/>
    <w:rsid w:val="00B125AE"/>
    <w:rsid w:val="00B1262D"/>
    <w:rsid w:val="00B1265D"/>
    <w:rsid w:val="00B12681"/>
    <w:rsid w:val="00B126F3"/>
    <w:rsid w:val="00B12715"/>
    <w:rsid w:val="00B127BE"/>
    <w:rsid w:val="00B127CC"/>
    <w:rsid w:val="00B12828"/>
    <w:rsid w:val="00B1282E"/>
    <w:rsid w:val="00B12857"/>
    <w:rsid w:val="00B12AC3"/>
    <w:rsid w:val="00B12B68"/>
    <w:rsid w:val="00B12C7C"/>
    <w:rsid w:val="00B12CF1"/>
    <w:rsid w:val="00B12E8A"/>
    <w:rsid w:val="00B12EAA"/>
    <w:rsid w:val="00B12EE6"/>
    <w:rsid w:val="00B12F03"/>
    <w:rsid w:val="00B12F3D"/>
    <w:rsid w:val="00B12F94"/>
    <w:rsid w:val="00B12FD9"/>
    <w:rsid w:val="00B13078"/>
    <w:rsid w:val="00B130EA"/>
    <w:rsid w:val="00B130FF"/>
    <w:rsid w:val="00B13108"/>
    <w:rsid w:val="00B13186"/>
    <w:rsid w:val="00B13263"/>
    <w:rsid w:val="00B1334A"/>
    <w:rsid w:val="00B13360"/>
    <w:rsid w:val="00B13471"/>
    <w:rsid w:val="00B13580"/>
    <w:rsid w:val="00B135A0"/>
    <w:rsid w:val="00B13640"/>
    <w:rsid w:val="00B136D7"/>
    <w:rsid w:val="00B1378E"/>
    <w:rsid w:val="00B137F4"/>
    <w:rsid w:val="00B138FE"/>
    <w:rsid w:val="00B1390D"/>
    <w:rsid w:val="00B1397A"/>
    <w:rsid w:val="00B13AD4"/>
    <w:rsid w:val="00B13BBA"/>
    <w:rsid w:val="00B13C7D"/>
    <w:rsid w:val="00B13C86"/>
    <w:rsid w:val="00B13CF9"/>
    <w:rsid w:val="00B13D4D"/>
    <w:rsid w:val="00B13E72"/>
    <w:rsid w:val="00B13E8B"/>
    <w:rsid w:val="00B13E8D"/>
    <w:rsid w:val="00B13ED6"/>
    <w:rsid w:val="00B13FD4"/>
    <w:rsid w:val="00B1401E"/>
    <w:rsid w:val="00B14151"/>
    <w:rsid w:val="00B14169"/>
    <w:rsid w:val="00B14193"/>
    <w:rsid w:val="00B14254"/>
    <w:rsid w:val="00B143D7"/>
    <w:rsid w:val="00B143F9"/>
    <w:rsid w:val="00B1443B"/>
    <w:rsid w:val="00B144AA"/>
    <w:rsid w:val="00B14541"/>
    <w:rsid w:val="00B14598"/>
    <w:rsid w:val="00B14755"/>
    <w:rsid w:val="00B147B4"/>
    <w:rsid w:val="00B147CA"/>
    <w:rsid w:val="00B1488C"/>
    <w:rsid w:val="00B148A4"/>
    <w:rsid w:val="00B148D5"/>
    <w:rsid w:val="00B14900"/>
    <w:rsid w:val="00B1495A"/>
    <w:rsid w:val="00B14A02"/>
    <w:rsid w:val="00B14AA0"/>
    <w:rsid w:val="00B14B19"/>
    <w:rsid w:val="00B14BA2"/>
    <w:rsid w:val="00B14BC3"/>
    <w:rsid w:val="00B14C0B"/>
    <w:rsid w:val="00B14C36"/>
    <w:rsid w:val="00B14C5F"/>
    <w:rsid w:val="00B14D1E"/>
    <w:rsid w:val="00B14DA0"/>
    <w:rsid w:val="00B14DB3"/>
    <w:rsid w:val="00B14E50"/>
    <w:rsid w:val="00B14E61"/>
    <w:rsid w:val="00B14E9C"/>
    <w:rsid w:val="00B14ECA"/>
    <w:rsid w:val="00B14EE2"/>
    <w:rsid w:val="00B14F47"/>
    <w:rsid w:val="00B14F6C"/>
    <w:rsid w:val="00B14FBA"/>
    <w:rsid w:val="00B14FD7"/>
    <w:rsid w:val="00B14FD9"/>
    <w:rsid w:val="00B1500F"/>
    <w:rsid w:val="00B15169"/>
    <w:rsid w:val="00B151E4"/>
    <w:rsid w:val="00B1520E"/>
    <w:rsid w:val="00B15361"/>
    <w:rsid w:val="00B15366"/>
    <w:rsid w:val="00B15447"/>
    <w:rsid w:val="00B15493"/>
    <w:rsid w:val="00B154B8"/>
    <w:rsid w:val="00B154B9"/>
    <w:rsid w:val="00B1552A"/>
    <w:rsid w:val="00B155C8"/>
    <w:rsid w:val="00B155EF"/>
    <w:rsid w:val="00B15700"/>
    <w:rsid w:val="00B15736"/>
    <w:rsid w:val="00B1573C"/>
    <w:rsid w:val="00B1592C"/>
    <w:rsid w:val="00B15989"/>
    <w:rsid w:val="00B15AB4"/>
    <w:rsid w:val="00B15AB9"/>
    <w:rsid w:val="00B15ABB"/>
    <w:rsid w:val="00B15B1D"/>
    <w:rsid w:val="00B15B70"/>
    <w:rsid w:val="00B15C7C"/>
    <w:rsid w:val="00B15D75"/>
    <w:rsid w:val="00B15E1A"/>
    <w:rsid w:val="00B15E68"/>
    <w:rsid w:val="00B15ED6"/>
    <w:rsid w:val="00B15F0C"/>
    <w:rsid w:val="00B15F82"/>
    <w:rsid w:val="00B15FC5"/>
    <w:rsid w:val="00B15FD1"/>
    <w:rsid w:val="00B160E9"/>
    <w:rsid w:val="00B1620D"/>
    <w:rsid w:val="00B16284"/>
    <w:rsid w:val="00B162D8"/>
    <w:rsid w:val="00B1632C"/>
    <w:rsid w:val="00B16477"/>
    <w:rsid w:val="00B164D9"/>
    <w:rsid w:val="00B1653B"/>
    <w:rsid w:val="00B16550"/>
    <w:rsid w:val="00B16591"/>
    <w:rsid w:val="00B165AC"/>
    <w:rsid w:val="00B1665E"/>
    <w:rsid w:val="00B167D2"/>
    <w:rsid w:val="00B16807"/>
    <w:rsid w:val="00B16843"/>
    <w:rsid w:val="00B168B4"/>
    <w:rsid w:val="00B16903"/>
    <w:rsid w:val="00B169A6"/>
    <w:rsid w:val="00B16AA0"/>
    <w:rsid w:val="00B16ACC"/>
    <w:rsid w:val="00B16B04"/>
    <w:rsid w:val="00B16B19"/>
    <w:rsid w:val="00B16BA3"/>
    <w:rsid w:val="00B16BB9"/>
    <w:rsid w:val="00B16C0D"/>
    <w:rsid w:val="00B16C6E"/>
    <w:rsid w:val="00B16C9C"/>
    <w:rsid w:val="00B16CCA"/>
    <w:rsid w:val="00B16CDC"/>
    <w:rsid w:val="00B16E2E"/>
    <w:rsid w:val="00B17062"/>
    <w:rsid w:val="00B170BD"/>
    <w:rsid w:val="00B17104"/>
    <w:rsid w:val="00B1716C"/>
    <w:rsid w:val="00B171AC"/>
    <w:rsid w:val="00B171C3"/>
    <w:rsid w:val="00B171CD"/>
    <w:rsid w:val="00B1727C"/>
    <w:rsid w:val="00B1728B"/>
    <w:rsid w:val="00B173ED"/>
    <w:rsid w:val="00B174D9"/>
    <w:rsid w:val="00B17511"/>
    <w:rsid w:val="00B17616"/>
    <w:rsid w:val="00B1768F"/>
    <w:rsid w:val="00B177C2"/>
    <w:rsid w:val="00B177C6"/>
    <w:rsid w:val="00B1789C"/>
    <w:rsid w:val="00B179AF"/>
    <w:rsid w:val="00B17ADC"/>
    <w:rsid w:val="00B17B26"/>
    <w:rsid w:val="00B17BC4"/>
    <w:rsid w:val="00B17C06"/>
    <w:rsid w:val="00B17C93"/>
    <w:rsid w:val="00B17CBE"/>
    <w:rsid w:val="00B17CC1"/>
    <w:rsid w:val="00B17CD0"/>
    <w:rsid w:val="00B17CD9"/>
    <w:rsid w:val="00B17DBF"/>
    <w:rsid w:val="00B17EE2"/>
    <w:rsid w:val="00B17EF5"/>
    <w:rsid w:val="00B17F52"/>
    <w:rsid w:val="00B2000C"/>
    <w:rsid w:val="00B2009A"/>
    <w:rsid w:val="00B2013A"/>
    <w:rsid w:val="00B201E3"/>
    <w:rsid w:val="00B202D3"/>
    <w:rsid w:val="00B203FF"/>
    <w:rsid w:val="00B2046F"/>
    <w:rsid w:val="00B205A1"/>
    <w:rsid w:val="00B205C0"/>
    <w:rsid w:val="00B205DB"/>
    <w:rsid w:val="00B205FF"/>
    <w:rsid w:val="00B206E2"/>
    <w:rsid w:val="00B20756"/>
    <w:rsid w:val="00B207D1"/>
    <w:rsid w:val="00B207E3"/>
    <w:rsid w:val="00B20824"/>
    <w:rsid w:val="00B20888"/>
    <w:rsid w:val="00B208A3"/>
    <w:rsid w:val="00B209C4"/>
    <w:rsid w:val="00B20A09"/>
    <w:rsid w:val="00B20ABD"/>
    <w:rsid w:val="00B20B0A"/>
    <w:rsid w:val="00B20B3A"/>
    <w:rsid w:val="00B20B3F"/>
    <w:rsid w:val="00B20BBE"/>
    <w:rsid w:val="00B20C31"/>
    <w:rsid w:val="00B20C7B"/>
    <w:rsid w:val="00B20CE3"/>
    <w:rsid w:val="00B20DDB"/>
    <w:rsid w:val="00B20E85"/>
    <w:rsid w:val="00B20EA5"/>
    <w:rsid w:val="00B20F4D"/>
    <w:rsid w:val="00B21055"/>
    <w:rsid w:val="00B210BF"/>
    <w:rsid w:val="00B210F7"/>
    <w:rsid w:val="00B21126"/>
    <w:rsid w:val="00B211CD"/>
    <w:rsid w:val="00B21290"/>
    <w:rsid w:val="00B212A1"/>
    <w:rsid w:val="00B212F0"/>
    <w:rsid w:val="00B2138B"/>
    <w:rsid w:val="00B214D6"/>
    <w:rsid w:val="00B214F9"/>
    <w:rsid w:val="00B2157A"/>
    <w:rsid w:val="00B215A0"/>
    <w:rsid w:val="00B215B2"/>
    <w:rsid w:val="00B216AF"/>
    <w:rsid w:val="00B2190A"/>
    <w:rsid w:val="00B21916"/>
    <w:rsid w:val="00B21958"/>
    <w:rsid w:val="00B219C7"/>
    <w:rsid w:val="00B21A5E"/>
    <w:rsid w:val="00B21AEC"/>
    <w:rsid w:val="00B21C0C"/>
    <w:rsid w:val="00B21C0F"/>
    <w:rsid w:val="00B21CCE"/>
    <w:rsid w:val="00B21DA0"/>
    <w:rsid w:val="00B21DA1"/>
    <w:rsid w:val="00B21E66"/>
    <w:rsid w:val="00B21E8E"/>
    <w:rsid w:val="00B21E90"/>
    <w:rsid w:val="00B21F31"/>
    <w:rsid w:val="00B21FA3"/>
    <w:rsid w:val="00B21FCE"/>
    <w:rsid w:val="00B22102"/>
    <w:rsid w:val="00B22286"/>
    <w:rsid w:val="00B2228C"/>
    <w:rsid w:val="00B22301"/>
    <w:rsid w:val="00B22335"/>
    <w:rsid w:val="00B223BE"/>
    <w:rsid w:val="00B22405"/>
    <w:rsid w:val="00B224CE"/>
    <w:rsid w:val="00B22549"/>
    <w:rsid w:val="00B22586"/>
    <w:rsid w:val="00B225A0"/>
    <w:rsid w:val="00B225FC"/>
    <w:rsid w:val="00B22782"/>
    <w:rsid w:val="00B2278F"/>
    <w:rsid w:val="00B22878"/>
    <w:rsid w:val="00B228D3"/>
    <w:rsid w:val="00B229F7"/>
    <w:rsid w:val="00B22BE3"/>
    <w:rsid w:val="00B22C47"/>
    <w:rsid w:val="00B22D50"/>
    <w:rsid w:val="00B22D70"/>
    <w:rsid w:val="00B22D8F"/>
    <w:rsid w:val="00B22D93"/>
    <w:rsid w:val="00B22E2D"/>
    <w:rsid w:val="00B22E68"/>
    <w:rsid w:val="00B22FB6"/>
    <w:rsid w:val="00B22FED"/>
    <w:rsid w:val="00B22FF8"/>
    <w:rsid w:val="00B23056"/>
    <w:rsid w:val="00B23106"/>
    <w:rsid w:val="00B23115"/>
    <w:rsid w:val="00B23118"/>
    <w:rsid w:val="00B2313A"/>
    <w:rsid w:val="00B231D8"/>
    <w:rsid w:val="00B23280"/>
    <w:rsid w:val="00B232BF"/>
    <w:rsid w:val="00B232D9"/>
    <w:rsid w:val="00B234D2"/>
    <w:rsid w:val="00B23534"/>
    <w:rsid w:val="00B235CD"/>
    <w:rsid w:val="00B2360B"/>
    <w:rsid w:val="00B23619"/>
    <w:rsid w:val="00B23700"/>
    <w:rsid w:val="00B239A5"/>
    <w:rsid w:val="00B239B9"/>
    <w:rsid w:val="00B239BF"/>
    <w:rsid w:val="00B23A09"/>
    <w:rsid w:val="00B23A73"/>
    <w:rsid w:val="00B23AAE"/>
    <w:rsid w:val="00B23B7B"/>
    <w:rsid w:val="00B23BCB"/>
    <w:rsid w:val="00B23C40"/>
    <w:rsid w:val="00B23C8C"/>
    <w:rsid w:val="00B23CAC"/>
    <w:rsid w:val="00B23CCE"/>
    <w:rsid w:val="00B23CF8"/>
    <w:rsid w:val="00B23E08"/>
    <w:rsid w:val="00B23E50"/>
    <w:rsid w:val="00B23F2A"/>
    <w:rsid w:val="00B23FF6"/>
    <w:rsid w:val="00B2409A"/>
    <w:rsid w:val="00B240A3"/>
    <w:rsid w:val="00B240ED"/>
    <w:rsid w:val="00B24124"/>
    <w:rsid w:val="00B241B9"/>
    <w:rsid w:val="00B24248"/>
    <w:rsid w:val="00B24292"/>
    <w:rsid w:val="00B24362"/>
    <w:rsid w:val="00B24377"/>
    <w:rsid w:val="00B2441E"/>
    <w:rsid w:val="00B24436"/>
    <w:rsid w:val="00B244AE"/>
    <w:rsid w:val="00B244B2"/>
    <w:rsid w:val="00B244BD"/>
    <w:rsid w:val="00B24568"/>
    <w:rsid w:val="00B245B1"/>
    <w:rsid w:val="00B245CB"/>
    <w:rsid w:val="00B248F8"/>
    <w:rsid w:val="00B2495F"/>
    <w:rsid w:val="00B249DB"/>
    <w:rsid w:val="00B24A02"/>
    <w:rsid w:val="00B24AAD"/>
    <w:rsid w:val="00B24AD5"/>
    <w:rsid w:val="00B24C18"/>
    <w:rsid w:val="00B24C8C"/>
    <w:rsid w:val="00B24CD0"/>
    <w:rsid w:val="00B24D0F"/>
    <w:rsid w:val="00B24D58"/>
    <w:rsid w:val="00B24D8D"/>
    <w:rsid w:val="00B24E14"/>
    <w:rsid w:val="00B24E30"/>
    <w:rsid w:val="00B24FFD"/>
    <w:rsid w:val="00B25090"/>
    <w:rsid w:val="00B250D7"/>
    <w:rsid w:val="00B25108"/>
    <w:rsid w:val="00B2510F"/>
    <w:rsid w:val="00B25138"/>
    <w:rsid w:val="00B2528A"/>
    <w:rsid w:val="00B252F5"/>
    <w:rsid w:val="00B25391"/>
    <w:rsid w:val="00B253B4"/>
    <w:rsid w:val="00B253B8"/>
    <w:rsid w:val="00B25422"/>
    <w:rsid w:val="00B25458"/>
    <w:rsid w:val="00B2546E"/>
    <w:rsid w:val="00B254B5"/>
    <w:rsid w:val="00B2569C"/>
    <w:rsid w:val="00B25752"/>
    <w:rsid w:val="00B2575A"/>
    <w:rsid w:val="00B2578B"/>
    <w:rsid w:val="00B257A6"/>
    <w:rsid w:val="00B257A7"/>
    <w:rsid w:val="00B257B3"/>
    <w:rsid w:val="00B257C4"/>
    <w:rsid w:val="00B257DB"/>
    <w:rsid w:val="00B25853"/>
    <w:rsid w:val="00B258D7"/>
    <w:rsid w:val="00B2598C"/>
    <w:rsid w:val="00B25AD0"/>
    <w:rsid w:val="00B25B74"/>
    <w:rsid w:val="00B25BFD"/>
    <w:rsid w:val="00B25CC4"/>
    <w:rsid w:val="00B25DB2"/>
    <w:rsid w:val="00B25EBC"/>
    <w:rsid w:val="00B25ED2"/>
    <w:rsid w:val="00B25F68"/>
    <w:rsid w:val="00B261A7"/>
    <w:rsid w:val="00B26250"/>
    <w:rsid w:val="00B26259"/>
    <w:rsid w:val="00B26296"/>
    <w:rsid w:val="00B26318"/>
    <w:rsid w:val="00B26354"/>
    <w:rsid w:val="00B263AD"/>
    <w:rsid w:val="00B263C8"/>
    <w:rsid w:val="00B263D1"/>
    <w:rsid w:val="00B263E6"/>
    <w:rsid w:val="00B263EF"/>
    <w:rsid w:val="00B26540"/>
    <w:rsid w:val="00B26609"/>
    <w:rsid w:val="00B26621"/>
    <w:rsid w:val="00B267E7"/>
    <w:rsid w:val="00B26887"/>
    <w:rsid w:val="00B26896"/>
    <w:rsid w:val="00B268A1"/>
    <w:rsid w:val="00B268AA"/>
    <w:rsid w:val="00B26966"/>
    <w:rsid w:val="00B269E3"/>
    <w:rsid w:val="00B26A27"/>
    <w:rsid w:val="00B26A8B"/>
    <w:rsid w:val="00B26A9D"/>
    <w:rsid w:val="00B26B03"/>
    <w:rsid w:val="00B26B05"/>
    <w:rsid w:val="00B26B9F"/>
    <w:rsid w:val="00B26BAF"/>
    <w:rsid w:val="00B26C9F"/>
    <w:rsid w:val="00B26D3E"/>
    <w:rsid w:val="00B26D87"/>
    <w:rsid w:val="00B26E41"/>
    <w:rsid w:val="00B26EA3"/>
    <w:rsid w:val="00B26F4F"/>
    <w:rsid w:val="00B270FD"/>
    <w:rsid w:val="00B27127"/>
    <w:rsid w:val="00B27191"/>
    <w:rsid w:val="00B271C7"/>
    <w:rsid w:val="00B271DF"/>
    <w:rsid w:val="00B2728D"/>
    <w:rsid w:val="00B273BE"/>
    <w:rsid w:val="00B273F6"/>
    <w:rsid w:val="00B2740A"/>
    <w:rsid w:val="00B2740C"/>
    <w:rsid w:val="00B27454"/>
    <w:rsid w:val="00B27488"/>
    <w:rsid w:val="00B27512"/>
    <w:rsid w:val="00B27532"/>
    <w:rsid w:val="00B27543"/>
    <w:rsid w:val="00B2757A"/>
    <w:rsid w:val="00B27598"/>
    <w:rsid w:val="00B275DB"/>
    <w:rsid w:val="00B2764C"/>
    <w:rsid w:val="00B276C1"/>
    <w:rsid w:val="00B277B8"/>
    <w:rsid w:val="00B277CB"/>
    <w:rsid w:val="00B277DB"/>
    <w:rsid w:val="00B27870"/>
    <w:rsid w:val="00B27883"/>
    <w:rsid w:val="00B278AB"/>
    <w:rsid w:val="00B278BF"/>
    <w:rsid w:val="00B2792E"/>
    <w:rsid w:val="00B27938"/>
    <w:rsid w:val="00B27AD3"/>
    <w:rsid w:val="00B27B38"/>
    <w:rsid w:val="00B27B45"/>
    <w:rsid w:val="00B27B87"/>
    <w:rsid w:val="00B27C28"/>
    <w:rsid w:val="00B27C78"/>
    <w:rsid w:val="00B27CCB"/>
    <w:rsid w:val="00B27E6B"/>
    <w:rsid w:val="00B27EB3"/>
    <w:rsid w:val="00B27EBD"/>
    <w:rsid w:val="00B27F36"/>
    <w:rsid w:val="00B27F75"/>
    <w:rsid w:val="00B30037"/>
    <w:rsid w:val="00B30082"/>
    <w:rsid w:val="00B30105"/>
    <w:rsid w:val="00B30125"/>
    <w:rsid w:val="00B30167"/>
    <w:rsid w:val="00B30359"/>
    <w:rsid w:val="00B303FF"/>
    <w:rsid w:val="00B304E8"/>
    <w:rsid w:val="00B30540"/>
    <w:rsid w:val="00B30542"/>
    <w:rsid w:val="00B30585"/>
    <w:rsid w:val="00B30619"/>
    <w:rsid w:val="00B30733"/>
    <w:rsid w:val="00B307A1"/>
    <w:rsid w:val="00B30835"/>
    <w:rsid w:val="00B30905"/>
    <w:rsid w:val="00B30917"/>
    <w:rsid w:val="00B30938"/>
    <w:rsid w:val="00B309CC"/>
    <w:rsid w:val="00B309E8"/>
    <w:rsid w:val="00B30A17"/>
    <w:rsid w:val="00B30B57"/>
    <w:rsid w:val="00B30B74"/>
    <w:rsid w:val="00B30BEB"/>
    <w:rsid w:val="00B30C13"/>
    <w:rsid w:val="00B30C1A"/>
    <w:rsid w:val="00B30C99"/>
    <w:rsid w:val="00B30DEB"/>
    <w:rsid w:val="00B30E0D"/>
    <w:rsid w:val="00B30E7D"/>
    <w:rsid w:val="00B30ECE"/>
    <w:rsid w:val="00B31078"/>
    <w:rsid w:val="00B31120"/>
    <w:rsid w:val="00B31180"/>
    <w:rsid w:val="00B31182"/>
    <w:rsid w:val="00B31214"/>
    <w:rsid w:val="00B31270"/>
    <w:rsid w:val="00B3128B"/>
    <w:rsid w:val="00B31299"/>
    <w:rsid w:val="00B31377"/>
    <w:rsid w:val="00B313C7"/>
    <w:rsid w:val="00B31514"/>
    <w:rsid w:val="00B315EE"/>
    <w:rsid w:val="00B316D6"/>
    <w:rsid w:val="00B3171B"/>
    <w:rsid w:val="00B317A8"/>
    <w:rsid w:val="00B317D6"/>
    <w:rsid w:val="00B317F0"/>
    <w:rsid w:val="00B31969"/>
    <w:rsid w:val="00B319C3"/>
    <w:rsid w:val="00B319DD"/>
    <w:rsid w:val="00B31A1F"/>
    <w:rsid w:val="00B31AE8"/>
    <w:rsid w:val="00B31B02"/>
    <w:rsid w:val="00B31C03"/>
    <w:rsid w:val="00B31D03"/>
    <w:rsid w:val="00B31E61"/>
    <w:rsid w:val="00B31EB1"/>
    <w:rsid w:val="00B31EC0"/>
    <w:rsid w:val="00B31FAD"/>
    <w:rsid w:val="00B3209D"/>
    <w:rsid w:val="00B32232"/>
    <w:rsid w:val="00B32253"/>
    <w:rsid w:val="00B322CC"/>
    <w:rsid w:val="00B3237C"/>
    <w:rsid w:val="00B32425"/>
    <w:rsid w:val="00B32489"/>
    <w:rsid w:val="00B3257C"/>
    <w:rsid w:val="00B325BF"/>
    <w:rsid w:val="00B3268D"/>
    <w:rsid w:val="00B32704"/>
    <w:rsid w:val="00B3279D"/>
    <w:rsid w:val="00B327BA"/>
    <w:rsid w:val="00B328A6"/>
    <w:rsid w:val="00B328E7"/>
    <w:rsid w:val="00B328EC"/>
    <w:rsid w:val="00B32A37"/>
    <w:rsid w:val="00B32AEA"/>
    <w:rsid w:val="00B32B1A"/>
    <w:rsid w:val="00B32B29"/>
    <w:rsid w:val="00B32B4D"/>
    <w:rsid w:val="00B32B92"/>
    <w:rsid w:val="00B32C41"/>
    <w:rsid w:val="00B32CDA"/>
    <w:rsid w:val="00B32D30"/>
    <w:rsid w:val="00B32F16"/>
    <w:rsid w:val="00B32F96"/>
    <w:rsid w:val="00B33312"/>
    <w:rsid w:val="00B33382"/>
    <w:rsid w:val="00B334BD"/>
    <w:rsid w:val="00B33538"/>
    <w:rsid w:val="00B335D3"/>
    <w:rsid w:val="00B335DD"/>
    <w:rsid w:val="00B336C2"/>
    <w:rsid w:val="00B337AD"/>
    <w:rsid w:val="00B337CB"/>
    <w:rsid w:val="00B337DD"/>
    <w:rsid w:val="00B338FC"/>
    <w:rsid w:val="00B3395E"/>
    <w:rsid w:val="00B339DD"/>
    <w:rsid w:val="00B33B3B"/>
    <w:rsid w:val="00B33BA8"/>
    <w:rsid w:val="00B33CA6"/>
    <w:rsid w:val="00B33CCF"/>
    <w:rsid w:val="00B33CDE"/>
    <w:rsid w:val="00B33D13"/>
    <w:rsid w:val="00B33DC4"/>
    <w:rsid w:val="00B33E7B"/>
    <w:rsid w:val="00B33E99"/>
    <w:rsid w:val="00B33EC2"/>
    <w:rsid w:val="00B33EC3"/>
    <w:rsid w:val="00B33F85"/>
    <w:rsid w:val="00B33F87"/>
    <w:rsid w:val="00B33FB5"/>
    <w:rsid w:val="00B340EA"/>
    <w:rsid w:val="00B340EE"/>
    <w:rsid w:val="00B34101"/>
    <w:rsid w:val="00B34118"/>
    <w:rsid w:val="00B34148"/>
    <w:rsid w:val="00B34157"/>
    <w:rsid w:val="00B34258"/>
    <w:rsid w:val="00B34262"/>
    <w:rsid w:val="00B342D4"/>
    <w:rsid w:val="00B34392"/>
    <w:rsid w:val="00B343CC"/>
    <w:rsid w:val="00B3444A"/>
    <w:rsid w:val="00B34454"/>
    <w:rsid w:val="00B344C1"/>
    <w:rsid w:val="00B345FE"/>
    <w:rsid w:val="00B34604"/>
    <w:rsid w:val="00B34628"/>
    <w:rsid w:val="00B346C0"/>
    <w:rsid w:val="00B34749"/>
    <w:rsid w:val="00B3474B"/>
    <w:rsid w:val="00B347A4"/>
    <w:rsid w:val="00B3484C"/>
    <w:rsid w:val="00B34862"/>
    <w:rsid w:val="00B34978"/>
    <w:rsid w:val="00B3499E"/>
    <w:rsid w:val="00B34A49"/>
    <w:rsid w:val="00B34AA7"/>
    <w:rsid w:val="00B34B0A"/>
    <w:rsid w:val="00B34BC3"/>
    <w:rsid w:val="00B34BD2"/>
    <w:rsid w:val="00B34CC0"/>
    <w:rsid w:val="00B34CC2"/>
    <w:rsid w:val="00B34CDF"/>
    <w:rsid w:val="00B34D8C"/>
    <w:rsid w:val="00B34DB7"/>
    <w:rsid w:val="00B34DBF"/>
    <w:rsid w:val="00B34E1E"/>
    <w:rsid w:val="00B34E4D"/>
    <w:rsid w:val="00B34F3D"/>
    <w:rsid w:val="00B34F4A"/>
    <w:rsid w:val="00B34F4E"/>
    <w:rsid w:val="00B3503F"/>
    <w:rsid w:val="00B35091"/>
    <w:rsid w:val="00B350F0"/>
    <w:rsid w:val="00B350F4"/>
    <w:rsid w:val="00B35103"/>
    <w:rsid w:val="00B351B0"/>
    <w:rsid w:val="00B3522B"/>
    <w:rsid w:val="00B3530E"/>
    <w:rsid w:val="00B354E8"/>
    <w:rsid w:val="00B35546"/>
    <w:rsid w:val="00B356A8"/>
    <w:rsid w:val="00B356B7"/>
    <w:rsid w:val="00B356D1"/>
    <w:rsid w:val="00B356E7"/>
    <w:rsid w:val="00B3573A"/>
    <w:rsid w:val="00B357CB"/>
    <w:rsid w:val="00B357F2"/>
    <w:rsid w:val="00B3581E"/>
    <w:rsid w:val="00B35831"/>
    <w:rsid w:val="00B3583F"/>
    <w:rsid w:val="00B35904"/>
    <w:rsid w:val="00B3590E"/>
    <w:rsid w:val="00B3592F"/>
    <w:rsid w:val="00B359AD"/>
    <w:rsid w:val="00B359D7"/>
    <w:rsid w:val="00B35A00"/>
    <w:rsid w:val="00B35A7B"/>
    <w:rsid w:val="00B35A91"/>
    <w:rsid w:val="00B35BD5"/>
    <w:rsid w:val="00B35C6C"/>
    <w:rsid w:val="00B35CB6"/>
    <w:rsid w:val="00B35D45"/>
    <w:rsid w:val="00B35D98"/>
    <w:rsid w:val="00B35DED"/>
    <w:rsid w:val="00B35DF4"/>
    <w:rsid w:val="00B360B4"/>
    <w:rsid w:val="00B360D3"/>
    <w:rsid w:val="00B360F1"/>
    <w:rsid w:val="00B361D4"/>
    <w:rsid w:val="00B3624D"/>
    <w:rsid w:val="00B36288"/>
    <w:rsid w:val="00B36357"/>
    <w:rsid w:val="00B36419"/>
    <w:rsid w:val="00B36425"/>
    <w:rsid w:val="00B36436"/>
    <w:rsid w:val="00B364B5"/>
    <w:rsid w:val="00B364C8"/>
    <w:rsid w:val="00B364EB"/>
    <w:rsid w:val="00B36764"/>
    <w:rsid w:val="00B36803"/>
    <w:rsid w:val="00B36846"/>
    <w:rsid w:val="00B3693B"/>
    <w:rsid w:val="00B3699B"/>
    <w:rsid w:val="00B36A2F"/>
    <w:rsid w:val="00B36A99"/>
    <w:rsid w:val="00B36AE4"/>
    <w:rsid w:val="00B36AFD"/>
    <w:rsid w:val="00B36B73"/>
    <w:rsid w:val="00B36BAC"/>
    <w:rsid w:val="00B36BE0"/>
    <w:rsid w:val="00B36BFD"/>
    <w:rsid w:val="00B36C25"/>
    <w:rsid w:val="00B36C46"/>
    <w:rsid w:val="00B36C80"/>
    <w:rsid w:val="00B36CE8"/>
    <w:rsid w:val="00B36D60"/>
    <w:rsid w:val="00B36D6B"/>
    <w:rsid w:val="00B36DCE"/>
    <w:rsid w:val="00B36E25"/>
    <w:rsid w:val="00B36E63"/>
    <w:rsid w:val="00B36F19"/>
    <w:rsid w:val="00B36F38"/>
    <w:rsid w:val="00B36F50"/>
    <w:rsid w:val="00B36FCD"/>
    <w:rsid w:val="00B37060"/>
    <w:rsid w:val="00B3725A"/>
    <w:rsid w:val="00B37335"/>
    <w:rsid w:val="00B3740F"/>
    <w:rsid w:val="00B37468"/>
    <w:rsid w:val="00B37482"/>
    <w:rsid w:val="00B37588"/>
    <w:rsid w:val="00B375F4"/>
    <w:rsid w:val="00B37635"/>
    <w:rsid w:val="00B37803"/>
    <w:rsid w:val="00B37828"/>
    <w:rsid w:val="00B3788A"/>
    <w:rsid w:val="00B378EB"/>
    <w:rsid w:val="00B3792D"/>
    <w:rsid w:val="00B3794F"/>
    <w:rsid w:val="00B37A53"/>
    <w:rsid w:val="00B37A8E"/>
    <w:rsid w:val="00B37BB8"/>
    <w:rsid w:val="00B37BBB"/>
    <w:rsid w:val="00B37BBE"/>
    <w:rsid w:val="00B37BE3"/>
    <w:rsid w:val="00B37D5D"/>
    <w:rsid w:val="00B37D65"/>
    <w:rsid w:val="00B37DE2"/>
    <w:rsid w:val="00B37DF5"/>
    <w:rsid w:val="00B37E21"/>
    <w:rsid w:val="00B37E63"/>
    <w:rsid w:val="00B37F0F"/>
    <w:rsid w:val="00B37F15"/>
    <w:rsid w:val="00B37F39"/>
    <w:rsid w:val="00B37FA9"/>
    <w:rsid w:val="00B37FB4"/>
    <w:rsid w:val="00B40024"/>
    <w:rsid w:val="00B40039"/>
    <w:rsid w:val="00B4003E"/>
    <w:rsid w:val="00B40041"/>
    <w:rsid w:val="00B400BD"/>
    <w:rsid w:val="00B4014D"/>
    <w:rsid w:val="00B40153"/>
    <w:rsid w:val="00B401D2"/>
    <w:rsid w:val="00B401DA"/>
    <w:rsid w:val="00B4031D"/>
    <w:rsid w:val="00B4033B"/>
    <w:rsid w:val="00B40434"/>
    <w:rsid w:val="00B404FB"/>
    <w:rsid w:val="00B40525"/>
    <w:rsid w:val="00B40544"/>
    <w:rsid w:val="00B405A1"/>
    <w:rsid w:val="00B4060C"/>
    <w:rsid w:val="00B4066E"/>
    <w:rsid w:val="00B406CF"/>
    <w:rsid w:val="00B406F6"/>
    <w:rsid w:val="00B40721"/>
    <w:rsid w:val="00B40748"/>
    <w:rsid w:val="00B4075F"/>
    <w:rsid w:val="00B40796"/>
    <w:rsid w:val="00B40806"/>
    <w:rsid w:val="00B40832"/>
    <w:rsid w:val="00B408C2"/>
    <w:rsid w:val="00B4095A"/>
    <w:rsid w:val="00B40973"/>
    <w:rsid w:val="00B409DA"/>
    <w:rsid w:val="00B40A30"/>
    <w:rsid w:val="00B40ADF"/>
    <w:rsid w:val="00B40BCC"/>
    <w:rsid w:val="00B40C89"/>
    <w:rsid w:val="00B40CAF"/>
    <w:rsid w:val="00B40D66"/>
    <w:rsid w:val="00B40EE5"/>
    <w:rsid w:val="00B4101A"/>
    <w:rsid w:val="00B4118A"/>
    <w:rsid w:val="00B4122E"/>
    <w:rsid w:val="00B41317"/>
    <w:rsid w:val="00B4136C"/>
    <w:rsid w:val="00B41454"/>
    <w:rsid w:val="00B414C9"/>
    <w:rsid w:val="00B41512"/>
    <w:rsid w:val="00B41531"/>
    <w:rsid w:val="00B417C5"/>
    <w:rsid w:val="00B41869"/>
    <w:rsid w:val="00B4187B"/>
    <w:rsid w:val="00B418DA"/>
    <w:rsid w:val="00B418E7"/>
    <w:rsid w:val="00B419C4"/>
    <w:rsid w:val="00B419CE"/>
    <w:rsid w:val="00B41C08"/>
    <w:rsid w:val="00B41D12"/>
    <w:rsid w:val="00B41D24"/>
    <w:rsid w:val="00B41D48"/>
    <w:rsid w:val="00B41E1A"/>
    <w:rsid w:val="00B41E22"/>
    <w:rsid w:val="00B41EC3"/>
    <w:rsid w:val="00B41F36"/>
    <w:rsid w:val="00B41F57"/>
    <w:rsid w:val="00B4203B"/>
    <w:rsid w:val="00B420BA"/>
    <w:rsid w:val="00B420F7"/>
    <w:rsid w:val="00B42160"/>
    <w:rsid w:val="00B4217A"/>
    <w:rsid w:val="00B42222"/>
    <w:rsid w:val="00B4225C"/>
    <w:rsid w:val="00B42274"/>
    <w:rsid w:val="00B42297"/>
    <w:rsid w:val="00B424A2"/>
    <w:rsid w:val="00B42574"/>
    <w:rsid w:val="00B425F3"/>
    <w:rsid w:val="00B4265E"/>
    <w:rsid w:val="00B42731"/>
    <w:rsid w:val="00B42750"/>
    <w:rsid w:val="00B4276E"/>
    <w:rsid w:val="00B429C0"/>
    <w:rsid w:val="00B429EE"/>
    <w:rsid w:val="00B42A50"/>
    <w:rsid w:val="00B42A76"/>
    <w:rsid w:val="00B42BD5"/>
    <w:rsid w:val="00B42CAE"/>
    <w:rsid w:val="00B42DF1"/>
    <w:rsid w:val="00B42E31"/>
    <w:rsid w:val="00B42E6C"/>
    <w:rsid w:val="00B42ED5"/>
    <w:rsid w:val="00B42F09"/>
    <w:rsid w:val="00B42FFE"/>
    <w:rsid w:val="00B43039"/>
    <w:rsid w:val="00B43079"/>
    <w:rsid w:val="00B430C4"/>
    <w:rsid w:val="00B43217"/>
    <w:rsid w:val="00B4324D"/>
    <w:rsid w:val="00B43263"/>
    <w:rsid w:val="00B43367"/>
    <w:rsid w:val="00B43379"/>
    <w:rsid w:val="00B43416"/>
    <w:rsid w:val="00B43435"/>
    <w:rsid w:val="00B4351A"/>
    <w:rsid w:val="00B4351E"/>
    <w:rsid w:val="00B4357C"/>
    <w:rsid w:val="00B435F6"/>
    <w:rsid w:val="00B43613"/>
    <w:rsid w:val="00B43779"/>
    <w:rsid w:val="00B43840"/>
    <w:rsid w:val="00B43844"/>
    <w:rsid w:val="00B438F1"/>
    <w:rsid w:val="00B438FF"/>
    <w:rsid w:val="00B43986"/>
    <w:rsid w:val="00B439A9"/>
    <w:rsid w:val="00B439DC"/>
    <w:rsid w:val="00B43B93"/>
    <w:rsid w:val="00B43C1E"/>
    <w:rsid w:val="00B43C7A"/>
    <w:rsid w:val="00B43F38"/>
    <w:rsid w:val="00B43F8C"/>
    <w:rsid w:val="00B4419D"/>
    <w:rsid w:val="00B441D5"/>
    <w:rsid w:val="00B4422A"/>
    <w:rsid w:val="00B442AC"/>
    <w:rsid w:val="00B44362"/>
    <w:rsid w:val="00B443FF"/>
    <w:rsid w:val="00B44423"/>
    <w:rsid w:val="00B44429"/>
    <w:rsid w:val="00B44572"/>
    <w:rsid w:val="00B44641"/>
    <w:rsid w:val="00B44654"/>
    <w:rsid w:val="00B44685"/>
    <w:rsid w:val="00B446BA"/>
    <w:rsid w:val="00B446FE"/>
    <w:rsid w:val="00B4476F"/>
    <w:rsid w:val="00B447D3"/>
    <w:rsid w:val="00B44850"/>
    <w:rsid w:val="00B4486B"/>
    <w:rsid w:val="00B448CA"/>
    <w:rsid w:val="00B4493D"/>
    <w:rsid w:val="00B44941"/>
    <w:rsid w:val="00B449DA"/>
    <w:rsid w:val="00B44A75"/>
    <w:rsid w:val="00B44AB3"/>
    <w:rsid w:val="00B44B5F"/>
    <w:rsid w:val="00B44BE7"/>
    <w:rsid w:val="00B44C42"/>
    <w:rsid w:val="00B44C48"/>
    <w:rsid w:val="00B44C8C"/>
    <w:rsid w:val="00B44D55"/>
    <w:rsid w:val="00B44DF0"/>
    <w:rsid w:val="00B44F6A"/>
    <w:rsid w:val="00B44F79"/>
    <w:rsid w:val="00B44F9E"/>
    <w:rsid w:val="00B44FCA"/>
    <w:rsid w:val="00B4504A"/>
    <w:rsid w:val="00B450D3"/>
    <w:rsid w:val="00B4512C"/>
    <w:rsid w:val="00B45140"/>
    <w:rsid w:val="00B451B5"/>
    <w:rsid w:val="00B452B7"/>
    <w:rsid w:val="00B45388"/>
    <w:rsid w:val="00B45594"/>
    <w:rsid w:val="00B45774"/>
    <w:rsid w:val="00B45781"/>
    <w:rsid w:val="00B458EF"/>
    <w:rsid w:val="00B459F4"/>
    <w:rsid w:val="00B45A16"/>
    <w:rsid w:val="00B45A69"/>
    <w:rsid w:val="00B45A98"/>
    <w:rsid w:val="00B45AC3"/>
    <w:rsid w:val="00B45ACF"/>
    <w:rsid w:val="00B45AF3"/>
    <w:rsid w:val="00B45B51"/>
    <w:rsid w:val="00B45B6A"/>
    <w:rsid w:val="00B45CC8"/>
    <w:rsid w:val="00B45DA5"/>
    <w:rsid w:val="00B45E99"/>
    <w:rsid w:val="00B460A0"/>
    <w:rsid w:val="00B460CF"/>
    <w:rsid w:val="00B4612F"/>
    <w:rsid w:val="00B4619F"/>
    <w:rsid w:val="00B461E9"/>
    <w:rsid w:val="00B4639F"/>
    <w:rsid w:val="00B463AA"/>
    <w:rsid w:val="00B46411"/>
    <w:rsid w:val="00B4642A"/>
    <w:rsid w:val="00B46452"/>
    <w:rsid w:val="00B464AE"/>
    <w:rsid w:val="00B464AF"/>
    <w:rsid w:val="00B46654"/>
    <w:rsid w:val="00B4669F"/>
    <w:rsid w:val="00B466BA"/>
    <w:rsid w:val="00B466D8"/>
    <w:rsid w:val="00B467AE"/>
    <w:rsid w:val="00B467DE"/>
    <w:rsid w:val="00B467EB"/>
    <w:rsid w:val="00B46829"/>
    <w:rsid w:val="00B46917"/>
    <w:rsid w:val="00B4698C"/>
    <w:rsid w:val="00B469EF"/>
    <w:rsid w:val="00B46A18"/>
    <w:rsid w:val="00B46A90"/>
    <w:rsid w:val="00B46A9B"/>
    <w:rsid w:val="00B46AF1"/>
    <w:rsid w:val="00B46B7A"/>
    <w:rsid w:val="00B46BE7"/>
    <w:rsid w:val="00B46BF4"/>
    <w:rsid w:val="00B46C56"/>
    <w:rsid w:val="00B46E24"/>
    <w:rsid w:val="00B46E25"/>
    <w:rsid w:val="00B46EA7"/>
    <w:rsid w:val="00B46F77"/>
    <w:rsid w:val="00B46F88"/>
    <w:rsid w:val="00B46FFA"/>
    <w:rsid w:val="00B47010"/>
    <w:rsid w:val="00B47085"/>
    <w:rsid w:val="00B470CC"/>
    <w:rsid w:val="00B470DA"/>
    <w:rsid w:val="00B471BB"/>
    <w:rsid w:val="00B47232"/>
    <w:rsid w:val="00B47284"/>
    <w:rsid w:val="00B472B2"/>
    <w:rsid w:val="00B47334"/>
    <w:rsid w:val="00B473D6"/>
    <w:rsid w:val="00B4741C"/>
    <w:rsid w:val="00B47500"/>
    <w:rsid w:val="00B475CB"/>
    <w:rsid w:val="00B476F0"/>
    <w:rsid w:val="00B4770D"/>
    <w:rsid w:val="00B478B2"/>
    <w:rsid w:val="00B478E1"/>
    <w:rsid w:val="00B4798F"/>
    <w:rsid w:val="00B47A4E"/>
    <w:rsid w:val="00B47A8A"/>
    <w:rsid w:val="00B47AD4"/>
    <w:rsid w:val="00B47AEF"/>
    <w:rsid w:val="00B47B70"/>
    <w:rsid w:val="00B47B7B"/>
    <w:rsid w:val="00B47B8B"/>
    <w:rsid w:val="00B47BB6"/>
    <w:rsid w:val="00B47BBA"/>
    <w:rsid w:val="00B47CCD"/>
    <w:rsid w:val="00B47CEC"/>
    <w:rsid w:val="00B47D3B"/>
    <w:rsid w:val="00B47DEE"/>
    <w:rsid w:val="00B47ECD"/>
    <w:rsid w:val="00B47FB8"/>
    <w:rsid w:val="00B47FC2"/>
    <w:rsid w:val="00B500F6"/>
    <w:rsid w:val="00B5010A"/>
    <w:rsid w:val="00B5010F"/>
    <w:rsid w:val="00B50163"/>
    <w:rsid w:val="00B501BA"/>
    <w:rsid w:val="00B502F4"/>
    <w:rsid w:val="00B502F6"/>
    <w:rsid w:val="00B50348"/>
    <w:rsid w:val="00B5034E"/>
    <w:rsid w:val="00B50423"/>
    <w:rsid w:val="00B50440"/>
    <w:rsid w:val="00B50498"/>
    <w:rsid w:val="00B505A1"/>
    <w:rsid w:val="00B505AD"/>
    <w:rsid w:val="00B505B9"/>
    <w:rsid w:val="00B505D3"/>
    <w:rsid w:val="00B50650"/>
    <w:rsid w:val="00B506EA"/>
    <w:rsid w:val="00B50739"/>
    <w:rsid w:val="00B507D0"/>
    <w:rsid w:val="00B50831"/>
    <w:rsid w:val="00B508E5"/>
    <w:rsid w:val="00B50963"/>
    <w:rsid w:val="00B50A12"/>
    <w:rsid w:val="00B50AC8"/>
    <w:rsid w:val="00B50C1B"/>
    <w:rsid w:val="00B50C70"/>
    <w:rsid w:val="00B50CA5"/>
    <w:rsid w:val="00B50CB7"/>
    <w:rsid w:val="00B50CE9"/>
    <w:rsid w:val="00B50D81"/>
    <w:rsid w:val="00B50DCE"/>
    <w:rsid w:val="00B50E50"/>
    <w:rsid w:val="00B50E61"/>
    <w:rsid w:val="00B50EDD"/>
    <w:rsid w:val="00B50EDE"/>
    <w:rsid w:val="00B50F4F"/>
    <w:rsid w:val="00B51047"/>
    <w:rsid w:val="00B5108E"/>
    <w:rsid w:val="00B510B4"/>
    <w:rsid w:val="00B510D7"/>
    <w:rsid w:val="00B510FA"/>
    <w:rsid w:val="00B5116D"/>
    <w:rsid w:val="00B5131F"/>
    <w:rsid w:val="00B51338"/>
    <w:rsid w:val="00B5144F"/>
    <w:rsid w:val="00B514B2"/>
    <w:rsid w:val="00B5157E"/>
    <w:rsid w:val="00B51597"/>
    <w:rsid w:val="00B51654"/>
    <w:rsid w:val="00B516E4"/>
    <w:rsid w:val="00B51766"/>
    <w:rsid w:val="00B5177B"/>
    <w:rsid w:val="00B517CB"/>
    <w:rsid w:val="00B517FB"/>
    <w:rsid w:val="00B51873"/>
    <w:rsid w:val="00B518F1"/>
    <w:rsid w:val="00B51A21"/>
    <w:rsid w:val="00B51A3A"/>
    <w:rsid w:val="00B51AD4"/>
    <w:rsid w:val="00B51B05"/>
    <w:rsid w:val="00B51B34"/>
    <w:rsid w:val="00B51B43"/>
    <w:rsid w:val="00B51C22"/>
    <w:rsid w:val="00B51C4B"/>
    <w:rsid w:val="00B51CD8"/>
    <w:rsid w:val="00B51CEC"/>
    <w:rsid w:val="00B51D73"/>
    <w:rsid w:val="00B51E1B"/>
    <w:rsid w:val="00B51E55"/>
    <w:rsid w:val="00B51EBD"/>
    <w:rsid w:val="00B51F1D"/>
    <w:rsid w:val="00B5201A"/>
    <w:rsid w:val="00B52023"/>
    <w:rsid w:val="00B5205A"/>
    <w:rsid w:val="00B5208F"/>
    <w:rsid w:val="00B52094"/>
    <w:rsid w:val="00B5217E"/>
    <w:rsid w:val="00B521B7"/>
    <w:rsid w:val="00B52238"/>
    <w:rsid w:val="00B522BE"/>
    <w:rsid w:val="00B522EE"/>
    <w:rsid w:val="00B522FB"/>
    <w:rsid w:val="00B523EF"/>
    <w:rsid w:val="00B5242E"/>
    <w:rsid w:val="00B52439"/>
    <w:rsid w:val="00B52555"/>
    <w:rsid w:val="00B525CD"/>
    <w:rsid w:val="00B525E1"/>
    <w:rsid w:val="00B525E6"/>
    <w:rsid w:val="00B52612"/>
    <w:rsid w:val="00B526A8"/>
    <w:rsid w:val="00B526DF"/>
    <w:rsid w:val="00B527AA"/>
    <w:rsid w:val="00B527B2"/>
    <w:rsid w:val="00B527CA"/>
    <w:rsid w:val="00B52837"/>
    <w:rsid w:val="00B5291C"/>
    <w:rsid w:val="00B52931"/>
    <w:rsid w:val="00B529A1"/>
    <w:rsid w:val="00B52A0B"/>
    <w:rsid w:val="00B52A86"/>
    <w:rsid w:val="00B52AD9"/>
    <w:rsid w:val="00B52B0B"/>
    <w:rsid w:val="00B52B67"/>
    <w:rsid w:val="00B52B8B"/>
    <w:rsid w:val="00B52C58"/>
    <w:rsid w:val="00B52C7F"/>
    <w:rsid w:val="00B52D17"/>
    <w:rsid w:val="00B52DD0"/>
    <w:rsid w:val="00B52E64"/>
    <w:rsid w:val="00B52F71"/>
    <w:rsid w:val="00B52FCA"/>
    <w:rsid w:val="00B52FEF"/>
    <w:rsid w:val="00B53046"/>
    <w:rsid w:val="00B530DD"/>
    <w:rsid w:val="00B5311A"/>
    <w:rsid w:val="00B5329B"/>
    <w:rsid w:val="00B53346"/>
    <w:rsid w:val="00B533B2"/>
    <w:rsid w:val="00B533E8"/>
    <w:rsid w:val="00B533FC"/>
    <w:rsid w:val="00B53440"/>
    <w:rsid w:val="00B535B0"/>
    <w:rsid w:val="00B535B5"/>
    <w:rsid w:val="00B5364A"/>
    <w:rsid w:val="00B53674"/>
    <w:rsid w:val="00B53724"/>
    <w:rsid w:val="00B53746"/>
    <w:rsid w:val="00B53752"/>
    <w:rsid w:val="00B5389D"/>
    <w:rsid w:val="00B538AB"/>
    <w:rsid w:val="00B53900"/>
    <w:rsid w:val="00B5396C"/>
    <w:rsid w:val="00B539D9"/>
    <w:rsid w:val="00B539E3"/>
    <w:rsid w:val="00B539E8"/>
    <w:rsid w:val="00B53A00"/>
    <w:rsid w:val="00B53A09"/>
    <w:rsid w:val="00B53A82"/>
    <w:rsid w:val="00B53A9A"/>
    <w:rsid w:val="00B53AB2"/>
    <w:rsid w:val="00B53B3C"/>
    <w:rsid w:val="00B53BA3"/>
    <w:rsid w:val="00B53BB0"/>
    <w:rsid w:val="00B53BF0"/>
    <w:rsid w:val="00B53CF8"/>
    <w:rsid w:val="00B53DAA"/>
    <w:rsid w:val="00B53DC5"/>
    <w:rsid w:val="00B53E32"/>
    <w:rsid w:val="00B53E49"/>
    <w:rsid w:val="00B53F1C"/>
    <w:rsid w:val="00B53FA2"/>
    <w:rsid w:val="00B53FAA"/>
    <w:rsid w:val="00B54025"/>
    <w:rsid w:val="00B5404F"/>
    <w:rsid w:val="00B54091"/>
    <w:rsid w:val="00B54133"/>
    <w:rsid w:val="00B54142"/>
    <w:rsid w:val="00B54186"/>
    <w:rsid w:val="00B54286"/>
    <w:rsid w:val="00B542AC"/>
    <w:rsid w:val="00B542BB"/>
    <w:rsid w:val="00B5432D"/>
    <w:rsid w:val="00B54534"/>
    <w:rsid w:val="00B5455B"/>
    <w:rsid w:val="00B545A8"/>
    <w:rsid w:val="00B54612"/>
    <w:rsid w:val="00B546AA"/>
    <w:rsid w:val="00B546B7"/>
    <w:rsid w:val="00B547A1"/>
    <w:rsid w:val="00B54823"/>
    <w:rsid w:val="00B548B5"/>
    <w:rsid w:val="00B549F3"/>
    <w:rsid w:val="00B54A66"/>
    <w:rsid w:val="00B54A7A"/>
    <w:rsid w:val="00B54AA7"/>
    <w:rsid w:val="00B54D55"/>
    <w:rsid w:val="00B54DA1"/>
    <w:rsid w:val="00B54E49"/>
    <w:rsid w:val="00B54E69"/>
    <w:rsid w:val="00B54F00"/>
    <w:rsid w:val="00B54F7A"/>
    <w:rsid w:val="00B54FE5"/>
    <w:rsid w:val="00B5511E"/>
    <w:rsid w:val="00B551CE"/>
    <w:rsid w:val="00B55296"/>
    <w:rsid w:val="00B552BC"/>
    <w:rsid w:val="00B55342"/>
    <w:rsid w:val="00B5557F"/>
    <w:rsid w:val="00B555A7"/>
    <w:rsid w:val="00B555BD"/>
    <w:rsid w:val="00B555CF"/>
    <w:rsid w:val="00B55606"/>
    <w:rsid w:val="00B556BA"/>
    <w:rsid w:val="00B556C9"/>
    <w:rsid w:val="00B55793"/>
    <w:rsid w:val="00B557AC"/>
    <w:rsid w:val="00B557FC"/>
    <w:rsid w:val="00B558DD"/>
    <w:rsid w:val="00B5599E"/>
    <w:rsid w:val="00B559AF"/>
    <w:rsid w:val="00B55B75"/>
    <w:rsid w:val="00B55C77"/>
    <w:rsid w:val="00B55CF5"/>
    <w:rsid w:val="00B55D02"/>
    <w:rsid w:val="00B55D2B"/>
    <w:rsid w:val="00B55DCF"/>
    <w:rsid w:val="00B55F47"/>
    <w:rsid w:val="00B56089"/>
    <w:rsid w:val="00B56108"/>
    <w:rsid w:val="00B56172"/>
    <w:rsid w:val="00B5619C"/>
    <w:rsid w:val="00B561C9"/>
    <w:rsid w:val="00B56321"/>
    <w:rsid w:val="00B5638E"/>
    <w:rsid w:val="00B563A7"/>
    <w:rsid w:val="00B563A9"/>
    <w:rsid w:val="00B563DB"/>
    <w:rsid w:val="00B56401"/>
    <w:rsid w:val="00B56409"/>
    <w:rsid w:val="00B56565"/>
    <w:rsid w:val="00B5660D"/>
    <w:rsid w:val="00B5670A"/>
    <w:rsid w:val="00B56799"/>
    <w:rsid w:val="00B5679E"/>
    <w:rsid w:val="00B5686D"/>
    <w:rsid w:val="00B568C4"/>
    <w:rsid w:val="00B568EF"/>
    <w:rsid w:val="00B569EF"/>
    <w:rsid w:val="00B56A78"/>
    <w:rsid w:val="00B56ACF"/>
    <w:rsid w:val="00B56AFA"/>
    <w:rsid w:val="00B56B75"/>
    <w:rsid w:val="00B56B85"/>
    <w:rsid w:val="00B56B96"/>
    <w:rsid w:val="00B56C43"/>
    <w:rsid w:val="00B56CE8"/>
    <w:rsid w:val="00B56D92"/>
    <w:rsid w:val="00B56E07"/>
    <w:rsid w:val="00B56E14"/>
    <w:rsid w:val="00B56F42"/>
    <w:rsid w:val="00B56F79"/>
    <w:rsid w:val="00B57269"/>
    <w:rsid w:val="00B5728C"/>
    <w:rsid w:val="00B572C7"/>
    <w:rsid w:val="00B57304"/>
    <w:rsid w:val="00B57316"/>
    <w:rsid w:val="00B5734E"/>
    <w:rsid w:val="00B57417"/>
    <w:rsid w:val="00B5751D"/>
    <w:rsid w:val="00B575AE"/>
    <w:rsid w:val="00B5769C"/>
    <w:rsid w:val="00B576E0"/>
    <w:rsid w:val="00B57762"/>
    <w:rsid w:val="00B577BF"/>
    <w:rsid w:val="00B57875"/>
    <w:rsid w:val="00B578E1"/>
    <w:rsid w:val="00B57955"/>
    <w:rsid w:val="00B579D9"/>
    <w:rsid w:val="00B579E6"/>
    <w:rsid w:val="00B57B73"/>
    <w:rsid w:val="00B57B83"/>
    <w:rsid w:val="00B57C74"/>
    <w:rsid w:val="00B57C9C"/>
    <w:rsid w:val="00B57D95"/>
    <w:rsid w:val="00B57DCC"/>
    <w:rsid w:val="00B57E52"/>
    <w:rsid w:val="00B57FFB"/>
    <w:rsid w:val="00B6012B"/>
    <w:rsid w:val="00B60150"/>
    <w:rsid w:val="00B6019E"/>
    <w:rsid w:val="00B601A1"/>
    <w:rsid w:val="00B60321"/>
    <w:rsid w:val="00B60396"/>
    <w:rsid w:val="00B605FB"/>
    <w:rsid w:val="00B60639"/>
    <w:rsid w:val="00B60681"/>
    <w:rsid w:val="00B60703"/>
    <w:rsid w:val="00B607DB"/>
    <w:rsid w:val="00B60850"/>
    <w:rsid w:val="00B60959"/>
    <w:rsid w:val="00B60972"/>
    <w:rsid w:val="00B60A23"/>
    <w:rsid w:val="00B60A81"/>
    <w:rsid w:val="00B60A95"/>
    <w:rsid w:val="00B60B05"/>
    <w:rsid w:val="00B60B52"/>
    <w:rsid w:val="00B60BB2"/>
    <w:rsid w:val="00B60C04"/>
    <w:rsid w:val="00B60D40"/>
    <w:rsid w:val="00B60D53"/>
    <w:rsid w:val="00B60E01"/>
    <w:rsid w:val="00B60EB6"/>
    <w:rsid w:val="00B60FBC"/>
    <w:rsid w:val="00B61015"/>
    <w:rsid w:val="00B61074"/>
    <w:rsid w:val="00B610CA"/>
    <w:rsid w:val="00B610EC"/>
    <w:rsid w:val="00B61124"/>
    <w:rsid w:val="00B611B1"/>
    <w:rsid w:val="00B611E6"/>
    <w:rsid w:val="00B611F1"/>
    <w:rsid w:val="00B6125D"/>
    <w:rsid w:val="00B6132C"/>
    <w:rsid w:val="00B613BD"/>
    <w:rsid w:val="00B613E2"/>
    <w:rsid w:val="00B6143E"/>
    <w:rsid w:val="00B61440"/>
    <w:rsid w:val="00B6148F"/>
    <w:rsid w:val="00B61494"/>
    <w:rsid w:val="00B614F4"/>
    <w:rsid w:val="00B6155B"/>
    <w:rsid w:val="00B61696"/>
    <w:rsid w:val="00B616EA"/>
    <w:rsid w:val="00B61700"/>
    <w:rsid w:val="00B61737"/>
    <w:rsid w:val="00B6178A"/>
    <w:rsid w:val="00B61841"/>
    <w:rsid w:val="00B61861"/>
    <w:rsid w:val="00B618B2"/>
    <w:rsid w:val="00B618DD"/>
    <w:rsid w:val="00B61924"/>
    <w:rsid w:val="00B619AC"/>
    <w:rsid w:val="00B61B9A"/>
    <w:rsid w:val="00B61C15"/>
    <w:rsid w:val="00B61C6A"/>
    <w:rsid w:val="00B61C83"/>
    <w:rsid w:val="00B61D78"/>
    <w:rsid w:val="00B61D84"/>
    <w:rsid w:val="00B61D9C"/>
    <w:rsid w:val="00B61DB9"/>
    <w:rsid w:val="00B61E25"/>
    <w:rsid w:val="00B61E7B"/>
    <w:rsid w:val="00B61E84"/>
    <w:rsid w:val="00B61E94"/>
    <w:rsid w:val="00B61E9B"/>
    <w:rsid w:val="00B61EC4"/>
    <w:rsid w:val="00B61F0C"/>
    <w:rsid w:val="00B61FF5"/>
    <w:rsid w:val="00B62089"/>
    <w:rsid w:val="00B620B9"/>
    <w:rsid w:val="00B621B4"/>
    <w:rsid w:val="00B62200"/>
    <w:rsid w:val="00B622A4"/>
    <w:rsid w:val="00B622AF"/>
    <w:rsid w:val="00B622D8"/>
    <w:rsid w:val="00B62345"/>
    <w:rsid w:val="00B6239E"/>
    <w:rsid w:val="00B62437"/>
    <w:rsid w:val="00B62559"/>
    <w:rsid w:val="00B6256F"/>
    <w:rsid w:val="00B62635"/>
    <w:rsid w:val="00B62640"/>
    <w:rsid w:val="00B6268E"/>
    <w:rsid w:val="00B62768"/>
    <w:rsid w:val="00B6287B"/>
    <w:rsid w:val="00B628D4"/>
    <w:rsid w:val="00B62969"/>
    <w:rsid w:val="00B629DC"/>
    <w:rsid w:val="00B62A02"/>
    <w:rsid w:val="00B62AC8"/>
    <w:rsid w:val="00B62B08"/>
    <w:rsid w:val="00B62B2A"/>
    <w:rsid w:val="00B62B6A"/>
    <w:rsid w:val="00B62BB6"/>
    <w:rsid w:val="00B62BF5"/>
    <w:rsid w:val="00B62C09"/>
    <w:rsid w:val="00B62C2B"/>
    <w:rsid w:val="00B62CA0"/>
    <w:rsid w:val="00B62CCB"/>
    <w:rsid w:val="00B62D98"/>
    <w:rsid w:val="00B62DF8"/>
    <w:rsid w:val="00B62E82"/>
    <w:rsid w:val="00B62ED7"/>
    <w:rsid w:val="00B62FDE"/>
    <w:rsid w:val="00B62FEB"/>
    <w:rsid w:val="00B6310A"/>
    <w:rsid w:val="00B6313F"/>
    <w:rsid w:val="00B63285"/>
    <w:rsid w:val="00B632FE"/>
    <w:rsid w:val="00B6338B"/>
    <w:rsid w:val="00B634DC"/>
    <w:rsid w:val="00B634F2"/>
    <w:rsid w:val="00B6359A"/>
    <w:rsid w:val="00B6360E"/>
    <w:rsid w:val="00B63631"/>
    <w:rsid w:val="00B63675"/>
    <w:rsid w:val="00B63707"/>
    <w:rsid w:val="00B63752"/>
    <w:rsid w:val="00B637B1"/>
    <w:rsid w:val="00B6382C"/>
    <w:rsid w:val="00B63831"/>
    <w:rsid w:val="00B63859"/>
    <w:rsid w:val="00B63961"/>
    <w:rsid w:val="00B63975"/>
    <w:rsid w:val="00B639C5"/>
    <w:rsid w:val="00B63A0E"/>
    <w:rsid w:val="00B63AF7"/>
    <w:rsid w:val="00B63B22"/>
    <w:rsid w:val="00B63B8D"/>
    <w:rsid w:val="00B63BD0"/>
    <w:rsid w:val="00B63C1E"/>
    <w:rsid w:val="00B63C65"/>
    <w:rsid w:val="00B63CA4"/>
    <w:rsid w:val="00B63DC1"/>
    <w:rsid w:val="00B63ECB"/>
    <w:rsid w:val="00B63FB5"/>
    <w:rsid w:val="00B64061"/>
    <w:rsid w:val="00B640AF"/>
    <w:rsid w:val="00B640F9"/>
    <w:rsid w:val="00B640FB"/>
    <w:rsid w:val="00B641A6"/>
    <w:rsid w:val="00B64220"/>
    <w:rsid w:val="00B64293"/>
    <w:rsid w:val="00B64376"/>
    <w:rsid w:val="00B64429"/>
    <w:rsid w:val="00B64475"/>
    <w:rsid w:val="00B644B0"/>
    <w:rsid w:val="00B644BD"/>
    <w:rsid w:val="00B6453E"/>
    <w:rsid w:val="00B64540"/>
    <w:rsid w:val="00B645D4"/>
    <w:rsid w:val="00B645DE"/>
    <w:rsid w:val="00B64653"/>
    <w:rsid w:val="00B646B6"/>
    <w:rsid w:val="00B646CA"/>
    <w:rsid w:val="00B646FF"/>
    <w:rsid w:val="00B6485B"/>
    <w:rsid w:val="00B648D5"/>
    <w:rsid w:val="00B648DF"/>
    <w:rsid w:val="00B648F4"/>
    <w:rsid w:val="00B64915"/>
    <w:rsid w:val="00B64964"/>
    <w:rsid w:val="00B6497A"/>
    <w:rsid w:val="00B64A52"/>
    <w:rsid w:val="00B64AD3"/>
    <w:rsid w:val="00B64B13"/>
    <w:rsid w:val="00B64B46"/>
    <w:rsid w:val="00B64B4B"/>
    <w:rsid w:val="00B64D76"/>
    <w:rsid w:val="00B64DC4"/>
    <w:rsid w:val="00B64EAA"/>
    <w:rsid w:val="00B64EFA"/>
    <w:rsid w:val="00B64F62"/>
    <w:rsid w:val="00B64F88"/>
    <w:rsid w:val="00B64FCA"/>
    <w:rsid w:val="00B6502D"/>
    <w:rsid w:val="00B65061"/>
    <w:rsid w:val="00B6509F"/>
    <w:rsid w:val="00B651A2"/>
    <w:rsid w:val="00B652C4"/>
    <w:rsid w:val="00B653B9"/>
    <w:rsid w:val="00B653CA"/>
    <w:rsid w:val="00B65461"/>
    <w:rsid w:val="00B6547F"/>
    <w:rsid w:val="00B654C6"/>
    <w:rsid w:val="00B65568"/>
    <w:rsid w:val="00B655AC"/>
    <w:rsid w:val="00B655B9"/>
    <w:rsid w:val="00B65604"/>
    <w:rsid w:val="00B65684"/>
    <w:rsid w:val="00B656AB"/>
    <w:rsid w:val="00B65755"/>
    <w:rsid w:val="00B6576E"/>
    <w:rsid w:val="00B657B2"/>
    <w:rsid w:val="00B657C7"/>
    <w:rsid w:val="00B6590E"/>
    <w:rsid w:val="00B659B7"/>
    <w:rsid w:val="00B659F3"/>
    <w:rsid w:val="00B65A13"/>
    <w:rsid w:val="00B65B18"/>
    <w:rsid w:val="00B65B5D"/>
    <w:rsid w:val="00B65CCC"/>
    <w:rsid w:val="00B65CE5"/>
    <w:rsid w:val="00B65D16"/>
    <w:rsid w:val="00B65DEA"/>
    <w:rsid w:val="00B65E66"/>
    <w:rsid w:val="00B65EAA"/>
    <w:rsid w:val="00B65F45"/>
    <w:rsid w:val="00B6602E"/>
    <w:rsid w:val="00B660BE"/>
    <w:rsid w:val="00B660DF"/>
    <w:rsid w:val="00B66147"/>
    <w:rsid w:val="00B66148"/>
    <w:rsid w:val="00B661AF"/>
    <w:rsid w:val="00B66259"/>
    <w:rsid w:val="00B66299"/>
    <w:rsid w:val="00B662A4"/>
    <w:rsid w:val="00B662B9"/>
    <w:rsid w:val="00B66327"/>
    <w:rsid w:val="00B6637F"/>
    <w:rsid w:val="00B663B1"/>
    <w:rsid w:val="00B663DE"/>
    <w:rsid w:val="00B66492"/>
    <w:rsid w:val="00B66535"/>
    <w:rsid w:val="00B66558"/>
    <w:rsid w:val="00B665B7"/>
    <w:rsid w:val="00B66649"/>
    <w:rsid w:val="00B6665B"/>
    <w:rsid w:val="00B6667B"/>
    <w:rsid w:val="00B66793"/>
    <w:rsid w:val="00B66857"/>
    <w:rsid w:val="00B6688F"/>
    <w:rsid w:val="00B66926"/>
    <w:rsid w:val="00B6699B"/>
    <w:rsid w:val="00B669EF"/>
    <w:rsid w:val="00B669FF"/>
    <w:rsid w:val="00B66A2E"/>
    <w:rsid w:val="00B66A88"/>
    <w:rsid w:val="00B66B1A"/>
    <w:rsid w:val="00B66B3D"/>
    <w:rsid w:val="00B66CA7"/>
    <w:rsid w:val="00B66CD9"/>
    <w:rsid w:val="00B66D6B"/>
    <w:rsid w:val="00B66E1B"/>
    <w:rsid w:val="00B66E9F"/>
    <w:rsid w:val="00B66EB6"/>
    <w:rsid w:val="00B67045"/>
    <w:rsid w:val="00B670E8"/>
    <w:rsid w:val="00B671D4"/>
    <w:rsid w:val="00B67224"/>
    <w:rsid w:val="00B67266"/>
    <w:rsid w:val="00B6731A"/>
    <w:rsid w:val="00B673DD"/>
    <w:rsid w:val="00B673F4"/>
    <w:rsid w:val="00B67447"/>
    <w:rsid w:val="00B67539"/>
    <w:rsid w:val="00B675C3"/>
    <w:rsid w:val="00B6772A"/>
    <w:rsid w:val="00B677B5"/>
    <w:rsid w:val="00B6780A"/>
    <w:rsid w:val="00B678F1"/>
    <w:rsid w:val="00B6791B"/>
    <w:rsid w:val="00B67A08"/>
    <w:rsid w:val="00B67A69"/>
    <w:rsid w:val="00B67A88"/>
    <w:rsid w:val="00B67AF7"/>
    <w:rsid w:val="00B67B97"/>
    <w:rsid w:val="00B67B98"/>
    <w:rsid w:val="00B67C2B"/>
    <w:rsid w:val="00B67D10"/>
    <w:rsid w:val="00B67D11"/>
    <w:rsid w:val="00B67D54"/>
    <w:rsid w:val="00B67D6A"/>
    <w:rsid w:val="00B67DCF"/>
    <w:rsid w:val="00B67DE3"/>
    <w:rsid w:val="00B67E46"/>
    <w:rsid w:val="00B67E8F"/>
    <w:rsid w:val="00B67E90"/>
    <w:rsid w:val="00B67F04"/>
    <w:rsid w:val="00B67F75"/>
    <w:rsid w:val="00B70028"/>
    <w:rsid w:val="00B70031"/>
    <w:rsid w:val="00B70047"/>
    <w:rsid w:val="00B7007D"/>
    <w:rsid w:val="00B700BA"/>
    <w:rsid w:val="00B700FA"/>
    <w:rsid w:val="00B70172"/>
    <w:rsid w:val="00B701F9"/>
    <w:rsid w:val="00B70225"/>
    <w:rsid w:val="00B70226"/>
    <w:rsid w:val="00B702C1"/>
    <w:rsid w:val="00B702CC"/>
    <w:rsid w:val="00B7044D"/>
    <w:rsid w:val="00B7046D"/>
    <w:rsid w:val="00B704A3"/>
    <w:rsid w:val="00B704C2"/>
    <w:rsid w:val="00B704C3"/>
    <w:rsid w:val="00B70527"/>
    <w:rsid w:val="00B70595"/>
    <w:rsid w:val="00B7081F"/>
    <w:rsid w:val="00B709B0"/>
    <w:rsid w:val="00B709F2"/>
    <w:rsid w:val="00B70B05"/>
    <w:rsid w:val="00B70B62"/>
    <w:rsid w:val="00B70BA9"/>
    <w:rsid w:val="00B70BB8"/>
    <w:rsid w:val="00B70D49"/>
    <w:rsid w:val="00B70D55"/>
    <w:rsid w:val="00B70DEA"/>
    <w:rsid w:val="00B70F03"/>
    <w:rsid w:val="00B70F24"/>
    <w:rsid w:val="00B71079"/>
    <w:rsid w:val="00B71139"/>
    <w:rsid w:val="00B7115F"/>
    <w:rsid w:val="00B7118C"/>
    <w:rsid w:val="00B71254"/>
    <w:rsid w:val="00B712BE"/>
    <w:rsid w:val="00B712D8"/>
    <w:rsid w:val="00B7130E"/>
    <w:rsid w:val="00B714EC"/>
    <w:rsid w:val="00B715F7"/>
    <w:rsid w:val="00B71628"/>
    <w:rsid w:val="00B71635"/>
    <w:rsid w:val="00B71684"/>
    <w:rsid w:val="00B7169F"/>
    <w:rsid w:val="00B716A1"/>
    <w:rsid w:val="00B716F1"/>
    <w:rsid w:val="00B7176E"/>
    <w:rsid w:val="00B71775"/>
    <w:rsid w:val="00B717E4"/>
    <w:rsid w:val="00B717F1"/>
    <w:rsid w:val="00B7183A"/>
    <w:rsid w:val="00B71968"/>
    <w:rsid w:val="00B71AF0"/>
    <w:rsid w:val="00B71AF6"/>
    <w:rsid w:val="00B71C3C"/>
    <w:rsid w:val="00B71D4E"/>
    <w:rsid w:val="00B71EEC"/>
    <w:rsid w:val="00B71F0A"/>
    <w:rsid w:val="00B71F48"/>
    <w:rsid w:val="00B71FA3"/>
    <w:rsid w:val="00B71FB8"/>
    <w:rsid w:val="00B71FD7"/>
    <w:rsid w:val="00B71FFE"/>
    <w:rsid w:val="00B72043"/>
    <w:rsid w:val="00B72068"/>
    <w:rsid w:val="00B720DA"/>
    <w:rsid w:val="00B72160"/>
    <w:rsid w:val="00B7227E"/>
    <w:rsid w:val="00B7228E"/>
    <w:rsid w:val="00B723CF"/>
    <w:rsid w:val="00B72411"/>
    <w:rsid w:val="00B72503"/>
    <w:rsid w:val="00B72504"/>
    <w:rsid w:val="00B72681"/>
    <w:rsid w:val="00B72695"/>
    <w:rsid w:val="00B726A3"/>
    <w:rsid w:val="00B726AC"/>
    <w:rsid w:val="00B726F4"/>
    <w:rsid w:val="00B72751"/>
    <w:rsid w:val="00B727E0"/>
    <w:rsid w:val="00B72854"/>
    <w:rsid w:val="00B72963"/>
    <w:rsid w:val="00B72A52"/>
    <w:rsid w:val="00B72A5F"/>
    <w:rsid w:val="00B72A71"/>
    <w:rsid w:val="00B72AE0"/>
    <w:rsid w:val="00B72AE2"/>
    <w:rsid w:val="00B72BAB"/>
    <w:rsid w:val="00B72CD1"/>
    <w:rsid w:val="00B72D69"/>
    <w:rsid w:val="00B72DDC"/>
    <w:rsid w:val="00B72E97"/>
    <w:rsid w:val="00B72F3A"/>
    <w:rsid w:val="00B72F97"/>
    <w:rsid w:val="00B72FF4"/>
    <w:rsid w:val="00B730A9"/>
    <w:rsid w:val="00B73206"/>
    <w:rsid w:val="00B73262"/>
    <w:rsid w:val="00B73263"/>
    <w:rsid w:val="00B7327A"/>
    <w:rsid w:val="00B73285"/>
    <w:rsid w:val="00B7333E"/>
    <w:rsid w:val="00B73346"/>
    <w:rsid w:val="00B733DB"/>
    <w:rsid w:val="00B73655"/>
    <w:rsid w:val="00B73683"/>
    <w:rsid w:val="00B736AB"/>
    <w:rsid w:val="00B737B8"/>
    <w:rsid w:val="00B737C0"/>
    <w:rsid w:val="00B738A2"/>
    <w:rsid w:val="00B738CB"/>
    <w:rsid w:val="00B738DE"/>
    <w:rsid w:val="00B73934"/>
    <w:rsid w:val="00B739D8"/>
    <w:rsid w:val="00B73AA7"/>
    <w:rsid w:val="00B73B08"/>
    <w:rsid w:val="00B73BCE"/>
    <w:rsid w:val="00B73C17"/>
    <w:rsid w:val="00B73D5F"/>
    <w:rsid w:val="00B73D87"/>
    <w:rsid w:val="00B73D8C"/>
    <w:rsid w:val="00B73D8E"/>
    <w:rsid w:val="00B73D90"/>
    <w:rsid w:val="00B73DFB"/>
    <w:rsid w:val="00B73F0B"/>
    <w:rsid w:val="00B73F57"/>
    <w:rsid w:val="00B740D7"/>
    <w:rsid w:val="00B74209"/>
    <w:rsid w:val="00B74346"/>
    <w:rsid w:val="00B74431"/>
    <w:rsid w:val="00B7444A"/>
    <w:rsid w:val="00B7453C"/>
    <w:rsid w:val="00B7458B"/>
    <w:rsid w:val="00B745F2"/>
    <w:rsid w:val="00B74755"/>
    <w:rsid w:val="00B74797"/>
    <w:rsid w:val="00B747E1"/>
    <w:rsid w:val="00B748D1"/>
    <w:rsid w:val="00B748D9"/>
    <w:rsid w:val="00B749D4"/>
    <w:rsid w:val="00B749DB"/>
    <w:rsid w:val="00B74A0C"/>
    <w:rsid w:val="00B74A6B"/>
    <w:rsid w:val="00B74B30"/>
    <w:rsid w:val="00B74B37"/>
    <w:rsid w:val="00B74B3E"/>
    <w:rsid w:val="00B74B95"/>
    <w:rsid w:val="00B74BF5"/>
    <w:rsid w:val="00B74C69"/>
    <w:rsid w:val="00B74D65"/>
    <w:rsid w:val="00B74DFB"/>
    <w:rsid w:val="00B74E92"/>
    <w:rsid w:val="00B74ED7"/>
    <w:rsid w:val="00B74F3C"/>
    <w:rsid w:val="00B74F87"/>
    <w:rsid w:val="00B74F9A"/>
    <w:rsid w:val="00B74FB1"/>
    <w:rsid w:val="00B74FED"/>
    <w:rsid w:val="00B750B9"/>
    <w:rsid w:val="00B750BD"/>
    <w:rsid w:val="00B751F0"/>
    <w:rsid w:val="00B7522D"/>
    <w:rsid w:val="00B75310"/>
    <w:rsid w:val="00B754C6"/>
    <w:rsid w:val="00B754D2"/>
    <w:rsid w:val="00B754F4"/>
    <w:rsid w:val="00B75523"/>
    <w:rsid w:val="00B75543"/>
    <w:rsid w:val="00B755E5"/>
    <w:rsid w:val="00B7560E"/>
    <w:rsid w:val="00B7562A"/>
    <w:rsid w:val="00B756F1"/>
    <w:rsid w:val="00B757CE"/>
    <w:rsid w:val="00B75805"/>
    <w:rsid w:val="00B758A6"/>
    <w:rsid w:val="00B759C0"/>
    <w:rsid w:val="00B75A23"/>
    <w:rsid w:val="00B75AA5"/>
    <w:rsid w:val="00B75AF0"/>
    <w:rsid w:val="00B75B1F"/>
    <w:rsid w:val="00B75B24"/>
    <w:rsid w:val="00B75C21"/>
    <w:rsid w:val="00B75CA7"/>
    <w:rsid w:val="00B75E4F"/>
    <w:rsid w:val="00B75EEA"/>
    <w:rsid w:val="00B75F26"/>
    <w:rsid w:val="00B75FD8"/>
    <w:rsid w:val="00B75FEB"/>
    <w:rsid w:val="00B7602A"/>
    <w:rsid w:val="00B760B2"/>
    <w:rsid w:val="00B760C5"/>
    <w:rsid w:val="00B76136"/>
    <w:rsid w:val="00B76164"/>
    <w:rsid w:val="00B76167"/>
    <w:rsid w:val="00B761C0"/>
    <w:rsid w:val="00B76227"/>
    <w:rsid w:val="00B7628F"/>
    <w:rsid w:val="00B762B1"/>
    <w:rsid w:val="00B763ED"/>
    <w:rsid w:val="00B76436"/>
    <w:rsid w:val="00B76514"/>
    <w:rsid w:val="00B76558"/>
    <w:rsid w:val="00B765B9"/>
    <w:rsid w:val="00B7661D"/>
    <w:rsid w:val="00B76638"/>
    <w:rsid w:val="00B76748"/>
    <w:rsid w:val="00B7679A"/>
    <w:rsid w:val="00B767A3"/>
    <w:rsid w:val="00B767C6"/>
    <w:rsid w:val="00B7682A"/>
    <w:rsid w:val="00B7688C"/>
    <w:rsid w:val="00B769A3"/>
    <w:rsid w:val="00B769D5"/>
    <w:rsid w:val="00B76A1D"/>
    <w:rsid w:val="00B76A95"/>
    <w:rsid w:val="00B76AA5"/>
    <w:rsid w:val="00B76B9C"/>
    <w:rsid w:val="00B76B9E"/>
    <w:rsid w:val="00B76C0F"/>
    <w:rsid w:val="00B76C58"/>
    <w:rsid w:val="00B76C65"/>
    <w:rsid w:val="00B76DDA"/>
    <w:rsid w:val="00B76EC1"/>
    <w:rsid w:val="00B76EE1"/>
    <w:rsid w:val="00B77070"/>
    <w:rsid w:val="00B770A9"/>
    <w:rsid w:val="00B77119"/>
    <w:rsid w:val="00B7720D"/>
    <w:rsid w:val="00B77374"/>
    <w:rsid w:val="00B773C5"/>
    <w:rsid w:val="00B77425"/>
    <w:rsid w:val="00B774E8"/>
    <w:rsid w:val="00B77501"/>
    <w:rsid w:val="00B7751C"/>
    <w:rsid w:val="00B77666"/>
    <w:rsid w:val="00B77704"/>
    <w:rsid w:val="00B77705"/>
    <w:rsid w:val="00B77747"/>
    <w:rsid w:val="00B7779E"/>
    <w:rsid w:val="00B777B9"/>
    <w:rsid w:val="00B77918"/>
    <w:rsid w:val="00B77A73"/>
    <w:rsid w:val="00B77AF9"/>
    <w:rsid w:val="00B77C78"/>
    <w:rsid w:val="00B77D04"/>
    <w:rsid w:val="00B77E49"/>
    <w:rsid w:val="00B77E6C"/>
    <w:rsid w:val="00B77E87"/>
    <w:rsid w:val="00B8002D"/>
    <w:rsid w:val="00B8022A"/>
    <w:rsid w:val="00B802CA"/>
    <w:rsid w:val="00B802ED"/>
    <w:rsid w:val="00B80381"/>
    <w:rsid w:val="00B80415"/>
    <w:rsid w:val="00B80420"/>
    <w:rsid w:val="00B8042B"/>
    <w:rsid w:val="00B805A4"/>
    <w:rsid w:val="00B80618"/>
    <w:rsid w:val="00B80668"/>
    <w:rsid w:val="00B80732"/>
    <w:rsid w:val="00B8078E"/>
    <w:rsid w:val="00B8083B"/>
    <w:rsid w:val="00B80865"/>
    <w:rsid w:val="00B80962"/>
    <w:rsid w:val="00B809C2"/>
    <w:rsid w:val="00B809D1"/>
    <w:rsid w:val="00B80AC3"/>
    <w:rsid w:val="00B80AD5"/>
    <w:rsid w:val="00B80C9B"/>
    <w:rsid w:val="00B80CC3"/>
    <w:rsid w:val="00B80D62"/>
    <w:rsid w:val="00B80E43"/>
    <w:rsid w:val="00B81158"/>
    <w:rsid w:val="00B811C1"/>
    <w:rsid w:val="00B811DF"/>
    <w:rsid w:val="00B8128A"/>
    <w:rsid w:val="00B81339"/>
    <w:rsid w:val="00B815C6"/>
    <w:rsid w:val="00B8163F"/>
    <w:rsid w:val="00B81644"/>
    <w:rsid w:val="00B8166E"/>
    <w:rsid w:val="00B8173F"/>
    <w:rsid w:val="00B81792"/>
    <w:rsid w:val="00B8184C"/>
    <w:rsid w:val="00B818AC"/>
    <w:rsid w:val="00B818FC"/>
    <w:rsid w:val="00B8191E"/>
    <w:rsid w:val="00B81A2A"/>
    <w:rsid w:val="00B81A79"/>
    <w:rsid w:val="00B81A9F"/>
    <w:rsid w:val="00B81BE0"/>
    <w:rsid w:val="00B81CDE"/>
    <w:rsid w:val="00B81DA4"/>
    <w:rsid w:val="00B81DFE"/>
    <w:rsid w:val="00B81E2D"/>
    <w:rsid w:val="00B81EAF"/>
    <w:rsid w:val="00B81F96"/>
    <w:rsid w:val="00B81FAA"/>
    <w:rsid w:val="00B82073"/>
    <w:rsid w:val="00B820BF"/>
    <w:rsid w:val="00B82120"/>
    <w:rsid w:val="00B82126"/>
    <w:rsid w:val="00B8215E"/>
    <w:rsid w:val="00B821AE"/>
    <w:rsid w:val="00B8221A"/>
    <w:rsid w:val="00B82247"/>
    <w:rsid w:val="00B8228B"/>
    <w:rsid w:val="00B822C2"/>
    <w:rsid w:val="00B822E2"/>
    <w:rsid w:val="00B82369"/>
    <w:rsid w:val="00B823FA"/>
    <w:rsid w:val="00B82435"/>
    <w:rsid w:val="00B82673"/>
    <w:rsid w:val="00B82791"/>
    <w:rsid w:val="00B8282C"/>
    <w:rsid w:val="00B82863"/>
    <w:rsid w:val="00B828E1"/>
    <w:rsid w:val="00B82903"/>
    <w:rsid w:val="00B8292E"/>
    <w:rsid w:val="00B82936"/>
    <w:rsid w:val="00B829D2"/>
    <w:rsid w:val="00B82A61"/>
    <w:rsid w:val="00B82A9D"/>
    <w:rsid w:val="00B82AE9"/>
    <w:rsid w:val="00B82B24"/>
    <w:rsid w:val="00B82CAD"/>
    <w:rsid w:val="00B82D2B"/>
    <w:rsid w:val="00B82DB3"/>
    <w:rsid w:val="00B82E68"/>
    <w:rsid w:val="00B82EC1"/>
    <w:rsid w:val="00B82F80"/>
    <w:rsid w:val="00B82FAC"/>
    <w:rsid w:val="00B83247"/>
    <w:rsid w:val="00B833A5"/>
    <w:rsid w:val="00B83593"/>
    <w:rsid w:val="00B83634"/>
    <w:rsid w:val="00B83648"/>
    <w:rsid w:val="00B8365A"/>
    <w:rsid w:val="00B8386B"/>
    <w:rsid w:val="00B838BA"/>
    <w:rsid w:val="00B83929"/>
    <w:rsid w:val="00B8396B"/>
    <w:rsid w:val="00B8399C"/>
    <w:rsid w:val="00B839DA"/>
    <w:rsid w:val="00B83A15"/>
    <w:rsid w:val="00B83A1B"/>
    <w:rsid w:val="00B83A3E"/>
    <w:rsid w:val="00B83B56"/>
    <w:rsid w:val="00B83BB9"/>
    <w:rsid w:val="00B83C3B"/>
    <w:rsid w:val="00B83CAE"/>
    <w:rsid w:val="00B83CB4"/>
    <w:rsid w:val="00B83D18"/>
    <w:rsid w:val="00B83D29"/>
    <w:rsid w:val="00B83DDE"/>
    <w:rsid w:val="00B83DFD"/>
    <w:rsid w:val="00B83E2A"/>
    <w:rsid w:val="00B83EB9"/>
    <w:rsid w:val="00B83F34"/>
    <w:rsid w:val="00B841A4"/>
    <w:rsid w:val="00B84206"/>
    <w:rsid w:val="00B842AD"/>
    <w:rsid w:val="00B8449B"/>
    <w:rsid w:val="00B844F0"/>
    <w:rsid w:val="00B844F8"/>
    <w:rsid w:val="00B8467D"/>
    <w:rsid w:val="00B846C1"/>
    <w:rsid w:val="00B84719"/>
    <w:rsid w:val="00B847D3"/>
    <w:rsid w:val="00B847ED"/>
    <w:rsid w:val="00B84821"/>
    <w:rsid w:val="00B848AE"/>
    <w:rsid w:val="00B84923"/>
    <w:rsid w:val="00B8499A"/>
    <w:rsid w:val="00B849D8"/>
    <w:rsid w:val="00B84A27"/>
    <w:rsid w:val="00B84B71"/>
    <w:rsid w:val="00B84C46"/>
    <w:rsid w:val="00B84C5D"/>
    <w:rsid w:val="00B84D15"/>
    <w:rsid w:val="00B84D31"/>
    <w:rsid w:val="00B84D6E"/>
    <w:rsid w:val="00B84DE6"/>
    <w:rsid w:val="00B84E1F"/>
    <w:rsid w:val="00B84ECC"/>
    <w:rsid w:val="00B85011"/>
    <w:rsid w:val="00B851EC"/>
    <w:rsid w:val="00B85448"/>
    <w:rsid w:val="00B85449"/>
    <w:rsid w:val="00B854D2"/>
    <w:rsid w:val="00B85773"/>
    <w:rsid w:val="00B85809"/>
    <w:rsid w:val="00B8586F"/>
    <w:rsid w:val="00B858F9"/>
    <w:rsid w:val="00B8590A"/>
    <w:rsid w:val="00B859BA"/>
    <w:rsid w:val="00B85A1A"/>
    <w:rsid w:val="00B85A49"/>
    <w:rsid w:val="00B85B14"/>
    <w:rsid w:val="00B85B98"/>
    <w:rsid w:val="00B85BFD"/>
    <w:rsid w:val="00B85C79"/>
    <w:rsid w:val="00B85CF3"/>
    <w:rsid w:val="00B85DD5"/>
    <w:rsid w:val="00B85DD7"/>
    <w:rsid w:val="00B85E3E"/>
    <w:rsid w:val="00B85E43"/>
    <w:rsid w:val="00B85E62"/>
    <w:rsid w:val="00B85E86"/>
    <w:rsid w:val="00B8600A"/>
    <w:rsid w:val="00B86054"/>
    <w:rsid w:val="00B86145"/>
    <w:rsid w:val="00B8615B"/>
    <w:rsid w:val="00B861BB"/>
    <w:rsid w:val="00B862FE"/>
    <w:rsid w:val="00B86347"/>
    <w:rsid w:val="00B8641A"/>
    <w:rsid w:val="00B8649F"/>
    <w:rsid w:val="00B864C5"/>
    <w:rsid w:val="00B8651C"/>
    <w:rsid w:val="00B8654F"/>
    <w:rsid w:val="00B865CA"/>
    <w:rsid w:val="00B865F2"/>
    <w:rsid w:val="00B86616"/>
    <w:rsid w:val="00B86691"/>
    <w:rsid w:val="00B868A9"/>
    <w:rsid w:val="00B86AEC"/>
    <w:rsid w:val="00B86B0B"/>
    <w:rsid w:val="00B86B6B"/>
    <w:rsid w:val="00B86C2D"/>
    <w:rsid w:val="00B86DD6"/>
    <w:rsid w:val="00B86EDE"/>
    <w:rsid w:val="00B86EE0"/>
    <w:rsid w:val="00B86EEA"/>
    <w:rsid w:val="00B86FB9"/>
    <w:rsid w:val="00B87076"/>
    <w:rsid w:val="00B8718B"/>
    <w:rsid w:val="00B8727A"/>
    <w:rsid w:val="00B872F3"/>
    <w:rsid w:val="00B8739B"/>
    <w:rsid w:val="00B874BA"/>
    <w:rsid w:val="00B87523"/>
    <w:rsid w:val="00B875C0"/>
    <w:rsid w:val="00B87651"/>
    <w:rsid w:val="00B876B3"/>
    <w:rsid w:val="00B876DC"/>
    <w:rsid w:val="00B876EB"/>
    <w:rsid w:val="00B87729"/>
    <w:rsid w:val="00B8773C"/>
    <w:rsid w:val="00B87854"/>
    <w:rsid w:val="00B87870"/>
    <w:rsid w:val="00B878E9"/>
    <w:rsid w:val="00B87A10"/>
    <w:rsid w:val="00B87AED"/>
    <w:rsid w:val="00B87AF4"/>
    <w:rsid w:val="00B87C26"/>
    <w:rsid w:val="00B87D76"/>
    <w:rsid w:val="00B87D84"/>
    <w:rsid w:val="00B87DEE"/>
    <w:rsid w:val="00B87E1C"/>
    <w:rsid w:val="00B87E77"/>
    <w:rsid w:val="00B87EE5"/>
    <w:rsid w:val="00B87EF7"/>
    <w:rsid w:val="00B87F1D"/>
    <w:rsid w:val="00B87F63"/>
    <w:rsid w:val="00B87FC1"/>
    <w:rsid w:val="00B90030"/>
    <w:rsid w:val="00B90082"/>
    <w:rsid w:val="00B90092"/>
    <w:rsid w:val="00B900B8"/>
    <w:rsid w:val="00B900DE"/>
    <w:rsid w:val="00B90196"/>
    <w:rsid w:val="00B901D3"/>
    <w:rsid w:val="00B901F3"/>
    <w:rsid w:val="00B90224"/>
    <w:rsid w:val="00B9025A"/>
    <w:rsid w:val="00B90375"/>
    <w:rsid w:val="00B904A2"/>
    <w:rsid w:val="00B90607"/>
    <w:rsid w:val="00B9061C"/>
    <w:rsid w:val="00B90661"/>
    <w:rsid w:val="00B90681"/>
    <w:rsid w:val="00B906AE"/>
    <w:rsid w:val="00B906DA"/>
    <w:rsid w:val="00B9075D"/>
    <w:rsid w:val="00B907CF"/>
    <w:rsid w:val="00B907E9"/>
    <w:rsid w:val="00B907F7"/>
    <w:rsid w:val="00B908C9"/>
    <w:rsid w:val="00B90909"/>
    <w:rsid w:val="00B90964"/>
    <w:rsid w:val="00B90B40"/>
    <w:rsid w:val="00B90C96"/>
    <w:rsid w:val="00B90C9D"/>
    <w:rsid w:val="00B90D4D"/>
    <w:rsid w:val="00B90ECD"/>
    <w:rsid w:val="00B90EF7"/>
    <w:rsid w:val="00B90EFB"/>
    <w:rsid w:val="00B90FF9"/>
    <w:rsid w:val="00B91015"/>
    <w:rsid w:val="00B91038"/>
    <w:rsid w:val="00B910A9"/>
    <w:rsid w:val="00B910B4"/>
    <w:rsid w:val="00B911B8"/>
    <w:rsid w:val="00B91215"/>
    <w:rsid w:val="00B91308"/>
    <w:rsid w:val="00B91384"/>
    <w:rsid w:val="00B9139A"/>
    <w:rsid w:val="00B91428"/>
    <w:rsid w:val="00B9143F"/>
    <w:rsid w:val="00B914D4"/>
    <w:rsid w:val="00B914D8"/>
    <w:rsid w:val="00B914FA"/>
    <w:rsid w:val="00B91567"/>
    <w:rsid w:val="00B915EA"/>
    <w:rsid w:val="00B91668"/>
    <w:rsid w:val="00B916A8"/>
    <w:rsid w:val="00B917B9"/>
    <w:rsid w:val="00B91836"/>
    <w:rsid w:val="00B91872"/>
    <w:rsid w:val="00B91999"/>
    <w:rsid w:val="00B919EB"/>
    <w:rsid w:val="00B91A84"/>
    <w:rsid w:val="00B91BB0"/>
    <w:rsid w:val="00B91D29"/>
    <w:rsid w:val="00B91D2B"/>
    <w:rsid w:val="00B91D3B"/>
    <w:rsid w:val="00B91EA9"/>
    <w:rsid w:val="00B91EDF"/>
    <w:rsid w:val="00B91F4A"/>
    <w:rsid w:val="00B91F7C"/>
    <w:rsid w:val="00B9205B"/>
    <w:rsid w:val="00B921D6"/>
    <w:rsid w:val="00B92238"/>
    <w:rsid w:val="00B92262"/>
    <w:rsid w:val="00B92310"/>
    <w:rsid w:val="00B9235E"/>
    <w:rsid w:val="00B92377"/>
    <w:rsid w:val="00B923B1"/>
    <w:rsid w:val="00B923F5"/>
    <w:rsid w:val="00B924AD"/>
    <w:rsid w:val="00B924B3"/>
    <w:rsid w:val="00B925A7"/>
    <w:rsid w:val="00B9264C"/>
    <w:rsid w:val="00B9278C"/>
    <w:rsid w:val="00B92798"/>
    <w:rsid w:val="00B927BD"/>
    <w:rsid w:val="00B927E3"/>
    <w:rsid w:val="00B9287B"/>
    <w:rsid w:val="00B928D0"/>
    <w:rsid w:val="00B92924"/>
    <w:rsid w:val="00B9293D"/>
    <w:rsid w:val="00B9293E"/>
    <w:rsid w:val="00B9297E"/>
    <w:rsid w:val="00B92A1B"/>
    <w:rsid w:val="00B92A40"/>
    <w:rsid w:val="00B92B26"/>
    <w:rsid w:val="00B92B46"/>
    <w:rsid w:val="00B92BC0"/>
    <w:rsid w:val="00B92BC9"/>
    <w:rsid w:val="00B92D79"/>
    <w:rsid w:val="00B92E1E"/>
    <w:rsid w:val="00B92E94"/>
    <w:rsid w:val="00B92F35"/>
    <w:rsid w:val="00B93173"/>
    <w:rsid w:val="00B9326F"/>
    <w:rsid w:val="00B9328D"/>
    <w:rsid w:val="00B932C9"/>
    <w:rsid w:val="00B932ED"/>
    <w:rsid w:val="00B93340"/>
    <w:rsid w:val="00B93360"/>
    <w:rsid w:val="00B9343F"/>
    <w:rsid w:val="00B93466"/>
    <w:rsid w:val="00B934CA"/>
    <w:rsid w:val="00B9368A"/>
    <w:rsid w:val="00B936A3"/>
    <w:rsid w:val="00B9371C"/>
    <w:rsid w:val="00B93767"/>
    <w:rsid w:val="00B938A1"/>
    <w:rsid w:val="00B938AC"/>
    <w:rsid w:val="00B939FA"/>
    <w:rsid w:val="00B93A38"/>
    <w:rsid w:val="00B93A4A"/>
    <w:rsid w:val="00B93A5F"/>
    <w:rsid w:val="00B93AA6"/>
    <w:rsid w:val="00B93B31"/>
    <w:rsid w:val="00B93C5A"/>
    <w:rsid w:val="00B93C95"/>
    <w:rsid w:val="00B93CA9"/>
    <w:rsid w:val="00B93DB5"/>
    <w:rsid w:val="00B93E04"/>
    <w:rsid w:val="00B93E29"/>
    <w:rsid w:val="00B93F56"/>
    <w:rsid w:val="00B94088"/>
    <w:rsid w:val="00B94105"/>
    <w:rsid w:val="00B94174"/>
    <w:rsid w:val="00B941AE"/>
    <w:rsid w:val="00B9425A"/>
    <w:rsid w:val="00B942C5"/>
    <w:rsid w:val="00B942E5"/>
    <w:rsid w:val="00B943B2"/>
    <w:rsid w:val="00B9448D"/>
    <w:rsid w:val="00B944E8"/>
    <w:rsid w:val="00B94550"/>
    <w:rsid w:val="00B945F1"/>
    <w:rsid w:val="00B9468F"/>
    <w:rsid w:val="00B9475F"/>
    <w:rsid w:val="00B9488D"/>
    <w:rsid w:val="00B94969"/>
    <w:rsid w:val="00B949A1"/>
    <w:rsid w:val="00B949B8"/>
    <w:rsid w:val="00B94A5E"/>
    <w:rsid w:val="00B94AA3"/>
    <w:rsid w:val="00B94ADB"/>
    <w:rsid w:val="00B94B0C"/>
    <w:rsid w:val="00B94B68"/>
    <w:rsid w:val="00B94B84"/>
    <w:rsid w:val="00B94BD6"/>
    <w:rsid w:val="00B94C75"/>
    <w:rsid w:val="00B94DB3"/>
    <w:rsid w:val="00B94EE6"/>
    <w:rsid w:val="00B94FDB"/>
    <w:rsid w:val="00B94FEE"/>
    <w:rsid w:val="00B9501B"/>
    <w:rsid w:val="00B950AF"/>
    <w:rsid w:val="00B95153"/>
    <w:rsid w:val="00B9519C"/>
    <w:rsid w:val="00B951BF"/>
    <w:rsid w:val="00B9522C"/>
    <w:rsid w:val="00B9530E"/>
    <w:rsid w:val="00B95353"/>
    <w:rsid w:val="00B953DB"/>
    <w:rsid w:val="00B9541F"/>
    <w:rsid w:val="00B95447"/>
    <w:rsid w:val="00B95476"/>
    <w:rsid w:val="00B95554"/>
    <w:rsid w:val="00B955E8"/>
    <w:rsid w:val="00B956BC"/>
    <w:rsid w:val="00B956C3"/>
    <w:rsid w:val="00B956DC"/>
    <w:rsid w:val="00B956DE"/>
    <w:rsid w:val="00B956FB"/>
    <w:rsid w:val="00B95792"/>
    <w:rsid w:val="00B95812"/>
    <w:rsid w:val="00B958DF"/>
    <w:rsid w:val="00B959B1"/>
    <w:rsid w:val="00B959D1"/>
    <w:rsid w:val="00B95AFB"/>
    <w:rsid w:val="00B95CCD"/>
    <w:rsid w:val="00B95D2C"/>
    <w:rsid w:val="00B95D93"/>
    <w:rsid w:val="00B95E5F"/>
    <w:rsid w:val="00B95EC7"/>
    <w:rsid w:val="00B95EDC"/>
    <w:rsid w:val="00B95EEE"/>
    <w:rsid w:val="00B95F16"/>
    <w:rsid w:val="00B95FA3"/>
    <w:rsid w:val="00B95FDB"/>
    <w:rsid w:val="00B95FF1"/>
    <w:rsid w:val="00B96112"/>
    <w:rsid w:val="00B96123"/>
    <w:rsid w:val="00B9628D"/>
    <w:rsid w:val="00B96318"/>
    <w:rsid w:val="00B963B3"/>
    <w:rsid w:val="00B963FC"/>
    <w:rsid w:val="00B96495"/>
    <w:rsid w:val="00B964C2"/>
    <w:rsid w:val="00B964DE"/>
    <w:rsid w:val="00B96555"/>
    <w:rsid w:val="00B967B1"/>
    <w:rsid w:val="00B96822"/>
    <w:rsid w:val="00B9682A"/>
    <w:rsid w:val="00B968DE"/>
    <w:rsid w:val="00B96937"/>
    <w:rsid w:val="00B96973"/>
    <w:rsid w:val="00B96979"/>
    <w:rsid w:val="00B96AB9"/>
    <w:rsid w:val="00B96B0B"/>
    <w:rsid w:val="00B96B60"/>
    <w:rsid w:val="00B96BE5"/>
    <w:rsid w:val="00B96C33"/>
    <w:rsid w:val="00B96CE9"/>
    <w:rsid w:val="00B96CFE"/>
    <w:rsid w:val="00B96D22"/>
    <w:rsid w:val="00B96D5D"/>
    <w:rsid w:val="00B96D90"/>
    <w:rsid w:val="00B96DBF"/>
    <w:rsid w:val="00B96E37"/>
    <w:rsid w:val="00B96E41"/>
    <w:rsid w:val="00B96EE2"/>
    <w:rsid w:val="00B96F62"/>
    <w:rsid w:val="00B96F67"/>
    <w:rsid w:val="00B96F88"/>
    <w:rsid w:val="00B96F8A"/>
    <w:rsid w:val="00B96FB4"/>
    <w:rsid w:val="00B97033"/>
    <w:rsid w:val="00B97056"/>
    <w:rsid w:val="00B97192"/>
    <w:rsid w:val="00B971A5"/>
    <w:rsid w:val="00B9720A"/>
    <w:rsid w:val="00B972B6"/>
    <w:rsid w:val="00B972BD"/>
    <w:rsid w:val="00B9730C"/>
    <w:rsid w:val="00B97313"/>
    <w:rsid w:val="00B97314"/>
    <w:rsid w:val="00B97319"/>
    <w:rsid w:val="00B97339"/>
    <w:rsid w:val="00B9734B"/>
    <w:rsid w:val="00B973BD"/>
    <w:rsid w:val="00B97445"/>
    <w:rsid w:val="00B9752E"/>
    <w:rsid w:val="00B9757E"/>
    <w:rsid w:val="00B975D1"/>
    <w:rsid w:val="00B97620"/>
    <w:rsid w:val="00B97686"/>
    <w:rsid w:val="00B979EC"/>
    <w:rsid w:val="00B97A8A"/>
    <w:rsid w:val="00B97AB8"/>
    <w:rsid w:val="00B97ABA"/>
    <w:rsid w:val="00B97BBE"/>
    <w:rsid w:val="00B97CBA"/>
    <w:rsid w:val="00B97CFD"/>
    <w:rsid w:val="00B97D27"/>
    <w:rsid w:val="00B97D40"/>
    <w:rsid w:val="00B97E1D"/>
    <w:rsid w:val="00B97ECD"/>
    <w:rsid w:val="00B97F17"/>
    <w:rsid w:val="00B97FD4"/>
    <w:rsid w:val="00BA0063"/>
    <w:rsid w:val="00BA00F5"/>
    <w:rsid w:val="00BA0184"/>
    <w:rsid w:val="00BA023F"/>
    <w:rsid w:val="00BA02BD"/>
    <w:rsid w:val="00BA0375"/>
    <w:rsid w:val="00BA03A2"/>
    <w:rsid w:val="00BA03D8"/>
    <w:rsid w:val="00BA03EB"/>
    <w:rsid w:val="00BA041A"/>
    <w:rsid w:val="00BA04CD"/>
    <w:rsid w:val="00BA0530"/>
    <w:rsid w:val="00BA05DF"/>
    <w:rsid w:val="00BA0607"/>
    <w:rsid w:val="00BA0698"/>
    <w:rsid w:val="00BA06AB"/>
    <w:rsid w:val="00BA0730"/>
    <w:rsid w:val="00BA07FB"/>
    <w:rsid w:val="00BA0868"/>
    <w:rsid w:val="00BA0884"/>
    <w:rsid w:val="00BA08BA"/>
    <w:rsid w:val="00BA08E6"/>
    <w:rsid w:val="00BA093C"/>
    <w:rsid w:val="00BA0A64"/>
    <w:rsid w:val="00BA0B06"/>
    <w:rsid w:val="00BA0BFC"/>
    <w:rsid w:val="00BA0C18"/>
    <w:rsid w:val="00BA0C42"/>
    <w:rsid w:val="00BA0CBE"/>
    <w:rsid w:val="00BA0D66"/>
    <w:rsid w:val="00BA0D6F"/>
    <w:rsid w:val="00BA0D81"/>
    <w:rsid w:val="00BA0DA6"/>
    <w:rsid w:val="00BA0DDF"/>
    <w:rsid w:val="00BA0E91"/>
    <w:rsid w:val="00BA0F2D"/>
    <w:rsid w:val="00BA0F33"/>
    <w:rsid w:val="00BA0F69"/>
    <w:rsid w:val="00BA103E"/>
    <w:rsid w:val="00BA1100"/>
    <w:rsid w:val="00BA117C"/>
    <w:rsid w:val="00BA11CF"/>
    <w:rsid w:val="00BA1247"/>
    <w:rsid w:val="00BA125D"/>
    <w:rsid w:val="00BA140D"/>
    <w:rsid w:val="00BA148E"/>
    <w:rsid w:val="00BA1510"/>
    <w:rsid w:val="00BA1574"/>
    <w:rsid w:val="00BA1664"/>
    <w:rsid w:val="00BA16C7"/>
    <w:rsid w:val="00BA17D9"/>
    <w:rsid w:val="00BA17E3"/>
    <w:rsid w:val="00BA17E6"/>
    <w:rsid w:val="00BA1874"/>
    <w:rsid w:val="00BA18A4"/>
    <w:rsid w:val="00BA18BF"/>
    <w:rsid w:val="00BA1966"/>
    <w:rsid w:val="00BA197D"/>
    <w:rsid w:val="00BA1A42"/>
    <w:rsid w:val="00BA1AAD"/>
    <w:rsid w:val="00BA1B74"/>
    <w:rsid w:val="00BA1BB0"/>
    <w:rsid w:val="00BA1BE2"/>
    <w:rsid w:val="00BA1C16"/>
    <w:rsid w:val="00BA1C8B"/>
    <w:rsid w:val="00BA1CE5"/>
    <w:rsid w:val="00BA1EB7"/>
    <w:rsid w:val="00BA1F62"/>
    <w:rsid w:val="00BA1F6C"/>
    <w:rsid w:val="00BA1F70"/>
    <w:rsid w:val="00BA1F79"/>
    <w:rsid w:val="00BA1FA7"/>
    <w:rsid w:val="00BA1FD0"/>
    <w:rsid w:val="00BA201C"/>
    <w:rsid w:val="00BA2048"/>
    <w:rsid w:val="00BA216E"/>
    <w:rsid w:val="00BA217B"/>
    <w:rsid w:val="00BA2191"/>
    <w:rsid w:val="00BA2233"/>
    <w:rsid w:val="00BA224C"/>
    <w:rsid w:val="00BA224E"/>
    <w:rsid w:val="00BA2293"/>
    <w:rsid w:val="00BA2296"/>
    <w:rsid w:val="00BA22E2"/>
    <w:rsid w:val="00BA22F7"/>
    <w:rsid w:val="00BA22FF"/>
    <w:rsid w:val="00BA236A"/>
    <w:rsid w:val="00BA23F5"/>
    <w:rsid w:val="00BA24DE"/>
    <w:rsid w:val="00BA253F"/>
    <w:rsid w:val="00BA2574"/>
    <w:rsid w:val="00BA259A"/>
    <w:rsid w:val="00BA25F8"/>
    <w:rsid w:val="00BA2684"/>
    <w:rsid w:val="00BA26BE"/>
    <w:rsid w:val="00BA27BA"/>
    <w:rsid w:val="00BA27F6"/>
    <w:rsid w:val="00BA282C"/>
    <w:rsid w:val="00BA286A"/>
    <w:rsid w:val="00BA28B9"/>
    <w:rsid w:val="00BA292A"/>
    <w:rsid w:val="00BA2988"/>
    <w:rsid w:val="00BA29E4"/>
    <w:rsid w:val="00BA2A01"/>
    <w:rsid w:val="00BA2A06"/>
    <w:rsid w:val="00BA2ACC"/>
    <w:rsid w:val="00BA2C32"/>
    <w:rsid w:val="00BA2C67"/>
    <w:rsid w:val="00BA2DB8"/>
    <w:rsid w:val="00BA2DD1"/>
    <w:rsid w:val="00BA2E38"/>
    <w:rsid w:val="00BA2FE3"/>
    <w:rsid w:val="00BA31D4"/>
    <w:rsid w:val="00BA320D"/>
    <w:rsid w:val="00BA321E"/>
    <w:rsid w:val="00BA34F9"/>
    <w:rsid w:val="00BA358A"/>
    <w:rsid w:val="00BA362F"/>
    <w:rsid w:val="00BA392A"/>
    <w:rsid w:val="00BA39B1"/>
    <w:rsid w:val="00BA39B6"/>
    <w:rsid w:val="00BA3A16"/>
    <w:rsid w:val="00BA3A26"/>
    <w:rsid w:val="00BA3AE0"/>
    <w:rsid w:val="00BA3B64"/>
    <w:rsid w:val="00BA3BFB"/>
    <w:rsid w:val="00BA3CD8"/>
    <w:rsid w:val="00BA3CEA"/>
    <w:rsid w:val="00BA3D87"/>
    <w:rsid w:val="00BA3DBC"/>
    <w:rsid w:val="00BA3DEB"/>
    <w:rsid w:val="00BA3EAD"/>
    <w:rsid w:val="00BA3EB0"/>
    <w:rsid w:val="00BA3F27"/>
    <w:rsid w:val="00BA3F6A"/>
    <w:rsid w:val="00BA3FF3"/>
    <w:rsid w:val="00BA4072"/>
    <w:rsid w:val="00BA4354"/>
    <w:rsid w:val="00BA4402"/>
    <w:rsid w:val="00BA4410"/>
    <w:rsid w:val="00BA4414"/>
    <w:rsid w:val="00BA452E"/>
    <w:rsid w:val="00BA4565"/>
    <w:rsid w:val="00BA4644"/>
    <w:rsid w:val="00BA4696"/>
    <w:rsid w:val="00BA46B9"/>
    <w:rsid w:val="00BA46BD"/>
    <w:rsid w:val="00BA479D"/>
    <w:rsid w:val="00BA47CD"/>
    <w:rsid w:val="00BA4812"/>
    <w:rsid w:val="00BA4840"/>
    <w:rsid w:val="00BA484A"/>
    <w:rsid w:val="00BA4866"/>
    <w:rsid w:val="00BA488B"/>
    <w:rsid w:val="00BA4970"/>
    <w:rsid w:val="00BA49B0"/>
    <w:rsid w:val="00BA4AA8"/>
    <w:rsid w:val="00BA4AFC"/>
    <w:rsid w:val="00BA4B58"/>
    <w:rsid w:val="00BA4C49"/>
    <w:rsid w:val="00BA4C6E"/>
    <w:rsid w:val="00BA4DE7"/>
    <w:rsid w:val="00BA4E51"/>
    <w:rsid w:val="00BA4FDA"/>
    <w:rsid w:val="00BA5220"/>
    <w:rsid w:val="00BA5226"/>
    <w:rsid w:val="00BA535E"/>
    <w:rsid w:val="00BA5388"/>
    <w:rsid w:val="00BA5408"/>
    <w:rsid w:val="00BA5551"/>
    <w:rsid w:val="00BA5589"/>
    <w:rsid w:val="00BA5630"/>
    <w:rsid w:val="00BA563E"/>
    <w:rsid w:val="00BA5698"/>
    <w:rsid w:val="00BA5716"/>
    <w:rsid w:val="00BA5762"/>
    <w:rsid w:val="00BA578A"/>
    <w:rsid w:val="00BA57C2"/>
    <w:rsid w:val="00BA5853"/>
    <w:rsid w:val="00BA58C2"/>
    <w:rsid w:val="00BA58EC"/>
    <w:rsid w:val="00BA5904"/>
    <w:rsid w:val="00BA59FD"/>
    <w:rsid w:val="00BA5A10"/>
    <w:rsid w:val="00BA5A25"/>
    <w:rsid w:val="00BA5A30"/>
    <w:rsid w:val="00BA5A93"/>
    <w:rsid w:val="00BA5AC8"/>
    <w:rsid w:val="00BA5BF9"/>
    <w:rsid w:val="00BA5C08"/>
    <w:rsid w:val="00BA5C6C"/>
    <w:rsid w:val="00BA5CB7"/>
    <w:rsid w:val="00BA5D1F"/>
    <w:rsid w:val="00BA5D5D"/>
    <w:rsid w:val="00BA5D65"/>
    <w:rsid w:val="00BA5D77"/>
    <w:rsid w:val="00BA5E7E"/>
    <w:rsid w:val="00BA5F7E"/>
    <w:rsid w:val="00BA5FE5"/>
    <w:rsid w:val="00BA600C"/>
    <w:rsid w:val="00BA6016"/>
    <w:rsid w:val="00BA623D"/>
    <w:rsid w:val="00BA62B8"/>
    <w:rsid w:val="00BA62C2"/>
    <w:rsid w:val="00BA62F2"/>
    <w:rsid w:val="00BA6393"/>
    <w:rsid w:val="00BA64AE"/>
    <w:rsid w:val="00BA655B"/>
    <w:rsid w:val="00BA664A"/>
    <w:rsid w:val="00BA6708"/>
    <w:rsid w:val="00BA67AA"/>
    <w:rsid w:val="00BA6831"/>
    <w:rsid w:val="00BA6840"/>
    <w:rsid w:val="00BA6858"/>
    <w:rsid w:val="00BA6926"/>
    <w:rsid w:val="00BA6969"/>
    <w:rsid w:val="00BA69CC"/>
    <w:rsid w:val="00BA6A90"/>
    <w:rsid w:val="00BA6AA8"/>
    <w:rsid w:val="00BA6C25"/>
    <w:rsid w:val="00BA6C5B"/>
    <w:rsid w:val="00BA6C71"/>
    <w:rsid w:val="00BA6D20"/>
    <w:rsid w:val="00BA6DA4"/>
    <w:rsid w:val="00BA6DB4"/>
    <w:rsid w:val="00BA6E39"/>
    <w:rsid w:val="00BA6E60"/>
    <w:rsid w:val="00BA6E8D"/>
    <w:rsid w:val="00BA6EC5"/>
    <w:rsid w:val="00BA6F41"/>
    <w:rsid w:val="00BA700D"/>
    <w:rsid w:val="00BA70D1"/>
    <w:rsid w:val="00BA710E"/>
    <w:rsid w:val="00BA711A"/>
    <w:rsid w:val="00BA7182"/>
    <w:rsid w:val="00BA7241"/>
    <w:rsid w:val="00BA7393"/>
    <w:rsid w:val="00BA73A6"/>
    <w:rsid w:val="00BA73B7"/>
    <w:rsid w:val="00BA7484"/>
    <w:rsid w:val="00BA752D"/>
    <w:rsid w:val="00BA75F6"/>
    <w:rsid w:val="00BA768E"/>
    <w:rsid w:val="00BA76C2"/>
    <w:rsid w:val="00BA7775"/>
    <w:rsid w:val="00BA7778"/>
    <w:rsid w:val="00BA7816"/>
    <w:rsid w:val="00BA78AA"/>
    <w:rsid w:val="00BA7999"/>
    <w:rsid w:val="00BA79C8"/>
    <w:rsid w:val="00BA7AFF"/>
    <w:rsid w:val="00BA7B2E"/>
    <w:rsid w:val="00BA7C06"/>
    <w:rsid w:val="00BA7CEC"/>
    <w:rsid w:val="00BA7DBE"/>
    <w:rsid w:val="00BA7DDB"/>
    <w:rsid w:val="00BA7E27"/>
    <w:rsid w:val="00BA7E28"/>
    <w:rsid w:val="00BA7EDA"/>
    <w:rsid w:val="00BA7F06"/>
    <w:rsid w:val="00BA7F3F"/>
    <w:rsid w:val="00BA7F75"/>
    <w:rsid w:val="00BA7FEB"/>
    <w:rsid w:val="00BB0004"/>
    <w:rsid w:val="00BB0009"/>
    <w:rsid w:val="00BB003F"/>
    <w:rsid w:val="00BB0113"/>
    <w:rsid w:val="00BB0274"/>
    <w:rsid w:val="00BB02CD"/>
    <w:rsid w:val="00BB0319"/>
    <w:rsid w:val="00BB0356"/>
    <w:rsid w:val="00BB03AD"/>
    <w:rsid w:val="00BB040C"/>
    <w:rsid w:val="00BB04C4"/>
    <w:rsid w:val="00BB055D"/>
    <w:rsid w:val="00BB05A1"/>
    <w:rsid w:val="00BB06D3"/>
    <w:rsid w:val="00BB06FE"/>
    <w:rsid w:val="00BB0782"/>
    <w:rsid w:val="00BB07BC"/>
    <w:rsid w:val="00BB080E"/>
    <w:rsid w:val="00BB08A2"/>
    <w:rsid w:val="00BB08C3"/>
    <w:rsid w:val="00BB0960"/>
    <w:rsid w:val="00BB0A76"/>
    <w:rsid w:val="00BB0AE2"/>
    <w:rsid w:val="00BB0B1B"/>
    <w:rsid w:val="00BB0B99"/>
    <w:rsid w:val="00BB0BB7"/>
    <w:rsid w:val="00BB0C0F"/>
    <w:rsid w:val="00BB0C5E"/>
    <w:rsid w:val="00BB0DE5"/>
    <w:rsid w:val="00BB0DF3"/>
    <w:rsid w:val="00BB0DFB"/>
    <w:rsid w:val="00BB0E47"/>
    <w:rsid w:val="00BB0E76"/>
    <w:rsid w:val="00BB0E7A"/>
    <w:rsid w:val="00BB0E90"/>
    <w:rsid w:val="00BB0ED6"/>
    <w:rsid w:val="00BB0F19"/>
    <w:rsid w:val="00BB0F28"/>
    <w:rsid w:val="00BB0FDD"/>
    <w:rsid w:val="00BB0FE3"/>
    <w:rsid w:val="00BB10A8"/>
    <w:rsid w:val="00BB112E"/>
    <w:rsid w:val="00BB121D"/>
    <w:rsid w:val="00BB13E3"/>
    <w:rsid w:val="00BB140E"/>
    <w:rsid w:val="00BB1433"/>
    <w:rsid w:val="00BB146A"/>
    <w:rsid w:val="00BB1493"/>
    <w:rsid w:val="00BB15B7"/>
    <w:rsid w:val="00BB15DC"/>
    <w:rsid w:val="00BB15F3"/>
    <w:rsid w:val="00BB1790"/>
    <w:rsid w:val="00BB17E9"/>
    <w:rsid w:val="00BB1890"/>
    <w:rsid w:val="00BB18B6"/>
    <w:rsid w:val="00BB18D5"/>
    <w:rsid w:val="00BB1943"/>
    <w:rsid w:val="00BB199F"/>
    <w:rsid w:val="00BB19F9"/>
    <w:rsid w:val="00BB1A73"/>
    <w:rsid w:val="00BB1AEF"/>
    <w:rsid w:val="00BB1B47"/>
    <w:rsid w:val="00BB1B74"/>
    <w:rsid w:val="00BB1C4A"/>
    <w:rsid w:val="00BB1D56"/>
    <w:rsid w:val="00BB1E6F"/>
    <w:rsid w:val="00BB1E74"/>
    <w:rsid w:val="00BB1F1C"/>
    <w:rsid w:val="00BB2175"/>
    <w:rsid w:val="00BB2199"/>
    <w:rsid w:val="00BB21A7"/>
    <w:rsid w:val="00BB21FE"/>
    <w:rsid w:val="00BB23C8"/>
    <w:rsid w:val="00BB2520"/>
    <w:rsid w:val="00BB25CB"/>
    <w:rsid w:val="00BB25E1"/>
    <w:rsid w:val="00BB2665"/>
    <w:rsid w:val="00BB2674"/>
    <w:rsid w:val="00BB26BC"/>
    <w:rsid w:val="00BB26C7"/>
    <w:rsid w:val="00BB27A4"/>
    <w:rsid w:val="00BB27DC"/>
    <w:rsid w:val="00BB2814"/>
    <w:rsid w:val="00BB2890"/>
    <w:rsid w:val="00BB28D9"/>
    <w:rsid w:val="00BB2A1E"/>
    <w:rsid w:val="00BB2A73"/>
    <w:rsid w:val="00BB2A76"/>
    <w:rsid w:val="00BB2C00"/>
    <w:rsid w:val="00BB2CF2"/>
    <w:rsid w:val="00BB2D70"/>
    <w:rsid w:val="00BB2E02"/>
    <w:rsid w:val="00BB2E7B"/>
    <w:rsid w:val="00BB2EF7"/>
    <w:rsid w:val="00BB2F7D"/>
    <w:rsid w:val="00BB3081"/>
    <w:rsid w:val="00BB30C8"/>
    <w:rsid w:val="00BB30D4"/>
    <w:rsid w:val="00BB3103"/>
    <w:rsid w:val="00BB314E"/>
    <w:rsid w:val="00BB322E"/>
    <w:rsid w:val="00BB323D"/>
    <w:rsid w:val="00BB32A1"/>
    <w:rsid w:val="00BB32DF"/>
    <w:rsid w:val="00BB333D"/>
    <w:rsid w:val="00BB36B5"/>
    <w:rsid w:val="00BB3761"/>
    <w:rsid w:val="00BB377D"/>
    <w:rsid w:val="00BB3843"/>
    <w:rsid w:val="00BB387A"/>
    <w:rsid w:val="00BB3A5E"/>
    <w:rsid w:val="00BB3A65"/>
    <w:rsid w:val="00BB3AA7"/>
    <w:rsid w:val="00BB3B99"/>
    <w:rsid w:val="00BB3BDC"/>
    <w:rsid w:val="00BB3E18"/>
    <w:rsid w:val="00BB3E65"/>
    <w:rsid w:val="00BB3FD4"/>
    <w:rsid w:val="00BB40B0"/>
    <w:rsid w:val="00BB40C9"/>
    <w:rsid w:val="00BB426E"/>
    <w:rsid w:val="00BB4326"/>
    <w:rsid w:val="00BB438E"/>
    <w:rsid w:val="00BB4422"/>
    <w:rsid w:val="00BB4509"/>
    <w:rsid w:val="00BB455D"/>
    <w:rsid w:val="00BB4566"/>
    <w:rsid w:val="00BB456A"/>
    <w:rsid w:val="00BB4631"/>
    <w:rsid w:val="00BB4710"/>
    <w:rsid w:val="00BB48F6"/>
    <w:rsid w:val="00BB4945"/>
    <w:rsid w:val="00BB494C"/>
    <w:rsid w:val="00BB4B5B"/>
    <w:rsid w:val="00BB4BBA"/>
    <w:rsid w:val="00BB4BC5"/>
    <w:rsid w:val="00BB4C07"/>
    <w:rsid w:val="00BB4C0C"/>
    <w:rsid w:val="00BB4C21"/>
    <w:rsid w:val="00BB4C5C"/>
    <w:rsid w:val="00BB4D2D"/>
    <w:rsid w:val="00BB4E49"/>
    <w:rsid w:val="00BB4EBA"/>
    <w:rsid w:val="00BB4F01"/>
    <w:rsid w:val="00BB4F68"/>
    <w:rsid w:val="00BB4FC7"/>
    <w:rsid w:val="00BB50A6"/>
    <w:rsid w:val="00BB51BC"/>
    <w:rsid w:val="00BB51DC"/>
    <w:rsid w:val="00BB521E"/>
    <w:rsid w:val="00BB52E6"/>
    <w:rsid w:val="00BB52EF"/>
    <w:rsid w:val="00BB5319"/>
    <w:rsid w:val="00BB54F2"/>
    <w:rsid w:val="00BB5546"/>
    <w:rsid w:val="00BB557E"/>
    <w:rsid w:val="00BB55E4"/>
    <w:rsid w:val="00BB5825"/>
    <w:rsid w:val="00BB5920"/>
    <w:rsid w:val="00BB5ABD"/>
    <w:rsid w:val="00BB5B7B"/>
    <w:rsid w:val="00BB5BCA"/>
    <w:rsid w:val="00BB5C33"/>
    <w:rsid w:val="00BB5C4D"/>
    <w:rsid w:val="00BB5C58"/>
    <w:rsid w:val="00BB5C5E"/>
    <w:rsid w:val="00BB5DDA"/>
    <w:rsid w:val="00BB5E94"/>
    <w:rsid w:val="00BB5EB7"/>
    <w:rsid w:val="00BB5EFD"/>
    <w:rsid w:val="00BB5F21"/>
    <w:rsid w:val="00BB5F6D"/>
    <w:rsid w:val="00BB5FFD"/>
    <w:rsid w:val="00BB606A"/>
    <w:rsid w:val="00BB60C2"/>
    <w:rsid w:val="00BB60CC"/>
    <w:rsid w:val="00BB60F3"/>
    <w:rsid w:val="00BB60FC"/>
    <w:rsid w:val="00BB6128"/>
    <w:rsid w:val="00BB6199"/>
    <w:rsid w:val="00BB6208"/>
    <w:rsid w:val="00BB627A"/>
    <w:rsid w:val="00BB629F"/>
    <w:rsid w:val="00BB62C9"/>
    <w:rsid w:val="00BB6394"/>
    <w:rsid w:val="00BB63C5"/>
    <w:rsid w:val="00BB6429"/>
    <w:rsid w:val="00BB64E9"/>
    <w:rsid w:val="00BB66A9"/>
    <w:rsid w:val="00BB66D9"/>
    <w:rsid w:val="00BB66F6"/>
    <w:rsid w:val="00BB6887"/>
    <w:rsid w:val="00BB68F3"/>
    <w:rsid w:val="00BB6933"/>
    <w:rsid w:val="00BB6A23"/>
    <w:rsid w:val="00BB6A58"/>
    <w:rsid w:val="00BB6A72"/>
    <w:rsid w:val="00BB6BBB"/>
    <w:rsid w:val="00BB6BCD"/>
    <w:rsid w:val="00BB6BDC"/>
    <w:rsid w:val="00BB6E94"/>
    <w:rsid w:val="00BB6F10"/>
    <w:rsid w:val="00BB6F63"/>
    <w:rsid w:val="00BB7054"/>
    <w:rsid w:val="00BB70CA"/>
    <w:rsid w:val="00BB70CF"/>
    <w:rsid w:val="00BB721C"/>
    <w:rsid w:val="00BB7285"/>
    <w:rsid w:val="00BB72E5"/>
    <w:rsid w:val="00BB738B"/>
    <w:rsid w:val="00BB73AA"/>
    <w:rsid w:val="00BB73CE"/>
    <w:rsid w:val="00BB73E0"/>
    <w:rsid w:val="00BB7498"/>
    <w:rsid w:val="00BB758D"/>
    <w:rsid w:val="00BB75EF"/>
    <w:rsid w:val="00BB770C"/>
    <w:rsid w:val="00BB771C"/>
    <w:rsid w:val="00BB773E"/>
    <w:rsid w:val="00BB778F"/>
    <w:rsid w:val="00BB77A9"/>
    <w:rsid w:val="00BB7927"/>
    <w:rsid w:val="00BB7983"/>
    <w:rsid w:val="00BB798F"/>
    <w:rsid w:val="00BB79DA"/>
    <w:rsid w:val="00BB7A8C"/>
    <w:rsid w:val="00BB7AA8"/>
    <w:rsid w:val="00BB7CCC"/>
    <w:rsid w:val="00BB7CF1"/>
    <w:rsid w:val="00BB7D4C"/>
    <w:rsid w:val="00BB7E73"/>
    <w:rsid w:val="00BB7E7B"/>
    <w:rsid w:val="00BB7EE0"/>
    <w:rsid w:val="00BB7EF3"/>
    <w:rsid w:val="00BB7F61"/>
    <w:rsid w:val="00BB7F7B"/>
    <w:rsid w:val="00BC0051"/>
    <w:rsid w:val="00BC00D5"/>
    <w:rsid w:val="00BC0131"/>
    <w:rsid w:val="00BC02A5"/>
    <w:rsid w:val="00BC02E6"/>
    <w:rsid w:val="00BC02E9"/>
    <w:rsid w:val="00BC02EC"/>
    <w:rsid w:val="00BC032E"/>
    <w:rsid w:val="00BC0341"/>
    <w:rsid w:val="00BC0375"/>
    <w:rsid w:val="00BC0379"/>
    <w:rsid w:val="00BC03F5"/>
    <w:rsid w:val="00BC0415"/>
    <w:rsid w:val="00BC04D0"/>
    <w:rsid w:val="00BC0547"/>
    <w:rsid w:val="00BC0690"/>
    <w:rsid w:val="00BC0693"/>
    <w:rsid w:val="00BC0704"/>
    <w:rsid w:val="00BC0734"/>
    <w:rsid w:val="00BC083A"/>
    <w:rsid w:val="00BC08C2"/>
    <w:rsid w:val="00BC08E1"/>
    <w:rsid w:val="00BC090C"/>
    <w:rsid w:val="00BC094D"/>
    <w:rsid w:val="00BC0958"/>
    <w:rsid w:val="00BC0961"/>
    <w:rsid w:val="00BC09F2"/>
    <w:rsid w:val="00BC0A04"/>
    <w:rsid w:val="00BC0A2F"/>
    <w:rsid w:val="00BC0A48"/>
    <w:rsid w:val="00BC0B86"/>
    <w:rsid w:val="00BC0C57"/>
    <w:rsid w:val="00BC0E76"/>
    <w:rsid w:val="00BC0F1C"/>
    <w:rsid w:val="00BC0F77"/>
    <w:rsid w:val="00BC0FCE"/>
    <w:rsid w:val="00BC101B"/>
    <w:rsid w:val="00BC1116"/>
    <w:rsid w:val="00BC113B"/>
    <w:rsid w:val="00BC116D"/>
    <w:rsid w:val="00BC116E"/>
    <w:rsid w:val="00BC1172"/>
    <w:rsid w:val="00BC11F4"/>
    <w:rsid w:val="00BC1229"/>
    <w:rsid w:val="00BC1254"/>
    <w:rsid w:val="00BC12C6"/>
    <w:rsid w:val="00BC1419"/>
    <w:rsid w:val="00BC1432"/>
    <w:rsid w:val="00BC143E"/>
    <w:rsid w:val="00BC145E"/>
    <w:rsid w:val="00BC14C0"/>
    <w:rsid w:val="00BC14D9"/>
    <w:rsid w:val="00BC1524"/>
    <w:rsid w:val="00BC159B"/>
    <w:rsid w:val="00BC15D1"/>
    <w:rsid w:val="00BC1610"/>
    <w:rsid w:val="00BC1612"/>
    <w:rsid w:val="00BC161C"/>
    <w:rsid w:val="00BC1698"/>
    <w:rsid w:val="00BC174A"/>
    <w:rsid w:val="00BC17FD"/>
    <w:rsid w:val="00BC1925"/>
    <w:rsid w:val="00BC195F"/>
    <w:rsid w:val="00BC1AA8"/>
    <w:rsid w:val="00BC1AFD"/>
    <w:rsid w:val="00BC1B8C"/>
    <w:rsid w:val="00BC1C9A"/>
    <w:rsid w:val="00BC1CD1"/>
    <w:rsid w:val="00BC1D71"/>
    <w:rsid w:val="00BC1DD3"/>
    <w:rsid w:val="00BC1ED3"/>
    <w:rsid w:val="00BC1EEE"/>
    <w:rsid w:val="00BC1F76"/>
    <w:rsid w:val="00BC1FC5"/>
    <w:rsid w:val="00BC20B8"/>
    <w:rsid w:val="00BC21EC"/>
    <w:rsid w:val="00BC2332"/>
    <w:rsid w:val="00BC2357"/>
    <w:rsid w:val="00BC23EC"/>
    <w:rsid w:val="00BC2410"/>
    <w:rsid w:val="00BC2454"/>
    <w:rsid w:val="00BC2542"/>
    <w:rsid w:val="00BC267E"/>
    <w:rsid w:val="00BC26D8"/>
    <w:rsid w:val="00BC27BC"/>
    <w:rsid w:val="00BC27FD"/>
    <w:rsid w:val="00BC2869"/>
    <w:rsid w:val="00BC28AF"/>
    <w:rsid w:val="00BC28B4"/>
    <w:rsid w:val="00BC28CC"/>
    <w:rsid w:val="00BC28F6"/>
    <w:rsid w:val="00BC2A64"/>
    <w:rsid w:val="00BC2A83"/>
    <w:rsid w:val="00BC2BF0"/>
    <w:rsid w:val="00BC2CA2"/>
    <w:rsid w:val="00BC2CAD"/>
    <w:rsid w:val="00BC2CF3"/>
    <w:rsid w:val="00BC2D44"/>
    <w:rsid w:val="00BC2E0C"/>
    <w:rsid w:val="00BC2ED0"/>
    <w:rsid w:val="00BC2FD5"/>
    <w:rsid w:val="00BC30F2"/>
    <w:rsid w:val="00BC3170"/>
    <w:rsid w:val="00BC3180"/>
    <w:rsid w:val="00BC31DE"/>
    <w:rsid w:val="00BC3241"/>
    <w:rsid w:val="00BC325D"/>
    <w:rsid w:val="00BC3268"/>
    <w:rsid w:val="00BC328D"/>
    <w:rsid w:val="00BC3290"/>
    <w:rsid w:val="00BC32F9"/>
    <w:rsid w:val="00BC3313"/>
    <w:rsid w:val="00BC3402"/>
    <w:rsid w:val="00BC35B2"/>
    <w:rsid w:val="00BC35CC"/>
    <w:rsid w:val="00BC35D4"/>
    <w:rsid w:val="00BC35D6"/>
    <w:rsid w:val="00BC35E4"/>
    <w:rsid w:val="00BC3621"/>
    <w:rsid w:val="00BC372E"/>
    <w:rsid w:val="00BC374F"/>
    <w:rsid w:val="00BC37C8"/>
    <w:rsid w:val="00BC37D2"/>
    <w:rsid w:val="00BC3807"/>
    <w:rsid w:val="00BC3861"/>
    <w:rsid w:val="00BC38F7"/>
    <w:rsid w:val="00BC394A"/>
    <w:rsid w:val="00BC3997"/>
    <w:rsid w:val="00BC3A56"/>
    <w:rsid w:val="00BC3B05"/>
    <w:rsid w:val="00BC3BBC"/>
    <w:rsid w:val="00BC3BD0"/>
    <w:rsid w:val="00BC3C56"/>
    <w:rsid w:val="00BC3C7C"/>
    <w:rsid w:val="00BC3D91"/>
    <w:rsid w:val="00BC3DE5"/>
    <w:rsid w:val="00BC3E8E"/>
    <w:rsid w:val="00BC3EA8"/>
    <w:rsid w:val="00BC3F28"/>
    <w:rsid w:val="00BC3F8B"/>
    <w:rsid w:val="00BC40FE"/>
    <w:rsid w:val="00BC41BA"/>
    <w:rsid w:val="00BC41BB"/>
    <w:rsid w:val="00BC423A"/>
    <w:rsid w:val="00BC423D"/>
    <w:rsid w:val="00BC4253"/>
    <w:rsid w:val="00BC4273"/>
    <w:rsid w:val="00BC4290"/>
    <w:rsid w:val="00BC42A0"/>
    <w:rsid w:val="00BC4350"/>
    <w:rsid w:val="00BC4351"/>
    <w:rsid w:val="00BC435B"/>
    <w:rsid w:val="00BC444C"/>
    <w:rsid w:val="00BC44AF"/>
    <w:rsid w:val="00BC4518"/>
    <w:rsid w:val="00BC4562"/>
    <w:rsid w:val="00BC4596"/>
    <w:rsid w:val="00BC4620"/>
    <w:rsid w:val="00BC4638"/>
    <w:rsid w:val="00BC463E"/>
    <w:rsid w:val="00BC4654"/>
    <w:rsid w:val="00BC467C"/>
    <w:rsid w:val="00BC4718"/>
    <w:rsid w:val="00BC4748"/>
    <w:rsid w:val="00BC47F7"/>
    <w:rsid w:val="00BC48D9"/>
    <w:rsid w:val="00BC48FA"/>
    <w:rsid w:val="00BC49C2"/>
    <w:rsid w:val="00BC4AF2"/>
    <w:rsid w:val="00BC4B21"/>
    <w:rsid w:val="00BC4B31"/>
    <w:rsid w:val="00BC4B3F"/>
    <w:rsid w:val="00BC4B86"/>
    <w:rsid w:val="00BC4B94"/>
    <w:rsid w:val="00BC4B9A"/>
    <w:rsid w:val="00BC4BB8"/>
    <w:rsid w:val="00BC4C26"/>
    <w:rsid w:val="00BC4CBB"/>
    <w:rsid w:val="00BC4CE2"/>
    <w:rsid w:val="00BC4DC1"/>
    <w:rsid w:val="00BC4E3F"/>
    <w:rsid w:val="00BC4F48"/>
    <w:rsid w:val="00BC4F79"/>
    <w:rsid w:val="00BC4F7B"/>
    <w:rsid w:val="00BC4FBE"/>
    <w:rsid w:val="00BC508E"/>
    <w:rsid w:val="00BC50A1"/>
    <w:rsid w:val="00BC525B"/>
    <w:rsid w:val="00BC529C"/>
    <w:rsid w:val="00BC52D1"/>
    <w:rsid w:val="00BC5300"/>
    <w:rsid w:val="00BC5330"/>
    <w:rsid w:val="00BC534C"/>
    <w:rsid w:val="00BC5400"/>
    <w:rsid w:val="00BC5407"/>
    <w:rsid w:val="00BC547F"/>
    <w:rsid w:val="00BC550E"/>
    <w:rsid w:val="00BC554F"/>
    <w:rsid w:val="00BC55E3"/>
    <w:rsid w:val="00BC562F"/>
    <w:rsid w:val="00BC5669"/>
    <w:rsid w:val="00BC56B6"/>
    <w:rsid w:val="00BC56FB"/>
    <w:rsid w:val="00BC5882"/>
    <w:rsid w:val="00BC58E9"/>
    <w:rsid w:val="00BC58F4"/>
    <w:rsid w:val="00BC5982"/>
    <w:rsid w:val="00BC5A8D"/>
    <w:rsid w:val="00BC5BCB"/>
    <w:rsid w:val="00BC5C25"/>
    <w:rsid w:val="00BC5C88"/>
    <w:rsid w:val="00BC5CCB"/>
    <w:rsid w:val="00BC5E38"/>
    <w:rsid w:val="00BC5E47"/>
    <w:rsid w:val="00BC5F91"/>
    <w:rsid w:val="00BC5FA2"/>
    <w:rsid w:val="00BC600E"/>
    <w:rsid w:val="00BC605D"/>
    <w:rsid w:val="00BC6091"/>
    <w:rsid w:val="00BC6100"/>
    <w:rsid w:val="00BC61E6"/>
    <w:rsid w:val="00BC6267"/>
    <w:rsid w:val="00BC6278"/>
    <w:rsid w:val="00BC6346"/>
    <w:rsid w:val="00BC645D"/>
    <w:rsid w:val="00BC6521"/>
    <w:rsid w:val="00BC65A5"/>
    <w:rsid w:val="00BC679D"/>
    <w:rsid w:val="00BC67C8"/>
    <w:rsid w:val="00BC68BF"/>
    <w:rsid w:val="00BC69BF"/>
    <w:rsid w:val="00BC6A07"/>
    <w:rsid w:val="00BC6A20"/>
    <w:rsid w:val="00BC6A24"/>
    <w:rsid w:val="00BC6A4D"/>
    <w:rsid w:val="00BC6A9D"/>
    <w:rsid w:val="00BC6AF2"/>
    <w:rsid w:val="00BC6B00"/>
    <w:rsid w:val="00BC6B53"/>
    <w:rsid w:val="00BC6B77"/>
    <w:rsid w:val="00BC6BBD"/>
    <w:rsid w:val="00BC6C4E"/>
    <w:rsid w:val="00BC6C91"/>
    <w:rsid w:val="00BC6E12"/>
    <w:rsid w:val="00BC6E6F"/>
    <w:rsid w:val="00BC6E72"/>
    <w:rsid w:val="00BC6EFC"/>
    <w:rsid w:val="00BC6FED"/>
    <w:rsid w:val="00BC70BA"/>
    <w:rsid w:val="00BC70EB"/>
    <w:rsid w:val="00BC70F8"/>
    <w:rsid w:val="00BC7167"/>
    <w:rsid w:val="00BC718F"/>
    <w:rsid w:val="00BC71A9"/>
    <w:rsid w:val="00BC71C1"/>
    <w:rsid w:val="00BC7303"/>
    <w:rsid w:val="00BC734A"/>
    <w:rsid w:val="00BC74A0"/>
    <w:rsid w:val="00BC74BA"/>
    <w:rsid w:val="00BC7680"/>
    <w:rsid w:val="00BC7692"/>
    <w:rsid w:val="00BC777F"/>
    <w:rsid w:val="00BC7863"/>
    <w:rsid w:val="00BC789F"/>
    <w:rsid w:val="00BC78B1"/>
    <w:rsid w:val="00BC78CC"/>
    <w:rsid w:val="00BC79B1"/>
    <w:rsid w:val="00BC79E8"/>
    <w:rsid w:val="00BC7B9D"/>
    <w:rsid w:val="00BC7C23"/>
    <w:rsid w:val="00BC7D1D"/>
    <w:rsid w:val="00BC7E90"/>
    <w:rsid w:val="00BC7EF4"/>
    <w:rsid w:val="00BC7F19"/>
    <w:rsid w:val="00BD004F"/>
    <w:rsid w:val="00BD00ED"/>
    <w:rsid w:val="00BD014C"/>
    <w:rsid w:val="00BD0185"/>
    <w:rsid w:val="00BD01B8"/>
    <w:rsid w:val="00BD0278"/>
    <w:rsid w:val="00BD02FC"/>
    <w:rsid w:val="00BD04B3"/>
    <w:rsid w:val="00BD06C5"/>
    <w:rsid w:val="00BD071C"/>
    <w:rsid w:val="00BD075C"/>
    <w:rsid w:val="00BD07B9"/>
    <w:rsid w:val="00BD07E5"/>
    <w:rsid w:val="00BD0872"/>
    <w:rsid w:val="00BD0B1A"/>
    <w:rsid w:val="00BD0B79"/>
    <w:rsid w:val="00BD0BDD"/>
    <w:rsid w:val="00BD0C5B"/>
    <w:rsid w:val="00BD0D30"/>
    <w:rsid w:val="00BD0D39"/>
    <w:rsid w:val="00BD0D7D"/>
    <w:rsid w:val="00BD0D9E"/>
    <w:rsid w:val="00BD0EA6"/>
    <w:rsid w:val="00BD0EF7"/>
    <w:rsid w:val="00BD0F02"/>
    <w:rsid w:val="00BD0F5C"/>
    <w:rsid w:val="00BD0F74"/>
    <w:rsid w:val="00BD0FB7"/>
    <w:rsid w:val="00BD1009"/>
    <w:rsid w:val="00BD1144"/>
    <w:rsid w:val="00BD1215"/>
    <w:rsid w:val="00BD1549"/>
    <w:rsid w:val="00BD15BC"/>
    <w:rsid w:val="00BD1686"/>
    <w:rsid w:val="00BD18C3"/>
    <w:rsid w:val="00BD18DB"/>
    <w:rsid w:val="00BD1936"/>
    <w:rsid w:val="00BD1A03"/>
    <w:rsid w:val="00BD1A5C"/>
    <w:rsid w:val="00BD1AF7"/>
    <w:rsid w:val="00BD1B86"/>
    <w:rsid w:val="00BD1B98"/>
    <w:rsid w:val="00BD1C3C"/>
    <w:rsid w:val="00BD1C6F"/>
    <w:rsid w:val="00BD1CED"/>
    <w:rsid w:val="00BD1D99"/>
    <w:rsid w:val="00BD1DEF"/>
    <w:rsid w:val="00BD1E4E"/>
    <w:rsid w:val="00BD1EAF"/>
    <w:rsid w:val="00BD1ED8"/>
    <w:rsid w:val="00BD1F88"/>
    <w:rsid w:val="00BD1FDC"/>
    <w:rsid w:val="00BD2110"/>
    <w:rsid w:val="00BD2121"/>
    <w:rsid w:val="00BD216F"/>
    <w:rsid w:val="00BD21AF"/>
    <w:rsid w:val="00BD21E2"/>
    <w:rsid w:val="00BD2259"/>
    <w:rsid w:val="00BD247D"/>
    <w:rsid w:val="00BD24DE"/>
    <w:rsid w:val="00BD264D"/>
    <w:rsid w:val="00BD2667"/>
    <w:rsid w:val="00BD27A4"/>
    <w:rsid w:val="00BD27A8"/>
    <w:rsid w:val="00BD2834"/>
    <w:rsid w:val="00BD2875"/>
    <w:rsid w:val="00BD292A"/>
    <w:rsid w:val="00BD2A40"/>
    <w:rsid w:val="00BD2A55"/>
    <w:rsid w:val="00BD2B77"/>
    <w:rsid w:val="00BD2B81"/>
    <w:rsid w:val="00BD2C13"/>
    <w:rsid w:val="00BD2C14"/>
    <w:rsid w:val="00BD2C2E"/>
    <w:rsid w:val="00BD2CFE"/>
    <w:rsid w:val="00BD2D70"/>
    <w:rsid w:val="00BD2DC4"/>
    <w:rsid w:val="00BD2F06"/>
    <w:rsid w:val="00BD2F6F"/>
    <w:rsid w:val="00BD2F72"/>
    <w:rsid w:val="00BD2F7C"/>
    <w:rsid w:val="00BD3013"/>
    <w:rsid w:val="00BD3036"/>
    <w:rsid w:val="00BD3074"/>
    <w:rsid w:val="00BD30C6"/>
    <w:rsid w:val="00BD30CA"/>
    <w:rsid w:val="00BD30D1"/>
    <w:rsid w:val="00BD30EA"/>
    <w:rsid w:val="00BD30EE"/>
    <w:rsid w:val="00BD3117"/>
    <w:rsid w:val="00BD3142"/>
    <w:rsid w:val="00BD3145"/>
    <w:rsid w:val="00BD3149"/>
    <w:rsid w:val="00BD31AB"/>
    <w:rsid w:val="00BD32B2"/>
    <w:rsid w:val="00BD3306"/>
    <w:rsid w:val="00BD33D1"/>
    <w:rsid w:val="00BD33ED"/>
    <w:rsid w:val="00BD33F8"/>
    <w:rsid w:val="00BD34D4"/>
    <w:rsid w:val="00BD3550"/>
    <w:rsid w:val="00BD356B"/>
    <w:rsid w:val="00BD35AD"/>
    <w:rsid w:val="00BD36BB"/>
    <w:rsid w:val="00BD3823"/>
    <w:rsid w:val="00BD38C5"/>
    <w:rsid w:val="00BD38F2"/>
    <w:rsid w:val="00BD398E"/>
    <w:rsid w:val="00BD39D5"/>
    <w:rsid w:val="00BD39FA"/>
    <w:rsid w:val="00BD3BD1"/>
    <w:rsid w:val="00BD3C16"/>
    <w:rsid w:val="00BD3C41"/>
    <w:rsid w:val="00BD3C44"/>
    <w:rsid w:val="00BD3D09"/>
    <w:rsid w:val="00BD3D1C"/>
    <w:rsid w:val="00BD3D1E"/>
    <w:rsid w:val="00BD3DC0"/>
    <w:rsid w:val="00BD3E04"/>
    <w:rsid w:val="00BD3E05"/>
    <w:rsid w:val="00BD3E96"/>
    <w:rsid w:val="00BD3F50"/>
    <w:rsid w:val="00BD3FE6"/>
    <w:rsid w:val="00BD4019"/>
    <w:rsid w:val="00BD40BA"/>
    <w:rsid w:val="00BD417E"/>
    <w:rsid w:val="00BD41E4"/>
    <w:rsid w:val="00BD421E"/>
    <w:rsid w:val="00BD4246"/>
    <w:rsid w:val="00BD4304"/>
    <w:rsid w:val="00BD43AB"/>
    <w:rsid w:val="00BD4573"/>
    <w:rsid w:val="00BD458C"/>
    <w:rsid w:val="00BD45BC"/>
    <w:rsid w:val="00BD4697"/>
    <w:rsid w:val="00BD4779"/>
    <w:rsid w:val="00BD47ED"/>
    <w:rsid w:val="00BD4804"/>
    <w:rsid w:val="00BD4902"/>
    <w:rsid w:val="00BD4BB0"/>
    <w:rsid w:val="00BD4C08"/>
    <w:rsid w:val="00BD4C3F"/>
    <w:rsid w:val="00BD4CD4"/>
    <w:rsid w:val="00BD4CDB"/>
    <w:rsid w:val="00BD4CF7"/>
    <w:rsid w:val="00BD4D20"/>
    <w:rsid w:val="00BD4DB7"/>
    <w:rsid w:val="00BD511D"/>
    <w:rsid w:val="00BD5233"/>
    <w:rsid w:val="00BD544D"/>
    <w:rsid w:val="00BD54E0"/>
    <w:rsid w:val="00BD5566"/>
    <w:rsid w:val="00BD5682"/>
    <w:rsid w:val="00BD5699"/>
    <w:rsid w:val="00BD56E3"/>
    <w:rsid w:val="00BD577C"/>
    <w:rsid w:val="00BD57A1"/>
    <w:rsid w:val="00BD5839"/>
    <w:rsid w:val="00BD5872"/>
    <w:rsid w:val="00BD5874"/>
    <w:rsid w:val="00BD590D"/>
    <w:rsid w:val="00BD5915"/>
    <w:rsid w:val="00BD5961"/>
    <w:rsid w:val="00BD5A27"/>
    <w:rsid w:val="00BD5B99"/>
    <w:rsid w:val="00BD5BCD"/>
    <w:rsid w:val="00BD5C54"/>
    <w:rsid w:val="00BD5D0E"/>
    <w:rsid w:val="00BD5D5D"/>
    <w:rsid w:val="00BD5D71"/>
    <w:rsid w:val="00BD5DB2"/>
    <w:rsid w:val="00BD5DB5"/>
    <w:rsid w:val="00BD5DDD"/>
    <w:rsid w:val="00BD5DE8"/>
    <w:rsid w:val="00BD5EEE"/>
    <w:rsid w:val="00BD5F0A"/>
    <w:rsid w:val="00BD5F53"/>
    <w:rsid w:val="00BD6074"/>
    <w:rsid w:val="00BD6081"/>
    <w:rsid w:val="00BD619D"/>
    <w:rsid w:val="00BD6253"/>
    <w:rsid w:val="00BD626E"/>
    <w:rsid w:val="00BD630A"/>
    <w:rsid w:val="00BD636D"/>
    <w:rsid w:val="00BD6371"/>
    <w:rsid w:val="00BD638B"/>
    <w:rsid w:val="00BD63D9"/>
    <w:rsid w:val="00BD649A"/>
    <w:rsid w:val="00BD658E"/>
    <w:rsid w:val="00BD66AF"/>
    <w:rsid w:val="00BD66EE"/>
    <w:rsid w:val="00BD6703"/>
    <w:rsid w:val="00BD6731"/>
    <w:rsid w:val="00BD682B"/>
    <w:rsid w:val="00BD689D"/>
    <w:rsid w:val="00BD693D"/>
    <w:rsid w:val="00BD695B"/>
    <w:rsid w:val="00BD69E7"/>
    <w:rsid w:val="00BD69F1"/>
    <w:rsid w:val="00BD6A59"/>
    <w:rsid w:val="00BD6B8F"/>
    <w:rsid w:val="00BD6C68"/>
    <w:rsid w:val="00BD6C79"/>
    <w:rsid w:val="00BD6C9B"/>
    <w:rsid w:val="00BD6CC1"/>
    <w:rsid w:val="00BD6CE1"/>
    <w:rsid w:val="00BD6D0D"/>
    <w:rsid w:val="00BD6D23"/>
    <w:rsid w:val="00BD6D83"/>
    <w:rsid w:val="00BD6DD4"/>
    <w:rsid w:val="00BD6E5C"/>
    <w:rsid w:val="00BD6E5F"/>
    <w:rsid w:val="00BD6EE1"/>
    <w:rsid w:val="00BD6F53"/>
    <w:rsid w:val="00BD6F81"/>
    <w:rsid w:val="00BD6FB8"/>
    <w:rsid w:val="00BD6FEF"/>
    <w:rsid w:val="00BD70D8"/>
    <w:rsid w:val="00BD710F"/>
    <w:rsid w:val="00BD711E"/>
    <w:rsid w:val="00BD7133"/>
    <w:rsid w:val="00BD71FD"/>
    <w:rsid w:val="00BD73E3"/>
    <w:rsid w:val="00BD73FE"/>
    <w:rsid w:val="00BD7433"/>
    <w:rsid w:val="00BD74C0"/>
    <w:rsid w:val="00BD765A"/>
    <w:rsid w:val="00BD7691"/>
    <w:rsid w:val="00BD77D9"/>
    <w:rsid w:val="00BD7825"/>
    <w:rsid w:val="00BD785A"/>
    <w:rsid w:val="00BD7934"/>
    <w:rsid w:val="00BD7A72"/>
    <w:rsid w:val="00BD7A8D"/>
    <w:rsid w:val="00BD7AA6"/>
    <w:rsid w:val="00BD7AAE"/>
    <w:rsid w:val="00BD7AB7"/>
    <w:rsid w:val="00BD7AD1"/>
    <w:rsid w:val="00BD7BBE"/>
    <w:rsid w:val="00BD7BED"/>
    <w:rsid w:val="00BD7BEE"/>
    <w:rsid w:val="00BD7D18"/>
    <w:rsid w:val="00BD7D73"/>
    <w:rsid w:val="00BD7F2D"/>
    <w:rsid w:val="00BD7FE2"/>
    <w:rsid w:val="00BD7FE6"/>
    <w:rsid w:val="00BE0030"/>
    <w:rsid w:val="00BE0066"/>
    <w:rsid w:val="00BE00B3"/>
    <w:rsid w:val="00BE00F4"/>
    <w:rsid w:val="00BE00F5"/>
    <w:rsid w:val="00BE0166"/>
    <w:rsid w:val="00BE0179"/>
    <w:rsid w:val="00BE01C1"/>
    <w:rsid w:val="00BE022B"/>
    <w:rsid w:val="00BE0237"/>
    <w:rsid w:val="00BE0278"/>
    <w:rsid w:val="00BE029A"/>
    <w:rsid w:val="00BE02C1"/>
    <w:rsid w:val="00BE033F"/>
    <w:rsid w:val="00BE039F"/>
    <w:rsid w:val="00BE040B"/>
    <w:rsid w:val="00BE0430"/>
    <w:rsid w:val="00BE0446"/>
    <w:rsid w:val="00BE04B3"/>
    <w:rsid w:val="00BE04B4"/>
    <w:rsid w:val="00BE04C6"/>
    <w:rsid w:val="00BE0522"/>
    <w:rsid w:val="00BE0523"/>
    <w:rsid w:val="00BE0577"/>
    <w:rsid w:val="00BE06D4"/>
    <w:rsid w:val="00BE070A"/>
    <w:rsid w:val="00BE0788"/>
    <w:rsid w:val="00BE079A"/>
    <w:rsid w:val="00BE0987"/>
    <w:rsid w:val="00BE09AF"/>
    <w:rsid w:val="00BE09B1"/>
    <w:rsid w:val="00BE0A14"/>
    <w:rsid w:val="00BE0B7F"/>
    <w:rsid w:val="00BE0C76"/>
    <w:rsid w:val="00BE0D74"/>
    <w:rsid w:val="00BE0DF0"/>
    <w:rsid w:val="00BE0E57"/>
    <w:rsid w:val="00BE0E5E"/>
    <w:rsid w:val="00BE1041"/>
    <w:rsid w:val="00BE1145"/>
    <w:rsid w:val="00BE11DA"/>
    <w:rsid w:val="00BE13C2"/>
    <w:rsid w:val="00BE13E2"/>
    <w:rsid w:val="00BE1500"/>
    <w:rsid w:val="00BE152B"/>
    <w:rsid w:val="00BE159F"/>
    <w:rsid w:val="00BE1607"/>
    <w:rsid w:val="00BE16C9"/>
    <w:rsid w:val="00BE179A"/>
    <w:rsid w:val="00BE17BC"/>
    <w:rsid w:val="00BE17D2"/>
    <w:rsid w:val="00BE1922"/>
    <w:rsid w:val="00BE198C"/>
    <w:rsid w:val="00BE19CC"/>
    <w:rsid w:val="00BE1A19"/>
    <w:rsid w:val="00BE1ABC"/>
    <w:rsid w:val="00BE1B04"/>
    <w:rsid w:val="00BE1B44"/>
    <w:rsid w:val="00BE1B9D"/>
    <w:rsid w:val="00BE1C2D"/>
    <w:rsid w:val="00BE1CA3"/>
    <w:rsid w:val="00BE1CFB"/>
    <w:rsid w:val="00BE1D42"/>
    <w:rsid w:val="00BE1D66"/>
    <w:rsid w:val="00BE1E4A"/>
    <w:rsid w:val="00BE1E60"/>
    <w:rsid w:val="00BE1E66"/>
    <w:rsid w:val="00BE1FB9"/>
    <w:rsid w:val="00BE1FFA"/>
    <w:rsid w:val="00BE2023"/>
    <w:rsid w:val="00BE2059"/>
    <w:rsid w:val="00BE2066"/>
    <w:rsid w:val="00BE20D9"/>
    <w:rsid w:val="00BE20E6"/>
    <w:rsid w:val="00BE2161"/>
    <w:rsid w:val="00BE21B5"/>
    <w:rsid w:val="00BE21BC"/>
    <w:rsid w:val="00BE2295"/>
    <w:rsid w:val="00BE2380"/>
    <w:rsid w:val="00BE23F4"/>
    <w:rsid w:val="00BE2522"/>
    <w:rsid w:val="00BE253D"/>
    <w:rsid w:val="00BE26C9"/>
    <w:rsid w:val="00BE26DC"/>
    <w:rsid w:val="00BE271A"/>
    <w:rsid w:val="00BE2731"/>
    <w:rsid w:val="00BE2858"/>
    <w:rsid w:val="00BE2891"/>
    <w:rsid w:val="00BE2961"/>
    <w:rsid w:val="00BE2980"/>
    <w:rsid w:val="00BE298F"/>
    <w:rsid w:val="00BE2B1E"/>
    <w:rsid w:val="00BE2B27"/>
    <w:rsid w:val="00BE2B91"/>
    <w:rsid w:val="00BE2BBD"/>
    <w:rsid w:val="00BE2BFE"/>
    <w:rsid w:val="00BE2CC0"/>
    <w:rsid w:val="00BE2E63"/>
    <w:rsid w:val="00BE2E6E"/>
    <w:rsid w:val="00BE2EC1"/>
    <w:rsid w:val="00BE3055"/>
    <w:rsid w:val="00BE3129"/>
    <w:rsid w:val="00BE313E"/>
    <w:rsid w:val="00BE3140"/>
    <w:rsid w:val="00BE3193"/>
    <w:rsid w:val="00BE322F"/>
    <w:rsid w:val="00BE3328"/>
    <w:rsid w:val="00BE337A"/>
    <w:rsid w:val="00BE33AE"/>
    <w:rsid w:val="00BE344F"/>
    <w:rsid w:val="00BE34A2"/>
    <w:rsid w:val="00BE3515"/>
    <w:rsid w:val="00BE3538"/>
    <w:rsid w:val="00BE359D"/>
    <w:rsid w:val="00BE3603"/>
    <w:rsid w:val="00BE3604"/>
    <w:rsid w:val="00BE36CF"/>
    <w:rsid w:val="00BE37D5"/>
    <w:rsid w:val="00BE38BF"/>
    <w:rsid w:val="00BE38C2"/>
    <w:rsid w:val="00BE38E8"/>
    <w:rsid w:val="00BE38F9"/>
    <w:rsid w:val="00BE3928"/>
    <w:rsid w:val="00BE39CC"/>
    <w:rsid w:val="00BE3A2D"/>
    <w:rsid w:val="00BE3A4E"/>
    <w:rsid w:val="00BE3A8E"/>
    <w:rsid w:val="00BE3BE7"/>
    <w:rsid w:val="00BE3C11"/>
    <w:rsid w:val="00BE3C69"/>
    <w:rsid w:val="00BE3D3C"/>
    <w:rsid w:val="00BE3D77"/>
    <w:rsid w:val="00BE3D78"/>
    <w:rsid w:val="00BE3D8A"/>
    <w:rsid w:val="00BE3DE2"/>
    <w:rsid w:val="00BE3EF0"/>
    <w:rsid w:val="00BE3FCC"/>
    <w:rsid w:val="00BE4046"/>
    <w:rsid w:val="00BE40B1"/>
    <w:rsid w:val="00BE41A5"/>
    <w:rsid w:val="00BE41EC"/>
    <w:rsid w:val="00BE41F7"/>
    <w:rsid w:val="00BE43BA"/>
    <w:rsid w:val="00BE4406"/>
    <w:rsid w:val="00BE44EF"/>
    <w:rsid w:val="00BE4503"/>
    <w:rsid w:val="00BE451B"/>
    <w:rsid w:val="00BE454C"/>
    <w:rsid w:val="00BE45BB"/>
    <w:rsid w:val="00BE45DC"/>
    <w:rsid w:val="00BE465E"/>
    <w:rsid w:val="00BE4923"/>
    <w:rsid w:val="00BE4951"/>
    <w:rsid w:val="00BE4956"/>
    <w:rsid w:val="00BE4A83"/>
    <w:rsid w:val="00BE4AE4"/>
    <w:rsid w:val="00BE4B50"/>
    <w:rsid w:val="00BE4BB0"/>
    <w:rsid w:val="00BE4C3A"/>
    <w:rsid w:val="00BE4D31"/>
    <w:rsid w:val="00BE4E69"/>
    <w:rsid w:val="00BE4F49"/>
    <w:rsid w:val="00BE50A9"/>
    <w:rsid w:val="00BE50AB"/>
    <w:rsid w:val="00BE50AF"/>
    <w:rsid w:val="00BE50C6"/>
    <w:rsid w:val="00BE5163"/>
    <w:rsid w:val="00BE5244"/>
    <w:rsid w:val="00BE5295"/>
    <w:rsid w:val="00BE5301"/>
    <w:rsid w:val="00BE5303"/>
    <w:rsid w:val="00BE5349"/>
    <w:rsid w:val="00BE5371"/>
    <w:rsid w:val="00BE53E6"/>
    <w:rsid w:val="00BE5473"/>
    <w:rsid w:val="00BE5491"/>
    <w:rsid w:val="00BE54F8"/>
    <w:rsid w:val="00BE555A"/>
    <w:rsid w:val="00BE5562"/>
    <w:rsid w:val="00BE55BE"/>
    <w:rsid w:val="00BE579A"/>
    <w:rsid w:val="00BE5827"/>
    <w:rsid w:val="00BE5856"/>
    <w:rsid w:val="00BE587F"/>
    <w:rsid w:val="00BE58E4"/>
    <w:rsid w:val="00BE5AF3"/>
    <w:rsid w:val="00BE5B32"/>
    <w:rsid w:val="00BE5B9C"/>
    <w:rsid w:val="00BE5CF8"/>
    <w:rsid w:val="00BE5D01"/>
    <w:rsid w:val="00BE5E34"/>
    <w:rsid w:val="00BE5ECD"/>
    <w:rsid w:val="00BE5F02"/>
    <w:rsid w:val="00BE5F1B"/>
    <w:rsid w:val="00BE5F88"/>
    <w:rsid w:val="00BE6150"/>
    <w:rsid w:val="00BE616E"/>
    <w:rsid w:val="00BE6171"/>
    <w:rsid w:val="00BE61E0"/>
    <w:rsid w:val="00BE61E9"/>
    <w:rsid w:val="00BE620B"/>
    <w:rsid w:val="00BE626D"/>
    <w:rsid w:val="00BE62CB"/>
    <w:rsid w:val="00BE62D9"/>
    <w:rsid w:val="00BE6334"/>
    <w:rsid w:val="00BE656A"/>
    <w:rsid w:val="00BE6608"/>
    <w:rsid w:val="00BE660F"/>
    <w:rsid w:val="00BE671C"/>
    <w:rsid w:val="00BE684C"/>
    <w:rsid w:val="00BE694B"/>
    <w:rsid w:val="00BE694C"/>
    <w:rsid w:val="00BE6B2A"/>
    <w:rsid w:val="00BE6C32"/>
    <w:rsid w:val="00BE6C4B"/>
    <w:rsid w:val="00BE6D34"/>
    <w:rsid w:val="00BE6E7D"/>
    <w:rsid w:val="00BE6F07"/>
    <w:rsid w:val="00BE7017"/>
    <w:rsid w:val="00BE7038"/>
    <w:rsid w:val="00BE70AF"/>
    <w:rsid w:val="00BE70E4"/>
    <w:rsid w:val="00BE710A"/>
    <w:rsid w:val="00BE711E"/>
    <w:rsid w:val="00BE71D0"/>
    <w:rsid w:val="00BE71E5"/>
    <w:rsid w:val="00BE727B"/>
    <w:rsid w:val="00BE730F"/>
    <w:rsid w:val="00BE7397"/>
    <w:rsid w:val="00BE73CD"/>
    <w:rsid w:val="00BE7467"/>
    <w:rsid w:val="00BE74AC"/>
    <w:rsid w:val="00BE74B9"/>
    <w:rsid w:val="00BE75B6"/>
    <w:rsid w:val="00BE75B8"/>
    <w:rsid w:val="00BE773C"/>
    <w:rsid w:val="00BE777C"/>
    <w:rsid w:val="00BE7849"/>
    <w:rsid w:val="00BE7882"/>
    <w:rsid w:val="00BE788A"/>
    <w:rsid w:val="00BE7962"/>
    <w:rsid w:val="00BE7977"/>
    <w:rsid w:val="00BE7A4F"/>
    <w:rsid w:val="00BE7AB6"/>
    <w:rsid w:val="00BE7CD5"/>
    <w:rsid w:val="00BE7D64"/>
    <w:rsid w:val="00BE7E03"/>
    <w:rsid w:val="00BE7E23"/>
    <w:rsid w:val="00BE7EDE"/>
    <w:rsid w:val="00BF00E0"/>
    <w:rsid w:val="00BF01AB"/>
    <w:rsid w:val="00BF01AF"/>
    <w:rsid w:val="00BF0286"/>
    <w:rsid w:val="00BF0290"/>
    <w:rsid w:val="00BF02F5"/>
    <w:rsid w:val="00BF03C1"/>
    <w:rsid w:val="00BF03D1"/>
    <w:rsid w:val="00BF040A"/>
    <w:rsid w:val="00BF04E5"/>
    <w:rsid w:val="00BF052F"/>
    <w:rsid w:val="00BF05AF"/>
    <w:rsid w:val="00BF061F"/>
    <w:rsid w:val="00BF064E"/>
    <w:rsid w:val="00BF066D"/>
    <w:rsid w:val="00BF06AA"/>
    <w:rsid w:val="00BF081F"/>
    <w:rsid w:val="00BF08BA"/>
    <w:rsid w:val="00BF08C9"/>
    <w:rsid w:val="00BF091B"/>
    <w:rsid w:val="00BF092D"/>
    <w:rsid w:val="00BF0A1C"/>
    <w:rsid w:val="00BF0CC8"/>
    <w:rsid w:val="00BF0D0C"/>
    <w:rsid w:val="00BF0D14"/>
    <w:rsid w:val="00BF0D50"/>
    <w:rsid w:val="00BF0E14"/>
    <w:rsid w:val="00BF0E1E"/>
    <w:rsid w:val="00BF0E57"/>
    <w:rsid w:val="00BF0E76"/>
    <w:rsid w:val="00BF0EA2"/>
    <w:rsid w:val="00BF0ECE"/>
    <w:rsid w:val="00BF0F2F"/>
    <w:rsid w:val="00BF1077"/>
    <w:rsid w:val="00BF10E4"/>
    <w:rsid w:val="00BF110A"/>
    <w:rsid w:val="00BF11A1"/>
    <w:rsid w:val="00BF11E4"/>
    <w:rsid w:val="00BF126F"/>
    <w:rsid w:val="00BF1304"/>
    <w:rsid w:val="00BF14B7"/>
    <w:rsid w:val="00BF154B"/>
    <w:rsid w:val="00BF1556"/>
    <w:rsid w:val="00BF1581"/>
    <w:rsid w:val="00BF15F8"/>
    <w:rsid w:val="00BF16D4"/>
    <w:rsid w:val="00BF1746"/>
    <w:rsid w:val="00BF187D"/>
    <w:rsid w:val="00BF18C4"/>
    <w:rsid w:val="00BF1981"/>
    <w:rsid w:val="00BF1994"/>
    <w:rsid w:val="00BF1A91"/>
    <w:rsid w:val="00BF1AD4"/>
    <w:rsid w:val="00BF1AEC"/>
    <w:rsid w:val="00BF1B04"/>
    <w:rsid w:val="00BF1B0B"/>
    <w:rsid w:val="00BF1B67"/>
    <w:rsid w:val="00BF1BB9"/>
    <w:rsid w:val="00BF1BC9"/>
    <w:rsid w:val="00BF1CAF"/>
    <w:rsid w:val="00BF1D16"/>
    <w:rsid w:val="00BF1DA5"/>
    <w:rsid w:val="00BF1DA6"/>
    <w:rsid w:val="00BF1DA9"/>
    <w:rsid w:val="00BF1DBB"/>
    <w:rsid w:val="00BF1EAF"/>
    <w:rsid w:val="00BF1EB8"/>
    <w:rsid w:val="00BF1ECF"/>
    <w:rsid w:val="00BF1F29"/>
    <w:rsid w:val="00BF2050"/>
    <w:rsid w:val="00BF20FF"/>
    <w:rsid w:val="00BF218C"/>
    <w:rsid w:val="00BF235B"/>
    <w:rsid w:val="00BF23BE"/>
    <w:rsid w:val="00BF2403"/>
    <w:rsid w:val="00BF24F4"/>
    <w:rsid w:val="00BF251F"/>
    <w:rsid w:val="00BF2543"/>
    <w:rsid w:val="00BF2593"/>
    <w:rsid w:val="00BF2615"/>
    <w:rsid w:val="00BF2622"/>
    <w:rsid w:val="00BF2640"/>
    <w:rsid w:val="00BF2716"/>
    <w:rsid w:val="00BF2759"/>
    <w:rsid w:val="00BF27DF"/>
    <w:rsid w:val="00BF27E2"/>
    <w:rsid w:val="00BF280E"/>
    <w:rsid w:val="00BF2885"/>
    <w:rsid w:val="00BF2A1F"/>
    <w:rsid w:val="00BF2AAA"/>
    <w:rsid w:val="00BF2B49"/>
    <w:rsid w:val="00BF2C19"/>
    <w:rsid w:val="00BF2D08"/>
    <w:rsid w:val="00BF2D9D"/>
    <w:rsid w:val="00BF2E3E"/>
    <w:rsid w:val="00BF2F24"/>
    <w:rsid w:val="00BF2F4C"/>
    <w:rsid w:val="00BF2F51"/>
    <w:rsid w:val="00BF2F8F"/>
    <w:rsid w:val="00BF3006"/>
    <w:rsid w:val="00BF3135"/>
    <w:rsid w:val="00BF3152"/>
    <w:rsid w:val="00BF3170"/>
    <w:rsid w:val="00BF3241"/>
    <w:rsid w:val="00BF324C"/>
    <w:rsid w:val="00BF3276"/>
    <w:rsid w:val="00BF32C2"/>
    <w:rsid w:val="00BF3474"/>
    <w:rsid w:val="00BF34E7"/>
    <w:rsid w:val="00BF3506"/>
    <w:rsid w:val="00BF3598"/>
    <w:rsid w:val="00BF3657"/>
    <w:rsid w:val="00BF370A"/>
    <w:rsid w:val="00BF3757"/>
    <w:rsid w:val="00BF37AB"/>
    <w:rsid w:val="00BF3812"/>
    <w:rsid w:val="00BF3825"/>
    <w:rsid w:val="00BF397E"/>
    <w:rsid w:val="00BF3991"/>
    <w:rsid w:val="00BF39D8"/>
    <w:rsid w:val="00BF3ACB"/>
    <w:rsid w:val="00BF3AD0"/>
    <w:rsid w:val="00BF3BE9"/>
    <w:rsid w:val="00BF3C02"/>
    <w:rsid w:val="00BF3C23"/>
    <w:rsid w:val="00BF3C3B"/>
    <w:rsid w:val="00BF3C4A"/>
    <w:rsid w:val="00BF3C61"/>
    <w:rsid w:val="00BF3C9A"/>
    <w:rsid w:val="00BF3D13"/>
    <w:rsid w:val="00BF3E07"/>
    <w:rsid w:val="00BF3FB6"/>
    <w:rsid w:val="00BF3FE0"/>
    <w:rsid w:val="00BF4099"/>
    <w:rsid w:val="00BF40A2"/>
    <w:rsid w:val="00BF418B"/>
    <w:rsid w:val="00BF434B"/>
    <w:rsid w:val="00BF4456"/>
    <w:rsid w:val="00BF446A"/>
    <w:rsid w:val="00BF44ED"/>
    <w:rsid w:val="00BF455D"/>
    <w:rsid w:val="00BF45B5"/>
    <w:rsid w:val="00BF4620"/>
    <w:rsid w:val="00BF463A"/>
    <w:rsid w:val="00BF4647"/>
    <w:rsid w:val="00BF46AD"/>
    <w:rsid w:val="00BF475D"/>
    <w:rsid w:val="00BF47A3"/>
    <w:rsid w:val="00BF47AC"/>
    <w:rsid w:val="00BF47F7"/>
    <w:rsid w:val="00BF4976"/>
    <w:rsid w:val="00BF4A7F"/>
    <w:rsid w:val="00BF4A89"/>
    <w:rsid w:val="00BF4AD3"/>
    <w:rsid w:val="00BF4ADC"/>
    <w:rsid w:val="00BF4C1C"/>
    <w:rsid w:val="00BF4C7E"/>
    <w:rsid w:val="00BF4CB7"/>
    <w:rsid w:val="00BF4CDC"/>
    <w:rsid w:val="00BF4CF2"/>
    <w:rsid w:val="00BF4D58"/>
    <w:rsid w:val="00BF4D96"/>
    <w:rsid w:val="00BF4E89"/>
    <w:rsid w:val="00BF4F77"/>
    <w:rsid w:val="00BF4F92"/>
    <w:rsid w:val="00BF502A"/>
    <w:rsid w:val="00BF504C"/>
    <w:rsid w:val="00BF50EF"/>
    <w:rsid w:val="00BF51D9"/>
    <w:rsid w:val="00BF51F4"/>
    <w:rsid w:val="00BF52C3"/>
    <w:rsid w:val="00BF532D"/>
    <w:rsid w:val="00BF5334"/>
    <w:rsid w:val="00BF53B5"/>
    <w:rsid w:val="00BF546A"/>
    <w:rsid w:val="00BF5573"/>
    <w:rsid w:val="00BF55B7"/>
    <w:rsid w:val="00BF5675"/>
    <w:rsid w:val="00BF56F9"/>
    <w:rsid w:val="00BF5725"/>
    <w:rsid w:val="00BF5744"/>
    <w:rsid w:val="00BF5873"/>
    <w:rsid w:val="00BF5893"/>
    <w:rsid w:val="00BF58B9"/>
    <w:rsid w:val="00BF5916"/>
    <w:rsid w:val="00BF593D"/>
    <w:rsid w:val="00BF5A97"/>
    <w:rsid w:val="00BF5ACE"/>
    <w:rsid w:val="00BF5B49"/>
    <w:rsid w:val="00BF5B80"/>
    <w:rsid w:val="00BF5B95"/>
    <w:rsid w:val="00BF5BA9"/>
    <w:rsid w:val="00BF5BEE"/>
    <w:rsid w:val="00BF5BF8"/>
    <w:rsid w:val="00BF5C26"/>
    <w:rsid w:val="00BF5CAA"/>
    <w:rsid w:val="00BF5CDC"/>
    <w:rsid w:val="00BF5D0F"/>
    <w:rsid w:val="00BF5E14"/>
    <w:rsid w:val="00BF5E52"/>
    <w:rsid w:val="00BF5E76"/>
    <w:rsid w:val="00BF5F03"/>
    <w:rsid w:val="00BF5F0A"/>
    <w:rsid w:val="00BF5FBA"/>
    <w:rsid w:val="00BF60FC"/>
    <w:rsid w:val="00BF6360"/>
    <w:rsid w:val="00BF64A2"/>
    <w:rsid w:val="00BF651D"/>
    <w:rsid w:val="00BF6521"/>
    <w:rsid w:val="00BF655D"/>
    <w:rsid w:val="00BF65CE"/>
    <w:rsid w:val="00BF65D5"/>
    <w:rsid w:val="00BF65FF"/>
    <w:rsid w:val="00BF66E7"/>
    <w:rsid w:val="00BF6797"/>
    <w:rsid w:val="00BF67D2"/>
    <w:rsid w:val="00BF67DA"/>
    <w:rsid w:val="00BF6871"/>
    <w:rsid w:val="00BF689E"/>
    <w:rsid w:val="00BF6900"/>
    <w:rsid w:val="00BF6928"/>
    <w:rsid w:val="00BF6A21"/>
    <w:rsid w:val="00BF6B18"/>
    <w:rsid w:val="00BF6C55"/>
    <w:rsid w:val="00BF6DB8"/>
    <w:rsid w:val="00BF6DDD"/>
    <w:rsid w:val="00BF6E24"/>
    <w:rsid w:val="00BF6EEC"/>
    <w:rsid w:val="00BF6F88"/>
    <w:rsid w:val="00BF6FE3"/>
    <w:rsid w:val="00BF7273"/>
    <w:rsid w:val="00BF7423"/>
    <w:rsid w:val="00BF7499"/>
    <w:rsid w:val="00BF7516"/>
    <w:rsid w:val="00BF752A"/>
    <w:rsid w:val="00BF7622"/>
    <w:rsid w:val="00BF775B"/>
    <w:rsid w:val="00BF77B1"/>
    <w:rsid w:val="00BF77F2"/>
    <w:rsid w:val="00BF7816"/>
    <w:rsid w:val="00BF794F"/>
    <w:rsid w:val="00BF79FC"/>
    <w:rsid w:val="00BF7A2F"/>
    <w:rsid w:val="00BF7AA4"/>
    <w:rsid w:val="00BF7B90"/>
    <w:rsid w:val="00BF7C70"/>
    <w:rsid w:val="00BF7C8F"/>
    <w:rsid w:val="00BF7DEF"/>
    <w:rsid w:val="00BF7E0F"/>
    <w:rsid w:val="00BF7EC5"/>
    <w:rsid w:val="00C00188"/>
    <w:rsid w:val="00C001EE"/>
    <w:rsid w:val="00C001F2"/>
    <w:rsid w:val="00C0021E"/>
    <w:rsid w:val="00C00351"/>
    <w:rsid w:val="00C00395"/>
    <w:rsid w:val="00C00461"/>
    <w:rsid w:val="00C0053A"/>
    <w:rsid w:val="00C00547"/>
    <w:rsid w:val="00C00580"/>
    <w:rsid w:val="00C0058E"/>
    <w:rsid w:val="00C00653"/>
    <w:rsid w:val="00C006BF"/>
    <w:rsid w:val="00C006E7"/>
    <w:rsid w:val="00C00760"/>
    <w:rsid w:val="00C0077C"/>
    <w:rsid w:val="00C007EF"/>
    <w:rsid w:val="00C00B3F"/>
    <w:rsid w:val="00C00B83"/>
    <w:rsid w:val="00C00B97"/>
    <w:rsid w:val="00C00C09"/>
    <w:rsid w:val="00C00CD4"/>
    <w:rsid w:val="00C00D8A"/>
    <w:rsid w:val="00C00DD8"/>
    <w:rsid w:val="00C00EAE"/>
    <w:rsid w:val="00C00FD3"/>
    <w:rsid w:val="00C01047"/>
    <w:rsid w:val="00C0108C"/>
    <w:rsid w:val="00C010D2"/>
    <w:rsid w:val="00C011CF"/>
    <w:rsid w:val="00C0122F"/>
    <w:rsid w:val="00C012D3"/>
    <w:rsid w:val="00C01347"/>
    <w:rsid w:val="00C0153D"/>
    <w:rsid w:val="00C01580"/>
    <w:rsid w:val="00C0158B"/>
    <w:rsid w:val="00C01592"/>
    <w:rsid w:val="00C01645"/>
    <w:rsid w:val="00C0165E"/>
    <w:rsid w:val="00C016AE"/>
    <w:rsid w:val="00C01742"/>
    <w:rsid w:val="00C017A9"/>
    <w:rsid w:val="00C018E3"/>
    <w:rsid w:val="00C0196F"/>
    <w:rsid w:val="00C0198C"/>
    <w:rsid w:val="00C019B4"/>
    <w:rsid w:val="00C019B9"/>
    <w:rsid w:val="00C019FB"/>
    <w:rsid w:val="00C01A2A"/>
    <w:rsid w:val="00C01A3A"/>
    <w:rsid w:val="00C01AC7"/>
    <w:rsid w:val="00C01B2B"/>
    <w:rsid w:val="00C01B2C"/>
    <w:rsid w:val="00C01B43"/>
    <w:rsid w:val="00C01BB8"/>
    <w:rsid w:val="00C01BD9"/>
    <w:rsid w:val="00C01C44"/>
    <w:rsid w:val="00C01C8F"/>
    <w:rsid w:val="00C01E47"/>
    <w:rsid w:val="00C01E61"/>
    <w:rsid w:val="00C02044"/>
    <w:rsid w:val="00C02062"/>
    <w:rsid w:val="00C0207E"/>
    <w:rsid w:val="00C020D0"/>
    <w:rsid w:val="00C02140"/>
    <w:rsid w:val="00C02148"/>
    <w:rsid w:val="00C021D3"/>
    <w:rsid w:val="00C021DC"/>
    <w:rsid w:val="00C02344"/>
    <w:rsid w:val="00C02367"/>
    <w:rsid w:val="00C023C4"/>
    <w:rsid w:val="00C02416"/>
    <w:rsid w:val="00C0254A"/>
    <w:rsid w:val="00C02554"/>
    <w:rsid w:val="00C02614"/>
    <w:rsid w:val="00C026A1"/>
    <w:rsid w:val="00C0277F"/>
    <w:rsid w:val="00C027D7"/>
    <w:rsid w:val="00C0290A"/>
    <w:rsid w:val="00C029BE"/>
    <w:rsid w:val="00C029EA"/>
    <w:rsid w:val="00C02A69"/>
    <w:rsid w:val="00C02AE9"/>
    <w:rsid w:val="00C02AED"/>
    <w:rsid w:val="00C02B0F"/>
    <w:rsid w:val="00C02B3B"/>
    <w:rsid w:val="00C02B9E"/>
    <w:rsid w:val="00C02C1F"/>
    <w:rsid w:val="00C02C7D"/>
    <w:rsid w:val="00C02C82"/>
    <w:rsid w:val="00C02D67"/>
    <w:rsid w:val="00C02D6B"/>
    <w:rsid w:val="00C02EB6"/>
    <w:rsid w:val="00C02FBA"/>
    <w:rsid w:val="00C02FC9"/>
    <w:rsid w:val="00C02FD4"/>
    <w:rsid w:val="00C02FEB"/>
    <w:rsid w:val="00C0302E"/>
    <w:rsid w:val="00C0305E"/>
    <w:rsid w:val="00C03075"/>
    <w:rsid w:val="00C030A6"/>
    <w:rsid w:val="00C030B1"/>
    <w:rsid w:val="00C030C2"/>
    <w:rsid w:val="00C03102"/>
    <w:rsid w:val="00C03131"/>
    <w:rsid w:val="00C0318C"/>
    <w:rsid w:val="00C03230"/>
    <w:rsid w:val="00C03236"/>
    <w:rsid w:val="00C03268"/>
    <w:rsid w:val="00C03282"/>
    <w:rsid w:val="00C0328F"/>
    <w:rsid w:val="00C032C3"/>
    <w:rsid w:val="00C0331B"/>
    <w:rsid w:val="00C0333E"/>
    <w:rsid w:val="00C03346"/>
    <w:rsid w:val="00C03369"/>
    <w:rsid w:val="00C033A0"/>
    <w:rsid w:val="00C03420"/>
    <w:rsid w:val="00C035DC"/>
    <w:rsid w:val="00C03600"/>
    <w:rsid w:val="00C03605"/>
    <w:rsid w:val="00C03641"/>
    <w:rsid w:val="00C037A0"/>
    <w:rsid w:val="00C03904"/>
    <w:rsid w:val="00C0390A"/>
    <w:rsid w:val="00C03943"/>
    <w:rsid w:val="00C039BB"/>
    <w:rsid w:val="00C039CF"/>
    <w:rsid w:val="00C03A19"/>
    <w:rsid w:val="00C03ADD"/>
    <w:rsid w:val="00C03AFC"/>
    <w:rsid w:val="00C03B39"/>
    <w:rsid w:val="00C03BD9"/>
    <w:rsid w:val="00C03D0B"/>
    <w:rsid w:val="00C03DC2"/>
    <w:rsid w:val="00C03DDB"/>
    <w:rsid w:val="00C03E0C"/>
    <w:rsid w:val="00C03EF7"/>
    <w:rsid w:val="00C03F0A"/>
    <w:rsid w:val="00C04012"/>
    <w:rsid w:val="00C04084"/>
    <w:rsid w:val="00C040A7"/>
    <w:rsid w:val="00C040EB"/>
    <w:rsid w:val="00C04104"/>
    <w:rsid w:val="00C04269"/>
    <w:rsid w:val="00C042B7"/>
    <w:rsid w:val="00C042F0"/>
    <w:rsid w:val="00C0433D"/>
    <w:rsid w:val="00C0439F"/>
    <w:rsid w:val="00C0445A"/>
    <w:rsid w:val="00C044A1"/>
    <w:rsid w:val="00C044BF"/>
    <w:rsid w:val="00C04528"/>
    <w:rsid w:val="00C04594"/>
    <w:rsid w:val="00C045CD"/>
    <w:rsid w:val="00C045D2"/>
    <w:rsid w:val="00C0465B"/>
    <w:rsid w:val="00C046B3"/>
    <w:rsid w:val="00C0484C"/>
    <w:rsid w:val="00C0486A"/>
    <w:rsid w:val="00C048ED"/>
    <w:rsid w:val="00C04912"/>
    <w:rsid w:val="00C049E7"/>
    <w:rsid w:val="00C04A60"/>
    <w:rsid w:val="00C04BF6"/>
    <w:rsid w:val="00C04C69"/>
    <w:rsid w:val="00C04C7E"/>
    <w:rsid w:val="00C04D7C"/>
    <w:rsid w:val="00C04DA7"/>
    <w:rsid w:val="00C04E08"/>
    <w:rsid w:val="00C04E21"/>
    <w:rsid w:val="00C04ED3"/>
    <w:rsid w:val="00C04EE0"/>
    <w:rsid w:val="00C04F9D"/>
    <w:rsid w:val="00C05004"/>
    <w:rsid w:val="00C050C6"/>
    <w:rsid w:val="00C05202"/>
    <w:rsid w:val="00C0520A"/>
    <w:rsid w:val="00C0522C"/>
    <w:rsid w:val="00C05279"/>
    <w:rsid w:val="00C0528B"/>
    <w:rsid w:val="00C052F8"/>
    <w:rsid w:val="00C053AC"/>
    <w:rsid w:val="00C053CB"/>
    <w:rsid w:val="00C0543E"/>
    <w:rsid w:val="00C05450"/>
    <w:rsid w:val="00C0548F"/>
    <w:rsid w:val="00C05491"/>
    <w:rsid w:val="00C0551B"/>
    <w:rsid w:val="00C0552B"/>
    <w:rsid w:val="00C0554D"/>
    <w:rsid w:val="00C0559C"/>
    <w:rsid w:val="00C05657"/>
    <w:rsid w:val="00C05658"/>
    <w:rsid w:val="00C056F9"/>
    <w:rsid w:val="00C05737"/>
    <w:rsid w:val="00C05759"/>
    <w:rsid w:val="00C057CE"/>
    <w:rsid w:val="00C057DB"/>
    <w:rsid w:val="00C057DE"/>
    <w:rsid w:val="00C059FF"/>
    <w:rsid w:val="00C05B25"/>
    <w:rsid w:val="00C05BC9"/>
    <w:rsid w:val="00C05BD2"/>
    <w:rsid w:val="00C05C38"/>
    <w:rsid w:val="00C05C64"/>
    <w:rsid w:val="00C05C6C"/>
    <w:rsid w:val="00C05CBB"/>
    <w:rsid w:val="00C05D0C"/>
    <w:rsid w:val="00C05D44"/>
    <w:rsid w:val="00C05D81"/>
    <w:rsid w:val="00C05DF7"/>
    <w:rsid w:val="00C05E7E"/>
    <w:rsid w:val="00C05EC6"/>
    <w:rsid w:val="00C05FE9"/>
    <w:rsid w:val="00C060C8"/>
    <w:rsid w:val="00C060D9"/>
    <w:rsid w:val="00C060E1"/>
    <w:rsid w:val="00C06110"/>
    <w:rsid w:val="00C06116"/>
    <w:rsid w:val="00C06119"/>
    <w:rsid w:val="00C06251"/>
    <w:rsid w:val="00C06277"/>
    <w:rsid w:val="00C062E9"/>
    <w:rsid w:val="00C06317"/>
    <w:rsid w:val="00C06403"/>
    <w:rsid w:val="00C06475"/>
    <w:rsid w:val="00C0647D"/>
    <w:rsid w:val="00C064DC"/>
    <w:rsid w:val="00C0652F"/>
    <w:rsid w:val="00C065A3"/>
    <w:rsid w:val="00C065E8"/>
    <w:rsid w:val="00C065F6"/>
    <w:rsid w:val="00C06661"/>
    <w:rsid w:val="00C066C2"/>
    <w:rsid w:val="00C066D9"/>
    <w:rsid w:val="00C066F9"/>
    <w:rsid w:val="00C06822"/>
    <w:rsid w:val="00C06A33"/>
    <w:rsid w:val="00C06A94"/>
    <w:rsid w:val="00C06B41"/>
    <w:rsid w:val="00C06BAA"/>
    <w:rsid w:val="00C06C20"/>
    <w:rsid w:val="00C06C9E"/>
    <w:rsid w:val="00C06CB3"/>
    <w:rsid w:val="00C06CDE"/>
    <w:rsid w:val="00C06D06"/>
    <w:rsid w:val="00C06F51"/>
    <w:rsid w:val="00C06F75"/>
    <w:rsid w:val="00C06FE8"/>
    <w:rsid w:val="00C07007"/>
    <w:rsid w:val="00C0702B"/>
    <w:rsid w:val="00C0706D"/>
    <w:rsid w:val="00C07094"/>
    <w:rsid w:val="00C07268"/>
    <w:rsid w:val="00C07279"/>
    <w:rsid w:val="00C0727A"/>
    <w:rsid w:val="00C072FA"/>
    <w:rsid w:val="00C0737A"/>
    <w:rsid w:val="00C073EE"/>
    <w:rsid w:val="00C07490"/>
    <w:rsid w:val="00C075D9"/>
    <w:rsid w:val="00C0772E"/>
    <w:rsid w:val="00C077F0"/>
    <w:rsid w:val="00C0786E"/>
    <w:rsid w:val="00C078A9"/>
    <w:rsid w:val="00C078BB"/>
    <w:rsid w:val="00C07926"/>
    <w:rsid w:val="00C07938"/>
    <w:rsid w:val="00C0794B"/>
    <w:rsid w:val="00C0794D"/>
    <w:rsid w:val="00C07A43"/>
    <w:rsid w:val="00C07AA6"/>
    <w:rsid w:val="00C07B4E"/>
    <w:rsid w:val="00C07BEF"/>
    <w:rsid w:val="00C07C4E"/>
    <w:rsid w:val="00C07CF2"/>
    <w:rsid w:val="00C07D28"/>
    <w:rsid w:val="00C07D57"/>
    <w:rsid w:val="00C07D59"/>
    <w:rsid w:val="00C07DA1"/>
    <w:rsid w:val="00C07DC3"/>
    <w:rsid w:val="00C07EB1"/>
    <w:rsid w:val="00C07F2E"/>
    <w:rsid w:val="00C07F50"/>
    <w:rsid w:val="00C07FAF"/>
    <w:rsid w:val="00C10094"/>
    <w:rsid w:val="00C100BD"/>
    <w:rsid w:val="00C10187"/>
    <w:rsid w:val="00C101A7"/>
    <w:rsid w:val="00C1025A"/>
    <w:rsid w:val="00C1037D"/>
    <w:rsid w:val="00C10423"/>
    <w:rsid w:val="00C1043C"/>
    <w:rsid w:val="00C105D3"/>
    <w:rsid w:val="00C105FE"/>
    <w:rsid w:val="00C106FE"/>
    <w:rsid w:val="00C10877"/>
    <w:rsid w:val="00C109DA"/>
    <w:rsid w:val="00C109FC"/>
    <w:rsid w:val="00C10A22"/>
    <w:rsid w:val="00C10A2C"/>
    <w:rsid w:val="00C10A9A"/>
    <w:rsid w:val="00C10B16"/>
    <w:rsid w:val="00C10B2D"/>
    <w:rsid w:val="00C10BAB"/>
    <w:rsid w:val="00C10CF9"/>
    <w:rsid w:val="00C10D5C"/>
    <w:rsid w:val="00C10D92"/>
    <w:rsid w:val="00C10E0D"/>
    <w:rsid w:val="00C10E60"/>
    <w:rsid w:val="00C10EB1"/>
    <w:rsid w:val="00C10EFE"/>
    <w:rsid w:val="00C10F1C"/>
    <w:rsid w:val="00C10F73"/>
    <w:rsid w:val="00C1115C"/>
    <w:rsid w:val="00C111B8"/>
    <w:rsid w:val="00C111C2"/>
    <w:rsid w:val="00C1128D"/>
    <w:rsid w:val="00C1128E"/>
    <w:rsid w:val="00C112F9"/>
    <w:rsid w:val="00C1141E"/>
    <w:rsid w:val="00C11476"/>
    <w:rsid w:val="00C114D1"/>
    <w:rsid w:val="00C11537"/>
    <w:rsid w:val="00C115B5"/>
    <w:rsid w:val="00C115D5"/>
    <w:rsid w:val="00C115DF"/>
    <w:rsid w:val="00C1163E"/>
    <w:rsid w:val="00C1167B"/>
    <w:rsid w:val="00C11701"/>
    <w:rsid w:val="00C11748"/>
    <w:rsid w:val="00C117EA"/>
    <w:rsid w:val="00C11802"/>
    <w:rsid w:val="00C1193E"/>
    <w:rsid w:val="00C11A08"/>
    <w:rsid w:val="00C11AB8"/>
    <w:rsid w:val="00C11B01"/>
    <w:rsid w:val="00C11B0F"/>
    <w:rsid w:val="00C11B1C"/>
    <w:rsid w:val="00C11CAF"/>
    <w:rsid w:val="00C11F4E"/>
    <w:rsid w:val="00C12078"/>
    <w:rsid w:val="00C12183"/>
    <w:rsid w:val="00C12217"/>
    <w:rsid w:val="00C12232"/>
    <w:rsid w:val="00C1223E"/>
    <w:rsid w:val="00C12264"/>
    <w:rsid w:val="00C1227A"/>
    <w:rsid w:val="00C122E3"/>
    <w:rsid w:val="00C12301"/>
    <w:rsid w:val="00C12406"/>
    <w:rsid w:val="00C1241C"/>
    <w:rsid w:val="00C124D8"/>
    <w:rsid w:val="00C126FC"/>
    <w:rsid w:val="00C127ED"/>
    <w:rsid w:val="00C12830"/>
    <w:rsid w:val="00C128D9"/>
    <w:rsid w:val="00C128EA"/>
    <w:rsid w:val="00C128EE"/>
    <w:rsid w:val="00C12973"/>
    <w:rsid w:val="00C1299E"/>
    <w:rsid w:val="00C12A84"/>
    <w:rsid w:val="00C12A8C"/>
    <w:rsid w:val="00C12ADC"/>
    <w:rsid w:val="00C12BB8"/>
    <w:rsid w:val="00C12C12"/>
    <w:rsid w:val="00C12C26"/>
    <w:rsid w:val="00C12CE6"/>
    <w:rsid w:val="00C12D1D"/>
    <w:rsid w:val="00C12DD8"/>
    <w:rsid w:val="00C13014"/>
    <w:rsid w:val="00C132E5"/>
    <w:rsid w:val="00C13390"/>
    <w:rsid w:val="00C1346B"/>
    <w:rsid w:val="00C13482"/>
    <w:rsid w:val="00C13513"/>
    <w:rsid w:val="00C1356C"/>
    <w:rsid w:val="00C13582"/>
    <w:rsid w:val="00C135D1"/>
    <w:rsid w:val="00C135F7"/>
    <w:rsid w:val="00C13679"/>
    <w:rsid w:val="00C13825"/>
    <w:rsid w:val="00C13930"/>
    <w:rsid w:val="00C139D8"/>
    <w:rsid w:val="00C13A54"/>
    <w:rsid w:val="00C13ACA"/>
    <w:rsid w:val="00C13B5A"/>
    <w:rsid w:val="00C13C90"/>
    <w:rsid w:val="00C13CA0"/>
    <w:rsid w:val="00C13D0E"/>
    <w:rsid w:val="00C13D6E"/>
    <w:rsid w:val="00C13D7C"/>
    <w:rsid w:val="00C13E23"/>
    <w:rsid w:val="00C13EED"/>
    <w:rsid w:val="00C13F7B"/>
    <w:rsid w:val="00C140DC"/>
    <w:rsid w:val="00C14118"/>
    <w:rsid w:val="00C141F9"/>
    <w:rsid w:val="00C142F6"/>
    <w:rsid w:val="00C14308"/>
    <w:rsid w:val="00C143B0"/>
    <w:rsid w:val="00C143C0"/>
    <w:rsid w:val="00C1441B"/>
    <w:rsid w:val="00C14484"/>
    <w:rsid w:val="00C144A1"/>
    <w:rsid w:val="00C144CD"/>
    <w:rsid w:val="00C145BD"/>
    <w:rsid w:val="00C146B5"/>
    <w:rsid w:val="00C146B9"/>
    <w:rsid w:val="00C14816"/>
    <w:rsid w:val="00C148AD"/>
    <w:rsid w:val="00C148EF"/>
    <w:rsid w:val="00C149DE"/>
    <w:rsid w:val="00C14B38"/>
    <w:rsid w:val="00C14C0F"/>
    <w:rsid w:val="00C14C9A"/>
    <w:rsid w:val="00C14CE0"/>
    <w:rsid w:val="00C14D87"/>
    <w:rsid w:val="00C14E3B"/>
    <w:rsid w:val="00C14FA7"/>
    <w:rsid w:val="00C1507D"/>
    <w:rsid w:val="00C150C2"/>
    <w:rsid w:val="00C15126"/>
    <w:rsid w:val="00C15151"/>
    <w:rsid w:val="00C151C3"/>
    <w:rsid w:val="00C1520C"/>
    <w:rsid w:val="00C15213"/>
    <w:rsid w:val="00C15238"/>
    <w:rsid w:val="00C152A7"/>
    <w:rsid w:val="00C15369"/>
    <w:rsid w:val="00C153F2"/>
    <w:rsid w:val="00C15547"/>
    <w:rsid w:val="00C156B7"/>
    <w:rsid w:val="00C156F9"/>
    <w:rsid w:val="00C1570F"/>
    <w:rsid w:val="00C1576D"/>
    <w:rsid w:val="00C15801"/>
    <w:rsid w:val="00C15862"/>
    <w:rsid w:val="00C15883"/>
    <w:rsid w:val="00C15983"/>
    <w:rsid w:val="00C159EE"/>
    <w:rsid w:val="00C15A38"/>
    <w:rsid w:val="00C15B07"/>
    <w:rsid w:val="00C15B67"/>
    <w:rsid w:val="00C15C30"/>
    <w:rsid w:val="00C15C50"/>
    <w:rsid w:val="00C15C64"/>
    <w:rsid w:val="00C15C73"/>
    <w:rsid w:val="00C15D2D"/>
    <w:rsid w:val="00C15D55"/>
    <w:rsid w:val="00C15D9F"/>
    <w:rsid w:val="00C15E33"/>
    <w:rsid w:val="00C15E4E"/>
    <w:rsid w:val="00C15F11"/>
    <w:rsid w:val="00C15F39"/>
    <w:rsid w:val="00C16042"/>
    <w:rsid w:val="00C16331"/>
    <w:rsid w:val="00C16342"/>
    <w:rsid w:val="00C163E2"/>
    <w:rsid w:val="00C1649F"/>
    <w:rsid w:val="00C16500"/>
    <w:rsid w:val="00C16547"/>
    <w:rsid w:val="00C16625"/>
    <w:rsid w:val="00C166BD"/>
    <w:rsid w:val="00C166FA"/>
    <w:rsid w:val="00C16743"/>
    <w:rsid w:val="00C168B1"/>
    <w:rsid w:val="00C16956"/>
    <w:rsid w:val="00C169EA"/>
    <w:rsid w:val="00C16A31"/>
    <w:rsid w:val="00C16A4D"/>
    <w:rsid w:val="00C16A7A"/>
    <w:rsid w:val="00C16AC2"/>
    <w:rsid w:val="00C16AE7"/>
    <w:rsid w:val="00C16D3D"/>
    <w:rsid w:val="00C16D65"/>
    <w:rsid w:val="00C16E32"/>
    <w:rsid w:val="00C16EB2"/>
    <w:rsid w:val="00C170C3"/>
    <w:rsid w:val="00C170FF"/>
    <w:rsid w:val="00C1712C"/>
    <w:rsid w:val="00C1714C"/>
    <w:rsid w:val="00C17190"/>
    <w:rsid w:val="00C171B9"/>
    <w:rsid w:val="00C171C4"/>
    <w:rsid w:val="00C17247"/>
    <w:rsid w:val="00C1727B"/>
    <w:rsid w:val="00C172FA"/>
    <w:rsid w:val="00C17310"/>
    <w:rsid w:val="00C1732E"/>
    <w:rsid w:val="00C17351"/>
    <w:rsid w:val="00C1739F"/>
    <w:rsid w:val="00C173A1"/>
    <w:rsid w:val="00C17425"/>
    <w:rsid w:val="00C174BA"/>
    <w:rsid w:val="00C174D7"/>
    <w:rsid w:val="00C17572"/>
    <w:rsid w:val="00C1762D"/>
    <w:rsid w:val="00C17655"/>
    <w:rsid w:val="00C176F2"/>
    <w:rsid w:val="00C17732"/>
    <w:rsid w:val="00C1777C"/>
    <w:rsid w:val="00C1788B"/>
    <w:rsid w:val="00C17895"/>
    <w:rsid w:val="00C1795A"/>
    <w:rsid w:val="00C1799D"/>
    <w:rsid w:val="00C17A45"/>
    <w:rsid w:val="00C17B83"/>
    <w:rsid w:val="00C17C51"/>
    <w:rsid w:val="00C17CFA"/>
    <w:rsid w:val="00C17ED7"/>
    <w:rsid w:val="00C17F37"/>
    <w:rsid w:val="00C17FDC"/>
    <w:rsid w:val="00C20036"/>
    <w:rsid w:val="00C20067"/>
    <w:rsid w:val="00C200E9"/>
    <w:rsid w:val="00C20101"/>
    <w:rsid w:val="00C201F0"/>
    <w:rsid w:val="00C202CE"/>
    <w:rsid w:val="00C202FE"/>
    <w:rsid w:val="00C204D3"/>
    <w:rsid w:val="00C204F7"/>
    <w:rsid w:val="00C205DD"/>
    <w:rsid w:val="00C20676"/>
    <w:rsid w:val="00C20677"/>
    <w:rsid w:val="00C206A5"/>
    <w:rsid w:val="00C2082A"/>
    <w:rsid w:val="00C20841"/>
    <w:rsid w:val="00C2094C"/>
    <w:rsid w:val="00C2096A"/>
    <w:rsid w:val="00C209C4"/>
    <w:rsid w:val="00C209F2"/>
    <w:rsid w:val="00C20B78"/>
    <w:rsid w:val="00C20B9E"/>
    <w:rsid w:val="00C20C72"/>
    <w:rsid w:val="00C20D63"/>
    <w:rsid w:val="00C20D9B"/>
    <w:rsid w:val="00C20F68"/>
    <w:rsid w:val="00C21157"/>
    <w:rsid w:val="00C21201"/>
    <w:rsid w:val="00C21262"/>
    <w:rsid w:val="00C212B3"/>
    <w:rsid w:val="00C21323"/>
    <w:rsid w:val="00C21326"/>
    <w:rsid w:val="00C2132F"/>
    <w:rsid w:val="00C2143C"/>
    <w:rsid w:val="00C2145C"/>
    <w:rsid w:val="00C21495"/>
    <w:rsid w:val="00C214E9"/>
    <w:rsid w:val="00C21544"/>
    <w:rsid w:val="00C21592"/>
    <w:rsid w:val="00C215B9"/>
    <w:rsid w:val="00C21694"/>
    <w:rsid w:val="00C21709"/>
    <w:rsid w:val="00C21754"/>
    <w:rsid w:val="00C2175F"/>
    <w:rsid w:val="00C21790"/>
    <w:rsid w:val="00C217C5"/>
    <w:rsid w:val="00C217F2"/>
    <w:rsid w:val="00C2184A"/>
    <w:rsid w:val="00C218BB"/>
    <w:rsid w:val="00C2193E"/>
    <w:rsid w:val="00C2197C"/>
    <w:rsid w:val="00C21A0B"/>
    <w:rsid w:val="00C21A23"/>
    <w:rsid w:val="00C21AAB"/>
    <w:rsid w:val="00C21C85"/>
    <w:rsid w:val="00C21CF7"/>
    <w:rsid w:val="00C21CF8"/>
    <w:rsid w:val="00C21D11"/>
    <w:rsid w:val="00C21D52"/>
    <w:rsid w:val="00C21DAC"/>
    <w:rsid w:val="00C21E0E"/>
    <w:rsid w:val="00C21E65"/>
    <w:rsid w:val="00C21EA2"/>
    <w:rsid w:val="00C21F0B"/>
    <w:rsid w:val="00C21F42"/>
    <w:rsid w:val="00C21FD0"/>
    <w:rsid w:val="00C21FDD"/>
    <w:rsid w:val="00C220D4"/>
    <w:rsid w:val="00C22110"/>
    <w:rsid w:val="00C2217D"/>
    <w:rsid w:val="00C22353"/>
    <w:rsid w:val="00C223CD"/>
    <w:rsid w:val="00C22529"/>
    <w:rsid w:val="00C22610"/>
    <w:rsid w:val="00C2264A"/>
    <w:rsid w:val="00C2265D"/>
    <w:rsid w:val="00C22682"/>
    <w:rsid w:val="00C226B3"/>
    <w:rsid w:val="00C226DB"/>
    <w:rsid w:val="00C2274A"/>
    <w:rsid w:val="00C2277D"/>
    <w:rsid w:val="00C2295D"/>
    <w:rsid w:val="00C2297D"/>
    <w:rsid w:val="00C229A1"/>
    <w:rsid w:val="00C229CF"/>
    <w:rsid w:val="00C229E3"/>
    <w:rsid w:val="00C22A0E"/>
    <w:rsid w:val="00C22A1B"/>
    <w:rsid w:val="00C22A46"/>
    <w:rsid w:val="00C22A8D"/>
    <w:rsid w:val="00C22ABF"/>
    <w:rsid w:val="00C22AF9"/>
    <w:rsid w:val="00C22B36"/>
    <w:rsid w:val="00C22B3C"/>
    <w:rsid w:val="00C22C83"/>
    <w:rsid w:val="00C22CB4"/>
    <w:rsid w:val="00C22D78"/>
    <w:rsid w:val="00C22E41"/>
    <w:rsid w:val="00C22EED"/>
    <w:rsid w:val="00C22F10"/>
    <w:rsid w:val="00C22F4A"/>
    <w:rsid w:val="00C22FC9"/>
    <w:rsid w:val="00C230A4"/>
    <w:rsid w:val="00C230AD"/>
    <w:rsid w:val="00C23142"/>
    <w:rsid w:val="00C23250"/>
    <w:rsid w:val="00C2331C"/>
    <w:rsid w:val="00C233E5"/>
    <w:rsid w:val="00C23476"/>
    <w:rsid w:val="00C2356B"/>
    <w:rsid w:val="00C2369E"/>
    <w:rsid w:val="00C2385E"/>
    <w:rsid w:val="00C23897"/>
    <w:rsid w:val="00C2392F"/>
    <w:rsid w:val="00C23944"/>
    <w:rsid w:val="00C23972"/>
    <w:rsid w:val="00C239F3"/>
    <w:rsid w:val="00C239FB"/>
    <w:rsid w:val="00C23A98"/>
    <w:rsid w:val="00C23AAB"/>
    <w:rsid w:val="00C23BA8"/>
    <w:rsid w:val="00C23DC9"/>
    <w:rsid w:val="00C23F38"/>
    <w:rsid w:val="00C23FDF"/>
    <w:rsid w:val="00C2409F"/>
    <w:rsid w:val="00C240AC"/>
    <w:rsid w:val="00C24129"/>
    <w:rsid w:val="00C242D3"/>
    <w:rsid w:val="00C24332"/>
    <w:rsid w:val="00C24359"/>
    <w:rsid w:val="00C243F0"/>
    <w:rsid w:val="00C24556"/>
    <w:rsid w:val="00C245E7"/>
    <w:rsid w:val="00C246A4"/>
    <w:rsid w:val="00C24720"/>
    <w:rsid w:val="00C2473A"/>
    <w:rsid w:val="00C24750"/>
    <w:rsid w:val="00C247AA"/>
    <w:rsid w:val="00C24840"/>
    <w:rsid w:val="00C248E7"/>
    <w:rsid w:val="00C2497B"/>
    <w:rsid w:val="00C249D7"/>
    <w:rsid w:val="00C24A2A"/>
    <w:rsid w:val="00C24A2D"/>
    <w:rsid w:val="00C24BA6"/>
    <w:rsid w:val="00C24C12"/>
    <w:rsid w:val="00C24C15"/>
    <w:rsid w:val="00C24C9F"/>
    <w:rsid w:val="00C24DA6"/>
    <w:rsid w:val="00C24DF5"/>
    <w:rsid w:val="00C24E22"/>
    <w:rsid w:val="00C24F2F"/>
    <w:rsid w:val="00C24FC5"/>
    <w:rsid w:val="00C2504C"/>
    <w:rsid w:val="00C2518D"/>
    <w:rsid w:val="00C251BC"/>
    <w:rsid w:val="00C25307"/>
    <w:rsid w:val="00C2536D"/>
    <w:rsid w:val="00C25379"/>
    <w:rsid w:val="00C253A8"/>
    <w:rsid w:val="00C253B2"/>
    <w:rsid w:val="00C2542D"/>
    <w:rsid w:val="00C2544F"/>
    <w:rsid w:val="00C25618"/>
    <w:rsid w:val="00C2562F"/>
    <w:rsid w:val="00C256A2"/>
    <w:rsid w:val="00C25702"/>
    <w:rsid w:val="00C25795"/>
    <w:rsid w:val="00C257F6"/>
    <w:rsid w:val="00C258FD"/>
    <w:rsid w:val="00C2591F"/>
    <w:rsid w:val="00C25948"/>
    <w:rsid w:val="00C259A1"/>
    <w:rsid w:val="00C259CA"/>
    <w:rsid w:val="00C25AD2"/>
    <w:rsid w:val="00C25B25"/>
    <w:rsid w:val="00C25B41"/>
    <w:rsid w:val="00C25C54"/>
    <w:rsid w:val="00C25D36"/>
    <w:rsid w:val="00C25D83"/>
    <w:rsid w:val="00C25D9E"/>
    <w:rsid w:val="00C25DA5"/>
    <w:rsid w:val="00C25DB2"/>
    <w:rsid w:val="00C25DEA"/>
    <w:rsid w:val="00C25E25"/>
    <w:rsid w:val="00C25E84"/>
    <w:rsid w:val="00C25EB9"/>
    <w:rsid w:val="00C25EBD"/>
    <w:rsid w:val="00C25F43"/>
    <w:rsid w:val="00C25FA5"/>
    <w:rsid w:val="00C25FC7"/>
    <w:rsid w:val="00C25FC9"/>
    <w:rsid w:val="00C2603F"/>
    <w:rsid w:val="00C26153"/>
    <w:rsid w:val="00C26161"/>
    <w:rsid w:val="00C26205"/>
    <w:rsid w:val="00C26260"/>
    <w:rsid w:val="00C26277"/>
    <w:rsid w:val="00C2631A"/>
    <w:rsid w:val="00C26325"/>
    <w:rsid w:val="00C2637A"/>
    <w:rsid w:val="00C26399"/>
    <w:rsid w:val="00C263BA"/>
    <w:rsid w:val="00C26536"/>
    <w:rsid w:val="00C265BB"/>
    <w:rsid w:val="00C266DE"/>
    <w:rsid w:val="00C26789"/>
    <w:rsid w:val="00C267B5"/>
    <w:rsid w:val="00C267F4"/>
    <w:rsid w:val="00C268BA"/>
    <w:rsid w:val="00C268C8"/>
    <w:rsid w:val="00C26927"/>
    <w:rsid w:val="00C269C4"/>
    <w:rsid w:val="00C269CC"/>
    <w:rsid w:val="00C26AC4"/>
    <w:rsid w:val="00C26B42"/>
    <w:rsid w:val="00C26BE2"/>
    <w:rsid w:val="00C26C01"/>
    <w:rsid w:val="00C26C03"/>
    <w:rsid w:val="00C26C79"/>
    <w:rsid w:val="00C26C7B"/>
    <w:rsid w:val="00C26D5F"/>
    <w:rsid w:val="00C26D6B"/>
    <w:rsid w:val="00C26E10"/>
    <w:rsid w:val="00C26E76"/>
    <w:rsid w:val="00C26F5A"/>
    <w:rsid w:val="00C26F81"/>
    <w:rsid w:val="00C26FC7"/>
    <w:rsid w:val="00C27009"/>
    <w:rsid w:val="00C27046"/>
    <w:rsid w:val="00C27144"/>
    <w:rsid w:val="00C27247"/>
    <w:rsid w:val="00C27435"/>
    <w:rsid w:val="00C2747E"/>
    <w:rsid w:val="00C274ED"/>
    <w:rsid w:val="00C2753C"/>
    <w:rsid w:val="00C27592"/>
    <w:rsid w:val="00C275B7"/>
    <w:rsid w:val="00C275ED"/>
    <w:rsid w:val="00C2764C"/>
    <w:rsid w:val="00C276D0"/>
    <w:rsid w:val="00C276DE"/>
    <w:rsid w:val="00C2773E"/>
    <w:rsid w:val="00C277C4"/>
    <w:rsid w:val="00C277EA"/>
    <w:rsid w:val="00C2782B"/>
    <w:rsid w:val="00C278A2"/>
    <w:rsid w:val="00C279B2"/>
    <w:rsid w:val="00C27A77"/>
    <w:rsid w:val="00C27ABA"/>
    <w:rsid w:val="00C27AEA"/>
    <w:rsid w:val="00C27B9F"/>
    <w:rsid w:val="00C27BB7"/>
    <w:rsid w:val="00C27C69"/>
    <w:rsid w:val="00C27E72"/>
    <w:rsid w:val="00C27EC7"/>
    <w:rsid w:val="00C27FE0"/>
    <w:rsid w:val="00C30013"/>
    <w:rsid w:val="00C30067"/>
    <w:rsid w:val="00C300FB"/>
    <w:rsid w:val="00C30162"/>
    <w:rsid w:val="00C30192"/>
    <w:rsid w:val="00C301A2"/>
    <w:rsid w:val="00C301AF"/>
    <w:rsid w:val="00C301EB"/>
    <w:rsid w:val="00C3021E"/>
    <w:rsid w:val="00C3023F"/>
    <w:rsid w:val="00C30281"/>
    <w:rsid w:val="00C303A8"/>
    <w:rsid w:val="00C303D3"/>
    <w:rsid w:val="00C3043F"/>
    <w:rsid w:val="00C304B0"/>
    <w:rsid w:val="00C3050D"/>
    <w:rsid w:val="00C30544"/>
    <w:rsid w:val="00C30585"/>
    <w:rsid w:val="00C305FC"/>
    <w:rsid w:val="00C3071E"/>
    <w:rsid w:val="00C3076C"/>
    <w:rsid w:val="00C30783"/>
    <w:rsid w:val="00C307BF"/>
    <w:rsid w:val="00C307D3"/>
    <w:rsid w:val="00C308AD"/>
    <w:rsid w:val="00C30969"/>
    <w:rsid w:val="00C30A4C"/>
    <w:rsid w:val="00C30B5B"/>
    <w:rsid w:val="00C30C04"/>
    <w:rsid w:val="00C30C18"/>
    <w:rsid w:val="00C30D15"/>
    <w:rsid w:val="00C30D2C"/>
    <w:rsid w:val="00C30E63"/>
    <w:rsid w:val="00C30F01"/>
    <w:rsid w:val="00C30F26"/>
    <w:rsid w:val="00C30F4D"/>
    <w:rsid w:val="00C30F88"/>
    <w:rsid w:val="00C31067"/>
    <w:rsid w:val="00C312CA"/>
    <w:rsid w:val="00C312DB"/>
    <w:rsid w:val="00C31344"/>
    <w:rsid w:val="00C31398"/>
    <w:rsid w:val="00C313A2"/>
    <w:rsid w:val="00C3149A"/>
    <w:rsid w:val="00C314E0"/>
    <w:rsid w:val="00C314FD"/>
    <w:rsid w:val="00C31747"/>
    <w:rsid w:val="00C317AE"/>
    <w:rsid w:val="00C317D1"/>
    <w:rsid w:val="00C3186F"/>
    <w:rsid w:val="00C31892"/>
    <w:rsid w:val="00C31A46"/>
    <w:rsid w:val="00C31AF0"/>
    <w:rsid w:val="00C31BDE"/>
    <w:rsid w:val="00C31C04"/>
    <w:rsid w:val="00C31D0B"/>
    <w:rsid w:val="00C31D38"/>
    <w:rsid w:val="00C31E80"/>
    <w:rsid w:val="00C31F11"/>
    <w:rsid w:val="00C31F16"/>
    <w:rsid w:val="00C31FF1"/>
    <w:rsid w:val="00C3211B"/>
    <w:rsid w:val="00C3215C"/>
    <w:rsid w:val="00C3215E"/>
    <w:rsid w:val="00C32271"/>
    <w:rsid w:val="00C322C9"/>
    <w:rsid w:val="00C32337"/>
    <w:rsid w:val="00C3255A"/>
    <w:rsid w:val="00C3256E"/>
    <w:rsid w:val="00C3257E"/>
    <w:rsid w:val="00C32596"/>
    <w:rsid w:val="00C325A3"/>
    <w:rsid w:val="00C32605"/>
    <w:rsid w:val="00C3263B"/>
    <w:rsid w:val="00C32670"/>
    <w:rsid w:val="00C32678"/>
    <w:rsid w:val="00C326A9"/>
    <w:rsid w:val="00C326AE"/>
    <w:rsid w:val="00C3270E"/>
    <w:rsid w:val="00C328A3"/>
    <w:rsid w:val="00C328DB"/>
    <w:rsid w:val="00C3293D"/>
    <w:rsid w:val="00C32975"/>
    <w:rsid w:val="00C329B6"/>
    <w:rsid w:val="00C32A1C"/>
    <w:rsid w:val="00C32A4F"/>
    <w:rsid w:val="00C32A6D"/>
    <w:rsid w:val="00C32ABA"/>
    <w:rsid w:val="00C32AC9"/>
    <w:rsid w:val="00C32B12"/>
    <w:rsid w:val="00C32B68"/>
    <w:rsid w:val="00C32B92"/>
    <w:rsid w:val="00C32BBB"/>
    <w:rsid w:val="00C32C51"/>
    <w:rsid w:val="00C32C7A"/>
    <w:rsid w:val="00C32CCB"/>
    <w:rsid w:val="00C32CFB"/>
    <w:rsid w:val="00C32D15"/>
    <w:rsid w:val="00C32D2E"/>
    <w:rsid w:val="00C32D52"/>
    <w:rsid w:val="00C32E02"/>
    <w:rsid w:val="00C32EE6"/>
    <w:rsid w:val="00C32FCB"/>
    <w:rsid w:val="00C330DF"/>
    <w:rsid w:val="00C331F6"/>
    <w:rsid w:val="00C332F6"/>
    <w:rsid w:val="00C3336E"/>
    <w:rsid w:val="00C333A4"/>
    <w:rsid w:val="00C334CC"/>
    <w:rsid w:val="00C3355C"/>
    <w:rsid w:val="00C335D4"/>
    <w:rsid w:val="00C3365A"/>
    <w:rsid w:val="00C33680"/>
    <w:rsid w:val="00C336C6"/>
    <w:rsid w:val="00C336DA"/>
    <w:rsid w:val="00C33772"/>
    <w:rsid w:val="00C337AA"/>
    <w:rsid w:val="00C337B9"/>
    <w:rsid w:val="00C33899"/>
    <w:rsid w:val="00C338AA"/>
    <w:rsid w:val="00C339DF"/>
    <w:rsid w:val="00C33A68"/>
    <w:rsid w:val="00C33B52"/>
    <w:rsid w:val="00C33B9B"/>
    <w:rsid w:val="00C33CF7"/>
    <w:rsid w:val="00C33D05"/>
    <w:rsid w:val="00C33D64"/>
    <w:rsid w:val="00C33DEB"/>
    <w:rsid w:val="00C33E0E"/>
    <w:rsid w:val="00C33E22"/>
    <w:rsid w:val="00C33E91"/>
    <w:rsid w:val="00C33F58"/>
    <w:rsid w:val="00C33F5C"/>
    <w:rsid w:val="00C34097"/>
    <w:rsid w:val="00C340E2"/>
    <w:rsid w:val="00C340F6"/>
    <w:rsid w:val="00C34153"/>
    <w:rsid w:val="00C3419F"/>
    <w:rsid w:val="00C341C9"/>
    <w:rsid w:val="00C341CA"/>
    <w:rsid w:val="00C34359"/>
    <w:rsid w:val="00C3453C"/>
    <w:rsid w:val="00C34557"/>
    <w:rsid w:val="00C3461C"/>
    <w:rsid w:val="00C34732"/>
    <w:rsid w:val="00C3481A"/>
    <w:rsid w:val="00C3490C"/>
    <w:rsid w:val="00C349AD"/>
    <w:rsid w:val="00C34A0E"/>
    <w:rsid w:val="00C34A2C"/>
    <w:rsid w:val="00C34B9F"/>
    <w:rsid w:val="00C34D52"/>
    <w:rsid w:val="00C34E38"/>
    <w:rsid w:val="00C34E70"/>
    <w:rsid w:val="00C34E89"/>
    <w:rsid w:val="00C34FD4"/>
    <w:rsid w:val="00C34FF0"/>
    <w:rsid w:val="00C35309"/>
    <w:rsid w:val="00C35420"/>
    <w:rsid w:val="00C35442"/>
    <w:rsid w:val="00C3550F"/>
    <w:rsid w:val="00C355EA"/>
    <w:rsid w:val="00C35611"/>
    <w:rsid w:val="00C3562F"/>
    <w:rsid w:val="00C3567B"/>
    <w:rsid w:val="00C35685"/>
    <w:rsid w:val="00C357F7"/>
    <w:rsid w:val="00C3582C"/>
    <w:rsid w:val="00C358CC"/>
    <w:rsid w:val="00C358D6"/>
    <w:rsid w:val="00C3598F"/>
    <w:rsid w:val="00C35AEE"/>
    <w:rsid w:val="00C35B18"/>
    <w:rsid w:val="00C35BDF"/>
    <w:rsid w:val="00C35C99"/>
    <w:rsid w:val="00C35D59"/>
    <w:rsid w:val="00C35D71"/>
    <w:rsid w:val="00C35D7D"/>
    <w:rsid w:val="00C35DB7"/>
    <w:rsid w:val="00C35EB1"/>
    <w:rsid w:val="00C35F8F"/>
    <w:rsid w:val="00C35FA5"/>
    <w:rsid w:val="00C35FB6"/>
    <w:rsid w:val="00C3605C"/>
    <w:rsid w:val="00C360C3"/>
    <w:rsid w:val="00C361ED"/>
    <w:rsid w:val="00C36218"/>
    <w:rsid w:val="00C362FD"/>
    <w:rsid w:val="00C36306"/>
    <w:rsid w:val="00C3632D"/>
    <w:rsid w:val="00C36405"/>
    <w:rsid w:val="00C36444"/>
    <w:rsid w:val="00C365F0"/>
    <w:rsid w:val="00C3664A"/>
    <w:rsid w:val="00C36782"/>
    <w:rsid w:val="00C367D6"/>
    <w:rsid w:val="00C36842"/>
    <w:rsid w:val="00C36873"/>
    <w:rsid w:val="00C368C0"/>
    <w:rsid w:val="00C36901"/>
    <w:rsid w:val="00C36942"/>
    <w:rsid w:val="00C36A69"/>
    <w:rsid w:val="00C36A93"/>
    <w:rsid w:val="00C36ABD"/>
    <w:rsid w:val="00C36B20"/>
    <w:rsid w:val="00C36B41"/>
    <w:rsid w:val="00C36B75"/>
    <w:rsid w:val="00C36B93"/>
    <w:rsid w:val="00C36B94"/>
    <w:rsid w:val="00C36BB4"/>
    <w:rsid w:val="00C36CC8"/>
    <w:rsid w:val="00C36D25"/>
    <w:rsid w:val="00C36D7D"/>
    <w:rsid w:val="00C36D8E"/>
    <w:rsid w:val="00C36DA0"/>
    <w:rsid w:val="00C36DD6"/>
    <w:rsid w:val="00C36DFA"/>
    <w:rsid w:val="00C36E16"/>
    <w:rsid w:val="00C36E23"/>
    <w:rsid w:val="00C36F2B"/>
    <w:rsid w:val="00C37003"/>
    <w:rsid w:val="00C371E2"/>
    <w:rsid w:val="00C37248"/>
    <w:rsid w:val="00C37284"/>
    <w:rsid w:val="00C372DF"/>
    <w:rsid w:val="00C37420"/>
    <w:rsid w:val="00C3743C"/>
    <w:rsid w:val="00C374CD"/>
    <w:rsid w:val="00C374F1"/>
    <w:rsid w:val="00C37577"/>
    <w:rsid w:val="00C375DB"/>
    <w:rsid w:val="00C37627"/>
    <w:rsid w:val="00C376AE"/>
    <w:rsid w:val="00C377AA"/>
    <w:rsid w:val="00C37899"/>
    <w:rsid w:val="00C378CD"/>
    <w:rsid w:val="00C37BC1"/>
    <w:rsid w:val="00C37C88"/>
    <w:rsid w:val="00C37DA6"/>
    <w:rsid w:val="00C37E15"/>
    <w:rsid w:val="00C37F20"/>
    <w:rsid w:val="00C37FAF"/>
    <w:rsid w:val="00C40015"/>
    <w:rsid w:val="00C40041"/>
    <w:rsid w:val="00C400ED"/>
    <w:rsid w:val="00C4010C"/>
    <w:rsid w:val="00C4021E"/>
    <w:rsid w:val="00C4023D"/>
    <w:rsid w:val="00C40245"/>
    <w:rsid w:val="00C402C9"/>
    <w:rsid w:val="00C40349"/>
    <w:rsid w:val="00C40354"/>
    <w:rsid w:val="00C403D6"/>
    <w:rsid w:val="00C4047A"/>
    <w:rsid w:val="00C40539"/>
    <w:rsid w:val="00C405A5"/>
    <w:rsid w:val="00C406A4"/>
    <w:rsid w:val="00C406A5"/>
    <w:rsid w:val="00C406A9"/>
    <w:rsid w:val="00C406B1"/>
    <w:rsid w:val="00C40906"/>
    <w:rsid w:val="00C409CE"/>
    <w:rsid w:val="00C409EE"/>
    <w:rsid w:val="00C409F7"/>
    <w:rsid w:val="00C40AB1"/>
    <w:rsid w:val="00C40AE8"/>
    <w:rsid w:val="00C40B2D"/>
    <w:rsid w:val="00C40B5A"/>
    <w:rsid w:val="00C40BC5"/>
    <w:rsid w:val="00C40C32"/>
    <w:rsid w:val="00C40D6B"/>
    <w:rsid w:val="00C40DA9"/>
    <w:rsid w:val="00C40E8A"/>
    <w:rsid w:val="00C40FED"/>
    <w:rsid w:val="00C40FF2"/>
    <w:rsid w:val="00C41019"/>
    <w:rsid w:val="00C410ED"/>
    <w:rsid w:val="00C41178"/>
    <w:rsid w:val="00C4118E"/>
    <w:rsid w:val="00C4122E"/>
    <w:rsid w:val="00C41230"/>
    <w:rsid w:val="00C41276"/>
    <w:rsid w:val="00C41481"/>
    <w:rsid w:val="00C41580"/>
    <w:rsid w:val="00C415C0"/>
    <w:rsid w:val="00C41685"/>
    <w:rsid w:val="00C416D9"/>
    <w:rsid w:val="00C41787"/>
    <w:rsid w:val="00C4183E"/>
    <w:rsid w:val="00C418D7"/>
    <w:rsid w:val="00C4193E"/>
    <w:rsid w:val="00C41978"/>
    <w:rsid w:val="00C4197A"/>
    <w:rsid w:val="00C419E5"/>
    <w:rsid w:val="00C41A7C"/>
    <w:rsid w:val="00C41A95"/>
    <w:rsid w:val="00C41ACB"/>
    <w:rsid w:val="00C41B77"/>
    <w:rsid w:val="00C41BC3"/>
    <w:rsid w:val="00C41C21"/>
    <w:rsid w:val="00C41D12"/>
    <w:rsid w:val="00C41E03"/>
    <w:rsid w:val="00C41F8F"/>
    <w:rsid w:val="00C41FBF"/>
    <w:rsid w:val="00C41FC3"/>
    <w:rsid w:val="00C41FEE"/>
    <w:rsid w:val="00C4203B"/>
    <w:rsid w:val="00C420D0"/>
    <w:rsid w:val="00C420D6"/>
    <w:rsid w:val="00C4218C"/>
    <w:rsid w:val="00C421E3"/>
    <w:rsid w:val="00C42209"/>
    <w:rsid w:val="00C42231"/>
    <w:rsid w:val="00C42329"/>
    <w:rsid w:val="00C42335"/>
    <w:rsid w:val="00C42407"/>
    <w:rsid w:val="00C42554"/>
    <w:rsid w:val="00C42663"/>
    <w:rsid w:val="00C42717"/>
    <w:rsid w:val="00C427E4"/>
    <w:rsid w:val="00C4282B"/>
    <w:rsid w:val="00C42841"/>
    <w:rsid w:val="00C42988"/>
    <w:rsid w:val="00C429A0"/>
    <w:rsid w:val="00C42A1A"/>
    <w:rsid w:val="00C42A3F"/>
    <w:rsid w:val="00C42BC1"/>
    <w:rsid w:val="00C42BC5"/>
    <w:rsid w:val="00C42D41"/>
    <w:rsid w:val="00C42D60"/>
    <w:rsid w:val="00C42EEA"/>
    <w:rsid w:val="00C42F94"/>
    <w:rsid w:val="00C42FB7"/>
    <w:rsid w:val="00C43009"/>
    <w:rsid w:val="00C43102"/>
    <w:rsid w:val="00C43125"/>
    <w:rsid w:val="00C43240"/>
    <w:rsid w:val="00C43248"/>
    <w:rsid w:val="00C432B6"/>
    <w:rsid w:val="00C432DC"/>
    <w:rsid w:val="00C4333C"/>
    <w:rsid w:val="00C43351"/>
    <w:rsid w:val="00C43364"/>
    <w:rsid w:val="00C434E7"/>
    <w:rsid w:val="00C43521"/>
    <w:rsid w:val="00C43527"/>
    <w:rsid w:val="00C43571"/>
    <w:rsid w:val="00C435CC"/>
    <w:rsid w:val="00C43722"/>
    <w:rsid w:val="00C4376D"/>
    <w:rsid w:val="00C43943"/>
    <w:rsid w:val="00C43A99"/>
    <w:rsid w:val="00C43B38"/>
    <w:rsid w:val="00C43B4C"/>
    <w:rsid w:val="00C43BC1"/>
    <w:rsid w:val="00C43C02"/>
    <w:rsid w:val="00C43CA1"/>
    <w:rsid w:val="00C43CE8"/>
    <w:rsid w:val="00C43CF1"/>
    <w:rsid w:val="00C43D5F"/>
    <w:rsid w:val="00C43EF7"/>
    <w:rsid w:val="00C43FB7"/>
    <w:rsid w:val="00C44040"/>
    <w:rsid w:val="00C44060"/>
    <w:rsid w:val="00C440B5"/>
    <w:rsid w:val="00C441B7"/>
    <w:rsid w:val="00C44228"/>
    <w:rsid w:val="00C44335"/>
    <w:rsid w:val="00C443B5"/>
    <w:rsid w:val="00C443C7"/>
    <w:rsid w:val="00C44415"/>
    <w:rsid w:val="00C444B7"/>
    <w:rsid w:val="00C444E0"/>
    <w:rsid w:val="00C444EE"/>
    <w:rsid w:val="00C445B8"/>
    <w:rsid w:val="00C44628"/>
    <w:rsid w:val="00C44642"/>
    <w:rsid w:val="00C446B4"/>
    <w:rsid w:val="00C44752"/>
    <w:rsid w:val="00C447DB"/>
    <w:rsid w:val="00C447FE"/>
    <w:rsid w:val="00C4489E"/>
    <w:rsid w:val="00C448D6"/>
    <w:rsid w:val="00C448E7"/>
    <w:rsid w:val="00C44AD8"/>
    <w:rsid w:val="00C44B9F"/>
    <w:rsid w:val="00C44C12"/>
    <w:rsid w:val="00C44C42"/>
    <w:rsid w:val="00C44CB4"/>
    <w:rsid w:val="00C44D6E"/>
    <w:rsid w:val="00C44DC7"/>
    <w:rsid w:val="00C44E99"/>
    <w:rsid w:val="00C44FAC"/>
    <w:rsid w:val="00C44FCA"/>
    <w:rsid w:val="00C4503A"/>
    <w:rsid w:val="00C45083"/>
    <w:rsid w:val="00C4508A"/>
    <w:rsid w:val="00C450E8"/>
    <w:rsid w:val="00C451E4"/>
    <w:rsid w:val="00C4520F"/>
    <w:rsid w:val="00C4522E"/>
    <w:rsid w:val="00C45466"/>
    <w:rsid w:val="00C454DF"/>
    <w:rsid w:val="00C45506"/>
    <w:rsid w:val="00C4552C"/>
    <w:rsid w:val="00C45555"/>
    <w:rsid w:val="00C45565"/>
    <w:rsid w:val="00C455E5"/>
    <w:rsid w:val="00C45634"/>
    <w:rsid w:val="00C456EE"/>
    <w:rsid w:val="00C45751"/>
    <w:rsid w:val="00C45781"/>
    <w:rsid w:val="00C45876"/>
    <w:rsid w:val="00C4590F"/>
    <w:rsid w:val="00C45915"/>
    <w:rsid w:val="00C459E1"/>
    <w:rsid w:val="00C45AE4"/>
    <w:rsid w:val="00C45AE8"/>
    <w:rsid w:val="00C45BC1"/>
    <w:rsid w:val="00C45C9A"/>
    <w:rsid w:val="00C45CC4"/>
    <w:rsid w:val="00C45D6B"/>
    <w:rsid w:val="00C45E17"/>
    <w:rsid w:val="00C45E94"/>
    <w:rsid w:val="00C45EC2"/>
    <w:rsid w:val="00C45ECB"/>
    <w:rsid w:val="00C45ECF"/>
    <w:rsid w:val="00C45EEB"/>
    <w:rsid w:val="00C45F30"/>
    <w:rsid w:val="00C45FD9"/>
    <w:rsid w:val="00C45FE6"/>
    <w:rsid w:val="00C45FF8"/>
    <w:rsid w:val="00C46022"/>
    <w:rsid w:val="00C46034"/>
    <w:rsid w:val="00C460B7"/>
    <w:rsid w:val="00C460DD"/>
    <w:rsid w:val="00C46145"/>
    <w:rsid w:val="00C461AC"/>
    <w:rsid w:val="00C46297"/>
    <w:rsid w:val="00C46379"/>
    <w:rsid w:val="00C463A3"/>
    <w:rsid w:val="00C46443"/>
    <w:rsid w:val="00C46456"/>
    <w:rsid w:val="00C464B9"/>
    <w:rsid w:val="00C4659D"/>
    <w:rsid w:val="00C46605"/>
    <w:rsid w:val="00C4663B"/>
    <w:rsid w:val="00C4673B"/>
    <w:rsid w:val="00C468BD"/>
    <w:rsid w:val="00C46912"/>
    <w:rsid w:val="00C46A59"/>
    <w:rsid w:val="00C46A9C"/>
    <w:rsid w:val="00C46B7C"/>
    <w:rsid w:val="00C46BF4"/>
    <w:rsid w:val="00C46C19"/>
    <w:rsid w:val="00C46C29"/>
    <w:rsid w:val="00C46CCE"/>
    <w:rsid w:val="00C46D76"/>
    <w:rsid w:val="00C46E05"/>
    <w:rsid w:val="00C46E4A"/>
    <w:rsid w:val="00C46EBE"/>
    <w:rsid w:val="00C46ED6"/>
    <w:rsid w:val="00C46F05"/>
    <w:rsid w:val="00C46F0B"/>
    <w:rsid w:val="00C46F55"/>
    <w:rsid w:val="00C46FF2"/>
    <w:rsid w:val="00C47115"/>
    <w:rsid w:val="00C47123"/>
    <w:rsid w:val="00C471CE"/>
    <w:rsid w:val="00C471D1"/>
    <w:rsid w:val="00C472DE"/>
    <w:rsid w:val="00C4734A"/>
    <w:rsid w:val="00C473A7"/>
    <w:rsid w:val="00C4757A"/>
    <w:rsid w:val="00C475B9"/>
    <w:rsid w:val="00C475F3"/>
    <w:rsid w:val="00C47676"/>
    <w:rsid w:val="00C476BB"/>
    <w:rsid w:val="00C476C7"/>
    <w:rsid w:val="00C47730"/>
    <w:rsid w:val="00C47742"/>
    <w:rsid w:val="00C47753"/>
    <w:rsid w:val="00C4788D"/>
    <w:rsid w:val="00C478F7"/>
    <w:rsid w:val="00C479D7"/>
    <w:rsid w:val="00C47A45"/>
    <w:rsid w:val="00C47B03"/>
    <w:rsid w:val="00C47B2A"/>
    <w:rsid w:val="00C47B69"/>
    <w:rsid w:val="00C47B98"/>
    <w:rsid w:val="00C47BAD"/>
    <w:rsid w:val="00C47C86"/>
    <w:rsid w:val="00C47D5C"/>
    <w:rsid w:val="00C47E08"/>
    <w:rsid w:val="00C47E8D"/>
    <w:rsid w:val="00C47EA0"/>
    <w:rsid w:val="00C47FA7"/>
    <w:rsid w:val="00C500AB"/>
    <w:rsid w:val="00C5014D"/>
    <w:rsid w:val="00C5016F"/>
    <w:rsid w:val="00C501C6"/>
    <w:rsid w:val="00C50527"/>
    <w:rsid w:val="00C505CA"/>
    <w:rsid w:val="00C505FA"/>
    <w:rsid w:val="00C5061A"/>
    <w:rsid w:val="00C506C6"/>
    <w:rsid w:val="00C50903"/>
    <w:rsid w:val="00C5090D"/>
    <w:rsid w:val="00C50997"/>
    <w:rsid w:val="00C50B6D"/>
    <w:rsid w:val="00C50B8A"/>
    <w:rsid w:val="00C50B93"/>
    <w:rsid w:val="00C50BDA"/>
    <w:rsid w:val="00C50BF0"/>
    <w:rsid w:val="00C50C62"/>
    <w:rsid w:val="00C50D26"/>
    <w:rsid w:val="00C50EDD"/>
    <w:rsid w:val="00C50F17"/>
    <w:rsid w:val="00C50F9E"/>
    <w:rsid w:val="00C5116B"/>
    <w:rsid w:val="00C5117F"/>
    <w:rsid w:val="00C511C5"/>
    <w:rsid w:val="00C511C8"/>
    <w:rsid w:val="00C51204"/>
    <w:rsid w:val="00C514CA"/>
    <w:rsid w:val="00C515B5"/>
    <w:rsid w:val="00C51602"/>
    <w:rsid w:val="00C51649"/>
    <w:rsid w:val="00C516F9"/>
    <w:rsid w:val="00C5176A"/>
    <w:rsid w:val="00C517BC"/>
    <w:rsid w:val="00C517CA"/>
    <w:rsid w:val="00C51818"/>
    <w:rsid w:val="00C5182A"/>
    <w:rsid w:val="00C5185A"/>
    <w:rsid w:val="00C518ED"/>
    <w:rsid w:val="00C5198D"/>
    <w:rsid w:val="00C51B40"/>
    <w:rsid w:val="00C51B59"/>
    <w:rsid w:val="00C51BEA"/>
    <w:rsid w:val="00C51C41"/>
    <w:rsid w:val="00C51D58"/>
    <w:rsid w:val="00C51DA5"/>
    <w:rsid w:val="00C51E3E"/>
    <w:rsid w:val="00C51E5A"/>
    <w:rsid w:val="00C5220A"/>
    <w:rsid w:val="00C5224B"/>
    <w:rsid w:val="00C522FC"/>
    <w:rsid w:val="00C52377"/>
    <w:rsid w:val="00C523D2"/>
    <w:rsid w:val="00C52470"/>
    <w:rsid w:val="00C524A5"/>
    <w:rsid w:val="00C52550"/>
    <w:rsid w:val="00C5257E"/>
    <w:rsid w:val="00C52698"/>
    <w:rsid w:val="00C526C8"/>
    <w:rsid w:val="00C5281D"/>
    <w:rsid w:val="00C5283D"/>
    <w:rsid w:val="00C52841"/>
    <w:rsid w:val="00C528B2"/>
    <w:rsid w:val="00C528CE"/>
    <w:rsid w:val="00C528EF"/>
    <w:rsid w:val="00C52922"/>
    <w:rsid w:val="00C52AC6"/>
    <w:rsid w:val="00C52B41"/>
    <w:rsid w:val="00C52B50"/>
    <w:rsid w:val="00C52BCE"/>
    <w:rsid w:val="00C52BDF"/>
    <w:rsid w:val="00C52C33"/>
    <w:rsid w:val="00C52CBE"/>
    <w:rsid w:val="00C52CE9"/>
    <w:rsid w:val="00C52D2A"/>
    <w:rsid w:val="00C52D3F"/>
    <w:rsid w:val="00C53017"/>
    <w:rsid w:val="00C53069"/>
    <w:rsid w:val="00C53099"/>
    <w:rsid w:val="00C531CB"/>
    <w:rsid w:val="00C53242"/>
    <w:rsid w:val="00C5326B"/>
    <w:rsid w:val="00C532A3"/>
    <w:rsid w:val="00C5334B"/>
    <w:rsid w:val="00C53399"/>
    <w:rsid w:val="00C533C7"/>
    <w:rsid w:val="00C533DA"/>
    <w:rsid w:val="00C53417"/>
    <w:rsid w:val="00C53432"/>
    <w:rsid w:val="00C53462"/>
    <w:rsid w:val="00C5353A"/>
    <w:rsid w:val="00C53677"/>
    <w:rsid w:val="00C5367A"/>
    <w:rsid w:val="00C53692"/>
    <w:rsid w:val="00C536EA"/>
    <w:rsid w:val="00C53755"/>
    <w:rsid w:val="00C537E0"/>
    <w:rsid w:val="00C537F0"/>
    <w:rsid w:val="00C537F6"/>
    <w:rsid w:val="00C53806"/>
    <w:rsid w:val="00C538A5"/>
    <w:rsid w:val="00C538D3"/>
    <w:rsid w:val="00C538F8"/>
    <w:rsid w:val="00C5390D"/>
    <w:rsid w:val="00C539AD"/>
    <w:rsid w:val="00C539D5"/>
    <w:rsid w:val="00C53A72"/>
    <w:rsid w:val="00C53A90"/>
    <w:rsid w:val="00C53B81"/>
    <w:rsid w:val="00C53B8F"/>
    <w:rsid w:val="00C53C25"/>
    <w:rsid w:val="00C53C34"/>
    <w:rsid w:val="00C53C8F"/>
    <w:rsid w:val="00C53CDD"/>
    <w:rsid w:val="00C53CFF"/>
    <w:rsid w:val="00C53D1F"/>
    <w:rsid w:val="00C53DB7"/>
    <w:rsid w:val="00C53EC0"/>
    <w:rsid w:val="00C54013"/>
    <w:rsid w:val="00C540AB"/>
    <w:rsid w:val="00C540C0"/>
    <w:rsid w:val="00C540E1"/>
    <w:rsid w:val="00C540E9"/>
    <w:rsid w:val="00C54139"/>
    <w:rsid w:val="00C5416D"/>
    <w:rsid w:val="00C54189"/>
    <w:rsid w:val="00C542B9"/>
    <w:rsid w:val="00C5431A"/>
    <w:rsid w:val="00C54369"/>
    <w:rsid w:val="00C54427"/>
    <w:rsid w:val="00C54487"/>
    <w:rsid w:val="00C544A4"/>
    <w:rsid w:val="00C544B4"/>
    <w:rsid w:val="00C545E9"/>
    <w:rsid w:val="00C545FE"/>
    <w:rsid w:val="00C546A4"/>
    <w:rsid w:val="00C54784"/>
    <w:rsid w:val="00C54845"/>
    <w:rsid w:val="00C548C4"/>
    <w:rsid w:val="00C54916"/>
    <w:rsid w:val="00C549D6"/>
    <w:rsid w:val="00C54A8F"/>
    <w:rsid w:val="00C54A9B"/>
    <w:rsid w:val="00C54AAC"/>
    <w:rsid w:val="00C54ABB"/>
    <w:rsid w:val="00C54AEA"/>
    <w:rsid w:val="00C54C8B"/>
    <w:rsid w:val="00C54CC9"/>
    <w:rsid w:val="00C54D63"/>
    <w:rsid w:val="00C54DB0"/>
    <w:rsid w:val="00C54DB1"/>
    <w:rsid w:val="00C54EAF"/>
    <w:rsid w:val="00C54EB3"/>
    <w:rsid w:val="00C55010"/>
    <w:rsid w:val="00C550A1"/>
    <w:rsid w:val="00C55111"/>
    <w:rsid w:val="00C551C0"/>
    <w:rsid w:val="00C552BF"/>
    <w:rsid w:val="00C552D5"/>
    <w:rsid w:val="00C55303"/>
    <w:rsid w:val="00C55333"/>
    <w:rsid w:val="00C55403"/>
    <w:rsid w:val="00C55428"/>
    <w:rsid w:val="00C5548F"/>
    <w:rsid w:val="00C554C1"/>
    <w:rsid w:val="00C55500"/>
    <w:rsid w:val="00C55516"/>
    <w:rsid w:val="00C555E0"/>
    <w:rsid w:val="00C555EB"/>
    <w:rsid w:val="00C555FA"/>
    <w:rsid w:val="00C5568D"/>
    <w:rsid w:val="00C55759"/>
    <w:rsid w:val="00C55802"/>
    <w:rsid w:val="00C558AC"/>
    <w:rsid w:val="00C55912"/>
    <w:rsid w:val="00C55A3C"/>
    <w:rsid w:val="00C55A69"/>
    <w:rsid w:val="00C55AF8"/>
    <w:rsid w:val="00C55B14"/>
    <w:rsid w:val="00C55B8E"/>
    <w:rsid w:val="00C55BF7"/>
    <w:rsid w:val="00C55C2C"/>
    <w:rsid w:val="00C55C75"/>
    <w:rsid w:val="00C55C7E"/>
    <w:rsid w:val="00C55DA8"/>
    <w:rsid w:val="00C55DAC"/>
    <w:rsid w:val="00C55DCD"/>
    <w:rsid w:val="00C55DDF"/>
    <w:rsid w:val="00C55E12"/>
    <w:rsid w:val="00C55E23"/>
    <w:rsid w:val="00C55E7C"/>
    <w:rsid w:val="00C55ECA"/>
    <w:rsid w:val="00C55ED8"/>
    <w:rsid w:val="00C55F48"/>
    <w:rsid w:val="00C56025"/>
    <w:rsid w:val="00C560CD"/>
    <w:rsid w:val="00C560FF"/>
    <w:rsid w:val="00C561BD"/>
    <w:rsid w:val="00C561C8"/>
    <w:rsid w:val="00C5623D"/>
    <w:rsid w:val="00C56285"/>
    <w:rsid w:val="00C5628A"/>
    <w:rsid w:val="00C5632F"/>
    <w:rsid w:val="00C563BC"/>
    <w:rsid w:val="00C564DF"/>
    <w:rsid w:val="00C564FE"/>
    <w:rsid w:val="00C56564"/>
    <w:rsid w:val="00C56589"/>
    <w:rsid w:val="00C565E0"/>
    <w:rsid w:val="00C56675"/>
    <w:rsid w:val="00C566C0"/>
    <w:rsid w:val="00C56859"/>
    <w:rsid w:val="00C568A7"/>
    <w:rsid w:val="00C5697C"/>
    <w:rsid w:val="00C56A4B"/>
    <w:rsid w:val="00C56A58"/>
    <w:rsid w:val="00C56B03"/>
    <w:rsid w:val="00C56B49"/>
    <w:rsid w:val="00C56D38"/>
    <w:rsid w:val="00C56DBD"/>
    <w:rsid w:val="00C56E89"/>
    <w:rsid w:val="00C56F09"/>
    <w:rsid w:val="00C56F34"/>
    <w:rsid w:val="00C56F62"/>
    <w:rsid w:val="00C56F64"/>
    <w:rsid w:val="00C56F98"/>
    <w:rsid w:val="00C570AA"/>
    <w:rsid w:val="00C57125"/>
    <w:rsid w:val="00C57154"/>
    <w:rsid w:val="00C572B4"/>
    <w:rsid w:val="00C5731E"/>
    <w:rsid w:val="00C57360"/>
    <w:rsid w:val="00C57373"/>
    <w:rsid w:val="00C5746D"/>
    <w:rsid w:val="00C574B9"/>
    <w:rsid w:val="00C57515"/>
    <w:rsid w:val="00C57535"/>
    <w:rsid w:val="00C57633"/>
    <w:rsid w:val="00C57647"/>
    <w:rsid w:val="00C57650"/>
    <w:rsid w:val="00C57763"/>
    <w:rsid w:val="00C578E1"/>
    <w:rsid w:val="00C57916"/>
    <w:rsid w:val="00C57A18"/>
    <w:rsid w:val="00C57A2F"/>
    <w:rsid w:val="00C57A77"/>
    <w:rsid w:val="00C57A98"/>
    <w:rsid w:val="00C57CA9"/>
    <w:rsid w:val="00C57D23"/>
    <w:rsid w:val="00C57D85"/>
    <w:rsid w:val="00C57DC8"/>
    <w:rsid w:val="00C57DE4"/>
    <w:rsid w:val="00C57DFA"/>
    <w:rsid w:val="00C57E94"/>
    <w:rsid w:val="00C57F46"/>
    <w:rsid w:val="00C57F7A"/>
    <w:rsid w:val="00C600B2"/>
    <w:rsid w:val="00C600B6"/>
    <w:rsid w:val="00C60217"/>
    <w:rsid w:val="00C60223"/>
    <w:rsid w:val="00C6025F"/>
    <w:rsid w:val="00C6033D"/>
    <w:rsid w:val="00C6034D"/>
    <w:rsid w:val="00C60359"/>
    <w:rsid w:val="00C60412"/>
    <w:rsid w:val="00C60459"/>
    <w:rsid w:val="00C604DB"/>
    <w:rsid w:val="00C605E8"/>
    <w:rsid w:val="00C60641"/>
    <w:rsid w:val="00C60673"/>
    <w:rsid w:val="00C60755"/>
    <w:rsid w:val="00C60777"/>
    <w:rsid w:val="00C607F3"/>
    <w:rsid w:val="00C60837"/>
    <w:rsid w:val="00C6084A"/>
    <w:rsid w:val="00C60907"/>
    <w:rsid w:val="00C60944"/>
    <w:rsid w:val="00C609BC"/>
    <w:rsid w:val="00C60A52"/>
    <w:rsid w:val="00C60AB3"/>
    <w:rsid w:val="00C60ABA"/>
    <w:rsid w:val="00C60AF3"/>
    <w:rsid w:val="00C60B77"/>
    <w:rsid w:val="00C60BED"/>
    <w:rsid w:val="00C60C78"/>
    <w:rsid w:val="00C60DBF"/>
    <w:rsid w:val="00C60EF1"/>
    <w:rsid w:val="00C60F59"/>
    <w:rsid w:val="00C60F95"/>
    <w:rsid w:val="00C6106F"/>
    <w:rsid w:val="00C610AA"/>
    <w:rsid w:val="00C611C9"/>
    <w:rsid w:val="00C611EF"/>
    <w:rsid w:val="00C6122D"/>
    <w:rsid w:val="00C612FF"/>
    <w:rsid w:val="00C613A6"/>
    <w:rsid w:val="00C613C6"/>
    <w:rsid w:val="00C614CD"/>
    <w:rsid w:val="00C61511"/>
    <w:rsid w:val="00C6152D"/>
    <w:rsid w:val="00C6159C"/>
    <w:rsid w:val="00C615BE"/>
    <w:rsid w:val="00C6164B"/>
    <w:rsid w:val="00C616A6"/>
    <w:rsid w:val="00C616AF"/>
    <w:rsid w:val="00C61760"/>
    <w:rsid w:val="00C61818"/>
    <w:rsid w:val="00C618A0"/>
    <w:rsid w:val="00C61972"/>
    <w:rsid w:val="00C6199C"/>
    <w:rsid w:val="00C619EF"/>
    <w:rsid w:val="00C61A49"/>
    <w:rsid w:val="00C61AB9"/>
    <w:rsid w:val="00C61AC9"/>
    <w:rsid w:val="00C61BFB"/>
    <w:rsid w:val="00C61C8D"/>
    <w:rsid w:val="00C61CB8"/>
    <w:rsid w:val="00C61CE4"/>
    <w:rsid w:val="00C61E27"/>
    <w:rsid w:val="00C61E7B"/>
    <w:rsid w:val="00C61ED7"/>
    <w:rsid w:val="00C61F37"/>
    <w:rsid w:val="00C61F9A"/>
    <w:rsid w:val="00C61FB3"/>
    <w:rsid w:val="00C61FC5"/>
    <w:rsid w:val="00C6205F"/>
    <w:rsid w:val="00C62155"/>
    <w:rsid w:val="00C62192"/>
    <w:rsid w:val="00C621C0"/>
    <w:rsid w:val="00C621E9"/>
    <w:rsid w:val="00C621ED"/>
    <w:rsid w:val="00C6226F"/>
    <w:rsid w:val="00C62290"/>
    <w:rsid w:val="00C622BF"/>
    <w:rsid w:val="00C6238F"/>
    <w:rsid w:val="00C62434"/>
    <w:rsid w:val="00C624B6"/>
    <w:rsid w:val="00C624E9"/>
    <w:rsid w:val="00C62575"/>
    <w:rsid w:val="00C62587"/>
    <w:rsid w:val="00C625AE"/>
    <w:rsid w:val="00C625D9"/>
    <w:rsid w:val="00C625E7"/>
    <w:rsid w:val="00C62656"/>
    <w:rsid w:val="00C6265D"/>
    <w:rsid w:val="00C62661"/>
    <w:rsid w:val="00C62697"/>
    <w:rsid w:val="00C62743"/>
    <w:rsid w:val="00C6277E"/>
    <w:rsid w:val="00C6278C"/>
    <w:rsid w:val="00C628EA"/>
    <w:rsid w:val="00C628ED"/>
    <w:rsid w:val="00C6290D"/>
    <w:rsid w:val="00C6291F"/>
    <w:rsid w:val="00C6292B"/>
    <w:rsid w:val="00C629F5"/>
    <w:rsid w:val="00C62A47"/>
    <w:rsid w:val="00C62A7D"/>
    <w:rsid w:val="00C62B29"/>
    <w:rsid w:val="00C62B6A"/>
    <w:rsid w:val="00C62C69"/>
    <w:rsid w:val="00C62D2B"/>
    <w:rsid w:val="00C62D9D"/>
    <w:rsid w:val="00C62DA5"/>
    <w:rsid w:val="00C62EFA"/>
    <w:rsid w:val="00C62FFB"/>
    <w:rsid w:val="00C63024"/>
    <w:rsid w:val="00C63027"/>
    <w:rsid w:val="00C63038"/>
    <w:rsid w:val="00C6304A"/>
    <w:rsid w:val="00C63062"/>
    <w:rsid w:val="00C6307D"/>
    <w:rsid w:val="00C63128"/>
    <w:rsid w:val="00C631BE"/>
    <w:rsid w:val="00C63220"/>
    <w:rsid w:val="00C63247"/>
    <w:rsid w:val="00C6326F"/>
    <w:rsid w:val="00C63278"/>
    <w:rsid w:val="00C6329F"/>
    <w:rsid w:val="00C632F8"/>
    <w:rsid w:val="00C6331E"/>
    <w:rsid w:val="00C633D2"/>
    <w:rsid w:val="00C633D3"/>
    <w:rsid w:val="00C63412"/>
    <w:rsid w:val="00C63473"/>
    <w:rsid w:val="00C6350A"/>
    <w:rsid w:val="00C6351B"/>
    <w:rsid w:val="00C6353A"/>
    <w:rsid w:val="00C6353D"/>
    <w:rsid w:val="00C63609"/>
    <w:rsid w:val="00C6365A"/>
    <w:rsid w:val="00C636C2"/>
    <w:rsid w:val="00C63722"/>
    <w:rsid w:val="00C63772"/>
    <w:rsid w:val="00C6378D"/>
    <w:rsid w:val="00C6382F"/>
    <w:rsid w:val="00C6387D"/>
    <w:rsid w:val="00C63923"/>
    <w:rsid w:val="00C63A13"/>
    <w:rsid w:val="00C63A21"/>
    <w:rsid w:val="00C63AD1"/>
    <w:rsid w:val="00C63AD7"/>
    <w:rsid w:val="00C63B51"/>
    <w:rsid w:val="00C63BA9"/>
    <w:rsid w:val="00C63BB4"/>
    <w:rsid w:val="00C63C01"/>
    <w:rsid w:val="00C63C81"/>
    <w:rsid w:val="00C63CF2"/>
    <w:rsid w:val="00C63CF7"/>
    <w:rsid w:val="00C63D18"/>
    <w:rsid w:val="00C63DE8"/>
    <w:rsid w:val="00C63EC4"/>
    <w:rsid w:val="00C63F26"/>
    <w:rsid w:val="00C63F65"/>
    <w:rsid w:val="00C63FEF"/>
    <w:rsid w:val="00C6401E"/>
    <w:rsid w:val="00C64088"/>
    <w:rsid w:val="00C64159"/>
    <w:rsid w:val="00C64186"/>
    <w:rsid w:val="00C6419A"/>
    <w:rsid w:val="00C64237"/>
    <w:rsid w:val="00C6428E"/>
    <w:rsid w:val="00C642A4"/>
    <w:rsid w:val="00C642C3"/>
    <w:rsid w:val="00C642CC"/>
    <w:rsid w:val="00C643F8"/>
    <w:rsid w:val="00C6440F"/>
    <w:rsid w:val="00C6445D"/>
    <w:rsid w:val="00C644AB"/>
    <w:rsid w:val="00C644BC"/>
    <w:rsid w:val="00C64507"/>
    <w:rsid w:val="00C64595"/>
    <w:rsid w:val="00C6478E"/>
    <w:rsid w:val="00C647CF"/>
    <w:rsid w:val="00C64817"/>
    <w:rsid w:val="00C648E1"/>
    <w:rsid w:val="00C64973"/>
    <w:rsid w:val="00C64AA2"/>
    <w:rsid w:val="00C64B1D"/>
    <w:rsid w:val="00C64B5E"/>
    <w:rsid w:val="00C64B9B"/>
    <w:rsid w:val="00C64BCF"/>
    <w:rsid w:val="00C64C21"/>
    <w:rsid w:val="00C64C59"/>
    <w:rsid w:val="00C64D2F"/>
    <w:rsid w:val="00C64D6B"/>
    <w:rsid w:val="00C64E0B"/>
    <w:rsid w:val="00C64E1C"/>
    <w:rsid w:val="00C64EA2"/>
    <w:rsid w:val="00C64F1F"/>
    <w:rsid w:val="00C64F4E"/>
    <w:rsid w:val="00C64FEF"/>
    <w:rsid w:val="00C6505E"/>
    <w:rsid w:val="00C6518D"/>
    <w:rsid w:val="00C6520F"/>
    <w:rsid w:val="00C652E8"/>
    <w:rsid w:val="00C65351"/>
    <w:rsid w:val="00C65528"/>
    <w:rsid w:val="00C655CF"/>
    <w:rsid w:val="00C65661"/>
    <w:rsid w:val="00C6571C"/>
    <w:rsid w:val="00C65736"/>
    <w:rsid w:val="00C65792"/>
    <w:rsid w:val="00C657FB"/>
    <w:rsid w:val="00C65810"/>
    <w:rsid w:val="00C65823"/>
    <w:rsid w:val="00C65834"/>
    <w:rsid w:val="00C6584C"/>
    <w:rsid w:val="00C65866"/>
    <w:rsid w:val="00C658C1"/>
    <w:rsid w:val="00C65987"/>
    <w:rsid w:val="00C65A00"/>
    <w:rsid w:val="00C65A02"/>
    <w:rsid w:val="00C65AFC"/>
    <w:rsid w:val="00C65B54"/>
    <w:rsid w:val="00C65BA1"/>
    <w:rsid w:val="00C65C5E"/>
    <w:rsid w:val="00C65CB0"/>
    <w:rsid w:val="00C65CEA"/>
    <w:rsid w:val="00C65D16"/>
    <w:rsid w:val="00C65D2C"/>
    <w:rsid w:val="00C65D40"/>
    <w:rsid w:val="00C65DC0"/>
    <w:rsid w:val="00C65E3D"/>
    <w:rsid w:val="00C65FBA"/>
    <w:rsid w:val="00C65FE6"/>
    <w:rsid w:val="00C6602D"/>
    <w:rsid w:val="00C660C3"/>
    <w:rsid w:val="00C660EE"/>
    <w:rsid w:val="00C66171"/>
    <w:rsid w:val="00C6623B"/>
    <w:rsid w:val="00C6623C"/>
    <w:rsid w:val="00C66264"/>
    <w:rsid w:val="00C66270"/>
    <w:rsid w:val="00C66469"/>
    <w:rsid w:val="00C664EF"/>
    <w:rsid w:val="00C66542"/>
    <w:rsid w:val="00C665CD"/>
    <w:rsid w:val="00C665F9"/>
    <w:rsid w:val="00C66604"/>
    <w:rsid w:val="00C6662E"/>
    <w:rsid w:val="00C6670F"/>
    <w:rsid w:val="00C66842"/>
    <w:rsid w:val="00C668C9"/>
    <w:rsid w:val="00C6690D"/>
    <w:rsid w:val="00C66949"/>
    <w:rsid w:val="00C669A8"/>
    <w:rsid w:val="00C669E5"/>
    <w:rsid w:val="00C66A41"/>
    <w:rsid w:val="00C66A7A"/>
    <w:rsid w:val="00C66B08"/>
    <w:rsid w:val="00C66B54"/>
    <w:rsid w:val="00C66C08"/>
    <w:rsid w:val="00C66C5F"/>
    <w:rsid w:val="00C66D14"/>
    <w:rsid w:val="00C66D33"/>
    <w:rsid w:val="00C66D89"/>
    <w:rsid w:val="00C66D96"/>
    <w:rsid w:val="00C66DD9"/>
    <w:rsid w:val="00C670BF"/>
    <w:rsid w:val="00C670C4"/>
    <w:rsid w:val="00C670FE"/>
    <w:rsid w:val="00C673FC"/>
    <w:rsid w:val="00C6750C"/>
    <w:rsid w:val="00C675B9"/>
    <w:rsid w:val="00C675DE"/>
    <w:rsid w:val="00C675EA"/>
    <w:rsid w:val="00C67781"/>
    <w:rsid w:val="00C67786"/>
    <w:rsid w:val="00C67791"/>
    <w:rsid w:val="00C678A7"/>
    <w:rsid w:val="00C678AE"/>
    <w:rsid w:val="00C678FC"/>
    <w:rsid w:val="00C67940"/>
    <w:rsid w:val="00C67958"/>
    <w:rsid w:val="00C67966"/>
    <w:rsid w:val="00C67992"/>
    <w:rsid w:val="00C679A2"/>
    <w:rsid w:val="00C67A4B"/>
    <w:rsid w:val="00C67ABF"/>
    <w:rsid w:val="00C67BB1"/>
    <w:rsid w:val="00C67C56"/>
    <w:rsid w:val="00C67CE1"/>
    <w:rsid w:val="00C67ECE"/>
    <w:rsid w:val="00C67ECF"/>
    <w:rsid w:val="00C67FD6"/>
    <w:rsid w:val="00C7000D"/>
    <w:rsid w:val="00C70015"/>
    <w:rsid w:val="00C70041"/>
    <w:rsid w:val="00C70044"/>
    <w:rsid w:val="00C7004B"/>
    <w:rsid w:val="00C70056"/>
    <w:rsid w:val="00C70059"/>
    <w:rsid w:val="00C7006A"/>
    <w:rsid w:val="00C70075"/>
    <w:rsid w:val="00C7007B"/>
    <w:rsid w:val="00C70083"/>
    <w:rsid w:val="00C700D5"/>
    <w:rsid w:val="00C701C2"/>
    <w:rsid w:val="00C70214"/>
    <w:rsid w:val="00C70381"/>
    <w:rsid w:val="00C703B8"/>
    <w:rsid w:val="00C703CF"/>
    <w:rsid w:val="00C70437"/>
    <w:rsid w:val="00C704C6"/>
    <w:rsid w:val="00C704D8"/>
    <w:rsid w:val="00C70603"/>
    <w:rsid w:val="00C70624"/>
    <w:rsid w:val="00C706C5"/>
    <w:rsid w:val="00C7078B"/>
    <w:rsid w:val="00C70861"/>
    <w:rsid w:val="00C708D7"/>
    <w:rsid w:val="00C708F2"/>
    <w:rsid w:val="00C7096B"/>
    <w:rsid w:val="00C70A3F"/>
    <w:rsid w:val="00C70AA1"/>
    <w:rsid w:val="00C70AC7"/>
    <w:rsid w:val="00C70ADF"/>
    <w:rsid w:val="00C70B4F"/>
    <w:rsid w:val="00C70B79"/>
    <w:rsid w:val="00C70BAC"/>
    <w:rsid w:val="00C70BB7"/>
    <w:rsid w:val="00C70BD0"/>
    <w:rsid w:val="00C70CB9"/>
    <w:rsid w:val="00C70D14"/>
    <w:rsid w:val="00C70D47"/>
    <w:rsid w:val="00C70E24"/>
    <w:rsid w:val="00C70E4C"/>
    <w:rsid w:val="00C70EC3"/>
    <w:rsid w:val="00C70EFC"/>
    <w:rsid w:val="00C70F0E"/>
    <w:rsid w:val="00C70FF9"/>
    <w:rsid w:val="00C7113B"/>
    <w:rsid w:val="00C7138E"/>
    <w:rsid w:val="00C713BA"/>
    <w:rsid w:val="00C71429"/>
    <w:rsid w:val="00C7143F"/>
    <w:rsid w:val="00C714D9"/>
    <w:rsid w:val="00C7167B"/>
    <w:rsid w:val="00C716B7"/>
    <w:rsid w:val="00C716B9"/>
    <w:rsid w:val="00C716D0"/>
    <w:rsid w:val="00C717AA"/>
    <w:rsid w:val="00C71801"/>
    <w:rsid w:val="00C71882"/>
    <w:rsid w:val="00C718C4"/>
    <w:rsid w:val="00C71959"/>
    <w:rsid w:val="00C71965"/>
    <w:rsid w:val="00C7199F"/>
    <w:rsid w:val="00C719F5"/>
    <w:rsid w:val="00C71A5C"/>
    <w:rsid w:val="00C71B70"/>
    <w:rsid w:val="00C71DEB"/>
    <w:rsid w:val="00C71E09"/>
    <w:rsid w:val="00C71E64"/>
    <w:rsid w:val="00C71F8C"/>
    <w:rsid w:val="00C71FB8"/>
    <w:rsid w:val="00C71FF7"/>
    <w:rsid w:val="00C71FFA"/>
    <w:rsid w:val="00C72020"/>
    <w:rsid w:val="00C72066"/>
    <w:rsid w:val="00C720B0"/>
    <w:rsid w:val="00C720FD"/>
    <w:rsid w:val="00C72127"/>
    <w:rsid w:val="00C721E6"/>
    <w:rsid w:val="00C72249"/>
    <w:rsid w:val="00C72287"/>
    <w:rsid w:val="00C722EC"/>
    <w:rsid w:val="00C722F0"/>
    <w:rsid w:val="00C7231D"/>
    <w:rsid w:val="00C72331"/>
    <w:rsid w:val="00C72373"/>
    <w:rsid w:val="00C7244A"/>
    <w:rsid w:val="00C724D4"/>
    <w:rsid w:val="00C724DD"/>
    <w:rsid w:val="00C7250F"/>
    <w:rsid w:val="00C72587"/>
    <w:rsid w:val="00C725E4"/>
    <w:rsid w:val="00C7263A"/>
    <w:rsid w:val="00C7265E"/>
    <w:rsid w:val="00C726AF"/>
    <w:rsid w:val="00C726EC"/>
    <w:rsid w:val="00C72778"/>
    <w:rsid w:val="00C7289C"/>
    <w:rsid w:val="00C728AA"/>
    <w:rsid w:val="00C72950"/>
    <w:rsid w:val="00C72964"/>
    <w:rsid w:val="00C7296B"/>
    <w:rsid w:val="00C729BB"/>
    <w:rsid w:val="00C729C4"/>
    <w:rsid w:val="00C72A0D"/>
    <w:rsid w:val="00C72A73"/>
    <w:rsid w:val="00C72A80"/>
    <w:rsid w:val="00C72AE2"/>
    <w:rsid w:val="00C72B33"/>
    <w:rsid w:val="00C72B75"/>
    <w:rsid w:val="00C72C53"/>
    <w:rsid w:val="00C72C62"/>
    <w:rsid w:val="00C72C78"/>
    <w:rsid w:val="00C72D0D"/>
    <w:rsid w:val="00C72D93"/>
    <w:rsid w:val="00C72E2D"/>
    <w:rsid w:val="00C72E35"/>
    <w:rsid w:val="00C72E3D"/>
    <w:rsid w:val="00C72E60"/>
    <w:rsid w:val="00C72F4E"/>
    <w:rsid w:val="00C72F4F"/>
    <w:rsid w:val="00C72FBF"/>
    <w:rsid w:val="00C73027"/>
    <w:rsid w:val="00C73080"/>
    <w:rsid w:val="00C7316F"/>
    <w:rsid w:val="00C731D8"/>
    <w:rsid w:val="00C73210"/>
    <w:rsid w:val="00C7334E"/>
    <w:rsid w:val="00C73440"/>
    <w:rsid w:val="00C734DC"/>
    <w:rsid w:val="00C7358C"/>
    <w:rsid w:val="00C735E3"/>
    <w:rsid w:val="00C7363B"/>
    <w:rsid w:val="00C736D6"/>
    <w:rsid w:val="00C736F6"/>
    <w:rsid w:val="00C73791"/>
    <w:rsid w:val="00C737AA"/>
    <w:rsid w:val="00C737C3"/>
    <w:rsid w:val="00C737E2"/>
    <w:rsid w:val="00C737F2"/>
    <w:rsid w:val="00C738A9"/>
    <w:rsid w:val="00C73913"/>
    <w:rsid w:val="00C73A19"/>
    <w:rsid w:val="00C73AA0"/>
    <w:rsid w:val="00C73AF4"/>
    <w:rsid w:val="00C73B64"/>
    <w:rsid w:val="00C73D0C"/>
    <w:rsid w:val="00C73E76"/>
    <w:rsid w:val="00C74035"/>
    <w:rsid w:val="00C74057"/>
    <w:rsid w:val="00C740AE"/>
    <w:rsid w:val="00C740C2"/>
    <w:rsid w:val="00C74183"/>
    <w:rsid w:val="00C7421D"/>
    <w:rsid w:val="00C742C3"/>
    <w:rsid w:val="00C7431E"/>
    <w:rsid w:val="00C743C2"/>
    <w:rsid w:val="00C743CD"/>
    <w:rsid w:val="00C743E8"/>
    <w:rsid w:val="00C74504"/>
    <w:rsid w:val="00C745C5"/>
    <w:rsid w:val="00C745CA"/>
    <w:rsid w:val="00C747D1"/>
    <w:rsid w:val="00C74835"/>
    <w:rsid w:val="00C749B5"/>
    <w:rsid w:val="00C74B73"/>
    <w:rsid w:val="00C74B8E"/>
    <w:rsid w:val="00C74B9E"/>
    <w:rsid w:val="00C74BF3"/>
    <w:rsid w:val="00C74C13"/>
    <w:rsid w:val="00C74CE7"/>
    <w:rsid w:val="00C74CEE"/>
    <w:rsid w:val="00C74DBE"/>
    <w:rsid w:val="00C74DDD"/>
    <w:rsid w:val="00C74DE4"/>
    <w:rsid w:val="00C74E9C"/>
    <w:rsid w:val="00C74EB7"/>
    <w:rsid w:val="00C74F54"/>
    <w:rsid w:val="00C75042"/>
    <w:rsid w:val="00C75077"/>
    <w:rsid w:val="00C750F6"/>
    <w:rsid w:val="00C75114"/>
    <w:rsid w:val="00C7520B"/>
    <w:rsid w:val="00C75251"/>
    <w:rsid w:val="00C75446"/>
    <w:rsid w:val="00C7546C"/>
    <w:rsid w:val="00C755A0"/>
    <w:rsid w:val="00C755C4"/>
    <w:rsid w:val="00C755DA"/>
    <w:rsid w:val="00C755F3"/>
    <w:rsid w:val="00C75658"/>
    <w:rsid w:val="00C75674"/>
    <w:rsid w:val="00C7568F"/>
    <w:rsid w:val="00C7572E"/>
    <w:rsid w:val="00C7583F"/>
    <w:rsid w:val="00C758E6"/>
    <w:rsid w:val="00C759A3"/>
    <w:rsid w:val="00C75A2F"/>
    <w:rsid w:val="00C75A77"/>
    <w:rsid w:val="00C75B14"/>
    <w:rsid w:val="00C75B85"/>
    <w:rsid w:val="00C75CE7"/>
    <w:rsid w:val="00C75F5E"/>
    <w:rsid w:val="00C75FAC"/>
    <w:rsid w:val="00C75FB9"/>
    <w:rsid w:val="00C75FCA"/>
    <w:rsid w:val="00C7603F"/>
    <w:rsid w:val="00C76067"/>
    <w:rsid w:val="00C760A2"/>
    <w:rsid w:val="00C76156"/>
    <w:rsid w:val="00C7616A"/>
    <w:rsid w:val="00C7617F"/>
    <w:rsid w:val="00C76183"/>
    <w:rsid w:val="00C761B3"/>
    <w:rsid w:val="00C761CE"/>
    <w:rsid w:val="00C7622F"/>
    <w:rsid w:val="00C7630F"/>
    <w:rsid w:val="00C76349"/>
    <w:rsid w:val="00C7639C"/>
    <w:rsid w:val="00C763B0"/>
    <w:rsid w:val="00C763CA"/>
    <w:rsid w:val="00C764D9"/>
    <w:rsid w:val="00C76541"/>
    <w:rsid w:val="00C76604"/>
    <w:rsid w:val="00C7668B"/>
    <w:rsid w:val="00C766B5"/>
    <w:rsid w:val="00C766C2"/>
    <w:rsid w:val="00C766D8"/>
    <w:rsid w:val="00C766FD"/>
    <w:rsid w:val="00C76714"/>
    <w:rsid w:val="00C767A4"/>
    <w:rsid w:val="00C767AE"/>
    <w:rsid w:val="00C768BB"/>
    <w:rsid w:val="00C769C6"/>
    <w:rsid w:val="00C76A6F"/>
    <w:rsid w:val="00C76ACE"/>
    <w:rsid w:val="00C76ADF"/>
    <w:rsid w:val="00C76B0E"/>
    <w:rsid w:val="00C76B33"/>
    <w:rsid w:val="00C76BC5"/>
    <w:rsid w:val="00C76C13"/>
    <w:rsid w:val="00C76CA4"/>
    <w:rsid w:val="00C76CE8"/>
    <w:rsid w:val="00C76D18"/>
    <w:rsid w:val="00C76D82"/>
    <w:rsid w:val="00C76E8F"/>
    <w:rsid w:val="00C76F29"/>
    <w:rsid w:val="00C76F36"/>
    <w:rsid w:val="00C76F98"/>
    <w:rsid w:val="00C770C9"/>
    <w:rsid w:val="00C77166"/>
    <w:rsid w:val="00C77196"/>
    <w:rsid w:val="00C771E9"/>
    <w:rsid w:val="00C77220"/>
    <w:rsid w:val="00C7731D"/>
    <w:rsid w:val="00C77336"/>
    <w:rsid w:val="00C773B6"/>
    <w:rsid w:val="00C773E6"/>
    <w:rsid w:val="00C77577"/>
    <w:rsid w:val="00C7790D"/>
    <w:rsid w:val="00C7794A"/>
    <w:rsid w:val="00C779A3"/>
    <w:rsid w:val="00C77ACB"/>
    <w:rsid w:val="00C77AD5"/>
    <w:rsid w:val="00C77B07"/>
    <w:rsid w:val="00C77B45"/>
    <w:rsid w:val="00C77B8E"/>
    <w:rsid w:val="00C77BC0"/>
    <w:rsid w:val="00C77BC9"/>
    <w:rsid w:val="00C77C21"/>
    <w:rsid w:val="00C77C30"/>
    <w:rsid w:val="00C77C39"/>
    <w:rsid w:val="00C77C43"/>
    <w:rsid w:val="00C77CE6"/>
    <w:rsid w:val="00C77D65"/>
    <w:rsid w:val="00C77D79"/>
    <w:rsid w:val="00C77E18"/>
    <w:rsid w:val="00C77E3E"/>
    <w:rsid w:val="00C77E7D"/>
    <w:rsid w:val="00C8005D"/>
    <w:rsid w:val="00C80138"/>
    <w:rsid w:val="00C80189"/>
    <w:rsid w:val="00C801C7"/>
    <w:rsid w:val="00C802A2"/>
    <w:rsid w:val="00C80357"/>
    <w:rsid w:val="00C8037B"/>
    <w:rsid w:val="00C803FA"/>
    <w:rsid w:val="00C8049C"/>
    <w:rsid w:val="00C80549"/>
    <w:rsid w:val="00C8058B"/>
    <w:rsid w:val="00C805D8"/>
    <w:rsid w:val="00C80679"/>
    <w:rsid w:val="00C806F7"/>
    <w:rsid w:val="00C80763"/>
    <w:rsid w:val="00C807D4"/>
    <w:rsid w:val="00C8095B"/>
    <w:rsid w:val="00C80963"/>
    <w:rsid w:val="00C80967"/>
    <w:rsid w:val="00C80A68"/>
    <w:rsid w:val="00C80A85"/>
    <w:rsid w:val="00C80BCE"/>
    <w:rsid w:val="00C80C47"/>
    <w:rsid w:val="00C80C67"/>
    <w:rsid w:val="00C80C97"/>
    <w:rsid w:val="00C80CF2"/>
    <w:rsid w:val="00C80D5A"/>
    <w:rsid w:val="00C80D71"/>
    <w:rsid w:val="00C80DD2"/>
    <w:rsid w:val="00C80E42"/>
    <w:rsid w:val="00C80ECA"/>
    <w:rsid w:val="00C80EE0"/>
    <w:rsid w:val="00C80F1B"/>
    <w:rsid w:val="00C80F5B"/>
    <w:rsid w:val="00C80F74"/>
    <w:rsid w:val="00C81005"/>
    <w:rsid w:val="00C81217"/>
    <w:rsid w:val="00C81283"/>
    <w:rsid w:val="00C812E6"/>
    <w:rsid w:val="00C813E0"/>
    <w:rsid w:val="00C813F9"/>
    <w:rsid w:val="00C81491"/>
    <w:rsid w:val="00C81560"/>
    <w:rsid w:val="00C8158A"/>
    <w:rsid w:val="00C81718"/>
    <w:rsid w:val="00C81725"/>
    <w:rsid w:val="00C81726"/>
    <w:rsid w:val="00C817EC"/>
    <w:rsid w:val="00C817F8"/>
    <w:rsid w:val="00C8182C"/>
    <w:rsid w:val="00C81843"/>
    <w:rsid w:val="00C818AD"/>
    <w:rsid w:val="00C81958"/>
    <w:rsid w:val="00C819C0"/>
    <w:rsid w:val="00C81A31"/>
    <w:rsid w:val="00C81AD8"/>
    <w:rsid w:val="00C81BA6"/>
    <w:rsid w:val="00C81CCD"/>
    <w:rsid w:val="00C81D0C"/>
    <w:rsid w:val="00C81DA1"/>
    <w:rsid w:val="00C81DA5"/>
    <w:rsid w:val="00C81DD2"/>
    <w:rsid w:val="00C81E80"/>
    <w:rsid w:val="00C81EF9"/>
    <w:rsid w:val="00C81F03"/>
    <w:rsid w:val="00C81F19"/>
    <w:rsid w:val="00C81FD6"/>
    <w:rsid w:val="00C82060"/>
    <w:rsid w:val="00C82088"/>
    <w:rsid w:val="00C820C9"/>
    <w:rsid w:val="00C820F6"/>
    <w:rsid w:val="00C820F9"/>
    <w:rsid w:val="00C82264"/>
    <w:rsid w:val="00C8229C"/>
    <w:rsid w:val="00C8239D"/>
    <w:rsid w:val="00C823A6"/>
    <w:rsid w:val="00C8240E"/>
    <w:rsid w:val="00C824D2"/>
    <w:rsid w:val="00C8267D"/>
    <w:rsid w:val="00C826C6"/>
    <w:rsid w:val="00C826E5"/>
    <w:rsid w:val="00C827FC"/>
    <w:rsid w:val="00C828DF"/>
    <w:rsid w:val="00C8293D"/>
    <w:rsid w:val="00C829CE"/>
    <w:rsid w:val="00C82A00"/>
    <w:rsid w:val="00C82A90"/>
    <w:rsid w:val="00C82ACC"/>
    <w:rsid w:val="00C82AED"/>
    <w:rsid w:val="00C82BF0"/>
    <w:rsid w:val="00C82C07"/>
    <w:rsid w:val="00C82C35"/>
    <w:rsid w:val="00C82C95"/>
    <w:rsid w:val="00C82D58"/>
    <w:rsid w:val="00C82DBD"/>
    <w:rsid w:val="00C82E6E"/>
    <w:rsid w:val="00C82E7C"/>
    <w:rsid w:val="00C82FB2"/>
    <w:rsid w:val="00C8309D"/>
    <w:rsid w:val="00C830C3"/>
    <w:rsid w:val="00C830F4"/>
    <w:rsid w:val="00C830FB"/>
    <w:rsid w:val="00C831BB"/>
    <w:rsid w:val="00C831DB"/>
    <w:rsid w:val="00C83205"/>
    <w:rsid w:val="00C83241"/>
    <w:rsid w:val="00C83249"/>
    <w:rsid w:val="00C83299"/>
    <w:rsid w:val="00C832E8"/>
    <w:rsid w:val="00C8334D"/>
    <w:rsid w:val="00C8336A"/>
    <w:rsid w:val="00C833DB"/>
    <w:rsid w:val="00C834AB"/>
    <w:rsid w:val="00C834CD"/>
    <w:rsid w:val="00C834EA"/>
    <w:rsid w:val="00C83536"/>
    <w:rsid w:val="00C83646"/>
    <w:rsid w:val="00C836D7"/>
    <w:rsid w:val="00C837A4"/>
    <w:rsid w:val="00C837F0"/>
    <w:rsid w:val="00C83865"/>
    <w:rsid w:val="00C83897"/>
    <w:rsid w:val="00C839E5"/>
    <w:rsid w:val="00C83AD8"/>
    <w:rsid w:val="00C83AE0"/>
    <w:rsid w:val="00C83B14"/>
    <w:rsid w:val="00C83B77"/>
    <w:rsid w:val="00C83C69"/>
    <w:rsid w:val="00C83CC1"/>
    <w:rsid w:val="00C83CD8"/>
    <w:rsid w:val="00C83D69"/>
    <w:rsid w:val="00C83F50"/>
    <w:rsid w:val="00C83FDE"/>
    <w:rsid w:val="00C83FE8"/>
    <w:rsid w:val="00C8403F"/>
    <w:rsid w:val="00C8404F"/>
    <w:rsid w:val="00C8419A"/>
    <w:rsid w:val="00C841A7"/>
    <w:rsid w:val="00C84218"/>
    <w:rsid w:val="00C84290"/>
    <w:rsid w:val="00C8431E"/>
    <w:rsid w:val="00C84387"/>
    <w:rsid w:val="00C846ED"/>
    <w:rsid w:val="00C846FD"/>
    <w:rsid w:val="00C8471B"/>
    <w:rsid w:val="00C84783"/>
    <w:rsid w:val="00C84796"/>
    <w:rsid w:val="00C847D7"/>
    <w:rsid w:val="00C848EB"/>
    <w:rsid w:val="00C84963"/>
    <w:rsid w:val="00C84995"/>
    <w:rsid w:val="00C8499D"/>
    <w:rsid w:val="00C84AA5"/>
    <w:rsid w:val="00C84B1F"/>
    <w:rsid w:val="00C84B25"/>
    <w:rsid w:val="00C84B32"/>
    <w:rsid w:val="00C84C0D"/>
    <w:rsid w:val="00C84CE7"/>
    <w:rsid w:val="00C84D06"/>
    <w:rsid w:val="00C84D4B"/>
    <w:rsid w:val="00C84D53"/>
    <w:rsid w:val="00C84D68"/>
    <w:rsid w:val="00C84E1E"/>
    <w:rsid w:val="00C84E3E"/>
    <w:rsid w:val="00C84EBB"/>
    <w:rsid w:val="00C84F12"/>
    <w:rsid w:val="00C84F22"/>
    <w:rsid w:val="00C84F3E"/>
    <w:rsid w:val="00C84F8C"/>
    <w:rsid w:val="00C85024"/>
    <w:rsid w:val="00C850D0"/>
    <w:rsid w:val="00C851BD"/>
    <w:rsid w:val="00C851EA"/>
    <w:rsid w:val="00C85245"/>
    <w:rsid w:val="00C85370"/>
    <w:rsid w:val="00C85376"/>
    <w:rsid w:val="00C85391"/>
    <w:rsid w:val="00C85449"/>
    <w:rsid w:val="00C85485"/>
    <w:rsid w:val="00C85516"/>
    <w:rsid w:val="00C85523"/>
    <w:rsid w:val="00C855C9"/>
    <w:rsid w:val="00C85654"/>
    <w:rsid w:val="00C856BA"/>
    <w:rsid w:val="00C856D3"/>
    <w:rsid w:val="00C85703"/>
    <w:rsid w:val="00C85748"/>
    <w:rsid w:val="00C8586E"/>
    <w:rsid w:val="00C85876"/>
    <w:rsid w:val="00C85971"/>
    <w:rsid w:val="00C85A0A"/>
    <w:rsid w:val="00C85A36"/>
    <w:rsid w:val="00C85AA5"/>
    <w:rsid w:val="00C85BA2"/>
    <w:rsid w:val="00C85D86"/>
    <w:rsid w:val="00C85DF4"/>
    <w:rsid w:val="00C85EC9"/>
    <w:rsid w:val="00C85F3D"/>
    <w:rsid w:val="00C86078"/>
    <w:rsid w:val="00C86111"/>
    <w:rsid w:val="00C86175"/>
    <w:rsid w:val="00C86262"/>
    <w:rsid w:val="00C86286"/>
    <w:rsid w:val="00C8631C"/>
    <w:rsid w:val="00C86349"/>
    <w:rsid w:val="00C86362"/>
    <w:rsid w:val="00C8637E"/>
    <w:rsid w:val="00C86385"/>
    <w:rsid w:val="00C86523"/>
    <w:rsid w:val="00C86555"/>
    <w:rsid w:val="00C86574"/>
    <w:rsid w:val="00C86594"/>
    <w:rsid w:val="00C865DF"/>
    <w:rsid w:val="00C8660B"/>
    <w:rsid w:val="00C8660C"/>
    <w:rsid w:val="00C86630"/>
    <w:rsid w:val="00C86641"/>
    <w:rsid w:val="00C8665E"/>
    <w:rsid w:val="00C86677"/>
    <w:rsid w:val="00C866A3"/>
    <w:rsid w:val="00C86750"/>
    <w:rsid w:val="00C867AE"/>
    <w:rsid w:val="00C86A16"/>
    <w:rsid w:val="00C86B9B"/>
    <w:rsid w:val="00C86BF8"/>
    <w:rsid w:val="00C86C74"/>
    <w:rsid w:val="00C86C9D"/>
    <w:rsid w:val="00C86D31"/>
    <w:rsid w:val="00C86E48"/>
    <w:rsid w:val="00C86EBC"/>
    <w:rsid w:val="00C86ECC"/>
    <w:rsid w:val="00C86F3C"/>
    <w:rsid w:val="00C8704A"/>
    <w:rsid w:val="00C871CE"/>
    <w:rsid w:val="00C87231"/>
    <w:rsid w:val="00C872AF"/>
    <w:rsid w:val="00C872EC"/>
    <w:rsid w:val="00C87314"/>
    <w:rsid w:val="00C8731F"/>
    <w:rsid w:val="00C87350"/>
    <w:rsid w:val="00C87362"/>
    <w:rsid w:val="00C87380"/>
    <w:rsid w:val="00C873F9"/>
    <w:rsid w:val="00C8742D"/>
    <w:rsid w:val="00C8745B"/>
    <w:rsid w:val="00C87467"/>
    <w:rsid w:val="00C874FD"/>
    <w:rsid w:val="00C8756B"/>
    <w:rsid w:val="00C87580"/>
    <w:rsid w:val="00C8760D"/>
    <w:rsid w:val="00C876C3"/>
    <w:rsid w:val="00C877C5"/>
    <w:rsid w:val="00C87810"/>
    <w:rsid w:val="00C87865"/>
    <w:rsid w:val="00C87866"/>
    <w:rsid w:val="00C878E8"/>
    <w:rsid w:val="00C87995"/>
    <w:rsid w:val="00C87997"/>
    <w:rsid w:val="00C879CC"/>
    <w:rsid w:val="00C879EA"/>
    <w:rsid w:val="00C87A3E"/>
    <w:rsid w:val="00C87B21"/>
    <w:rsid w:val="00C87B45"/>
    <w:rsid w:val="00C87B67"/>
    <w:rsid w:val="00C87D80"/>
    <w:rsid w:val="00C87DAF"/>
    <w:rsid w:val="00C87DC2"/>
    <w:rsid w:val="00C87DF4"/>
    <w:rsid w:val="00C87F69"/>
    <w:rsid w:val="00C87FFA"/>
    <w:rsid w:val="00C90049"/>
    <w:rsid w:val="00C90098"/>
    <w:rsid w:val="00C900E0"/>
    <w:rsid w:val="00C901F2"/>
    <w:rsid w:val="00C90206"/>
    <w:rsid w:val="00C9020A"/>
    <w:rsid w:val="00C9020E"/>
    <w:rsid w:val="00C902A6"/>
    <w:rsid w:val="00C902AF"/>
    <w:rsid w:val="00C90325"/>
    <w:rsid w:val="00C90335"/>
    <w:rsid w:val="00C9039E"/>
    <w:rsid w:val="00C903B3"/>
    <w:rsid w:val="00C9043D"/>
    <w:rsid w:val="00C90448"/>
    <w:rsid w:val="00C904D7"/>
    <w:rsid w:val="00C904EA"/>
    <w:rsid w:val="00C90516"/>
    <w:rsid w:val="00C9052C"/>
    <w:rsid w:val="00C90592"/>
    <w:rsid w:val="00C905BB"/>
    <w:rsid w:val="00C905C4"/>
    <w:rsid w:val="00C90628"/>
    <w:rsid w:val="00C906E8"/>
    <w:rsid w:val="00C9074E"/>
    <w:rsid w:val="00C90772"/>
    <w:rsid w:val="00C90833"/>
    <w:rsid w:val="00C908A8"/>
    <w:rsid w:val="00C90974"/>
    <w:rsid w:val="00C90992"/>
    <w:rsid w:val="00C90998"/>
    <w:rsid w:val="00C909D2"/>
    <w:rsid w:val="00C90B12"/>
    <w:rsid w:val="00C90B7B"/>
    <w:rsid w:val="00C90C64"/>
    <w:rsid w:val="00C90C91"/>
    <w:rsid w:val="00C90D37"/>
    <w:rsid w:val="00C90D5F"/>
    <w:rsid w:val="00C90E2A"/>
    <w:rsid w:val="00C90EF0"/>
    <w:rsid w:val="00C90FE7"/>
    <w:rsid w:val="00C90FFE"/>
    <w:rsid w:val="00C91001"/>
    <w:rsid w:val="00C91051"/>
    <w:rsid w:val="00C910BF"/>
    <w:rsid w:val="00C9115C"/>
    <w:rsid w:val="00C911A2"/>
    <w:rsid w:val="00C9125A"/>
    <w:rsid w:val="00C914CA"/>
    <w:rsid w:val="00C914DD"/>
    <w:rsid w:val="00C91514"/>
    <w:rsid w:val="00C9158E"/>
    <w:rsid w:val="00C915A1"/>
    <w:rsid w:val="00C9172D"/>
    <w:rsid w:val="00C91822"/>
    <w:rsid w:val="00C9196D"/>
    <w:rsid w:val="00C91987"/>
    <w:rsid w:val="00C91993"/>
    <w:rsid w:val="00C91A12"/>
    <w:rsid w:val="00C91A41"/>
    <w:rsid w:val="00C91A8F"/>
    <w:rsid w:val="00C91B96"/>
    <w:rsid w:val="00C91C3C"/>
    <w:rsid w:val="00C91C4E"/>
    <w:rsid w:val="00C91CE7"/>
    <w:rsid w:val="00C91E28"/>
    <w:rsid w:val="00C91F56"/>
    <w:rsid w:val="00C92057"/>
    <w:rsid w:val="00C920A5"/>
    <w:rsid w:val="00C9210E"/>
    <w:rsid w:val="00C92200"/>
    <w:rsid w:val="00C9229D"/>
    <w:rsid w:val="00C92305"/>
    <w:rsid w:val="00C9235C"/>
    <w:rsid w:val="00C92420"/>
    <w:rsid w:val="00C9244E"/>
    <w:rsid w:val="00C92493"/>
    <w:rsid w:val="00C924B5"/>
    <w:rsid w:val="00C924D6"/>
    <w:rsid w:val="00C9255A"/>
    <w:rsid w:val="00C9267B"/>
    <w:rsid w:val="00C9277F"/>
    <w:rsid w:val="00C927D3"/>
    <w:rsid w:val="00C9284B"/>
    <w:rsid w:val="00C928A9"/>
    <w:rsid w:val="00C928DE"/>
    <w:rsid w:val="00C928ED"/>
    <w:rsid w:val="00C92922"/>
    <w:rsid w:val="00C9299A"/>
    <w:rsid w:val="00C929D0"/>
    <w:rsid w:val="00C929E4"/>
    <w:rsid w:val="00C92A94"/>
    <w:rsid w:val="00C92AC7"/>
    <w:rsid w:val="00C92ACB"/>
    <w:rsid w:val="00C92B17"/>
    <w:rsid w:val="00C92B6B"/>
    <w:rsid w:val="00C92D38"/>
    <w:rsid w:val="00C92D53"/>
    <w:rsid w:val="00C92DB2"/>
    <w:rsid w:val="00C92DFF"/>
    <w:rsid w:val="00C92EF4"/>
    <w:rsid w:val="00C92FBA"/>
    <w:rsid w:val="00C92FCA"/>
    <w:rsid w:val="00C9300F"/>
    <w:rsid w:val="00C93167"/>
    <w:rsid w:val="00C9316E"/>
    <w:rsid w:val="00C9321B"/>
    <w:rsid w:val="00C93238"/>
    <w:rsid w:val="00C93292"/>
    <w:rsid w:val="00C93310"/>
    <w:rsid w:val="00C93315"/>
    <w:rsid w:val="00C93317"/>
    <w:rsid w:val="00C9341E"/>
    <w:rsid w:val="00C93448"/>
    <w:rsid w:val="00C93494"/>
    <w:rsid w:val="00C93538"/>
    <w:rsid w:val="00C936BE"/>
    <w:rsid w:val="00C936D7"/>
    <w:rsid w:val="00C9372F"/>
    <w:rsid w:val="00C93734"/>
    <w:rsid w:val="00C93776"/>
    <w:rsid w:val="00C937B4"/>
    <w:rsid w:val="00C937B6"/>
    <w:rsid w:val="00C93869"/>
    <w:rsid w:val="00C93947"/>
    <w:rsid w:val="00C939C4"/>
    <w:rsid w:val="00C939EB"/>
    <w:rsid w:val="00C93A32"/>
    <w:rsid w:val="00C93A50"/>
    <w:rsid w:val="00C93AAE"/>
    <w:rsid w:val="00C93ADA"/>
    <w:rsid w:val="00C93B35"/>
    <w:rsid w:val="00C93B83"/>
    <w:rsid w:val="00C93BEC"/>
    <w:rsid w:val="00C93C14"/>
    <w:rsid w:val="00C93C40"/>
    <w:rsid w:val="00C93C93"/>
    <w:rsid w:val="00C93CB2"/>
    <w:rsid w:val="00C93CF5"/>
    <w:rsid w:val="00C93CFD"/>
    <w:rsid w:val="00C93D6A"/>
    <w:rsid w:val="00C93DAF"/>
    <w:rsid w:val="00C93DCD"/>
    <w:rsid w:val="00C93E1B"/>
    <w:rsid w:val="00C93E90"/>
    <w:rsid w:val="00C93ED0"/>
    <w:rsid w:val="00C93F91"/>
    <w:rsid w:val="00C93FA1"/>
    <w:rsid w:val="00C93FA4"/>
    <w:rsid w:val="00C94064"/>
    <w:rsid w:val="00C9408C"/>
    <w:rsid w:val="00C940C9"/>
    <w:rsid w:val="00C9412E"/>
    <w:rsid w:val="00C9413E"/>
    <w:rsid w:val="00C94174"/>
    <w:rsid w:val="00C941A3"/>
    <w:rsid w:val="00C941F6"/>
    <w:rsid w:val="00C94224"/>
    <w:rsid w:val="00C9431C"/>
    <w:rsid w:val="00C9432D"/>
    <w:rsid w:val="00C944C3"/>
    <w:rsid w:val="00C94515"/>
    <w:rsid w:val="00C945E3"/>
    <w:rsid w:val="00C945FF"/>
    <w:rsid w:val="00C946A7"/>
    <w:rsid w:val="00C946F7"/>
    <w:rsid w:val="00C946FA"/>
    <w:rsid w:val="00C94759"/>
    <w:rsid w:val="00C94766"/>
    <w:rsid w:val="00C94768"/>
    <w:rsid w:val="00C947E1"/>
    <w:rsid w:val="00C9490F"/>
    <w:rsid w:val="00C949AC"/>
    <w:rsid w:val="00C94A0B"/>
    <w:rsid w:val="00C94A6B"/>
    <w:rsid w:val="00C94A6D"/>
    <w:rsid w:val="00C94B4F"/>
    <w:rsid w:val="00C94CAD"/>
    <w:rsid w:val="00C94CB5"/>
    <w:rsid w:val="00C94CDB"/>
    <w:rsid w:val="00C94D6D"/>
    <w:rsid w:val="00C94E76"/>
    <w:rsid w:val="00C94F91"/>
    <w:rsid w:val="00C9515E"/>
    <w:rsid w:val="00C95242"/>
    <w:rsid w:val="00C95243"/>
    <w:rsid w:val="00C952B1"/>
    <w:rsid w:val="00C95320"/>
    <w:rsid w:val="00C95365"/>
    <w:rsid w:val="00C95406"/>
    <w:rsid w:val="00C95424"/>
    <w:rsid w:val="00C95444"/>
    <w:rsid w:val="00C954BB"/>
    <w:rsid w:val="00C95525"/>
    <w:rsid w:val="00C955C5"/>
    <w:rsid w:val="00C95665"/>
    <w:rsid w:val="00C9567E"/>
    <w:rsid w:val="00C956D5"/>
    <w:rsid w:val="00C9574F"/>
    <w:rsid w:val="00C957A2"/>
    <w:rsid w:val="00C957F6"/>
    <w:rsid w:val="00C95831"/>
    <w:rsid w:val="00C9585F"/>
    <w:rsid w:val="00C9587C"/>
    <w:rsid w:val="00C95935"/>
    <w:rsid w:val="00C95976"/>
    <w:rsid w:val="00C959AF"/>
    <w:rsid w:val="00C95A28"/>
    <w:rsid w:val="00C95AA8"/>
    <w:rsid w:val="00C95B87"/>
    <w:rsid w:val="00C95DDA"/>
    <w:rsid w:val="00C95DFE"/>
    <w:rsid w:val="00C95E1F"/>
    <w:rsid w:val="00C95E4D"/>
    <w:rsid w:val="00C95E6A"/>
    <w:rsid w:val="00C95F3E"/>
    <w:rsid w:val="00C95F50"/>
    <w:rsid w:val="00C95F6B"/>
    <w:rsid w:val="00C95FBC"/>
    <w:rsid w:val="00C9605B"/>
    <w:rsid w:val="00C96147"/>
    <w:rsid w:val="00C96229"/>
    <w:rsid w:val="00C96266"/>
    <w:rsid w:val="00C9630E"/>
    <w:rsid w:val="00C9641B"/>
    <w:rsid w:val="00C96485"/>
    <w:rsid w:val="00C964AC"/>
    <w:rsid w:val="00C964DB"/>
    <w:rsid w:val="00C96547"/>
    <w:rsid w:val="00C965D7"/>
    <w:rsid w:val="00C9664C"/>
    <w:rsid w:val="00C96693"/>
    <w:rsid w:val="00C966D2"/>
    <w:rsid w:val="00C96700"/>
    <w:rsid w:val="00C96711"/>
    <w:rsid w:val="00C9673B"/>
    <w:rsid w:val="00C96763"/>
    <w:rsid w:val="00C96815"/>
    <w:rsid w:val="00C96816"/>
    <w:rsid w:val="00C968ED"/>
    <w:rsid w:val="00C96A36"/>
    <w:rsid w:val="00C96A5B"/>
    <w:rsid w:val="00C96AEB"/>
    <w:rsid w:val="00C96B51"/>
    <w:rsid w:val="00C96B91"/>
    <w:rsid w:val="00C96B93"/>
    <w:rsid w:val="00C96BB6"/>
    <w:rsid w:val="00C96BEB"/>
    <w:rsid w:val="00C96BEF"/>
    <w:rsid w:val="00C96C84"/>
    <w:rsid w:val="00C96C8E"/>
    <w:rsid w:val="00C96C91"/>
    <w:rsid w:val="00C96CB8"/>
    <w:rsid w:val="00C96D90"/>
    <w:rsid w:val="00C96D9B"/>
    <w:rsid w:val="00C96E20"/>
    <w:rsid w:val="00C96E38"/>
    <w:rsid w:val="00C96F12"/>
    <w:rsid w:val="00C96F57"/>
    <w:rsid w:val="00C96FAB"/>
    <w:rsid w:val="00C96FE7"/>
    <w:rsid w:val="00C9708E"/>
    <w:rsid w:val="00C97118"/>
    <w:rsid w:val="00C9715F"/>
    <w:rsid w:val="00C9716D"/>
    <w:rsid w:val="00C9721E"/>
    <w:rsid w:val="00C972B4"/>
    <w:rsid w:val="00C973D0"/>
    <w:rsid w:val="00C9748A"/>
    <w:rsid w:val="00C976F9"/>
    <w:rsid w:val="00C976FC"/>
    <w:rsid w:val="00C976FD"/>
    <w:rsid w:val="00C97728"/>
    <w:rsid w:val="00C9778A"/>
    <w:rsid w:val="00C97816"/>
    <w:rsid w:val="00C9782C"/>
    <w:rsid w:val="00C978A4"/>
    <w:rsid w:val="00C978D8"/>
    <w:rsid w:val="00C9791D"/>
    <w:rsid w:val="00C97A59"/>
    <w:rsid w:val="00C97AAD"/>
    <w:rsid w:val="00C97B0D"/>
    <w:rsid w:val="00C97B2E"/>
    <w:rsid w:val="00C97B32"/>
    <w:rsid w:val="00C97B37"/>
    <w:rsid w:val="00C97B70"/>
    <w:rsid w:val="00C97BE9"/>
    <w:rsid w:val="00C97C57"/>
    <w:rsid w:val="00C97C9B"/>
    <w:rsid w:val="00C97D04"/>
    <w:rsid w:val="00C97D3A"/>
    <w:rsid w:val="00C97D88"/>
    <w:rsid w:val="00C97E0C"/>
    <w:rsid w:val="00C97E22"/>
    <w:rsid w:val="00C97EB8"/>
    <w:rsid w:val="00C97F2D"/>
    <w:rsid w:val="00CA000B"/>
    <w:rsid w:val="00CA00AF"/>
    <w:rsid w:val="00CA0103"/>
    <w:rsid w:val="00CA0126"/>
    <w:rsid w:val="00CA0161"/>
    <w:rsid w:val="00CA01C5"/>
    <w:rsid w:val="00CA01DC"/>
    <w:rsid w:val="00CA01E1"/>
    <w:rsid w:val="00CA0264"/>
    <w:rsid w:val="00CA02AA"/>
    <w:rsid w:val="00CA02E4"/>
    <w:rsid w:val="00CA0501"/>
    <w:rsid w:val="00CA050E"/>
    <w:rsid w:val="00CA05B9"/>
    <w:rsid w:val="00CA062C"/>
    <w:rsid w:val="00CA0652"/>
    <w:rsid w:val="00CA0656"/>
    <w:rsid w:val="00CA06F6"/>
    <w:rsid w:val="00CA073E"/>
    <w:rsid w:val="00CA07A7"/>
    <w:rsid w:val="00CA07F9"/>
    <w:rsid w:val="00CA0A69"/>
    <w:rsid w:val="00CA0A85"/>
    <w:rsid w:val="00CA0B32"/>
    <w:rsid w:val="00CA0B46"/>
    <w:rsid w:val="00CA0B6B"/>
    <w:rsid w:val="00CA0B9E"/>
    <w:rsid w:val="00CA0C2D"/>
    <w:rsid w:val="00CA0CF9"/>
    <w:rsid w:val="00CA0D05"/>
    <w:rsid w:val="00CA0EE2"/>
    <w:rsid w:val="00CA0EFB"/>
    <w:rsid w:val="00CA0FB1"/>
    <w:rsid w:val="00CA1011"/>
    <w:rsid w:val="00CA10C4"/>
    <w:rsid w:val="00CA10D8"/>
    <w:rsid w:val="00CA111D"/>
    <w:rsid w:val="00CA1142"/>
    <w:rsid w:val="00CA12C9"/>
    <w:rsid w:val="00CA13D9"/>
    <w:rsid w:val="00CA14B4"/>
    <w:rsid w:val="00CA14ED"/>
    <w:rsid w:val="00CA159B"/>
    <w:rsid w:val="00CA1689"/>
    <w:rsid w:val="00CA16FF"/>
    <w:rsid w:val="00CA1702"/>
    <w:rsid w:val="00CA17B9"/>
    <w:rsid w:val="00CA1869"/>
    <w:rsid w:val="00CA1944"/>
    <w:rsid w:val="00CA1987"/>
    <w:rsid w:val="00CA1B9C"/>
    <w:rsid w:val="00CA1BF5"/>
    <w:rsid w:val="00CA1D86"/>
    <w:rsid w:val="00CA1D88"/>
    <w:rsid w:val="00CA1DD5"/>
    <w:rsid w:val="00CA1EF3"/>
    <w:rsid w:val="00CA1FBE"/>
    <w:rsid w:val="00CA1FC8"/>
    <w:rsid w:val="00CA1FE7"/>
    <w:rsid w:val="00CA2076"/>
    <w:rsid w:val="00CA2078"/>
    <w:rsid w:val="00CA2089"/>
    <w:rsid w:val="00CA2121"/>
    <w:rsid w:val="00CA212E"/>
    <w:rsid w:val="00CA2211"/>
    <w:rsid w:val="00CA22CA"/>
    <w:rsid w:val="00CA2337"/>
    <w:rsid w:val="00CA2396"/>
    <w:rsid w:val="00CA23BE"/>
    <w:rsid w:val="00CA242E"/>
    <w:rsid w:val="00CA2434"/>
    <w:rsid w:val="00CA2462"/>
    <w:rsid w:val="00CA2578"/>
    <w:rsid w:val="00CA25D8"/>
    <w:rsid w:val="00CA2667"/>
    <w:rsid w:val="00CA27D6"/>
    <w:rsid w:val="00CA280F"/>
    <w:rsid w:val="00CA2863"/>
    <w:rsid w:val="00CA287D"/>
    <w:rsid w:val="00CA28A6"/>
    <w:rsid w:val="00CA28C3"/>
    <w:rsid w:val="00CA296D"/>
    <w:rsid w:val="00CA2B52"/>
    <w:rsid w:val="00CA2BDD"/>
    <w:rsid w:val="00CA2BF0"/>
    <w:rsid w:val="00CA2C35"/>
    <w:rsid w:val="00CA2C77"/>
    <w:rsid w:val="00CA2C89"/>
    <w:rsid w:val="00CA2CEF"/>
    <w:rsid w:val="00CA2CF2"/>
    <w:rsid w:val="00CA2D64"/>
    <w:rsid w:val="00CA2D9D"/>
    <w:rsid w:val="00CA2DA0"/>
    <w:rsid w:val="00CA2DBA"/>
    <w:rsid w:val="00CA2E59"/>
    <w:rsid w:val="00CA3042"/>
    <w:rsid w:val="00CA306C"/>
    <w:rsid w:val="00CA30BA"/>
    <w:rsid w:val="00CA31AC"/>
    <w:rsid w:val="00CA3217"/>
    <w:rsid w:val="00CA345F"/>
    <w:rsid w:val="00CA3571"/>
    <w:rsid w:val="00CA3576"/>
    <w:rsid w:val="00CA359E"/>
    <w:rsid w:val="00CA35B4"/>
    <w:rsid w:val="00CA3656"/>
    <w:rsid w:val="00CA37C7"/>
    <w:rsid w:val="00CA37D7"/>
    <w:rsid w:val="00CA3847"/>
    <w:rsid w:val="00CA3ABE"/>
    <w:rsid w:val="00CA3B98"/>
    <w:rsid w:val="00CA3BFF"/>
    <w:rsid w:val="00CA3D63"/>
    <w:rsid w:val="00CA3E71"/>
    <w:rsid w:val="00CA3F5D"/>
    <w:rsid w:val="00CA3F69"/>
    <w:rsid w:val="00CA4015"/>
    <w:rsid w:val="00CA4065"/>
    <w:rsid w:val="00CA409D"/>
    <w:rsid w:val="00CA4127"/>
    <w:rsid w:val="00CA4163"/>
    <w:rsid w:val="00CA4187"/>
    <w:rsid w:val="00CA41E5"/>
    <w:rsid w:val="00CA42B5"/>
    <w:rsid w:val="00CA42EB"/>
    <w:rsid w:val="00CA4329"/>
    <w:rsid w:val="00CA45CB"/>
    <w:rsid w:val="00CA45DE"/>
    <w:rsid w:val="00CA4601"/>
    <w:rsid w:val="00CA461E"/>
    <w:rsid w:val="00CA469E"/>
    <w:rsid w:val="00CA473E"/>
    <w:rsid w:val="00CA47C6"/>
    <w:rsid w:val="00CA4808"/>
    <w:rsid w:val="00CA4826"/>
    <w:rsid w:val="00CA49D1"/>
    <w:rsid w:val="00CA4A76"/>
    <w:rsid w:val="00CA4AE0"/>
    <w:rsid w:val="00CA4C0A"/>
    <w:rsid w:val="00CA4C96"/>
    <w:rsid w:val="00CA4CCE"/>
    <w:rsid w:val="00CA4DB1"/>
    <w:rsid w:val="00CA4E47"/>
    <w:rsid w:val="00CA4EB4"/>
    <w:rsid w:val="00CA4EFA"/>
    <w:rsid w:val="00CA4FAC"/>
    <w:rsid w:val="00CA510F"/>
    <w:rsid w:val="00CA5167"/>
    <w:rsid w:val="00CA527A"/>
    <w:rsid w:val="00CA535B"/>
    <w:rsid w:val="00CA5457"/>
    <w:rsid w:val="00CA5593"/>
    <w:rsid w:val="00CA5621"/>
    <w:rsid w:val="00CA562A"/>
    <w:rsid w:val="00CA564F"/>
    <w:rsid w:val="00CA569C"/>
    <w:rsid w:val="00CA57A2"/>
    <w:rsid w:val="00CA5863"/>
    <w:rsid w:val="00CA58F6"/>
    <w:rsid w:val="00CA593E"/>
    <w:rsid w:val="00CA594A"/>
    <w:rsid w:val="00CA59AD"/>
    <w:rsid w:val="00CA59D5"/>
    <w:rsid w:val="00CA5A0A"/>
    <w:rsid w:val="00CA5ACB"/>
    <w:rsid w:val="00CA5CF6"/>
    <w:rsid w:val="00CA5D47"/>
    <w:rsid w:val="00CA5DBD"/>
    <w:rsid w:val="00CA5DF0"/>
    <w:rsid w:val="00CA5ED6"/>
    <w:rsid w:val="00CA5EE4"/>
    <w:rsid w:val="00CA6031"/>
    <w:rsid w:val="00CA6055"/>
    <w:rsid w:val="00CA6068"/>
    <w:rsid w:val="00CA60DD"/>
    <w:rsid w:val="00CA60FB"/>
    <w:rsid w:val="00CA61AF"/>
    <w:rsid w:val="00CA61C4"/>
    <w:rsid w:val="00CA61E4"/>
    <w:rsid w:val="00CA62FE"/>
    <w:rsid w:val="00CA63B4"/>
    <w:rsid w:val="00CA6408"/>
    <w:rsid w:val="00CA6485"/>
    <w:rsid w:val="00CA6521"/>
    <w:rsid w:val="00CA6599"/>
    <w:rsid w:val="00CA65C4"/>
    <w:rsid w:val="00CA665A"/>
    <w:rsid w:val="00CA66A8"/>
    <w:rsid w:val="00CA676E"/>
    <w:rsid w:val="00CA67CF"/>
    <w:rsid w:val="00CA67D0"/>
    <w:rsid w:val="00CA681F"/>
    <w:rsid w:val="00CA6994"/>
    <w:rsid w:val="00CA6C4E"/>
    <w:rsid w:val="00CA6CBA"/>
    <w:rsid w:val="00CA6CE3"/>
    <w:rsid w:val="00CA6D28"/>
    <w:rsid w:val="00CA6D82"/>
    <w:rsid w:val="00CA6E43"/>
    <w:rsid w:val="00CA6E4F"/>
    <w:rsid w:val="00CA6E8F"/>
    <w:rsid w:val="00CA6FEE"/>
    <w:rsid w:val="00CA7026"/>
    <w:rsid w:val="00CA71ED"/>
    <w:rsid w:val="00CA724A"/>
    <w:rsid w:val="00CA725C"/>
    <w:rsid w:val="00CA7356"/>
    <w:rsid w:val="00CA73A2"/>
    <w:rsid w:val="00CA7420"/>
    <w:rsid w:val="00CA7431"/>
    <w:rsid w:val="00CA74CA"/>
    <w:rsid w:val="00CA7507"/>
    <w:rsid w:val="00CA750C"/>
    <w:rsid w:val="00CA7510"/>
    <w:rsid w:val="00CA7584"/>
    <w:rsid w:val="00CA75B3"/>
    <w:rsid w:val="00CA76E0"/>
    <w:rsid w:val="00CA7715"/>
    <w:rsid w:val="00CA782F"/>
    <w:rsid w:val="00CA78F2"/>
    <w:rsid w:val="00CA79B4"/>
    <w:rsid w:val="00CA7A5D"/>
    <w:rsid w:val="00CA7A79"/>
    <w:rsid w:val="00CA7AA6"/>
    <w:rsid w:val="00CA7AC4"/>
    <w:rsid w:val="00CA7AC6"/>
    <w:rsid w:val="00CA7AE4"/>
    <w:rsid w:val="00CA7B2D"/>
    <w:rsid w:val="00CA7B9C"/>
    <w:rsid w:val="00CA7C7F"/>
    <w:rsid w:val="00CA7D52"/>
    <w:rsid w:val="00CA7DDB"/>
    <w:rsid w:val="00CA7F3B"/>
    <w:rsid w:val="00CA7F40"/>
    <w:rsid w:val="00CA7F5C"/>
    <w:rsid w:val="00CA7F9D"/>
    <w:rsid w:val="00CB004E"/>
    <w:rsid w:val="00CB0070"/>
    <w:rsid w:val="00CB00E7"/>
    <w:rsid w:val="00CB0168"/>
    <w:rsid w:val="00CB0284"/>
    <w:rsid w:val="00CB0301"/>
    <w:rsid w:val="00CB052A"/>
    <w:rsid w:val="00CB0580"/>
    <w:rsid w:val="00CB05DE"/>
    <w:rsid w:val="00CB0652"/>
    <w:rsid w:val="00CB0660"/>
    <w:rsid w:val="00CB0674"/>
    <w:rsid w:val="00CB06E9"/>
    <w:rsid w:val="00CB0727"/>
    <w:rsid w:val="00CB07DF"/>
    <w:rsid w:val="00CB0809"/>
    <w:rsid w:val="00CB0843"/>
    <w:rsid w:val="00CB08FE"/>
    <w:rsid w:val="00CB091E"/>
    <w:rsid w:val="00CB0921"/>
    <w:rsid w:val="00CB09A9"/>
    <w:rsid w:val="00CB0A01"/>
    <w:rsid w:val="00CB0A15"/>
    <w:rsid w:val="00CB0A3B"/>
    <w:rsid w:val="00CB0ACF"/>
    <w:rsid w:val="00CB0B3A"/>
    <w:rsid w:val="00CB0C0D"/>
    <w:rsid w:val="00CB0C3F"/>
    <w:rsid w:val="00CB0CDE"/>
    <w:rsid w:val="00CB0CE3"/>
    <w:rsid w:val="00CB0F33"/>
    <w:rsid w:val="00CB0F39"/>
    <w:rsid w:val="00CB0F51"/>
    <w:rsid w:val="00CB0FCE"/>
    <w:rsid w:val="00CB1126"/>
    <w:rsid w:val="00CB1189"/>
    <w:rsid w:val="00CB118A"/>
    <w:rsid w:val="00CB119A"/>
    <w:rsid w:val="00CB11DE"/>
    <w:rsid w:val="00CB1213"/>
    <w:rsid w:val="00CB1256"/>
    <w:rsid w:val="00CB127B"/>
    <w:rsid w:val="00CB12FE"/>
    <w:rsid w:val="00CB1322"/>
    <w:rsid w:val="00CB1357"/>
    <w:rsid w:val="00CB1383"/>
    <w:rsid w:val="00CB13CB"/>
    <w:rsid w:val="00CB1400"/>
    <w:rsid w:val="00CB1467"/>
    <w:rsid w:val="00CB14FC"/>
    <w:rsid w:val="00CB15EA"/>
    <w:rsid w:val="00CB15EF"/>
    <w:rsid w:val="00CB1678"/>
    <w:rsid w:val="00CB16EB"/>
    <w:rsid w:val="00CB1744"/>
    <w:rsid w:val="00CB17A0"/>
    <w:rsid w:val="00CB17C2"/>
    <w:rsid w:val="00CB186B"/>
    <w:rsid w:val="00CB18B9"/>
    <w:rsid w:val="00CB18C0"/>
    <w:rsid w:val="00CB18C5"/>
    <w:rsid w:val="00CB1909"/>
    <w:rsid w:val="00CB194B"/>
    <w:rsid w:val="00CB19E3"/>
    <w:rsid w:val="00CB1ABD"/>
    <w:rsid w:val="00CB1B2D"/>
    <w:rsid w:val="00CB1B62"/>
    <w:rsid w:val="00CB1B84"/>
    <w:rsid w:val="00CB1BE8"/>
    <w:rsid w:val="00CB1D85"/>
    <w:rsid w:val="00CB1DA3"/>
    <w:rsid w:val="00CB1E27"/>
    <w:rsid w:val="00CB1E7F"/>
    <w:rsid w:val="00CB1EFD"/>
    <w:rsid w:val="00CB1F9D"/>
    <w:rsid w:val="00CB1FE9"/>
    <w:rsid w:val="00CB2004"/>
    <w:rsid w:val="00CB2023"/>
    <w:rsid w:val="00CB202C"/>
    <w:rsid w:val="00CB2122"/>
    <w:rsid w:val="00CB215F"/>
    <w:rsid w:val="00CB21F9"/>
    <w:rsid w:val="00CB2238"/>
    <w:rsid w:val="00CB229E"/>
    <w:rsid w:val="00CB22A0"/>
    <w:rsid w:val="00CB22AA"/>
    <w:rsid w:val="00CB2352"/>
    <w:rsid w:val="00CB236C"/>
    <w:rsid w:val="00CB2371"/>
    <w:rsid w:val="00CB23BE"/>
    <w:rsid w:val="00CB23E4"/>
    <w:rsid w:val="00CB23FB"/>
    <w:rsid w:val="00CB2471"/>
    <w:rsid w:val="00CB2483"/>
    <w:rsid w:val="00CB27AD"/>
    <w:rsid w:val="00CB27C6"/>
    <w:rsid w:val="00CB2846"/>
    <w:rsid w:val="00CB2899"/>
    <w:rsid w:val="00CB28D4"/>
    <w:rsid w:val="00CB2928"/>
    <w:rsid w:val="00CB292E"/>
    <w:rsid w:val="00CB29FC"/>
    <w:rsid w:val="00CB2A50"/>
    <w:rsid w:val="00CB2A64"/>
    <w:rsid w:val="00CB2B49"/>
    <w:rsid w:val="00CB2BF8"/>
    <w:rsid w:val="00CB2C13"/>
    <w:rsid w:val="00CB2C22"/>
    <w:rsid w:val="00CB2C6F"/>
    <w:rsid w:val="00CB2CB8"/>
    <w:rsid w:val="00CB2D1F"/>
    <w:rsid w:val="00CB2D27"/>
    <w:rsid w:val="00CB2D36"/>
    <w:rsid w:val="00CB2D39"/>
    <w:rsid w:val="00CB2DDA"/>
    <w:rsid w:val="00CB2E67"/>
    <w:rsid w:val="00CB2EFD"/>
    <w:rsid w:val="00CB2F91"/>
    <w:rsid w:val="00CB2F9D"/>
    <w:rsid w:val="00CB2FF9"/>
    <w:rsid w:val="00CB3015"/>
    <w:rsid w:val="00CB303E"/>
    <w:rsid w:val="00CB3085"/>
    <w:rsid w:val="00CB31B9"/>
    <w:rsid w:val="00CB320D"/>
    <w:rsid w:val="00CB3288"/>
    <w:rsid w:val="00CB332E"/>
    <w:rsid w:val="00CB3366"/>
    <w:rsid w:val="00CB347D"/>
    <w:rsid w:val="00CB3481"/>
    <w:rsid w:val="00CB34E5"/>
    <w:rsid w:val="00CB359B"/>
    <w:rsid w:val="00CB35EF"/>
    <w:rsid w:val="00CB3649"/>
    <w:rsid w:val="00CB369E"/>
    <w:rsid w:val="00CB36A6"/>
    <w:rsid w:val="00CB370C"/>
    <w:rsid w:val="00CB3752"/>
    <w:rsid w:val="00CB37DE"/>
    <w:rsid w:val="00CB3874"/>
    <w:rsid w:val="00CB3973"/>
    <w:rsid w:val="00CB39FD"/>
    <w:rsid w:val="00CB3A04"/>
    <w:rsid w:val="00CB3A0D"/>
    <w:rsid w:val="00CB3ABB"/>
    <w:rsid w:val="00CB3AF7"/>
    <w:rsid w:val="00CB3B06"/>
    <w:rsid w:val="00CB3DA7"/>
    <w:rsid w:val="00CB3DE2"/>
    <w:rsid w:val="00CB3E55"/>
    <w:rsid w:val="00CB3E5B"/>
    <w:rsid w:val="00CB3E84"/>
    <w:rsid w:val="00CB3EF1"/>
    <w:rsid w:val="00CB4184"/>
    <w:rsid w:val="00CB425A"/>
    <w:rsid w:val="00CB4276"/>
    <w:rsid w:val="00CB4282"/>
    <w:rsid w:val="00CB42AC"/>
    <w:rsid w:val="00CB43E8"/>
    <w:rsid w:val="00CB441B"/>
    <w:rsid w:val="00CB44E0"/>
    <w:rsid w:val="00CB44F4"/>
    <w:rsid w:val="00CB4554"/>
    <w:rsid w:val="00CB4617"/>
    <w:rsid w:val="00CB461E"/>
    <w:rsid w:val="00CB4688"/>
    <w:rsid w:val="00CB4716"/>
    <w:rsid w:val="00CB4807"/>
    <w:rsid w:val="00CB49A3"/>
    <w:rsid w:val="00CB49A7"/>
    <w:rsid w:val="00CB4A2C"/>
    <w:rsid w:val="00CB4A73"/>
    <w:rsid w:val="00CB4AC3"/>
    <w:rsid w:val="00CB4B27"/>
    <w:rsid w:val="00CB4C93"/>
    <w:rsid w:val="00CB4D16"/>
    <w:rsid w:val="00CB4E2A"/>
    <w:rsid w:val="00CB4F02"/>
    <w:rsid w:val="00CB4F1E"/>
    <w:rsid w:val="00CB4F6B"/>
    <w:rsid w:val="00CB4FA2"/>
    <w:rsid w:val="00CB4FAE"/>
    <w:rsid w:val="00CB5051"/>
    <w:rsid w:val="00CB5096"/>
    <w:rsid w:val="00CB50E2"/>
    <w:rsid w:val="00CB5295"/>
    <w:rsid w:val="00CB52DB"/>
    <w:rsid w:val="00CB535C"/>
    <w:rsid w:val="00CB53B6"/>
    <w:rsid w:val="00CB54AB"/>
    <w:rsid w:val="00CB54B0"/>
    <w:rsid w:val="00CB553C"/>
    <w:rsid w:val="00CB593D"/>
    <w:rsid w:val="00CB5A13"/>
    <w:rsid w:val="00CB5A51"/>
    <w:rsid w:val="00CB5AA3"/>
    <w:rsid w:val="00CB5AFE"/>
    <w:rsid w:val="00CB5B21"/>
    <w:rsid w:val="00CB5B33"/>
    <w:rsid w:val="00CB5B82"/>
    <w:rsid w:val="00CB5BB5"/>
    <w:rsid w:val="00CB5C85"/>
    <w:rsid w:val="00CB5CB7"/>
    <w:rsid w:val="00CB5D3A"/>
    <w:rsid w:val="00CB5DF4"/>
    <w:rsid w:val="00CB5E70"/>
    <w:rsid w:val="00CB5E8A"/>
    <w:rsid w:val="00CB607B"/>
    <w:rsid w:val="00CB60B0"/>
    <w:rsid w:val="00CB6155"/>
    <w:rsid w:val="00CB620A"/>
    <w:rsid w:val="00CB6227"/>
    <w:rsid w:val="00CB6326"/>
    <w:rsid w:val="00CB633F"/>
    <w:rsid w:val="00CB63F1"/>
    <w:rsid w:val="00CB643E"/>
    <w:rsid w:val="00CB6540"/>
    <w:rsid w:val="00CB6554"/>
    <w:rsid w:val="00CB6559"/>
    <w:rsid w:val="00CB6561"/>
    <w:rsid w:val="00CB6578"/>
    <w:rsid w:val="00CB65E6"/>
    <w:rsid w:val="00CB665F"/>
    <w:rsid w:val="00CB6690"/>
    <w:rsid w:val="00CB66E1"/>
    <w:rsid w:val="00CB67CF"/>
    <w:rsid w:val="00CB67D5"/>
    <w:rsid w:val="00CB68C7"/>
    <w:rsid w:val="00CB6902"/>
    <w:rsid w:val="00CB6985"/>
    <w:rsid w:val="00CB698F"/>
    <w:rsid w:val="00CB69AB"/>
    <w:rsid w:val="00CB69C8"/>
    <w:rsid w:val="00CB69E5"/>
    <w:rsid w:val="00CB6A26"/>
    <w:rsid w:val="00CB6A63"/>
    <w:rsid w:val="00CB6A89"/>
    <w:rsid w:val="00CB6AF1"/>
    <w:rsid w:val="00CB6B29"/>
    <w:rsid w:val="00CB6B3A"/>
    <w:rsid w:val="00CB6B5F"/>
    <w:rsid w:val="00CB6C29"/>
    <w:rsid w:val="00CB6CA3"/>
    <w:rsid w:val="00CB6CAD"/>
    <w:rsid w:val="00CB6CC0"/>
    <w:rsid w:val="00CB6CCF"/>
    <w:rsid w:val="00CB6D92"/>
    <w:rsid w:val="00CB6EA8"/>
    <w:rsid w:val="00CB6F0F"/>
    <w:rsid w:val="00CB70AE"/>
    <w:rsid w:val="00CB70D4"/>
    <w:rsid w:val="00CB71FD"/>
    <w:rsid w:val="00CB7216"/>
    <w:rsid w:val="00CB72B0"/>
    <w:rsid w:val="00CB72BF"/>
    <w:rsid w:val="00CB7399"/>
    <w:rsid w:val="00CB73F4"/>
    <w:rsid w:val="00CB74C9"/>
    <w:rsid w:val="00CB74CD"/>
    <w:rsid w:val="00CB752C"/>
    <w:rsid w:val="00CB759B"/>
    <w:rsid w:val="00CB76DD"/>
    <w:rsid w:val="00CB7713"/>
    <w:rsid w:val="00CB7739"/>
    <w:rsid w:val="00CB7909"/>
    <w:rsid w:val="00CB790A"/>
    <w:rsid w:val="00CB79AA"/>
    <w:rsid w:val="00CB7A04"/>
    <w:rsid w:val="00CB7B9C"/>
    <w:rsid w:val="00CB7BDE"/>
    <w:rsid w:val="00CB7E21"/>
    <w:rsid w:val="00CB7E3F"/>
    <w:rsid w:val="00CB7F65"/>
    <w:rsid w:val="00CC006A"/>
    <w:rsid w:val="00CC00A1"/>
    <w:rsid w:val="00CC0191"/>
    <w:rsid w:val="00CC01E5"/>
    <w:rsid w:val="00CC0237"/>
    <w:rsid w:val="00CC02E6"/>
    <w:rsid w:val="00CC0404"/>
    <w:rsid w:val="00CC0585"/>
    <w:rsid w:val="00CC05B4"/>
    <w:rsid w:val="00CC06B4"/>
    <w:rsid w:val="00CC06CC"/>
    <w:rsid w:val="00CC06DD"/>
    <w:rsid w:val="00CC070A"/>
    <w:rsid w:val="00CC072C"/>
    <w:rsid w:val="00CC0774"/>
    <w:rsid w:val="00CC07CF"/>
    <w:rsid w:val="00CC07D7"/>
    <w:rsid w:val="00CC0827"/>
    <w:rsid w:val="00CC0837"/>
    <w:rsid w:val="00CC0838"/>
    <w:rsid w:val="00CC0A2D"/>
    <w:rsid w:val="00CC0A41"/>
    <w:rsid w:val="00CC0A9F"/>
    <w:rsid w:val="00CC0AD0"/>
    <w:rsid w:val="00CC0B86"/>
    <w:rsid w:val="00CC0C68"/>
    <w:rsid w:val="00CC0DA0"/>
    <w:rsid w:val="00CC0E07"/>
    <w:rsid w:val="00CC0E19"/>
    <w:rsid w:val="00CC0EB2"/>
    <w:rsid w:val="00CC0F21"/>
    <w:rsid w:val="00CC0F67"/>
    <w:rsid w:val="00CC1042"/>
    <w:rsid w:val="00CC1075"/>
    <w:rsid w:val="00CC107B"/>
    <w:rsid w:val="00CC11A9"/>
    <w:rsid w:val="00CC12A5"/>
    <w:rsid w:val="00CC12EB"/>
    <w:rsid w:val="00CC130A"/>
    <w:rsid w:val="00CC132A"/>
    <w:rsid w:val="00CC133D"/>
    <w:rsid w:val="00CC1377"/>
    <w:rsid w:val="00CC140D"/>
    <w:rsid w:val="00CC1440"/>
    <w:rsid w:val="00CC1452"/>
    <w:rsid w:val="00CC14E4"/>
    <w:rsid w:val="00CC154A"/>
    <w:rsid w:val="00CC1608"/>
    <w:rsid w:val="00CC16C8"/>
    <w:rsid w:val="00CC16D4"/>
    <w:rsid w:val="00CC17E1"/>
    <w:rsid w:val="00CC180E"/>
    <w:rsid w:val="00CC18AE"/>
    <w:rsid w:val="00CC1974"/>
    <w:rsid w:val="00CC1AAA"/>
    <w:rsid w:val="00CC1B7C"/>
    <w:rsid w:val="00CC1B89"/>
    <w:rsid w:val="00CC1B8B"/>
    <w:rsid w:val="00CC1B9F"/>
    <w:rsid w:val="00CC1BBA"/>
    <w:rsid w:val="00CC1BD7"/>
    <w:rsid w:val="00CC1D29"/>
    <w:rsid w:val="00CC1EA3"/>
    <w:rsid w:val="00CC1EC4"/>
    <w:rsid w:val="00CC1ED2"/>
    <w:rsid w:val="00CC1EEE"/>
    <w:rsid w:val="00CC1F2D"/>
    <w:rsid w:val="00CC1F44"/>
    <w:rsid w:val="00CC1F93"/>
    <w:rsid w:val="00CC1FC3"/>
    <w:rsid w:val="00CC2015"/>
    <w:rsid w:val="00CC202D"/>
    <w:rsid w:val="00CC2174"/>
    <w:rsid w:val="00CC21ED"/>
    <w:rsid w:val="00CC239D"/>
    <w:rsid w:val="00CC23BA"/>
    <w:rsid w:val="00CC23EA"/>
    <w:rsid w:val="00CC2500"/>
    <w:rsid w:val="00CC2528"/>
    <w:rsid w:val="00CC25F7"/>
    <w:rsid w:val="00CC2664"/>
    <w:rsid w:val="00CC26E2"/>
    <w:rsid w:val="00CC27E1"/>
    <w:rsid w:val="00CC27FE"/>
    <w:rsid w:val="00CC281C"/>
    <w:rsid w:val="00CC2890"/>
    <w:rsid w:val="00CC28EB"/>
    <w:rsid w:val="00CC2A2E"/>
    <w:rsid w:val="00CC2ACF"/>
    <w:rsid w:val="00CC2C08"/>
    <w:rsid w:val="00CC2C31"/>
    <w:rsid w:val="00CC2C7C"/>
    <w:rsid w:val="00CC2CE9"/>
    <w:rsid w:val="00CC2D05"/>
    <w:rsid w:val="00CC2D4A"/>
    <w:rsid w:val="00CC2DA1"/>
    <w:rsid w:val="00CC2EBC"/>
    <w:rsid w:val="00CC2F2B"/>
    <w:rsid w:val="00CC2F4C"/>
    <w:rsid w:val="00CC2F86"/>
    <w:rsid w:val="00CC3112"/>
    <w:rsid w:val="00CC31C0"/>
    <w:rsid w:val="00CC31DC"/>
    <w:rsid w:val="00CC32C4"/>
    <w:rsid w:val="00CC32E6"/>
    <w:rsid w:val="00CC3300"/>
    <w:rsid w:val="00CC3407"/>
    <w:rsid w:val="00CC342C"/>
    <w:rsid w:val="00CC3431"/>
    <w:rsid w:val="00CC3486"/>
    <w:rsid w:val="00CC34D5"/>
    <w:rsid w:val="00CC34E4"/>
    <w:rsid w:val="00CC34E6"/>
    <w:rsid w:val="00CC35EA"/>
    <w:rsid w:val="00CC35EE"/>
    <w:rsid w:val="00CC3614"/>
    <w:rsid w:val="00CC373C"/>
    <w:rsid w:val="00CC374C"/>
    <w:rsid w:val="00CC3769"/>
    <w:rsid w:val="00CC3787"/>
    <w:rsid w:val="00CC389C"/>
    <w:rsid w:val="00CC38EB"/>
    <w:rsid w:val="00CC3918"/>
    <w:rsid w:val="00CC3A77"/>
    <w:rsid w:val="00CC3A7A"/>
    <w:rsid w:val="00CC3A84"/>
    <w:rsid w:val="00CC3B36"/>
    <w:rsid w:val="00CC3B8A"/>
    <w:rsid w:val="00CC3BA3"/>
    <w:rsid w:val="00CC3C88"/>
    <w:rsid w:val="00CC3CC4"/>
    <w:rsid w:val="00CC3CFF"/>
    <w:rsid w:val="00CC3D0C"/>
    <w:rsid w:val="00CC3D3B"/>
    <w:rsid w:val="00CC3DC2"/>
    <w:rsid w:val="00CC3DF5"/>
    <w:rsid w:val="00CC3E88"/>
    <w:rsid w:val="00CC3F16"/>
    <w:rsid w:val="00CC3F55"/>
    <w:rsid w:val="00CC3FD3"/>
    <w:rsid w:val="00CC40B0"/>
    <w:rsid w:val="00CC40E3"/>
    <w:rsid w:val="00CC40E9"/>
    <w:rsid w:val="00CC4111"/>
    <w:rsid w:val="00CC4131"/>
    <w:rsid w:val="00CC42E7"/>
    <w:rsid w:val="00CC4351"/>
    <w:rsid w:val="00CC43C4"/>
    <w:rsid w:val="00CC4515"/>
    <w:rsid w:val="00CC4612"/>
    <w:rsid w:val="00CC469A"/>
    <w:rsid w:val="00CC46B7"/>
    <w:rsid w:val="00CC46E5"/>
    <w:rsid w:val="00CC4846"/>
    <w:rsid w:val="00CC48DA"/>
    <w:rsid w:val="00CC48F4"/>
    <w:rsid w:val="00CC48F9"/>
    <w:rsid w:val="00CC4914"/>
    <w:rsid w:val="00CC4934"/>
    <w:rsid w:val="00CC4948"/>
    <w:rsid w:val="00CC4953"/>
    <w:rsid w:val="00CC4964"/>
    <w:rsid w:val="00CC497A"/>
    <w:rsid w:val="00CC4A1A"/>
    <w:rsid w:val="00CC4A66"/>
    <w:rsid w:val="00CC4AA7"/>
    <w:rsid w:val="00CC4B00"/>
    <w:rsid w:val="00CC4B81"/>
    <w:rsid w:val="00CC4B84"/>
    <w:rsid w:val="00CC4BF5"/>
    <w:rsid w:val="00CC4CB5"/>
    <w:rsid w:val="00CC4CBB"/>
    <w:rsid w:val="00CC4E24"/>
    <w:rsid w:val="00CC4ED5"/>
    <w:rsid w:val="00CC4F04"/>
    <w:rsid w:val="00CC4F2E"/>
    <w:rsid w:val="00CC5058"/>
    <w:rsid w:val="00CC5071"/>
    <w:rsid w:val="00CC50B4"/>
    <w:rsid w:val="00CC5157"/>
    <w:rsid w:val="00CC5244"/>
    <w:rsid w:val="00CC5276"/>
    <w:rsid w:val="00CC5424"/>
    <w:rsid w:val="00CC54C3"/>
    <w:rsid w:val="00CC54DB"/>
    <w:rsid w:val="00CC557E"/>
    <w:rsid w:val="00CC5590"/>
    <w:rsid w:val="00CC55E3"/>
    <w:rsid w:val="00CC5650"/>
    <w:rsid w:val="00CC5725"/>
    <w:rsid w:val="00CC5727"/>
    <w:rsid w:val="00CC57E9"/>
    <w:rsid w:val="00CC58EF"/>
    <w:rsid w:val="00CC58F1"/>
    <w:rsid w:val="00CC59ED"/>
    <w:rsid w:val="00CC5A29"/>
    <w:rsid w:val="00CC5B7F"/>
    <w:rsid w:val="00CC5BEC"/>
    <w:rsid w:val="00CC5C5B"/>
    <w:rsid w:val="00CC5C5C"/>
    <w:rsid w:val="00CC5C5D"/>
    <w:rsid w:val="00CC5C90"/>
    <w:rsid w:val="00CC5EDB"/>
    <w:rsid w:val="00CC5F2D"/>
    <w:rsid w:val="00CC603A"/>
    <w:rsid w:val="00CC60E6"/>
    <w:rsid w:val="00CC62BA"/>
    <w:rsid w:val="00CC62EB"/>
    <w:rsid w:val="00CC6302"/>
    <w:rsid w:val="00CC631F"/>
    <w:rsid w:val="00CC63B8"/>
    <w:rsid w:val="00CC63D7"/>
    <w:rsid w:val="00CC6491"/>
    <w:rsid w:val="00CC64DE"/>
    <w:rsid w:val="00CC655C"/>
    <w:rsid w:val="00CC65DB"/>
    <w:rsid w:val="00CC65EB"/>
    <w:rsid w:val="00CC6607"/>
    <w:rsid w:val="00CC661C"/>
    <w:rsid w:val="00CC67A3"/>
    <w:rsid w:val="00CC68A3"/>
    <w:rsid w:val="00CC68E2"/>
    <w:rsid w:val="00CC69B8"/>
    <w:rsid w:val="00CC69C2"/>
    <w:rsid w:val="00CC6C34"/>
    <w:rsid w:val="00CC6CDF"/>
    <w:rsid w:val="00CC6CE8"/>
    <w:rsid w:val="00CC6D3E"/>
    <w:rsid w:val="00CC6D6A"/>
    <w:rsid w:val="00CC6D9E"/>
    <w:rsid w:val="00CC6DDA"/>
    <w:rsid w:val="00CC6DF0"/>
    <w:rsid w:val="00CC6E06"/>
    <w:rsid w:val="00CC6E2F"/>
    <w:rsid w:val="00CC6E8D"/>
    <w:rsid w:val="00CC6E9B"/>
    <w:rsid w:val="00CC6ED6"/>
    <w:rsid w:val="00CC6F2D"/>
    <w:rsid w:val="00CC6FC3"/>
    <w:rsid w:val="00CC704E"/>
    <w:rsid w:val="00CC7065"/>
    <w:rsid w:val="00CC70FD"/>
    <w:rsid w:val="00CC71FC"/>
    <w:rsid w:val="00CC7225"/>
    <w:rsid w:val="00CC736A"/>
    <w:rsid w:val="00CC7423"/>
    <w:rsid w:val="00CC74DB"/>
    <w:rsid w:val="00CC7549"/>
    <w:rsid w:val="00CC7652"/>
    <w:rsid w:val="00CC76E7"/>
    <w:rsid w:val="00CC772D"/>
    <w:rsid w:val="00CC78BB"/>
    <w:rsid w:val="00CC7BDB"/>
    <w:rsid w:val="00CC7C19"/>
    <w:rsid w:val="00CC7C46"/>
    <w:rsid w:val="00CC7CF7"/>
    <w:rsid w:val="00CC7D4B"/>
    <w:rsid w:val="00CC7DB9"/>
    <w:rsid w:val="00CC7E19"/>
    <w:rsid w:val="00CC7E84"/>
    <w:rsid w:val="00CC7ED5"/>
    <w:rsid w:val="00CC7F1F"/>
    <w:rsid w:val="00CC7F4C"/>
    <w:rsid w:val="00CC7F91"/>
    <w:rsid w:val="00CC7FE9"/>
    <w:rsid w:val="00CC7FFD"/>
    <w:rsid w:val="00CD00F2"/>
    <w:rsid w:val="00CD0148"/>
    <w:rsid w:val="00CD0158"/>
    <w:rsid w:val="00CD0212"/>
    <w:rsid w:val="00CD0272"/>
    <w:rsid w:val="00CD02D0"/>
    <w:rsid w:val="00CD0426"/>
    <w:rsid w:val="00CD0447"/>
    <w:rsid w:val="00CD04C5"/>
    <w:rsid w:val="00CD0798"/>
    <w:rsid w:val="00CD07AA"/>
    <w:rsid w:val="00CD07AC"/>
    <w:rsid w:val="00CD0877"/>
    <w:rsid w:val="00CD0883"/>
    <w:rsid w:val="00CD0918"/>
    <w:rsid w:val="00CD09E1"/>
    <w:rsid w:val="00CD0A75"/>
    <w:rsid w:val="00CD0B37"/>
    <w:rsid w:val="00CD0B50"/>
    <w:rsid w:val="00CD0BCB"/>
    <w:rsid w:val="00CD0BF3"/>
    <w:rsid w:val="00CD0D5B"/>
    <w:rsid w:val="00CD0D5D"/>
    <w:rsid w:val="00CD0DD7"/>
    <w:rsid w:val="00CD0EA3"/>
    <w:rsid w:val="00CD0F2F"/>
    <w:rsid w:val="00CD0F68"/>
    <w:rsid w:val="00CD0FF5"/>
    <w:rsid w:val="00CD101A"/>
    <w:rsid w:val="00CD1064"/>
    <w:rsid w:val="00CD12D8"/>
    <w:rsid w:val="00CD13D0"/>
    <w:rsid w:val="00CD145C"/>
    <w:rsid w:val="00CD1491"/>
    <w:rsid w:val="00CD1498"/>
    <w:rsid w:val="00CD15AD"/>
    <w:rsid w:val="00CD16EE"/>
    <w:rsid w:val="00CD170C"/>
    <w:rsid w:val="00CD1745"/>
    <w:rsid w:val="00CD17AF"/>
    <w:rsid w:val="00CD18DE"/>
    <w:rsid w:val="00CD18F0"/>
    <w:rsid w:val="00CD1914"/>
    <w:rsid w:val="00CD1995"/>
    <w:rsid w:val="00CD1A1F"/>
    <w:rsid w:val="00CD1AB9"/>
    <w:rsid w:val="00CD1AFE"/>
    <w:rsid w:val="00CD1B67"/>
    <w:rsid w:val="00CD1B9D"/>
    <w:rsid w:val="00CD1BB1"/>
    <w:rsid w:val="00CD1BD1"/>
    <w:rsid w:val="00CD1BE0"/>
    <w:rsid w:val="00CD1CB2"/>
    <w:rsid w:val="00CD1CCD"/>
    <w:rsid w:val="00CD1CF3"/>
    <w:rsid w:val="00CD1D78"/>
    <w:rsid w:val="00CD1DD9"/>
    <w:rsid w:val="00CD1E8F"/>
    <w:rsid w:val="00CD1F18"/>
    <w:rsid w:val="00CD1F5B"/>
    <w:rsid w:val="00CD1FB9"/>
    <w:rsid w:val="00CD1FEB"/>
    <w:rsid w:val="00CD2013"/>
    <w:rsid w:val="00CD202B"/>
    <w:rsid w:val="00CD20A0"/>
    <w:rsid w:val="00CD20AA"/>
    <w:rsid w:val="00CD20D1"/>
    <w:rsid w:val="00CD20E6"/>
    <w:rsid w:val="00CD2126"/>
    <w:rsid w:val="00CD2210"/>
    <w:rsid w:val="00CD22F3"/>
    <w:rsid w:val="00CD2347"/>
    <w:rsid w:val="00CD2364"/>
    <w:rsid w:val="00CD240F"/>
    <w:rsid w:val="00CD24BD"/>
    <w:rsid w:val="00CD24D4"/>
    <w:rsid w:val="00CD2528"/>
    <w:rsid w:val="00CD253D"/>
    <w:rsid w:val="00CD2569"/>
    <w:rsid w:val="00CD256C"/>
    <w:rsid w:val="00CD256E"/>
    <w:rsid w:val="00CD2645"/>
    <w:rsid w:val="00CD26E1"/>
    <w:rsid w:val="00CD277E"/>
    <w:rsid w:val="00CD27E8"/>
    <w:rsid w:val="00CD2833"/>
    <w:rsid w:val="00CD28ED"/>
    <w:rsid w:val="00CD298E"/>
    <w:rsid w:val="00CD2A11"/>
    <w:rsid w:val="00CD2A39"/>
    <w:rsid w:val="00CD2A88"/>
    <w:rsid w:val="00CD2B98"/>
    <w:rsid w:val="00CD2C0A"/>
    <w:rsid w:val="00CD2CAF"/>
    <w:rsid w:val="00CD2CD5"/>
    <w:rsid w:val="00CD2CF0"/>
    <w:rsid w:val="00CD2DB1"/>
    <w:rsid w:val="00CD2E10"/>
    <w:rsid w:val="00CD2E3A"/>
    <w:rsid w:val="00CD2F19"/>
    <w:rsid w:val="00CD2F26"/>
    <w:rsid w:val="00CD2F4C"/>
    <w:rsid w:val="00CD2FA3"/>
    <w:rsid w:val="00CD3039"/>
    <w:rsid w:val="00CD306E"/>
    <w:rsid w:val="00CD30FC"/>
    <w:rsid w:val="00CD3101"/>
    <w:rsid w:val="00CD31E7"/>
    <w:rsid w:val="00CD3228"/>
    <w:rsid w:val="00CD32A1"/>
    <w:rsid w:val="00CD32B4"/>
    <w:rsid w:val="00CD32E1"/>
    <w:rsid w:val="00CD33BB"/>
    <w:rsid w:val="00CD33C4"/>
    <w:rsid w:val="00CD344A"/>
    <w:rsid w:val="00CD3490"/>
    <w:rsid w:val="00CD34E0"/>
    <w:rsid w:val="00CD3515"/>
    <w:rsid w:val="00CD356C"/>
    <w:rsid w:val="00CD3571"/>
    <w:rsid w:val="00CD358F"/>
    <w:rsid w:val="00CD3590"/>
    <w:rsid w:val="00CD35C2"/>
    <w:rsid w:val="00CD362C"/>
    <w:rsid w:val="00CD36AF"/>
    <w:rsid w:val="00CD36C3"/>
    <w:rsid w:val="00CD36F0"/>
    <w:rsid w:val="00CD3890"/>
    <w:rsid w:val="00CD389B"/>
    <w:rsid w:val="00CD38EB"/>
    <w:rsid w:val="00CD3937"/>
    <w:rsid w:val="00CD3943"/>
    <w:rsid w:val="00CD3951"/>
    <w:rsid w:val="00CD3A03"/>
    <w:rsid w:val="00CD3A39"/>
    <w:rsid w:val="00CD3ACD"/>
    <w:rsid w:val="00CD3B6E"/>
    <w:rsid w:val="00CD3BC1"/>
    <w:rsid w:val="00CD3BCF"/>
    <w:rsid w:val="00CD3BDC"/>
    <w:rsid w:val="00CD3C51"/>
    <w:rsid w:val="00CD3CB4"/>
    <w:rsid w:val="00CD3D12"/>
    <w:rsid w:val="00CD3D44"/>
    <w:rsid w:val="00CD3E42"/>
    <w:rsid w:val="00CD3EE4"/>
    <w:rsid w:val="00CD3EFC"/>
    <w:rsid w:val="00CD3F33"/>
    <w:rsid w:val="00CD3F37"/>
    <w:rsid w:val="00CD3F50"/>
    <w:rsid w:val="00CD3F61"/>
    <w:rsid w:val="00CD3F7C"/>
    <w:rsid w:val="00CD3F7F"/>
    <w:rsid w:val="00CD3F93"/>
    <w:rsid w:val="00CD3F9E"/>
    <w:rsid w:val="00CD3FBB"/>
    <w:rsid w:val="00CD4067"/>
    <w:rsid w:val="00CD4085"/>
    <w:rsid w:val="00CD418E"/>
    <w:rsid w:val="00CD41A3"/>
    <w:rsid w:val="00CD41A6"/>
    <w:rsid w:val="00CD41F5"/>
    <w:rsid w:val="00CD42B1"/>
    <w:rsid w:val="00CD4306"/>
    <w:rsid w:val="00CD4418"/>
    <w:rsid w:val="00CD45FD"/>
    <w:rsid w:val="00CD46BE"/>
    <w:rsid w:val="00CD4738"/>
    <w:rsid w:val="00CD477C"/>
    <w:rsid w:val="00CD4843"/>
    <w:rsid w:val="00CD4898"/>
    <w:rsid w:val="00CD489D"/>
    <w:rsid w:val="00CD48B7"/>
    <w:rsid w:val="00CD48DE"/>
    <w:rsid w:val="00CD495F"/>
    <w:rsid w:val="00CD4A86"/>
    <w:rsid w:val="00CD4AAB"/>
    <w:rsid w:val="00CD4BC3"/>
    <w:rsid w:val="00CD4BF9"/>
    <w:rsid w:val="00CD4C10"/>
    <w:rsid w:val="00CD4CD8"/>
    <w:rsid w:val="00CD4D5A"/>
    <w:rsid w:val="00CD4E00"/>
    <w:rsid w:val="00CD4E34"/>
    <w:rsid w:val="00CD4EAD"/>
    <w:rsid w:val="00CD4ECF"/>
    <w:rsid w:val="00CD4F00"/>
    <w:rsid w:val="00CD4F8C"/>
    <w:rsid w:val="00CD4FBC"/>
    <w:rsid w:val="00CD4FDA"/>
    <w:rsid w:val="00CD4FF3"/>
    <w:rsid w:val="00CD5002"/>
    <w:rsid w:val="00CD506F"/>
    <w:rsid w:val="00CD5076"/>
    <w:rsid w:val="00CD50DE"/>
    <w:rsid w:val="00CD5186"/>
    <w:rsid w:val="00CD5359"/>
    <w:rsid w:val="00CD53A2"/>
    <w:rsid w:val="00CD53C9"/>
    <w:rsid w:val="00CD540F"/>
    <w:rsid w:val="00CD54EB"/>
    <w:rsid w:val="00CD5524"/>
    <w:rsid w:val="00CD5555"/>
    <w:rsid w:val="00CD5694"/>
    <w:rsid w:val="00CD57DB"/>
    <w:rsid w:val="00CD5826"/>
    <w:rsid w:val="00CD58B8"/>
    <w:rsid w:val="00CD58C0"/>
    <w:rsid w:val="00CD58C6"/>
    <w:rsid w:val="00CD591B"/>
    <w:rsid w:val="00CD592D"/>
    <w:rsid w:val="00CD5969"/>
    <w:rsid w:val="00CD596F"/>
    <w:rsid w:val="00CD5A1E"/>
    <w:rsid w:val="00CD5A51"/>
    <w:rsid w:val="00CD5A5E"/>
    <w:rsid w:val="00CD5A68"/>
    <w:rsid w:val="00CD5B27"/>
    <w:rsid w:val="00CD5BCA"/>
    <w:rsid w:val="00CD5BED"/>
    <w:rsid w:val="00CD5C0A"/>
    <w:rsid w:val="00CD5C6C"/>
    <w:rsid w:val="00CD5CB4"/>
    <w:rsid w:val="00CD5CEC"/>
    <w:rsid w:val="00CD5D17"/>
    <w:rsid w:val="00CD5E40"/>
    <w:rsid w:val="00CD5EA8"/>
    <w:rsid w:val="00CD5EE0"/>
    <w:rsid w:val="00CD5EE1"/>
    <w:rsid w:val="00CD5F5F"/>
    <w:rsid w:val="00CD6039"/>
    <w:rsid w:val="00CD61C8"/>
    <w:rsid w:val="00CD61EA"/>
    <w:rsid w:val="00CD622E"/>
    <w:rsid w:val="00CD629E"/>
    <w:rsid w:val="00CD637C"/>
    <w:rsid w:val="00CD63EC"/>
    <w:rsid w:val="00CD6450"/>
    <w:rsid w:val="00CD6486"/>
    <w:rsid w:val="00CD64F1"/>
    <w:rsid w:val="00CD6524"/>
    <w:rsid w:val="00CD6578"/>
    <w:rsid w:val="00CD66A5"/>
    <w:rsid w:val="00CD66B2"/>
    <w:rsid w:val="00CD67C7"/>
    <w:rsid w:val="00CD6847"/>
    <w:rsid w:val="00CD6892"/>
    <w:rsid w:val="00CD6908"/>
    <w:rsid w:val="00CD696A"/>
    <w:rsid w:val="00CD6A0F"/>
    <w:rsid w:val="00CD6A8E"/>
    <w:rsid w:val="00CD6BF8"/>
    <w:rsid w:val="00CD6C01"/>
    <w:rsid w:val="00CD6C71"/>
    <w:rsid w:val="00CD6EDE"/>
    <w:rsid w:val="00CD6F91"/>
    <w:rsid w:val="00CD6FD5"/>
    <w:rsid w:val="00CD7001"/>
    <w:rsid w:val="00CD7046"/>
    <w:rsid w:val="00CD714A"/>
    <w:rsid w:val="00CD7151"/>
    <w:rsid w:val="00CD719C"/>
    <w:rsid w:val="00CD727E"/>
    <w:rsid w:val="00CD7386"/>
    <w:rsid w:val="00CD7500"/>
    <w:rsid w:val="00CD75AF"/>
    <w:rsid w:val="00CD75BA"/>
    <w:rsid w:val="00CD75D5"/>
    <w:rsid w:val="00CD7615"/>
    <w:rsid w:val="00CD76F5"/>
    <w:rsid w:val="00CD771B"/>
    <w:rsid w:val="00CD7738"/>
    <w:rsid w:val="00CD77C7"/>
    <w:rsid w:val="00CD77D3"/>
    <w:rsid w:val="00CD77DC"/>
    <w:rsid w:val="00CD77E9"/>
    <w:rsid w:val="00CD77F1"/>
    <w:rsid w:val="00CD78AD"/>
    <w:rsid w:val="00CD79C1"/>
    <w:rsid w:val="00CD79DE"/>
    <w:rsid w:val="00CD7A43"/>
    <w:rsid w:val="00CD7A62"/>
    <w:rsid w:val="00CD7A6C"/>
    <w:rsid w:val="00CD7AB7"/>
    <w:rsid w:val="00CD7BA2"/>
    <w:rsid w:val="00CD7BAB"/>
    <w:rsid w:val="00CD7C26"/>
    <w:rsid w:val="00CD7C35"/>
    <w:rsid w:val="00CD7C6B"/>
    <w:rsid w:val="00CD7C76"/>
    <w:rsid w:val="00CD7C89"/>
    <w:rsid w:val="00CD7CC7"/>
    <w:rsid w:val="00CD7F9B"/>
    <w:rsid w:val="00CD7FE8"/>
    <w:rsid w:val="00CDB835"/>
    <w:rsid w:val="00CDE829"/>
    <w:rsid w:val="00CE0033"/>
    <w:rsid w:val="00CE003E"/>
    <w:rsid w:val="00CE00EE"/>
    <w:rsid w:val="00CE0136"/>
    <w:rsid w:val="00CE014B"/>
    <w:rsid w:val="00CE0252"/>
    <w:rsid w:val="00CE035C"/>
    <w:rsid w:val="00CE0365"/>
    <w:rsid w:val="00CE0380"/>
    <w:rsid w:val="00CE0399"/>
    <w:rsid w:val="00CE03FC"/>
    <w:rsid w:val="00CE0402"/>
    <w:rsid w:val="00CE0410"/>
    <w:rsid w:val="00CE0483"/>
    <w:rsid w:val="00CE0568"/>
    <w:rsid w:val="00CE059D"/>
    <w:rsid w:val="00CE05A8"/>
    <w:rsid w:val="00CE05E7"/>
    <w:rsid w:val="00CE0604"/>
    <w:rsid w:val="00CE0716"/>
    <w:rsid w:val="00CE0835"/>
    <w:rsid w:val="00CE0891"/>
    <w:rsid w:val="00CE08EB"/>
    <w:rsid w:val="00CE094E"/>
    <w:rsid w:val="00CE0AAF"/>
    <w:rsid w:val="00CE0B2C"/>
    <w:rsid w:val="00CE0D7A"/>
    <w:rsid w:val="00CE0DDE"/>
    <w:rsid w:val="00CE0E5E"/>
    <w:rsid w:val="00CE0F75"/>
    <w:rsid w:val="00CE0F80"/>
    <w:rsid w:val="00CE0FDB"/>
    <w:rsid w:val="00CE100B"/>
    <w:rsid w:val="00CE108C"/>
    <w:rsid w:val="00CE10AF"/>
    <w:rsid w:val="00CE1111"/>
    <w:rsid w:val="00CE1164"/>
    <w:rsid w:val="00CE116A"/>
    <w:rsid w:val="00CE116B"/>
    <w:rsid w:val="00CE11DD"/>
    <w:rsid w:val="00CE11EB"/>
    <w:rsid w:val="00CE1231"/>
    <w:rsid w:val="00CE124A"/>
    <w:rsid w:val="00CE1250"/>
    <w:rsid w:val="00CE1291"/>
    <w:rsid w:val="00CE1307"/>
    <w:rsid w:val="00CE1328"/>
    <w:rsid w:val="00CE1404"/>
    <w:rsid w:val="00CE1427"/>
    <w:rsid w:val="00CE1541"/>
    <w:rsid w:val="00CE16C4"/>
    <w:rsid w:val="00CE186A"/>
    <w:rsid w:val="00CE18BA"/>
    <w:rsid w:val="00CE18F6"/>
    <w:rsid w:val="00CE18F9"/>
    <w:rsid w:val="00CE1920"/>
    <w:rsid w:val="00CE194F"/>
    <w:rsid w:val="00CE1968"/>
    <w:rsid w:val="00CE1A1D"/>
    <w:rsid w:val="00CE1A6A"/>
    <w:rsid w:val="00CE1ADD"/>
    <w:rsid w:val="00CE1AF7"/>
    <w:rsid w:val="00CE1B08"/>
    <w:rsid w:val="00CE1B78"/>
    <w:rsid w:val="00CE1B87"/>
    <w:rsid w:val="00CE1CED"/>
    <w:rsid w:val="00CE1DE8"/>
    <w:rsid w:val="00CE1EBE"/>
    <w:rsid w:val="00CE1F4F"/>
    <w:rsid w:val="00CE219A"/>
    <w:rsid w:val="00CE21B6"/>
    <w:rsid w:val="00CE2230"/>
    <w:rsid w:val="00CE2271"/>
    <w:rsid w:val="00CE22F7"/>
    <w:rsid w:val="00CE2426"/>
    <w:rsid w:val="00CE246E"/>
    <w:rsid w:val="00CE251A"/>
    <w:rsid w:val="00CE253D"/>
    <w:rsid w:val="00CE2631"/>
    <w:rsid w:val="00CE2667"/>
    <w:rsid w:val="00CE26D8"/>
    <w:rsid w:val="00CE27B1"/>
    <w:rsid w:val="00CE27B6"/>
    <w:rsid w:val="00CE27C3"/>
    <w:rsid w:val="00CE289A"/>
    <w:rsid w:val="00CE2A0E"/>
    <w:rsid w:val="00CE2A12"/>
    <w:rsid w:val="00CE2BF7"/>
    <w:rsid w:val="00CE2D93"/>
    <w:rsid w:val="00CE2DFA"/>
    <w:rsid w:val="00CE2F03"/>
    <w:rsid w:val="00CE2F3D"/>
    <w:rsid w:val="00CE2FA2"/>
    <w:rsid w:val="00CE2FDA"/>
    <w:rsid w:val="00CE30C8"/>
    <w:rsid w:val="00CE30DA"/>
    <w:rsid w:val="00CE3129"/>
    <w:rsid w:val="00CE3327"/>
    <w:rsid w:val="00CE3329"/>
    <w:rsid w:val="00CE339E"/>
    <w:rsid w:val="00CE33AC"/>
    <w:rsid w:val="00CE33FB"/>
    <w:rsid w:val="00CE343C"/>
    <w:rsid w:val="00CE34B4"/>
    <w:rsid w:val="00CE34D2"/>
    <w:rsid w:val="00CE34DB"/>
    <w:rsid w:val="00CE3550"/>
    <w:rsid w:val="00CE355B"/>
    <w:rsid w:val="00CE3654"/>
    <w:rsid w:val="00CE36F2"/>
    <w:rsid w:val="00CE3727"/>
    <w:rsid w:val="00CE3740"/>
    <w:rsid w:val="00CE37D7"/>
    <w:rsid w:val="00CE38BD"/>
    <w:rsid w:val="00CE38E9"/>
    <w:rsid w:val="00CE3910"/>
    <w:rsid w:val="00CE3A25"/>
    <w:rsid w:val="00CE3ADB"/>
    <w:rsid w:val="00CE3BD4"/>
    <w:rsid w:val="00CE3D05"/>
    <w:rsid w:val="00CE3E10"/>
    <w:rsid w:val="00CE3E83"/>
    <w:rsid w:val="00CE3F66"/>
    <w:rsid w:val="00CE3F74"/>
    <w:rsid w:val="00CE41C3"/>
    <w:rsid w:val="00CE4200"/>
    <w:rsid w:val="00CE425A"/>
    <w:rsid w:val="00CE428E"/>
    <w:rsid w:val="00CE4304"/>
    <w:rsid w:val="00CE431E"/>
    <w:rsid w:val="00CE4405"/>
    <w:rsid w:val="00CE451D"/>
    <w:rsid w:val="00CE451F"/>
    <w:rsid w:val="00CE45BE"/>
    <w:rsid w:val="00CE4639"/>
    <w:rsid w:val="00CE4655"/>
    <w:rsid w:val="00CE47B5"/>
    <w:rsid w:val="00CE47D2"/>
    <w:rsid w:val="00CE483B"/>
    <w:rsid w:val="00CE48D6"/>
    <w:rsid w:val="00CE4916"/>
    <w:rsid w:val="00CE4A6E"/>
    <w:rsid w:val="00CE4AFB"/>
    <w:rsid w:val="00CE4B5B"/>
    <w:rsid w:val="00CE4C25"/>
    <w:rsid w:val="00CE4C90"/>
    <w:rsid w:val="00CE4CAA"/>
    <w:rsid w:val="00CE4D6D"/>
    <w:rsid w:val="00CE4DD8"/>
    <w:rsid w:val="00CE4DEE"/>
    <w:rsid w:val="00CE4DF9"/>
    <w:rsid w:val="00CE4FD9"/>
    <w:rsid w:val="00CE4FDF"/>
    <w:rsid w:val="00CE5064"/>
    <w:rsid w:val="00CE50D0"/>
    <w:rsid w:val="00CE50F4"/>
    <w:rsid w:val="00CE518D"/>
    <w:rsid w:val="00CE5217"/>
    <w:rsid w:val="00CE5224"/>
    <w:rsid w:val="00CE528B"/>
    <w:rsid w:val="00CE5358"/>
    <w:rsid w:val="00CE53D1"/>
    <w:rsid w:val="00CE53D6"/>
    <w:rsid w:val="00CE5424"/>
    <w:rsid w:val="00CE5488"/>
    <w:rsid w:val="00CE54BB"/>
    <w:rsid w:val="00CE5512"/>
    <w:rsid w:val="00CE552A"/>
    <w:rsid w:val="00CE5636"/>
    <w:rsid w:val="00CE566E"/>
    <w:rsid w:val="00CE5678"/>
    <w:rsid w:val="00CE56B0"/>
    <w:rsid w:val="00CE56D4"/>
    <w:rsid w:val="00CE575C"/>
    <w:rsid w:val="00CE57B8"/>
    <w:rsid w:val="00CE57F1"/>
    <w:rsid w:val="00CE5889"/>
    <w:rsid w:val="00CE5953"/>
    <w:rsid w:val="00CE598D"/>
    <w:rsid w:val="00CE5A51"/>
    <w:rsid w:val="00CE5B08"/>
    <w:rsid w:val="00CE5B8F"/>
    <w:rsid w:val="00CE5D0C"/>
    <w:rsid w:val="00CE5D16"/>
    <w:rsid w:val="00CE5D2A"/>
    <w:rsid w:val="00CE5D4D"/>
    <w:rsid w:val="00CE5E13"/>
    <w:rsid w:val="00CE5E45"/>
    <w:rsid w:val="00CE5E87"/>
    <w:rsid w:val="00CE5E90"/>
    <w:rsid w:val="00CE5EAE"/>
    <w:rsid w:val="00CE5ED0"/>
    <w:rsid w:val="00CE60A2"/>
    <w:rsid w:val="00CE6129"/>
    <w:rsid w:val="00CE6148"/>
    <w:rsid w:val="00CE6166"/>
    <w:rsid w:val="00CE6176"/>
    <w:rsid w:val="00CE6191"/>
    <w:rsid w:val="00CE61A7"/>
    <w:rsid w:val="00CE62B6"/>
    <w:rsid w:val="00CE632C"/>
    <w:rsid w:val="00CE636B"/>
    <w:rsid w:val="00CE63CB"/>
    <w:rsid w:val="00CE64C9"/>
    <w:rsid w:val="00CE64CC"/>
    <w:rsid w:val="00CE64F8"/>
    <w:rsid w:val="00CE6508"/>
    <w:rsid w:val="00CE6512"/>
    <w:rsid w:val="00CE6552"/>
    <w:rsid w:val="00CE6586"/>
    <w:rsid w:val="00CE6613"/>
    <w:rsid w:val="00CE6654"/>
    <w:rsid w:val="00CE6745"/>
    <w:rsid w:val="00CE67BB"/>
    <w:rsid w:val="00CE67DB"/>
    <w:rsid w:val="00CE682C"/>
    <w:rsid w:val="00CE6881"/>
    <w:rsid w:val="00CE68F9"/>
    <w:rsid w:val="00CE692A"/>
    <w:rsid w:val="00CE6936"/>
    <w:rsid w:val="00CE696B"/>
    <w:rsid w:val="00CE697A"/>
    <w:rsid w:val="00CE69B2"/>
    <w:rsid w:val="00CE6A74"/>
    <w:rsid w:val="00CE6ABC"/>
    <w:rsid w:val="00CE6B56"/>
    <w:rsid w:val="00CE6BC8"/>
    <w:rsid w:val="00CE6C8D"/>
    <w:rsid w:val="00CE6CCA"/>
    <w:rsid w:val="00CE6CEF"/>
    <w:rsid w:val="00CE6D76"/>
    <w:rsid w:val="00CE6E23"/>
    <w:rsid w:val="00CE6E24"/>
    <w:rsid w:val="00CE6E74"/>
    <w:rsid w:val="00CE6EDA"/>
    <w:rsid w:val="00CE6EF0"/>
    <w:rsid w:val="00CE6F6D"/>
    <w:rsid w:val="00CE6FED"/>
    <w:rsid w:val="00CE6FF2"/>
    <w:rsid w:val="00CE7159"/>
    <w:rsid w:val="00CE71FE"/>
    <w:rsid w:val="00CE7209"/>
    <w:rsid w:val="00CE72A6"/>
    <w:rsid w:val="00CE737B"/>
    <w:rsid w:val="00CE7420"/>
    <w:rsid w:val="00CE7424"/>
    <w:rsid w:val="00CE74C1"/>
    <w:rsid w:val="00CE74D3"/>
    <w:rsid w:val="00CE7503"/>
    <w:rsid w:val="00CE75B1"/>
    <w:rsid w:val="00CE7629"/>
    <w:rsid w:val="00CE76A4"/>
    <w:rsid w:val="00CE76F5"/>
    <w:rsid w:val="00CE7751"/>
    <w:rsid w:val="00CE777B"/>
    <w:rsid w:val="00CE779D"/>
    <w:rsid w:val="00CE77F3"/>
    <w:rsid w:val="00CE780E"/>
    <w:rsid w:val="00CE784F"/>
    <w:rsid w:val="00CE787D"/>
    <w:rsid w:val="00CE78CC"/>
    <w:rsid w:val="00CE794C"/>
    <w:rsid w:val="00CE7AB5"/>
    <w:rsid w:val="00CE7B54"/>
    <w:rsid w:val="00CE7B6D"/>
    <w:rsid w:val="00CE7BD7"/>
    <w:rsid w:val="00CE7C3E"/>
    <w:rsid w:val="00CE7C95"/>
    <w:rsid w:val="00CE7C9E"/>
    <w:rsid w:val="00CE7D56"/>
    <w:rsid w:val="00CE7EA0"/>
    <w:rsid w:val="00CE7ED8"/>
    <w:rsid w:val="00CE7F31"/>
    <w:rsid w:val="00CE7F53"/>
    <w:rsid w:val="00CE7F6B"/>
    <w:rsid w:val="00CE7FEC"/>
    <w:rsid w:val="00CF0041"/>
    <w:rsid w:val="00CF007C"/>
    <w:rsid w:val="00CF009E"/>
    <w:rsid w:val="00CF01BA"/>
    <w:rsid w:val="00CF0307"/>
    <w:rsid w:val="00CF0373"/>
    <w:rsid w:val="00CF040D"/>
    <w:rsid w:val="00CF0499"/>
    <w:rsid w:val="00CF0813"/>
    <w:rsid w:val="00CF0837"/>
    <w:rsid w:val="00CF0906"/>
    <w:rsid w:val="00CF0A2E"/>
    <w:rsid w:val="00CF0A33"/>
    <w:rsid w:val="00CF0A38"/>
    <w:rsid w:val="00CF0ACB"/>
    <w:rsid w:val="00CF0AFA"/>
    <w:rsid w:val="00CF0B05"/>
    <w:rsid w:val="00CF0CBE"/>
    <w:rsid w:val="00CF0D33"/>
    <w:rsid w:val="00CF0D43"/>
    <w:rsid w:val="00CF0DC4"/>
    <w:rsid w:val="00CF0E03"/>
    <w:rsid w:val="00CF0EAB"/>
    <w:rsid w:val="00CF0F2D"/>
    <w:rsid w:val="00CF0F64"/>
    <w:rsid w:val="00CF0FA8"/>
    <w:rsid w:val="00CF10AB"/>
    <w:rsid w:val="00CF10F4"/>
    <w:rsid w:val="00CF11DE"/>
    <w:rsid w:val="00CF13A4"/>
    <w:rsid w:val="00CF13AC"/>
    <w:rsid w:val="00CF1571"/>
    <w:rsid w:val="00CF16BA"/>
    <w:rsid w:val="00CF16FC"/>
    <w:rsid w:val="00CF170E"/>
    <w:rsid w:val="00CF1753"/>
    <w:rsid w:val="00CF176F"/>
    <w:rsid w:val="00CF17F8"/>
    <w:rsid w:val="00CF18E1"/>
    <w:rsid w:val="00CF1901"/>
    <w:rsid w:val="00CF197C"/>
    <w:rsid w:val="00CF1B33"/>
    <w:rsid w:val="00CF1BBC"/>
    <w:rsid w:val="00CF1BC6"/>
    <w:rsid w:val="00CF1C26"/>
    <w:rsid w:val="00CF1CDE"/>
    <w:rsid w:val="00CF1D54"/>
    <w:rsid w:val="00CF1DD5"/>
    <w:rsid w:val="00CF1DFE"/>
    <w:rsid w:val="00CF1E7E"/>
    <w:rsid w:val="00CF1F75"/>
    <w:rsid w:val="00CF1FF8"/>
    <w:rsid w:val="00CF2088"/>
    <w:rsid w:val="00CF21D1"/>
    <w:rsid w:val="00CF21FD"/>
    <w:rsid w:val="00CF2212"/>
    <w:rsid w:val="00CF2242"/>
    <w:rsid w:val="00CF2272"/>
    <w:rsid w:val="00CF2331"/>
    <w:rsid w:val="00CF2337"/>
    <w:rsid w:val="00CF236F"/>
    <w:rsid w:val="00CF23FE"/>
    <w:rsid w:val="00CF24D0"/>
    <w:rsid w:val="00CF25B1"/>
    <w:rsid w:val="00CF2640"/>
    <w:rsid w:val="00CF26E8"/>
    <w:rsid w:val="00CF271D"/>
    <w:rsid w:val="00CF272F"/>
    <w:rsid w:val="00CF2738"/>
    <w:rsid w:val="00CF2763"/>
    <w:rsid w:val="00CF29D9"/>
    <w:rsid w:val="00CF2A1C"/>
    <w:rsid w:val="00CF2A6B"/>
    <w:rsid w:val="00CF2A7D"/>
    <w:rsid w:val="00CF2AFE"/>
    <w:rsid w:val="00CF2DD6"/>
    <w:rsid w:val="00CF2DF0"/>
    <w:rsid w:val="00CF2EAC"/>
    <w:rsid w:val="00CF2ED7"/>
    <w:rsid w:val="00CF2F71"/>
    <w:rsid w:val="00CF3010"/>
    <w:rsid w:val="00CF3100"/>
    <w:rsid w:val="00CF3105"/>
    <w:rsid w:val="00CF316B"/>
    <w:rsid w:val="00CF323B"/>
    <w:rsid w:val="00CF3284"/>
    <w:rsid w:val="00CF32F6"/>
    <w:rsid w:val="00CF3305"/>
    <w:rsid w:val="00CF335D"/>
    <w:rsid w:val="00CF336A"/>
    <w:rsid w:val="00CF355C"/>
    <w:rsid w:val="00CF35A3"/>
    <w:rsid w:val="00CF3621"/>
    <w:rsid w:val="00CF362E"/>
    <w:rsid w:val="00CF3639"/>
    <w:rsid w:val="00CF3703"/>
    <w:rsid w:val="00CF382B"/>
    <w:rsid w:val="00CF38D1"/>
    <w:rsid w:val="00CF3985"/>
    <w:rsid w:val="00CF3987"/>
    <w:rsid w:val="00CF3A43"/>
    <w:rsid w:val="00CF3A48"/>
    <w:rsid w:val="00CF3A4A"/>
    <w:rsid w:val="00CF3B1E"/>
    <w:rsid w:val="00CF3BCE"/>
    <w:rsid w:val="00CF3C6C"/>
    <w:rsid w:val="00CF3D7C"/>
    <w:rsid w:val="00CF3D88"/>
    <w:rsid w:val="00CF3DFC"/>
    <w:rsid w:val="00CF3E10"/>
    <w:rsid w:val="00CF3E98"/>
    <w:rsid w:val="00CF3EBB"/>
    <w:rsid w:val="00CF4051"/>
    <w:rsid w:val="00CF40B9"/>
    <w:rsid w:val="00CF40DA"/>
    <w:rsid w:val="00CF4167"/>
    <w:rsid w:val="00CF41F6"/>
    <w:rsid w:val="00CF427C"/>
    <w:rsid w:val="00CF42AD"/>
    <w:rsid w:val="00CF42F4"/>
    <w:rsid w:val="00CF43AE"/>
    <w:rsid w:val="00CF4498"/>
    <w:rsid w:val="00CF44FB"/>
    <w:rsid w:val="00CF450D"/>
    <w:rsid w:val="00CF453B"/>
    <w:rsid w:val="00CF4552"/>
    <w:rsid w:val="00CF4595"/>
    <w:rsid w:val="00CF45C6"/>
    <w:rsid w:val="00CF4662"/>
    <w:rsid w:val="00CF4714"/>
    <w:rsid w:val="00CF4836"/>
    <w:rsid w:val="00CF484E"/>
    <w:rsid w:val="00CF4955"/>
    <w:rsid w:val="00CF4990"/>
    <w:rsid w:val="00CF4AD1"/>
    <w:rsid w:val="00CF4AD8"/>
    <w:rsid w:val="00CF4B13"/>
    <w:rsid w:val="00CF4B2A"/>
    <w:rsid w:val="00CF4B3B"/>
    <w:rsid w:val="00CF4BD7"/>
    <w:rsid w:val="00CF4BEB"/>
    <w:rsid w:val="00CF4CA2"/>
    <w:rsid w:val="00CF4D74"/>
    <w:rsid w:val="00CF4E53"/>
    <w:rsid w:val="00CF4EA3"/>
    <w:rsid w:val="00CF4FC9"/>
    <w:rsid w:val="00CF4FF6"/>
    <w:rsid w:val="00CF4FF8"/>
    <w:rsid w:val="00CF5086"/>
    <w:rsid w:val="00CF50F8"/>
    <w:rsid w:val="00CF5155"/>
    <w:rsid w:val="00CF52E4"/>
    <w:rsid w:val="00CF5356"/>
    <w:rsid w:val="00CF538D"/>
    <w:rsid w:val="00CF55CE"/>
    <w:rsid w:val="00CF55EF"/>
    <w:rsid w:val="00CF563B"/>
    <w:rsid w:val="00CF568E"/>
    <w:rsid w:val="00CF5699"/>
    <w:rsid w:val="00CF5733"/>
    <w:rsid w:val="00CF581A"/>
    <w:rsid w:val="00CF58D1"/>
    <w:rsid w:val="00CF58FA"/>
    <w:rsid w:val="00CF5979"/>
    <w:rsid w:val="00CF5C51"/>
    <w:rsid w:val="00CF5CA4"/>
    <w:rsid w:val="00CF5E2B"/>
    <w:rsid w:val="00CF5EB5"/>
    <w:rsid w:val="00CF5ED7"/>
    <w:rsid w:val="00CF5EF4"/>
    <w:rsid w:val="00CF5F05"/>
    <w:rsid w:val="00CF5F50"/>
    <w:rsid w:val="00CF5FB7"/>
    <w:rsid w:val="00CF604D"/>
    <w:rsid w:val="00CF6096"/>
    <w:rsid w:val="00CF60D4"/>
    <w:rsid w:val="00CF60EF"/>
    <w:rsid w:val="00CF617F"/>
    <w:rsid w:val="00CF6241"/>
    <w:rsid w:val="00CF6380"/>
    <w:rsid w:val="00CF65A4"/>
    <w:rsid w:val="00CF65D9"/>
    <w:rsid w:val="00CF662F"/>
    <w:rsid w:val="00CF670D"/>
    <w:rsid w:val="00CF671B"/>
    <w:rsid w:val="00CF6871"/>
    <w:rsid w:val="00CF68A2"/>
    <w:rsid w:val="00CF69A7"/>
    <w:rsid w:val="00CF69AB"/>
    <w:rsid w:val="00CF6AF8"/>
    <w:rsid w:val="00CF6B27"/>
    <w:rsid w:val="00CF6B7D"/>
    <w:rsid w:val="00CF6C85"/>
    <w:rsid w:val="00CF6C9F"/>
    <w:rsid w:val="00CF6CB2"/>
    <w:rsid w:val="00CF6CD0"/>
    <w:rsid w:val="00CF6D6D"/>
    <w:rsid w:val="00CF6D6E"/>
    <w:rsid w:val="00CF6E3F"/>
    <w:rsid w:val="00CF6E6E"/>
    <w:rsid w:val="00CF6F0C"/>
    <w:rsid w:val="00CF6FDA"/>
    <w:rsid w:val="00CF7053"/>
    <w:rsid w:val="00CF70A8"/>
    <w:rsid w:val="00CF70E8"/>
    <w:rsid w:val="00CF70F6"/>
    <w:rsid w:val="00CF71C4"/>
    <w:rsid w:val="00CF7274"/>
    <w:rsid w:val="00CF72EB"/>
    <w:rsid w:val="00CF7358"/>
    <w:rsid w:val="00CF744E"/>
    <w:rsid w:val="00CF750E"/>
    <w:rsid w:val="00CF751F"/>
    <w:rsid w:val="00CF7537"/>
    <w:rsid w:val="00CF7557"/>
    <w:rsid w:val="00CF7573"/>
    <w:rsid w:val="00CF75ED"/>
    <w:rsid w:val="00CF760C"/>
    <w:rsid w:val="00CF7610"/>
    <w:rsid w:val="00CF7695"/>
    <w:rsid w:val="00CF776F"/>
    <w:rsid w:val="00CF7784"/>
    <w:rsid w:val="00CF77DB"/>
    <w:rsid w:val="00CF7975"/>
    <w:rsid w:val="00CF799E"/>
    <w:rsid w:val="00CF79C4"/>
    <w:rsid w:val="00CF7ADE"/>
    <w:rsid w:val="00CF7B61"/>
    <w:rsid w:val="00CF7BC1"/>
    <w:rsid w:val="00CF7BC3"/>
    <w:rsid w:val="00CF7C15"/>
    <w:rsid w:val="00CF7C6B"/>
    <w:rsid w:val="00CF7D29"/>
    <w:rsid w:val="00CF7D7C"/>
    <w:rsid w:val="00CF7DAF"/>
    <w:rsid w:val="00CF7E54"/>
    <w:rsid w:val="00CF7ECD"/>
    <w:rsid w:val="00CF7F22"/>
    <w:rsid w:val="00CF7F2B"/>
    <w:rsid w:val="00CF7F48"/>
    <w:rsid w:val="00CF7F73"/>
    <w:rsid w:val="00CF7FEB"/>
    <w:rsid w:val="00D0004A"/>
    <w:rsid w:val="00D000C4"/>
    <w:rsid w:val="00D001C1"/>
    <w:rsid w:val="00D0023D"/>
    <w:rsid w:val="00D002FC"/>
    <w:rsid w:val="00D00479"/>
    <w:rsid w:val="00D00486"/>
    <w:rsid w:val="00D00498"/>
    <w:rsid w:val="00D004B0"/>
    <w:rsid w:val="00D00512"/>
    <w:rsid w:val="00D00518"/>
    <w:rsid w:val="00D00530"/>
    <w:rsid w:val="00D00696"/>
    <w:rsid w:val="00D0069E"/>
    <w:rsid w:val="00D00702"/>
    <w:rsid w:val="00D00765"/>
    <w:rsid w:val="00D007AA"/>
    <w:rsid w:val="00D00817"/>
    <w:rsid w:val="00D0081B"/>
    <w:rsid w:val="00D0082E"/>
    <w:rsid w:val="00D009BF"/>
    <w:rsid w:val="00D00ABA"/>
    <w:rsid w:val="00D00BF7"/>
    <w:rsid w:val="00D00C35"/>
    <w:rsid w:val="00D00C93"/>
    <w:rsid w:val="00D00E7F"/>
    <w:rsid w:val="00D00E84"/>
    <w:rsid w:val="00D00EA6"/>
    <w:rsid w:val="00D01016"/>
    <w:rsid w:val="00D010DA"/>
    <w:rsid w:val="00D010EF"/>
    <w:rsid w:val="00D0114C"/>
    <w:rsid w:val="00D0115C"/>
    <w:rsid w:val="00D0121D"/>
    <w:rsid w:val="00D01221"/>
    <w:rsid w:val="00D01245"/>
    <w:rsid w:val="00D01264"/>
    <w:rsid w:val="00D012C0"/>
    <w:rsid w:val="00D012DF"/>
    <w:rsid w:val="00D0133C"/>
    <w:rsid w:val="00D0135D"/>
    <w:rsid w:val="00D01419"/>
    <w:rsid w:val="00D01503"/>
    <w:rsid w:val="00D015C8"/>
    <w:rsid w:val="00D01617"/>
    <w:rsid w:val="00D0163B"/>
    <w:rsid w:val="00D01685"/>
    <w:rsid w:val="00D0168C"/>
    <w:rsid w:val="00D01743"/>
    <w:rsid w:val="00D0176F"/>
    <w:rsid w:val="00D017FC"/>
    <w:rsid w:val="00D01831"/>
    <w:rsid w:val="00D018D4"/>
    <w:rsid w:val="00D0192E"/>
    <w:rsid w:val="00D01A56"/>
    <w:rsid w:val="00D01A6D"/>
    <w:rsid w:val="00D01A87"/>
    <w:rsid w:val="00D01AE5"/>
    <w:rsid w:val="00D01B33"/>
    <w:rsid w:val="00D01B35"/>
    <w:rsid w:val="00D01BE9"/>
    <w:rsid w:val="00D01C20"/>
    <w:rsid w:val="00D01C5C"/>
    <w:rsid w:val="00D01CD2"/>
    <w:rsid w:val="00D01D24"/>
    <w:rsid w:val="00D01DAF"/>
    <w:rsid w:val="00D01E29"/>
    <w:rsid w:val="00D01E50"/>
    <w:rsid w:val="00D01EAB"/>
    <w:rsid w:val="00D01F39"/>
    <w:rsid w:val="00D01F5F"/>
    <w:rsid w:val="00D01FA7"/>
    <w:rsid w:val="00D01FD6"/>
    <w:rsid w:val="00D02059"/>
    <w:rsid w:val="00D02153"/>
    <w:rsid w:val="00D02162"/>
    <w:rsid w:val="00D021B4"/>
    <w:rsid w:val="00D02243"/>
    <w:rsid w:val="00D02271"/>
    <w:rsid w:val="00D022EE"/>
    <w:rsid w:val="00D02401"/>
    <w:rsid w:val="00D02539"/>
    <w:rsid w:val="00D02558"/>
    <w:rsid w:val="00D025CF"/>
    <w:rsid w:val="00D02645"/>
    <w:rsid w:val="00D02690"/>
    <w:rsid w:val="00D02713"/>
    <w:rsid w:val="00D0273B"/>
    <w:rsid w:val="00D0278F"/>
    <w:rsid w:val="00D028EB"/>
    <w:rsid w:val="00D028ED"/>
    <w:rsid w:val="00D02964"/>
    <w:rsid w:val="00D02B4D"/>
    <w:rsid w:val="00D02BA1"/>
    <w:rsid w:val="00D02BDC"/>
    <w:rsid w:val="00D02C56"/>
    <w:rsid w:val="00D02CF8"/>
    <w:rsid w:val="00D02D1E"/>
    <w:rsid w:val="00D02E26"/>
    <w:rsid w:val="00D02EDF"/>
    <w:rsid w:val="00D02EE5"/>
    <w:rsid w:val="00D02F7A"/>
    <w:rsid w:val="00D02F82"/>
    <w:rsid w:val="00D02FFD"/>
    <w:rsid w:val="00D03033"/>
    <w:rsid w:val="00D0309F"/>
    <w:rsid w:val="00D030A6"/>
    <w:rsid w:val="00D03141"/>
    <w:rsid w:val="00D03166"/>
    <w:rsid w:val="00D031C5"/>
    <w:rsid w:val="00D0332A"/>
    <w:rsid w:val="00D03355"/>
    <w:rsid w:val="00D033ED"/>
    <w:rsid w:val="00D0342E"/>
    <w:rsid w:val="00D03447"/>
    <w:rsid w:val="00D0349A"/>
    <w:rsid w:val="00D03622"/>
    <w:rsid w:val="00D0364D"/>
    <w:rsid w:val="00D03733"/>
    <w:rsid w:val="00D0373F"/>
    <w:rsid w:val="00D03756"/>
    <w:rsid w:val="00D037EE"/>
    <w:rsid w:val="00D03920"/>
    <w:rsid w:val="00D0396C"/>
    <w:rsid w:val="00D03B7B"/>
    <w:rsid w:val="00D03B8C"/>
    <w:rsid w:val="00D03C52"/>
    <w:rsid w:val="00D03D19"/>
    <w:rsid w:val="00D03D3F"/>
    <w:rsid w:val="00D03D53"/>
    <w:rsid w:val="00D03DAB"/>
    <w:rsid w:val="00D03DBF"/>
    <w:rsid w:val="00D03DEC"/>
    <w:rsid w:val="00D03E26"/>
    <w:rsid w:val="00D03F0A"/>
    <w:rsid w:val="00D03F95"/>
    <w:rsid w:val="00D03FEF"/>
    <w:rsid w:val="00D04015"/>
    <w:rsid w:val="00D041AD"/>
    <w:rsid w:val="00D04227"/>
    <w:rsid w:val="00D044DD"/>
    <w:rsid w:val="00D04611"/>
    <w:rsid w:val="00D04616"/>
    <w:rsid w:val="00D04655"/>
    <w:rsid w:val="00D04715"/>
    <w:rsid w:val="00D04735"/>
    <w:rsid w:val="00D047C6"/>
    <w:rsid w:val="00D0486C"/>
    <w:rsid w:val="00D04912"/>
    <w:rsid w:val="00D049AC"/>
    <w:rsid w:val="00D049E3"/>
    <w:rsid w:val="00D04A9C"/>
    <w:rsid w:val="00D04AA9"/>
    <w:rsid w:val="00D04AB3"/>
    <w:rsid w:val="00D04C18"/>
    <w:rsid w:val="00D04DEE"/>
    <w:rsid w:val="00D04E46"/>
    <w:rsid w:val="00D04E66"/>
    <w:rsid w:val="00D04F79"/>
    <w:rsid w:val="00D04FA1"/>
    <w:rsid w:val="00D04FE5"/>
    <w:rsid w:val="00D0505B"/>
    <w:rsid w:val="00D05167"/>
    <w:rsid w:val="00D051A5"/>
    <w:rsid w:val="00D051E9"/>
    <w:rsid w:val="00D051FA"/>
    <w:rsid w:val="00D0524E"/>
    <w:rsid w:val="00D052FC"/>
    <w:rsid w:val="00D05385"/>
    <w:rsid w:val="00D053A0"/>
    <w:rsid w:val="00D05416"/>
    <w:rsid w:val="00D05525"/>
    <w:rsid w:val="00D05547"/>
    <w:rsid w:val="00D0560E"/>
    <w:rsid w:val="00D05766"/>
    <w:rsid w:val="00D05771"/>
    <w:rsid w:val="00D057CF"/>
    <w:rsid w:val="00D057E4"/>
    <w:rsid w:val="00D057E5"/>
    <w:rsid w:val="00D057F1"/>
    <w:rsid w:val="00D05A79"/>
    <w:rsid w:val="00D05A8D"/>
    <w:rsid w:val="00D05AE7"/>
    <w:rsid w:val="00D05B66"/>
    <w:rsid w:val="00D05BD0"/>
    <w:rsid w:val="00D05C4D"/>
    <w:rsid w:val="00D05D2B"/>
    <w:rsid w:val="00D05E08"/>
    <w:rsid w:val="00D05E8A"/>
    <w:rsid w:val="00D05EBF"/>
    <w:rsid w:val="00D05F35"/>
    <w:rsid w:val="00D05F43"/>
    <w:rsid w:val="00D05F61"/>
    <w:rsid w:val="00D062A5"/>
    <w:rsid w:val="00D06342"/>
    <w:rsid w:val="00D063C8"/>
    <w:rsid w:val="00D06403"/>
    <w:rsid w:val="00D06485"/>
    <w:rsid w:val="00D064CD"/>
    <w:rsid w:val="00D064F6"/>
    <w:rsid w:val="00D064FC"/>
    <w:rsid w:val="00D065B1"/>
    <w:rsid w:val="00D067B8"/>
    <w:rsid w:val="00D068CD"/>
    <w:rsid w:val="00D06A01"/>
    <w:rsid w:val="00D06A82"/>
    <w:rsid w:val="00D06B49"/>
    <w:rsid w:val="00D06C1D"/>
    <w:rsid w:val="00D06C5B"/>
    <w:rsid w:val="00D06D26"/>
    <w:rsid w:val="00D06D4D"/>
    <w:rsid w:val="00D06DC7"/>
    <w:rsid w:val="00D06E0C"/>
    <w:rsid w:val="00D06E5E"/>
    <w:rsid w:val="00D06FF2"/>
    <w:rsid w:val="00D070C1"/>
    <w:rsid w:val="00D070E4"/>
    <w:rsid w:val="00D071FF"/>
    <w:rsid w:val="00D07220"/>
    <w:rsid w:val="00D0727B"/>
    <w:rsid w:val="00D07289"/>
    <w:rsid w:val="00D0738B"/>
    <w:rsid w:val="00D07486"/>
    <w:rsid w:val="00D074D5"/>
    <w:rsid w:val="00D0765B"/>
    <w:rsid w:val="00D076B2"/>
    <w:rsid w:val="00D07782"/>
    <w:rsid w:val="00D07789"/>
    <w:rsid w:val="00D077F6"/>
    <w:rsid w:val="00D0783C"/>
    <w:rsid w:val="00D07A63"/>
    <w:rsid w:val="00D07B34"/>
    <w:rsid w:val="00D07B6A"/>
    <w:rsid w:val="00D07B8A"/>
    <w:rsid w:val="00D07B8F"/>
    <w:rsid w:val="00D07BE3"/>
    <w:rsid w:val="00D07C07"/>
    <w:rsid w:val="00D07C89"/>
    <w:rsid w:val="00D07CA2"/>
    <w:rsid w:val="00D07D8E"/>
    <w:rsid w:val="00D07DF0"/>
    <w:rsid w:val="00D07ECF"/>
    <w:rsid w:val="00D07F49"/>
    <w:rsid w:val="00D07F55"/>
    <w:rsid w:val="00D10051"/>
    <w:rsid w:val="00D10077"/>
    <w:rsid w:val="00D1009E"/>
    <w:rsid w:val="00D10123"/>
    <w:rsid w:val="00D10175"/>
    <w:rsid w:val="00D10184"/>
    <w:rsid w:val="00D10195"/>
    <w:rsid w:val="00D101F7"/>
    <w:rsid w:val="00D1036D"/>
    <w:rsid w:val="00D10457"/>
    <w:rsid w:val="00D10504"/>
    <w:rsid w:val="00D10586"/>
    <w:rsid w:val="00D106DB"/>
    <w:rsid w:val="00D1072A"/>
    <w:rsid w:val="00D10774"/>
    <w:rsid w:val="00D10808"/>
    <w:rsid w:val="00D10845"/>
    <w:rsid w:val="00D1091A"/>
    <w:rsid w:val="00D10925"/>
    <w:rsid w:val="00D10927"/>
    <w:rsid w:val="00D1096F"/>
    <w:rsid w:val="00D1098A"/>
    <w:rsid w:val="00D10A18"/>
    <w:rsid w:val="00D10ADC"/>
    <w:rsid w:val="00D10B1C"/>
    <w:rsid w:val="00D10B7F"/>
    <w:rsid w:val="00D10B80"/>
    <w:rsid w:val="00D10C2C"/>
    <w:rsid w:val="00D10C58"/>
    <w:rsid w:val="00D10D49"/>
    <w:rsid w:val="00D10DE7"/>
    <w:rsid w:val="00D10E11"/>
    <w:rsid w:val="00D10E16"/>
    <w:rsid w:val="00D10E43"/>
    <w:rsid w:val="00D10E74"/>
    <w:rsid w:val="00D10EB0"/>
    <w:rsid w:val="00D1104A"/>
    <w:rsid w:val="00D1104D"/>
    <w:rsid w:val="00D110BF"/>
    <w:rsid w:val="00D11128"/>
    <w:rsid w:val="00D1112D"/>
    <w:rsid w:val="00D11147"/>
    <w:rsid w:val="00D1114D"/>
    <w:rsid w:val="00D11187"/>
    <w:rsid w:val="00D111F4"/>
    <w:rsid w:val="00D111FB"/>
    <w:rsid w:val="00D11307"/>
    <w:rsid w:val="00D11402"/>
    <w:rsid w:val="00D1145E"/>
    <w:rsid w:val="00D11556"/>
    <w:rsid w:val="00D115F2"/>
    <w:rsid w:val="00D11699"/>
    <w:rsid w:val="00D1176D"/>
    <w:rsid w:val="00D11940"/>
    <w:rsid w:val="00D11A30"/>
    <w:rsid w:val="00D11A88"/>
    <w:rsid w:val="00D11ADB"/>
    <w:rsid w:val="00D11B20"/>
    <w:rsid w:val="00D11C59"/>
    <w:rsid w:val="00D11D4F"/>
    <w:rsid w:val="00D11E79"/>
    <w:rsid w:val="00D11EE6"/>
    <w:rsid w:val="00D11F8B"/>
    <w:rsid w:val="00D11FB4"/>
    <w:rsid w:val="00D11FDE"/>
    <w:rsid w:val="00D11FE4"/>
    <w:rsid w:val="00D1209A"/>
    <w:rsid w:val="00D120AD"/>
    <w:rsid w:val="00D121BA"/>
    <w:rsid w:val="00D121CD"/>
    <w:rsid w:val="00D123B9"/>
    <w:rsid w:val="00D12431"/>
    <w:rsid w:val="00D1251E"/>
    <w:rsid w:val="00D12572"/>
    <w:rsid w:val="00D1259E"/>
    <w:rsid w:val="00D1268C"/>
    <w:rsid w:val="00D1270E"/>
    <w:rsid w:val="00D1270F"/>
    <w:rsid w:val="00D127CE"/>
    <w:rsid w:val="00D12896"/>
    <w:rsid w:val="00D128E6"/>
    <w:rsid w:val="00D12907"/>
    <w:rsid w:val="00D12986"/>
    <w:rsid w:val="00D129DF"/>
    <w:rsid w:val="00D129F3"/>
    <w:rsid w:val="00D12A0A"/>
    <w:rsid w:val="00D12A48"/>
    <w:rsid w:val="00D12A80"/>
    <w:rsid w:val="00D12A97"/>
    <w:rsid w:val="00D12B1F"/>
    <w:rsid w:val="00D12B7B"/>
    <w:rsid w:val="00D12D65"/>
    <w:rsid w:val="00D12E24"/>
    <w:rsid w:val="00D12E67"/>
    <w:rsid w:val="00D12E75"/>
    <w:rsid w:val="00D12E81"/>
    <w:rsid w:val="00D12E90"/>
    <w:rsid w:val="00D1300D"/>
    <w:rsid w:val="00D130CD"/>
    <w:rsid w:val="00D130E7"/>
    <w:rsid w:val="00D13112"/>
    <w:rsid w:val="00D13126"/>
    <w:rsid w:val="00D13176"/>
    <w:rsid w:val="00D13255"/>
    <w:rsid w:val="00D13287"/>
    <w:rsid w:val="00D132EF"/>
    <w:rsid w:val="00D13321"/>
    <w:rsid w:val="00D13392"/>
    <w:rsid w:val="00D134BD"/>
    <w:rsid w:val="00D1354D"/>
    <w:rsid w:val="00D1375B"/>
    <w:rsid w:val="00D137BD"/>
    <w:rsid w:val="00D13804"/>
    <w:rsid w:val="00D1381B"/>
    <w:rsid w:val="00D13822"/>
    <w:rsid w:val="00D13859"/>
    <w:rsid w:val="00D138AE"/>
    <w:rsid w:val="00D13938"/>
    <w:rsid w:val="00D13959"/>
    <w:rsid w:val="00D13A31"/>
    <w:rsid w:val="00D13AED"/>
    <w:rsid w:val="00D13B24"/>
    <w:rsid w:val="00D13BC1"/>
    <w:rsid w:val="00D13C9C"/>
    <w:rsid w:val="00D13CFC"/>
    <w:rsid w:val="00D13D77"/>
    <w:rsid w:val="00D13D8A"/>
    <w:rsid w:val="00D13D93"/>
    <w:rsid w:val="00D13DBC"/>
    <w:rsid w:val="00D13E5E"/>
    <w:rsid w:val="00D13E96"/>
    <w:rsid w:val="00D13F17"/>
    <w:rsid w:val="00D13F35"/>
    <w:rsid w:val="00D13FBE"/>
    <w:rsid w:val="00D14045"/>
    <w:rsid w:val="00D14071"/>
    <w:rsid w:val="00D1415E"/>
    <w:rsid w:val="00D14170"/>
    <w:rsid w:val="00D14187"/>
    <w:rsid w:val="00D14198"/>
    <w:rsid w:val="00D141CB"/>
    <w:rsid w:val="00D141DE"/>
    <w:rsid w:val="00D14256"/>
    <w:rsid w:val="00D14273"/>
    <w:rsid w:val="00D14474"/>
    <w:rsid w:val="00D14491"/>
    <w:rsid w:val="00D1456F"/>
    <w:rsid w:val="00D147DA"/>
    <w:rsid w:val="00D148D1"/>
    <w:rsid w:val="00D148F0"/>
    <w:rsid w:val="00D14937"/>
    <w:rsid w:val="00D14B3E"/>
    <w:rsid w:val="00D14B8A"/>
    <w:rsid w:val="00D14BC6"/>
    <w:rsid w:val="00D14C3E"/>
    <w:rsid w:val="00D14CEC"/>
    <w:rsid w:val="00D14E51"/>
    <w:rsid w:val="00D14E77"/>
    <w:rsid w:val="00D14F02"/>
    <w:rsid w:val="00D14F37"/>
    <w:rsid w:val="00D14FC6"/>
    <w:rsid w:val="00D15076"/>
    <w:rsid w:val="00D1515E"/>
    <w:rsid w:val="00D151EA"/>
    <w:rsid w:val="00D15206"/>
    <w:rsid w:val="00D15249"/>
    <w:rsid w:val="00D1525B"/>
    <w:rsid w:val="00D152D3"/>
    <w:rsid w:val="00D1530F"/>
    <w:rsid w:val="00D15449"/>
    <w:rsid w:val="00D154AD"/>
    <w:rsid w:val="00D156DF"/>
    <w:rsid w:val="00D156F0"/>
    <w:rsid w:val="00D15724"/>
    <w:rsid w:val="00D15788"/>
    <w:rsid w:val="00D157A6"/>
    <w:rsid w:val="00D157B0"/>
    <w:rsid w:val="00D1580B"/>
    <w:rsid w:val="00D15829"/>
    <w:rsid w:val="00D158C5"/>
    <w:rsid w:val="00D158EE"/>
    <w:rsid w:val="00D15991"/>
    <w:rsid w:val="00D15B35"/>
    <w:rsid w:val="00D15B37"/>
    <w:rsid w:val="00D15C62"/>
    <w:rsid w:val="00D15CAD"/>
    <w:rsid w:val="00D15CE9"/>
    <w:rsid w:val="00D15D01"/>
    <w:rsid w:val="00D15DDD"/>
    <w:rsid w:val="00D16060"/>
    <w:rsid w:val="00D161CC"/>
    <w:rsid w:val="00D1646D"/>
    <w:rsid w:val="00D1647C"/>
    <w:rsid w:val="00D16492"/>
    <w:rsid w:val="00D16543"/>
    <w:rsid w:val="00D16549"/>
    <w:rsid w:val="00D16573"/>
    <w:rsid w:val="00D165D2"/>
    <w:rsid w:val="00D166A7"/>
    <w:rsid w:val="00D166A9"/>
    <w:rsid w:val="00D16770"/>
    <w:rsid w:val="00D16799"/>
    <w:rsid w:val="00D167F7"/>
    <w:rsid w:val="00D16A2B"/>
    <w:rsid w:val="00D16A3F"/>
    <w:rsid w:val="00D16A4A"/>
    <w:rsid w:val="00D16AC1"/>
    <w:rsid w:val="00D16B34"/>
    <w:rsid w:val="00D16B8A"/>
    <w:rsid w:val="00D16C68"/>
    <w:rsid w:val="00D16DD5"/>
    <w:rsid w:val="00D16EB1"/>
    <w:rsid w:val="00D16ECB"/>
    <w:rsid w:val="00D16F4F"/>
    <w:rsid w:val="00D17012"/>
    <w:rsid w:val="00D17015"/>
    <w:rsid w:val="00D172E2"/>
    <w:rsid w:val="00D1740C"/>
    <w:rsid w:val="00D1753C"/>
    <w:rsid w:val="00D1754E"/>
    <w:rsid w:val="00D175CB"/>
    <w:rsid w:val="00D175D0"/>
    <w:rsid w:val="00D176D6"/>
    <w:rsid w:val="00D176DB"/>
    <w:rsid w:val="00D1775A"/>
    <w:rsid w:val="00D1776E"/>
    <w:rsid w:val="00D17786"/>
    <w:rsid w:val="00D1794E"/>
    <w:rsid w:val="00D17A59"/>
    <w:rsid w:val="00D17AFC"/>
    <w:rsid w:val="00D17B05"/>
    <w:rsid w:val="00D17B57"/>
    <w:rsid w:val="00D17B5C"/>
    <w:rsid w:val="00D17B7D"/>
    <w:rsid w:val="00D17C1E"/>
    <w:rsid w:val="00D17C27"/>
    <w:rsid w:val="00D17C2A"/>
    <w:rsid w:val="00D17C46"/>
    <w:rsid w:val="00D17C6B"/>
    <w:rsid w:val="00D17C9B"/>
    <w:rsid w:val="00D17CD5"/>
    <w:rsid w:val="00D17D33"/>
    <w:rsid w:val="00D17EAD"/>
    <w:rsid w:val="00D17F4F"/>
    <w:rsid w:val="00D2002D"/>
    <w:rsid w:val="00D200BF"/>
    <w:rsid w:val="00D200E2"/>
    <w:rsid w:val="00D201C7"/>
    <w:rsid w:val="00D202B6"/>
    <w:rsid w:val="00D20308"/>
    <w:rsid w:val="00D20327"/>
    <w:rsid w:val="00D2033D"/>
    <w:rsid w:val="00D20381"/>
    <w:rsid w:val="00D2047F"/>
    <w:rsid w:val="00D204E4"/>
    <w:rsid w:val="00D2059A"/>
    <w:rsid w:val="00D206A6"/>
    <w:rsid w:val="00D2070C"/>
    <w:rsid w:val="00D2072B"/>
    <w:rsid w:val="00D20737"/>
    <w:rsid w:val="00D20765"/>
    <w:rsid w:val="00D2077B"/>
    <w:rsid w:val="00D208E2"/>
    <w:rsid w:val="00D20916"/>
    <w:rsid w:val="00D209C4"/>
    <w:rsid w:val="00D20A6B"/>
    <w:rsid w:val="00D20B55"/>
    <w:rsid w:val="00D20B7F"/>
    <w:rsid w:val="00D20C2C"/>
    <w:rsid w:val="00D20C3C"/>
    <w:rsid w:val="00D20D1D"/>
    <w:rsid w:val="00D20DF3"/>
    <w:rsid w:val="00D20EFD"/>
    <w:rsid w:val="00D20FF4"/>
    <w:rsid w:val="00D21008"/>
    <w:rsid w:val="00D2100C"/>
    <w:rsid w:val="00D21156"/>
    <w:rsid w:val="00D212EF"/>
    <w:rsid w:val="00D212F2"/>
    <w:rsid w:val="00D2137C"/>
    <w:rsid w:val="00D213B1"/>
    <w:rsid w:val="00D213EB"/>
    <w:rsid w:val="00D2150F"/>
    <w:rsid w:val="00D215C3"/>
    <w:rsid w:val="00D215CD"/>
    <w:rsid w:val="00D217B1"/>
    <w:rsid w:val="00D217CD"/>
    <w:rsid w:val="00D217D5"/>
    <w:rsid w:val="00D2180B"/>
    <w:rsid w:val="00D218A6"/>
    <w:rsid w:val="00D21900"/>
    <w:rsid w:val="00D21940"/>
    <w:rsid w:val="00D21958"/>
    <w:rsid w:val="00D219D1"/>
    <w:rsid w:val="00D21A1B"/>
    <w:rsid w:val="00D21B80"/>
    <w:rsid w:val="00D21BA1"/>
    <w:rsid w:val="00D21C0F"/>
    <w:rsid w:val="00D21C6E"/>
    <w:rsid w:val="00D21D22"/>
    <w:rsid w:val="00D21D23"/>
    <w:rsid w:val="00D21D49"/>
    <w:rsid w:val="00D21DE9"/>
    <w:rsid w:val="00D21EC9"/>
    <w:rsid w:val="00D21FCB"/>
    <w:rsid w:val="00D21FE5"/>
    <w:rsid w:val="00D2201D"/>
    <w:rsid w:val="00D2204F"/>
    <w:rsid w:val="00D22080"/>
    <w:rsid w:val="00D22364"/>
    <w:rsid w:val="00D223FB"/>
    <w:rsid w:val="00D22438"/>
    <w:rsid w:val="00D226CB"/>
    <w:rsid w:val="00D2270D"/>
    <w:rsid w:val="00D227CD"/>
    <w:rsid w:val="00D22855"/>
    <w:rsid w:val="00D22888"/>
    <w:rsid w:val="00D22A71"/>
    <w:rsid w:val="00D22A8C"/>
    <w:rsid w:val="00D22B4A"/>
    <w:rsid w:val="00D22BA4"/>
    <w:rsid w:val="00D22BEF"/>
    <w:rsid w:val="00D22C43"/>
    <w:rsid w:val="00D22CCE"/>
    <w:rsid w:val="00D22CCF"/>
    <w:rsid w:val="00D22CE3"/>
    <w:rsid w:val="00D230CF"/>
    <w:rsid w:val="00D232A1"/>
    <w:rsid w:val="00D232DB"/>
    <w:rsid w:val="00D232EB"/>
    <w:rsid w:val="00D233F0"/>
    <w:rsid w:val="00D2341D"/>
    <w:rsid w:val="00D23542"/>
    <w:rsid w:val="00D2356D"/>
    <w:rsid w:val="00D235BE"/>
    <w:rsid w:val="00D236A7"/>
    <w:rsid w:val="00D23765"/>
    <w:rsid w:val="00D237D4"/>
    <w:rsid w:val="00D237F0"/>
    <w:rsid w:val="00D23800"/>
    <w:rsid w:val="00D238B3"/>
    <w:rsid w:val="00D239DE"/>
    <w:rsid w:val="00D23A12"/>
    <w:rsid w:val="00D23A2F"/>
    <w:rsid w:val="00D23D50"/>
    <w:rsid w:val="00D23E25"/>
    <w:rsid w:val="00D23F39"/>
    <w:rsid w:val="00D24026"/>
    <w:rsid w:val="00D2402B"/>
    <w:rsid w:val="00D24048"/>
    <w:rsid w:val="00D240AA"/>
    <w:rsid w:val="00D240AB"/>
    <w:rsid w:val="00D241CA"/>
    <w:rsid w:val="00D241FE"/>
    <w:rsid w:val="00D24246"/>
    <w:rsid w:val="00D24315"/>
    <w:rsid w:val="00D243F6"/>
    <w:rsid w:val="00D24420"/>
    <w:rsid w:val="00D2443E"/>
    <w:rsid w:val="00D24440"/>
    <w:rsid w:val="00D2449D"/>
    <w:rsid w:val="00D245DD"/>
    <w:rsid w:val="00D24776"/>
    <w:rsid w:val="00D247B0"/>
    <w:rsid w:val="00D247F6"/>
    <w:rsid w:val="00D247F9"/>
    <w:rsid w:val="00D24803"/>
    <w:rsid w:val="00D24811"/>
    <w:rsid w:val="00D248E2"/>
    <w:rsid w:val="00D249B5"/>
    <w:rsid w:val="00D249F3"/>
    <w:rsid w:val="00D24A0F"/>
    <w:rsid w:val="00D24B28"/>
    <w:rsid w:val="00D24B43"/>
    <w:rsid w:val="00D24C3F"/>
    <w:rsid w:val="00D24C6A"/>
    <w:rsid w:val="00D24DD3"/>
    <w:rsid w:val="00D24F0E"/>
    <w:rsid w:val="00D25014"/>
    <w:rsid w:val="00D25030"/>
    <w:rsid w:val="00D2506E"/>
    <w:rsid w:val="00D250B3"/>
    <w:rsid w:val="00D25231"/>
    <w:rsid w:val="00D252C1"/>
    <w:rsid w:val="00D2538F"/>
    <w:rsid w:val="00D253DC"/>
    <w:rsid w:val="00D253E7"/>
    <w:rsid w:val="00D25409"/>
    <w:rsid w:val="00D25411"/>
    <w:rsid w:val="00D25449"/>
    <w:rsid w:val="00D25479"/>
    <w:rsid w:val="00D254AB"/>
    <w:rsid w:val="00D25547"/>
    <w:rsid w:val="00D255C8"/>
    <w:rsid w:val="00D256FB"/>
    <w:rsid w:val="00D257B6"/>
    <w:rsid w:val="00D2583E"/>
    <w:rsid w:val="00D2585A"/>
    <w:rsid w:val="00D25881"/>
    <w:rsid w:val="00D25894"/>
    <w:rsid w:val="00D2595B"/>
    <w:rsid w:val="00D25A04"/>
    <w:rsid w:val="00D25A2B"/>
    <w:rsid w:val="00D25A53"/>
    <w:rsid w:val="00D25A6F"/>
    <w:rsid w:val="00D25BA6"/>
    <w:rsid w:val="00D25C0A"/>
    <w:rsid w:val="00D25C69"/>
    <w:rsid w:val="00D25C90"/>
    <w:rsid w:val="00D25CCA"/>
    <w:rsid w:val="00D25D05"/>
    <w:rsid w:val="00D25D36"/>
    <w:rsid w:val="00D25DCD"/>
    <w:rsid w:val="00D25FD0"/>
    <w:rsid w:val="00D2604B"/>
    <w:rsid w:val="00D26053"/>
    <w:rsid w:val="00D2608C"/>
    <w:rsid w:val="00D2616A"/>
    <w:rsid w:val="00D261D2"/>
    <w:rsid w:val="00D2622F"/>
    <w:rsid w:val="00D26315"/>
    <w:rsid w:val="00D264BE"/>
    <w:rsid w:val="00D265A7"/>
    <w:rsid w:val="00D265E2"/>
    <w:rsid w:val="00D2684B"/>
    <w:rsid w:val="00D26859"/>
    <w:rsid w:val="00D2696F"/>
    <w:rsid w:val="00D26A21"/>
    <w:rsid w:val="00D26A7E"/>
    <w:rsid w:val="00D26AC8"/>
    <w:rsid w:val="00D26B54"/>
    <w:rsid w:val="00D26B64"/>
    <w:rsid w:val="00D26B86"/>
    <w:rsid w:val="00D26BF6"/>
    <w:rsid w:val="00D26CFC"/>
    <w:rsid w:val="00D26D80"/>
    <w:rsid w:val="00D26D8A"/>
    <w:rsid w:val="00D26F1F"/>
    <w:rsid w:val="00D26F26"/>
    <w:rsid w:val="00D2700E"/>
    <w:rsid w:val="00D27030"/>
    <w:rsid w:val="00D27100"/>
    <w:rsid w:val="00D27151"/>
    <w:rsid w:val="00D27156"/>
    <w:rsid w:val="00D27203"/>
    <w:rsid w:val="00D2728E"/>
    <w:rsid w:val="00D27350"/>
    <w:rsid w:val="00D274B5"/>
    <w:rsid w:val="00D274F4"/>
    <w:rsid w:val="00D2753A"/>
    <w:rsid w:val="00D27566"/>
    <w:rsid w:val="00D27629"/>
    <w:rsid w:val="00D27898"/>
    <w:rsid w:val="00D27899"/>
    <w:rsid w:val="00D278CD"/>
    <w:rsid w:val="00D27914"/>
    <w:rsid w:val="00D27936"/>
    <w:rsid w:val="00D27949"/>
    <w:rsid w:val="00D2794F"/>
    <w:rsid w:val="00D2796F"/>
    <w:rsid w:val="00D27AEC"/>
    <w:rsid w:val="00D27AF7"/>
    <w:rsid w:val="00D27B21"/>
    <w:rsid w:val="00D27B51"/>
    <w:rsid w:val="00D27BB0"/>
    <w:rsid w:val="00D27BC0"/>
    <w:rsid w:val="00D27C09"/>
    <w:rsid w:val="00D27C80"/>
    <w:rsid w:val="00D27C94"/>
    <w:rsid w:val="00D27CBB"/>
    <w:rsid w:val="00D27CCD"/>
    <w:rsid w:val="00D27CDD"/>
    <w:rsid w:val="00D27D84"/>
    <w:rsid w:val="00D27E59"/>
    <w:rsid w:val="00D27FB0"/>
    <w:rsid w:val="00D3002E"/>
    <w:rsid w:val="00D3006C"/>
    <w:rsid w:val="00D300C1"/>
    <w:rsid w:val="00D3016B"/>
    <w:rsid w:val="00D3018A"/>
    <w:rsid w:val="00D301B3"/>
    <w:rsid w:val="00D30233"/>
    <w:rsid w:val="00D3023E"/>
    <w:rsid w:val="00D30257"/>
    <w:rsid w:val="00D30258"/>
    <w:rsid w:val="00D3025B"/>
    <w:rsid w:val="00D302E6"/>
    <w:rsid w:val="00D30325"/>
    <w:rsid w:val="00D30336"/>
    <w:rsid w:val="00D303B8"/>
    <w:rsid w:val="00D30407"/>
    <w:rsid w:val="00D30409"/>
    <w:rsid w:val="00D30561"/>
    <w:rsid w:val="00D305D2"/>
    <w:rsid w:val="00D30722"/>
    <w:rsid w:val="00D30752"/>
    <w:rsid w:val="00D307C9"/>
    <w:rsid w:val="00D307D2"/>
    <w:rsid w:val="00D30861"/>
    <w:rsid w:val="00D3086B"/>
    <w:rsid w:val="00D308AC"/>
    <w:rsid w:val="00D30B7A"/>
    <w:rsid w:val="00D30B80"/>
    <w:rsid w:val="00D30B9F"/>
    <w:rsid w:val="00D30C6C"/>
    <w:rsid w:val="00D30C6D"/>
    <w:rsid w:val="00D30CB3"/>
    <w:rsid w:val="00D30D3A"/>
    <w:rsid w:val="00D30DA0"/>
    <w:rsid w:val="00D30DA1"/>
    <w:rsid w:val="00D30DFB"/>
    <w:rsid w:val="00D30E1F"/>
    <w:rsid w:val="00D30E48"/>
    <w:rsid w:val="00D30F4C"/>
    <w:rsid w:val="00D30F71"/>
    <w:rsid w:val="00D30F82"/>
    <w:rsid w:val="00D31075"/>
    <w:rsid w:val="00D31087"/>
    <w:rsid w:val="00D311F4"/>
    <w:rsid w:val="00D3127F"/>
    <w:rsid w:val="00D31297"/>
    <w:rsid w:val="00D31320"/>
    <w:rsid w:val="00D3138C"/>
    <w:rsid w:val="00D31526"/>
    <w:rsid w:val="00D31591"/>
    <w:rsid w:val="00D315AF"/>
    <w:rsid w:val="00D3161F"/>
    <w:rsid w:val="00D316EC"/>
    <w:rsid w:val="00D3172B"/>
    <w:rsid w:val="00D31818"/>
    <w:rsid w:val="00D31853"/>
    <w:rsid w:val="00D3185B"/>
    <w:rsid w:val="00D31877"/>
    <w:rsid w:val="00D31891"/>
    <w:rsid w:val="00D318CF"/>
    <w:rsid w:val="00D319B5"/>
    <w:rsid w:val="00D31CA9"/>
    <w:rsid w:val="00D31CB0"/>
    <w:rsid w:val="00D31D97"/>
    <w:rsid w:val="00D31D98"/>
    <w:rsid w:val="00D31EA5"/>
    <w:rsid w:val="00D31F27"/>
    <w:rsid w:val="00D31F58"/>
    <w:rsid w:val="00D31F8D"/>
    <w:rsid w:val="00D32004"/>
    <w:rsid w:val="00D3205E"/>
    <w:rsid w:val="00D320AB"/>
    <w:rsid w:val="00D320D0"/>
    <w:rsid w:val="00D321B1"/>
    <w:rsid w:val="00D321CC"/>
    <w:rsid w:val="00D322D7"/>
    <w:rsid w:val="00D32325"/>
    <w:rsid w:val="00D323C6"/>
    <w:rsid w:val="00D3240E"/>
    <w:rsid w:val="00D32463"/>
    <w:rsid w:val="00D326AA"/>
    <w:rsid w:val="00D32818"/>
    <w:rsid w:val="00D32822"/>
    <w:rsid w:val="00D32890"/>
    <w:rsid w:val="00D328AC"/>
    <w:rsid w:val="00D328C6"/>
    <w:rsid w:val="00D328F6"/>
    <w:rsid w:val="00D32A12"/>
    <w:rsid w:val="00D32AA1"/>
    <w:rsid w:val="00D32AE0"/>
    <w:rsid w:val="00D32AF4"/>
    <w:rsid w:val="00D32B22"/>
    <w:rsid w:val="00D32B52"/>
    <w:rsid w:val="00D32CCD"/>
    <w:rsid w:val="00D32D2D"/>
    <w:rsid w:val="00D32D37"/>
    <w:rsid w:val="00D32E1F"/>
    <w:rsid w:val="00D32E2E"/>
    <w:rsid w:val="00D32E69"/>
    <w:rsid w:val="00D32FD9"/>
    <w:rsid w:val="00D32FEE"/>
    <w:rsid w:val="00D32FFA"/>
    <w:rsid w:val="00D331AF"/>
    <w:rsid w:val="00D331B1"/>
    <w:rsid w:val="00D331F4"/>
    <w:rsid w:val="00D3322A"/>
    <w:rsid w:val="00D33320"/>
    <w:rsid w:val="00D3333B"/>
    <w:rsid w:val="00D33362"/>
    <w:rsid w:val="00D33369"/>
    <w:rsid w:val="00D333F8"/>
    <w:rsid w:val="00D3342D"/>
    <w:rsid w:val="00D334CA"/>
    <w:rsid w:val="00D334E9"/>
    <w:rsid w:val="00D33503"/>
    <w:rsid w:val="00D3357A"/>
    <w:rsid w:val="00D335A5"/>
    <w:rsid w:val="00D335D6"/>
    <w:rsid w:val="00D33704"/>
    <w:rsid w:val="00D337B9"/>
    <w:rsid w:val="00D33818"/>
    <w:rsid w:val="00D33834"/>
    <w:rsid w:val="00D3386D"/>
    <w:rsid w:val="00D3391E"/>
    <w:rsid w:val="00D33937"/>
    <w:rsid w:val="00D33968"/>
    <w:rsid w:val="00D33969"/>
    <w:rsid w:val="00D339BB"/>
    <w:rsid w:val="00D339DC"/>
    <w:rsid w:val="00D339FC"/>
    <w:rsid w:val="00D33A49"/>
    <w:rsid w:val="00D33A59"/>
    <w:rsid w:val="00D33A6A"/>
    <w:rsid w:val="00D33A81"/>
    <w:rsid w:val="00D33AA3"/>
    <w:rsid w:val="00D33B54"/>
    <w:rsid w:val="00D33C2E"/>
    <w:rsid w:val="00D33C3D"/>
    <w:rsid w:val="00D33CA2"/>
    <w:rsid w:val="00D33D20"/>
    <w:rsid w:val="00D33D61"/>
    <w:rsid w:val="00D33E36"/>
    <w:rsid w:val="00D33EAB"/>
    <w:rsid w:val="00D3401A"/>
    <w:rsid w:val="00D34029"/>
    <w:rsid w:val="00D3416D"/>
    <w:rsid w:val="00D34183"/>
    <w:rsid w:val="00D341B3"/>
    <w:rsid w:val="00D341ED"/>
    <w:rsid w:val="00D341F1"/>
    <w:rsid w:val="00D34266"/>
    <w:rsid w:val="00D34301"/>
    <w:rsid w:val="00D34397"/>
    <w:rsid w:val="00D343A6"/>
    <w:rsid w:val="00D343B1"/>
    <w:rsid w:val="00D3452D"/>
    <w:rsid w:val="00D34636"/>
    <w:rsid w:val="00D34668"/>
    <w:rsid w:val="00D346B4"/>
    <w:rsid w:val="00D346C1"/>
    <w:rsid w:val="00D34766"/>
    <w:rsid w:val="00D34780"/>
    <w:rsid w:val="00D347F6"/>
    <w:rsid w:val="00D34850"/>
    <w:rsid w:val="00D34898"/>
    <w:rsid w:val="00D348F2"/>
    <w:rsid w:val="00D3491A"/>
    <w:rsid w:val="00D34951"/>
    <w:rsid w:val="00D3498C"/>
    <w:rsid w:val="00D34A1A"/>
    <w:rsid w:val="00D34AC7"/>
    <w:rsid w:val="00D34BDC"/>
    <w:rsid w:val="00D34D08"/>
    <w:rsid w:val="00D34D3E"/>
    <w:rsid w:val="00D34F1D"/>
    <w:rsid w:val="00D35121"/>
    <w:rsid w:val="00D35132"/>
    <w:rsid w:val="00D35137"/>
    <w:rsid w:val="00D3513E"/>
    <w:rsid w:val="00D352D9"/>
    <w:rsid w:val="00D352F0"/>
    <w:rsid w:val="00D35344"/>
    <w:rsid w:val="00D35348"/>
    <w:rsid w:val="00D353B9"/>
    <w:rsid w:val="00D354AA"/>
    <w:rsid w:val="00D354DE"/>
    <w:rsid w:val="00D35528"/>
    <w:rsid w:val="00D355A8"/>
    <w:rsid w:val="00D35635"/>
    <w:rsid w:val="00D356FE"/>
    <w:rsid w:val="00D3574E"/>
    <w:rsid w:val="00D3576D"/>
    <w:rsid w:val="00D357DC"/>
    <w:rsid w:val="00D357DD"/>
    <w:rsid w:val="00D357FC"/>
    <w:rsid w:val="00D358C1"/>
    <w:rsid w:val="00D35ADA"/>
    <w:rsid w:val="00D35AE0"/>
    <w:rsid w:val="00D35B14"/>
    <w:rsid w:val="00D35B43"/>
    <w:rsid w:val="00D35BA1"/>
    <w:rsid w:val="00D35BB9"/>
    <w:rsid w:val="00D35BF4"/>
    <w:rsid w:val="00D35C17"/>
    <w:rsid w:val="00D35C89"/>
    <w:rsid w:val="00D35CF4"/>
    <w:rsid w:val="00D35D2E"/>
    <w:rsid w:val="00D35D69"/>
    <w:rsid w:val="00D35DB1"/>
    <w:rsid w:val="00D35DEF"/>
    <w:rsid w:val="00D35DF6"/>
    <w:rsid w:val="00D360F4"/>
    <w:rsid w:val="00D36108"/>
    <w:rsid w:val="00D3612E"/>
    <w:rsid w:val="00D361C7"/>
    <w:rsid w:val="00D3627C"/>
    <w:rsid w:val="00D363FC"/>
    <w:rsid w:val="00D365B1"/>
    <w:rsid w:val="00D365C4"/>
    <w:rsid w:val="00D365CE"/>
    <w:rsid w:val="00D365D2"/>
    <w:rsid w:val="00D3661D"/>
    <w:rsid w:val="00D36632"/>
    <w:rsid w:val="00D367D6"/>
    <w:rsid w:val="00D367F7"/>
    <w:rsid w:val="00D368B0"/>
    <w:rsid w:val="00D36965"/>
    <w:rsid w:val="00D36B1E"/>
    <w:rsid w:val="00D36B2C"/>
    <w:rsid w:val="00D36CB6"/>
    <w:rsid w:val="00D36D46"/>
    <w:rsid w:val="00D36E21"/>
    <w:rsid w:val="00D36ECB"/>
    <w:rsid w:val="00D36EE6"/>
    <w:rsid w:val="00D36F06"/>
    <w:rsid w:val="00D36F93"/>
    <w:rsid w:val="00D37005"/>
    <w:rsid w:val="00D37124"/>
    <w:rsid w:val="00D37143"/>
    <w:rsid w:val="00D3714C"/>
    <w:rsid w:val="00D37301"/>
    <w:rsid w:val="00D3730B"/>
    <w:rsid w:val="00D37348"/>
    <w:rsid w:val="00D373E2"/>
    <w:rsid w:val="00D37460"/>
    <w:rsid w:val="00D37496"/>
    <w:rsid w:val="00D374BD"/>
    <w:rsid w:val="00D374C0"/>
    <w:rsid w:val="00D37582"/>
    <w:rsid w:val="00D375E6"/>
    <w:rsid w:val="00D375F8"/>
    <w:rsid w:val="00D37606"/>
    <w:rsid w:val="00D3761A"/>
    <w:rsid w:val="00D37635"/>
    <w:rsid w:val="00D376A2"/>
    <w:rsid w:val="00D376DD"/>
    <w:rsid w:val="00D37725"/>
    <w:rsid w:val="00D377BF"/>
    <w:rsid w:val="00D377D0"/>
    <w:rsid w:val="00D378FF"/>
    <w:rsid w:val="00D37942"/>
    <w:rsid w:val="00D379C3"/>
    <w:rsid w:val="00D37A82"/>
    <w:rsid w:val="00D37AFD"/>
    <w:rsid w:val="00D37B55"/>
    <w:rsid w:val="00D37D3D"/>
    <w:rsid w:val="00D37D41"/>
    <w:rsid w:val="00D37E78"/>
    <w:rsid w:val="00D37EA2"/>
    <w:rsid w:val="00D37F5C"/>
    <w:rsid w:val="00D37FD9"/>
    <w:rsid w:val="00D400D3"/>
    <w:rsid w:val="00D4011D"/>
    <w:rsid w:val="00D4016F"/>
    <w:rsid w:val="00D401D3"/>
    <w:rsid w:val="00D4021E"/>
    <w:rsid w:val="00D403C8"/>
    <w:rsid w:val="00D403CE"/>
    <w:rsid w:val="00D40429"/>
    <w:rsid w:val="00D404B9"/>
    <w:rsid w:val="00D404BD"/>
    <w:rsid w:val="00D4051F"/>
    <w:rsid w:val="00D405DC"/>
    <w:rsid w:val="00D4066F"/>
    <w:rsid w:val="00D406A2"/>
    <w:rsid w:val="00D406A9"/>
    <w:rsid w:val="00D406E7"/>
    <w:rsid w:val="00D40761"/>
    <w:rsid w:val="00D40775"/>
    <w:rsid w:val="00D40886"/>
    <w:rsid w:val="00D408D8"/>
    <w:rsid w:val="00D40966"/>
    <w:rsid w:val="00D409EF"/>
    <w:rsid w:val="00D40A34"/>
    <w:rsid w:val="00D40A4D"/>
    <w:rsid w:val="00D40A88"/>
    <w:rsid w:val="00D40C05"/>
    <w:rsid w:val="00D40D53"/>
    <w:rsid w:val="00D40D75"/>
    <w:rsid w:val="00D40FCF"/>
    <w:rsid w:val="00D40FF5"/>
    <w:rsid w:val="00D41030"/>
    <w:rsid w:val="00D41071"/>
    <w:rsid w:val="00D4113F"/>
    <w:rsid w:val="00D41162"/>
    <w:rsid w:val="00D411D3"/>
    <w:rsid w:val="00D41229"/>
    <w:rsid w:val="00D41257"/>
    <w:rsid w:val="00D41353"/>
    <w:rsid w:val="00D4136B"/>
    <w:rsid w:val="00D413E0"/>
    <w:rsid w:val="00D41583"/>
    <w:rsid w:val="00D41587"/>
    <w:rsid w:val="00D4161F"/>
    <w:rsid w:val="00D41632"/>
    <w:rsid w:val="00D4177D"/>
    <w:rsid w:val="00D4199A"/>
    <w:rsid w:val="00D419AA"/>
    <w:rsid w:val="00D41A40"/>
    <w:rsid w:val="00D41A6A"/>
    <w:rsid w:val="00D41A8F"/>
    <w:rsid w:val="00D41AA4"/>
    <w:rsid w:val="00D41AC0"/>
    <w:rsid w:val="00D41AFE"/>
    <w:rsid w:val="00D41B57"/>
    <w:rsid w:val="00D41C00"/>
    <w:rsid w:val="00D41D1C"/>
    <w:rsid w:val="00D41D9E"/>
    <w:rsid w:val="00D41DC4"/>
    <w:rsid w:val="00D41DD4"/>
    <w:rsid w:val="00D41E90"/>
    <w:rsid w:val="00D41E95"/>
    <w:rsid w:val="00D41ECF"/>
    <w:rsid w:val="00D41F2F"/>
    <w:rsid w:val="00D41FA6"/>
    <w:rsid w:val="00D41FF3"/>
    <w:rsid w:val="00D42040"/>
    <w:rsid w:val="00D420C2"/>
    <w:rsid w:val="00D4225F"/>
    <w:rsid w:val="00D4226E"/>
    <w:rsid w:val="00D422DA"/>
    <w:rsid w:val="00D422F9"/>
    <w:rsid w:val="00D42364"/>
    <w:rsid w:val="00D42385"/>
    <w:rsid w:val="00D423EE"/>
    <w:rsid w:val="00D42417"/>
    <w:rsid w:val="00D42418"/>
    <w:rsid w:val="00D425B7"/>
    <w:rsid w:val="00D42607"/>
    <w:rsid w:val="00D42656"/>
    <w:rsid w:val="00D426EB"/>
    <w:rsid w:val="00D426ED"/>
    <w:rsid w:val="00D4279F"/>
    <w:rsid w:val="00D42802"/>
    <w:rsid w:val="00D42805"/>
    <w:rsid w:val="00D4290E"/>
    <w:rsid w:val="00D42B2B"/>
    <w:rsid w:val="00D42BBD"/>
    <w:rsid w:val="00D42BF5"/>
    <w:rsid w:val="00D42D6B"/>
    <w:rsid w:val="00D42DCF"/>
    <w:rsid w:val="00D42F81"/>
    <w:rsid w:val="00D42FB0"/>
    <w:rsid w:val="00D42FB4"/>
    <w:rsid w:val="00D43077"/>
    <w:rsid w:val="00D430A4"/>
    <w:rsid w:val="00D43179"/>
    <w:rsid w:val="00D43434"/>
    <w:rsid w:val="00D434F2"/>
    <w:rsid w:val="00D4358C"/>
    <w:rsid w:val="00D435AF"/>
    <w:rsid w:val="00D435B6"/>
    <w:rsid w:val="00D43676"/>
    <w:rsid w:val="00D4369C"/>
    <w:rsid w:val="00D43795"/>
    <w:rsid w:val="00D4379F"/>
    <w:rsid w:val="00D437D6"/>
    <w:rsid w:val="00D43817"/>
    <w:rsid w:val="00D43876"/>
    <w:rsid w:val="00D43918"/>
    <w:rsid w:val="00D4394E"/>
    <w:rsid w:val="00D43A42"/>
    <w:rsid w:val="00D43A4E"/>
    <w:rsid w:val="00D43A6E"/>
    <w:rsid w:val="00D43A76"/>
    <w:rsid w:val="00D43A91"/>
    <w:rsid w:val="00D43B35"/>
    <w:rsid w:val="00D43BAF"/>
    <w:rsid w:val="00D43BB7"/>
    <w:rsid w:val="00D43D09"/>
    <w:rsid w:val="00D43E94"/>
    <w:rsid w:val="00D43EDB"/>
    <w:rsid w:val="00D43F2B"/>
    <w:rsid w:val="00D43F73"/>
    <w:rsid w:val="00D43F91"/>
    <w:rsid w:val="00D43FF1"/>
    <w:rsid w:val="00D44086"/>
    <w:rsid w:val="00D440E6"/>
    <w:rsid w:val="00D4415D"/>
    <w:rsid w:val="00D44182"/>
    <w:rsid w:val="00D4419F"/>
    <w:rsid w:val="00D441B2"/>
    <w:rsid w:val="00D441E3"/>
    <w:rsid w:val="00D442A9"/>
    <w:rsid w:val="00D443AA"/>
    <w:rsid w:val="00D443C7"/>
    <w:rsid w:val="00D4440A"/>
    <w:rsid w:val="00D44424"/>
    <w:rsid w:val="00D4442B"/>
    <w:rsid w:val="00D44448"/>
    <w:rsid w:val="00D4444C"/>
    <w:rsid w:val="00D44561"/>
    <w:rsid w:val="00D4467B"/>
    <w:rsid w:val="00D446B7"/>
    <w:rsid w:val="00D446F7"/>
    <w:rsid w:val="00D44715"/>
    <w:rsid w:val="00D4478A"/>
    <w:rsid w:val="00D447B3"/>
    <w:rsid w:val="00D447DA"/>
    <w:rsid w:val="00D447ED"/>
    <w:rsid w:val="00D44825"/>
    <w:rsid w:val="00D4485B"/>
    <w:rsid w:val="00D448C3"/>
    <w:rsid w:val="00D448D7"/>
    <w:rsid w:val="00D44949"/>
    <w:rsid w:val="00D44A6A"/>
    <w:rsid w:val="00D44AAF"/>
    <w:rsid w:val="00D44AC1"/>
    <w:rsid w:val="00D44B25"/>
    <w:rsid w:val="00D44BA6"/>
    <w:rsid w:val="00D44BEF"/>
    <w:rsid w:val="00D44C3E"/>
    <w:rsid w:val="00D44C9B"/>
    <w:rsid w:val="00D44CE6"/>
    <w:rsid w:val="00D44D52"/>
    <w:rsid w:val="00D44D8B"/>
    <w:rsid w:val="00D44D95"/>
    <w:rsid w:val="00D44DAC"/>
    <w:rsid w:val="00D44DE9"/>
    <w:rsid w:val="00D44DF8"/>
    <w:rsid w:val="00D44DFD"/>
    <w:rsid w:val="00D44ECC"/>
    <w:rsid w:val="00D44F14"/>
    <w:rsid w:val="00D45003"/>
    <w:rsid w:val="00D450AC"/>
    <w:rsid w:val="00D450D0"/>
    <w:rsid w:val="00D450D6"/>
    <w:rsid w:val="00D4512F"/>
    <w:rsid w:val="00D451C0"/>
    <w:rsid w:val="00D45251"/>
    <w:rsid w:val="00D45286"/>
    <w:rsid w:val="00D453A4"/>
    <w:rsid w:val="00D454E1"/>
    <w:rsid w:val="00D455CF"/>
    <w:rsid w:val="00D45615"/>
    <w:rsid w:val="00D4568C"/>
    <w:rsid w:val="00D45919"/>
    <w:rsid w:val="00D45920"/>
    <w:rsid w:val="00D45971"/>
    <w:rsid w:val="00D45A34"/>
    <w:rsid w:val="00D45A5E"/>
    <w:rsid w:val="00D45A6C"/>
    <w:rsid w:val="00D45B02"/>
    <w:rsid w:val="00D45BAD"/>
    <w:rsid w:val="00D45BD8"/>
    <w:rsid w:val="00D45CAF"/>
    <w:rsid w:val="00D45CDE"/>
    <w:rsid w:val="00D45D14"/>
    <w:rsid w:val="00D45D3A"/>
    <w:rsid w:val="00D45DDD"/>
    <w:rsid w:val="00D45E18"/>
    <w:rsid w:val="00D45F5D"/>
    <w:rsid w:val="00D45F62"/>
    <w:rsid w:val="00D45F6D"/>
    <w:rsid w:val="00D45FC9"/>
    <w:rsid w:val="00D46000"/>
    <w:rsid w:val="00D46053"/>
    <w:rsid w:val="00D460A7"/>
    <w:rsid w:val="00D460D9"/>
    <w:rsid w:val="00D4613F"/>
    <w:rsid w:val="00D46229"/>
    <w:rsid w:val="00D46263"/>
    <w:rsid w:val="00D462D1"/>
    <w:rsid w:val="00D462D2"/>
    <w:rsid w:val="00D4630C"/>
    <w:rsid w:val="00D4632C"/>
    <w:rsid w:val="00D463F3"/>
    <w:rsid w:val="00D4642D"/>
    <w:rsid w:val="00D464A9"/>
    <w:rsid w:val="00D464CF"/>
    <w:rsid w:val="00D4661A"/>
    <w:rsid w:val="00D46635"/>
    <w:rsid w:val="00D466CF"/>
    <w:rsid w:val="00D46764"/>
    <w:rsid w:val="00D46830"/>
    <w:rsid w:val="00D468AB"/>
    <w:rsid w:val="00D46A15"/>
    <w:rsid w:val="00D46A34"/>
    <w:rsid w:val="00D46A47"/>
    <w:rsid w:val="00D46A54"/>
    <w:rsid w:val="00D46B0F"/>
    <w:rsid w:val="00D46D74"/>
    <w:rsid w:val="00D46E1C"/>
    <w:rsid w:val="00D46E36"/>
    <w:rsid w:val="00D46E4D"/>
    <w:rsid w:val="00D46ECD"/>
    <w:rsid w:val="00D46F14"/>
    <w:rsid w:val="00D46FEA"/>
    <w:rsid w:val="00D471C6"/>
    <w:rsid w:val="00D47281"/>
    <w:rsid w:val="00D472E9"/>
    <w:rsid w:val="00D47300"/>
    <w:rsid w:val="00D47323"/>
    <w:rsid w:val="00D47375"/>
    <w:rsid w:val="00D473FE"/>
    <w:rsid w:val="00D47408"/>
    <w:rsid w:val="00D474CB"/>
    <w:rsid w:val="00D474E2"/>
    <w:rsid w:val="00D4751B"/>
    <w:rsid w:val="00D47534"/>
    <w:rsid w:val="00D47635"/>
    <w:rsid w:val="00D47640"/>
    <w:rsid w:val="00D4766D"/>
    <w:rsid w:val="00D4773A"/>
    <w:rsid w:val="00D47782"/>
    <w:rsid w:val="00D47789"/>
    <w:rsid w:val="00D47796"/>
    <w:rsid w:val="00D47800"/>
    <w:rsid w:val="00D47815"/>
    <w:rsid w:val="00D47819"/>
    <w:rsid w:val="00D478B2"/>
    <w:rsid w:val="00D478D3"/>
    <w:rsid w:val="00D47971"/>
    <w:rsid w:val="00D47B2E"/>
    <w:rsid w:val="00D47B31"/>
    <w:rsid w:val="00D47B3D"/>
    <w:rsid w:val="00D47BF6"/>
    <w:rsid w:val="00D47C02"/>
    <w:rsid w:val="00D47D27"/>
    <w:rsid w:val="00D47D2C"/>
    <w:rsid w:val="00D47D60"/>
    <w:rsid w:val="00D47D88"/>
    <w:rsid w:val="00D47DA1"/>
    <w:rsid w:val="00D47DD0"/>
    <w:rsid w:val="00D47E0C"/>
    <w:rsid w:val="00D47E7E"/>
    <w:rsid w:val="00D47F3A"/>
    <w:rsid w:val="00D47F45"/>
    <w:rsid w:val="00D47FFE"/>
    <w:rsid w:val="00D500BC"/>
    <w:rsid w:val="00D5012A"/>
    <w:rsid w:val="00D50174"/>
    <w:rsid w:val="00D501CE"/>
    <w:rsid w:val="00D50247"/>
    <w:rsid w:val="00D50397"/>
    <w:rsid w:val="00D50423"/>
    <w:rsid w:val="00D50620"/>
    <w:rsid w:val="00D507B6"/>
    <w:rsid w:val="00D50801"/>
    <w:rsid w:val="00D50870"/>
    <w:rsid w:val="00D50880"/>
    <w:rsid w:val="00D50946"/>
    <w:rsid w:val="00D50ACC"/>
    <w:rsid w:val="00D50B04"/>
    <w:rsid w:val="00D50C09"/>
    <w:rsid w:val="00D50C13"/>
    <w:rsid w:val="00D50C24"/>
    <w:rsid w:val="00D50CED"/>
    <w:rsid w:val="00D50D53"/>
    <w:rsid w:val="00D50ECC"/>
    <w:rsid w:val="00D50EEF"/>
    <w:rsid w:val="00D50FFA"/>
    <w:rsid w:val="00D51030"/>
    <w:rsid w:val="00D510EE"/>
    <w:rsid w:val="00D51110"/>
    <w:rsid w:val="00D51116"/>
    <w:rsid w:val="00D511D0"/>
    <w:rsid w:val="00D511D9"/>
    <w:rsid w:val="00D51262"/>
    <w:rsid w:val="00D51303"/>
    <w:rsid w:val="00D5130E"/>
    <w:rsid w:val="00D51314"/>
    <w:rsid w:val="00D51363"/>
    <w:rsid w:val="00D513CF"/>
    <w:rsid w:val="00D513DF"/>
    <w:rsid w:val="00D5140E"/>
    <w:rsid w:val="00D514DA"/>
    <w:rsid w:val="00D5153B"/>
    <w:rsid w:val="00D5153E"/>
    <w:rsid w:val="00D515A0"/>
    <w:rsid w:val="00D515DF"/>
    <w:rsid w:val="00D516BB"/>
    <w:rsid w:val="00D516C5"/>
    <w:rsid w:val="00D517D8"/>
    <w:rsid w:val="00D51801"/>
    <w:rsid w:val="00D5181C"/>
    <w:rsid w:val="00D5183A"/>
    <w:rsid w:val="00D5189B"/>
    <w:rsid w:val="00D519D4"/>
    <w:rsid w:val="00D51A74"/>
    <w:rsid w:val="00D51B1D"/>
    <w:rsid w:val="00D51BF5"/>
    <w:rsid w:val="00D51C2C"/>
    <w:rsid w:val="00D51C52"/>
    <w:rsid w:val="00D51C7E"/>
    <w:rsid w:val="00D51C97"/>
    <w:rsid w:val="00D51CA4"/>
    <w:rsid w:val="00D51D2A"/>
    <w:rsid w:val="00D51DA8"/>
    <w:rsid w:val="00D51DC0"/>
    <w:rsid w:val="00D51DEC"/>
    <w:rsid w:val="00D51DF2"/>
    <w:rsid w:val="00D51E34"/>
    <w:rsid w:val="00D51FBD"/>
    <w:rsid w:val="00D51FDC"/>
    <w:rsid w:val="00D51FEE"/>
    <w:rsid w:val="00D5200B"/>
    <w:rsid w:val="00D52059"/>
    <w:rsid w:val="00D520D9"/>
    <w:rsid w:val="00D520DC"/>
    <w:rsid w:val="00D520FC"/>
    <w:rsid w:val="00D5216B"/>
    <w:rsid w:val="00D5235B"/>
    <w:rsid w:val="00D5245D"/>
    <w:rsid w:val="00D52464"/>
    <w:rsid w:val="00D52488"/>
    <w:rsid w:val="00D524DB"/>
    <w:rsid w:val="00D524FF"/>
    <w:rsid w:val="00D52530"/>
    <w:rsid w:val="00D5254B"/>
    <w:rsid w:val="00D5255F"/>
    <w:rsid w:val="00D5257C"/>
    <w:rsid w:val="00D5265E"/>
    <w:rsid w:val="00D526BE"/>
    <w:rsid w:val="00D526E7"/>
    <w:rsid w:val="00D5279C"/>
    <w:rsid w:val="00D5279D"/>
    <w:rsid w:val="00D527C0"/>
    <w:rsid w:val="00D5283B"/>
    <w:rsid w:val="00D52849"/>
    <w:rsid w:val="00D528B4"/>
    <w:rsid w:val="00D5295D"/>
    <w:rsid w:val="00D52A27"/>
    <w:rsid w:val="00D52A42"/>
    <w:rsid w:val="00D52A54"/>
    <w:rsid w:val="00D52A55"/>
    <w:rsid w:val="00D52B52"/>
    <w:rsid w:val="00D52CFF"/>
    <w:rsid w:val="00D52D74"/>
    <w:rsid w:val="00D52DC2"/>
    <w:rsid w:val="00D52E4E"/>
    <w:rsid w:val="00D52EB1"/>
    <w:rsid w:val="00D52ECA"/>
    <w:rsid w:val="00D52F52"/>
    <w:rsid w:val="00D52FC6"/>
    <w:rsid w:val="00D52FD2"/>
    <w:rsid w:val="00D52FF2"/>
    <w:rsid w:val="00D531C6"/>
    <w:rsid w:val="00D531E3"/>
    <w:rsid w:val="00D532D4"/>
    <w:rsid w:val="00D53353"/>
    <w:rsid w:val="00D534B5"/>
    <w:rsid w:val="00D534C6"/>
    <w:rsid w:val="00D534D6"/>
    <w:rsid w:val="00D535FA"/>
    <w:rsid w:val="00D5360B"/>
    <w:rsid w:val="00D536F6"/>
    <w:rsid w:val="00D536F8"/>
    <w:rsid w:val="00D536FE"/>
    <w:rsid w:val="00D53744"/>
    <w:rsid w:val="00D53768"/>
    <w:rsid w:val="00D53828"/>
    <w:rsid w:val="00D538DB"/>
    <w:rsid w:val="00D5393B"/>
    <w:rsid w:val="00D53992"/>
    <w:rsid w:val="00D539B9"/>
    <w:rsid w:val="00D53A5B"/>
    <w:rsid w:val="00D53CC8"/>
    <w:rsid w:val="00D53E54"/>
    <w:rsid w:val="00D53EA3"/>
    <w:rsid w:val="00D53EF6"/>
    <w:rsid w:val="00D53FE9"/>
    <w:rsid w:val="00D540A3"/>
    <w:rsid w:val="00D540AF"/>
    <w:rsid w:val="00D540E7"/>
    <w:rsid w:val="00D54106"/>
    <w:rsid w:val="00D54154"/>
    <w:rsid w:val="00D541E1"/>
    <w:rsid w:val="00D541EC"/>
    <w:rsid w:val="00D54216"/>
    <w:rsid w:val="00D54349"/>
    <w:rsid w:val="00D543C0"/>
    <w:rsid w:val="00D54430"/>
    <w:rsid w:val="00D5444E"/>
    <w:rsid w:val="00D544A3"/>
    <w:rsid w:val="00D544C7"/>
    <w:rsid w:val="00D544EF"/>
    <w:rsid w:val="00D54688"/>
    <w:rsid w:val="00D54772"/>
    <w:rsid w:val="00D547F8"/>
    <w:rsid w:val="00D5481B"/>
    <w:rsid w:val="00D5489D"/>
    <w:rsid w:val="00D5493E"/>
    <w:rsid w:val="00D54A1B"/>
    <w:rsid w:val="00D54AB6"/>
    <w:rsid w:val="00D54B13"/>
    <w:rsid w:val="00D54B88"/>
    <w:rsid w:val="00D54B91"/>
    <w:rsid w:val="00D54C5D"/>
    <w:rsid w:val="00D54CD2"/>
    <w:rsid w:val="00D54CE5"/>
    <w:rsid w:val="00D54D0F"/>
    <w:rsid w:val="00D54D59"/>
    <w:rsid w:val="00D54D64"/>
    <w:rsid w:val="00D54DED"/>
    <w:rsid w:val="00D54E0D"/>
    <w:rsid w:val="00D54E80"/>
    <w:rsid w:val="00D54E8C"/>
    <w:rsid w:val="00D54EB9"/>
    <w:rsid w:val="00D54F1B"/>
    <w:rsid w:val="00D54F7E"/>
    <w:rsid w:val="00D54F87"/>
    <w:rsid w:val="00D54FCD"/>
    <w:rsid w:val="00D54FD3"/>
    <w:rsid w:val="00D55032"/>
    <w:rsid w:val="00D55076"/>
    <w:rsid w:val="00D550BC"/>
    <w:rsid w:val="00D55118"/>
    <w:rsid w:val="00D5512E"/>
    <w:rsid w:val="00D55288"/>
    <w:rsid w:val="00D55298"/>
    <w:rsid w:val="00D552F2"/>
    <w:rsid w:val="00D553E5"/>
    <w:rsid w:val="00D5546F"/>
    <w:rsid w:val="00D55548"/>
    <w:rsid w:val="00D55600"/>
    <w:rsid w:val="00D55624"/>
    <w:rsid w:val="00D5567B"/>
    <w:rsid w:val="00D556CF"/>
    <w:rsid w:val="00D55711"/>
    <w:rsid w:val="00D55738"/>
    <w:rsid w:val="00D55766"/>
    <w:rsid w:val="00D5578E"/>
    <w:rsid w:val="00D557A3"/>
    <w:rsid w:val="00D557B4"/>
    <w:rsid w:val="00D558C5"/>
    <w:rsid w:val="00D558FC"/>
    <w:rsid w:val="00D55A45"/>
    <w:rsid w:val="00D55B82"/>
    <w:rsid w:val="00D55BAF"/>
    <w:rsid w:val="00D55C42"/>
    <w:rsid w:val="00D55C5C"/>
    <w:rsid w:val="00D55C93"/>
    <w:rsid w:val="00D55D69"/>
    <w:rsid w:val="00D55E39"/>
    <w:rsid w:val="00D55E4A"/>
    <w:rsid w:val="00D55EC3"/>
    <w:rsid w:val="00D55EC7"/>
    <w:rsid w:val="00D55F2D"/>
    <w:rsid w:val="00D55F61"/>
    <w:rsid w:val="00D55FC6"/>
    <w:rsid w:val="00D56013"/>
    <w:rsid w:val="00D5604F"/>
    <w:rsid w:val="00D561DC"/>
    <w:rsid w:val="00D561E7"/>
    <w:rsid w:val="00D56224"/>
    <w:rsid w:val="00D562DB"/>
    <w:rsid w:val="00D56329"/>
    <w:rsid w:val="00D56365"/>
    <w:rsid w:val="00D5636D"/>
    <w:rsid w:val="00D563AD"/>
    <w:rsid w:val="00D56519"/>
    <w:rsid w:val="00D56562"/>
    <w:rsid w:val="00D5656A"/>
    <w:rsid w:val="00D56593"/>
    <w:rsid w:val="00D56659"/>
    <w:rsid w:val="00D566EE"/>
    <w:rsid w:val="00D5670B"/>
    <w:rsid w:val="00D568C9"/>
    <w:rsid w:val="00D568F9"/>
    <w:rsid w:val="00D56926"/>
    <w:rsid w:val="00D5694A"/>
    <w:rsid w:val="00D56956"/>
    <w:rsid w:val="00D569A5"/>
    <w:rsid w:val="00D56A4B"/>
    <w:rsid w:val="00D56ABB"/>
    <w:rsid w:val="00D56ADC"/>
    <w:rsid w:val="00D56B5C"/>
    <w:rsid w:val="00D56B90"/>
    <w:rsid w:val="00D56BB7"/>
    <w:rsid w:val="00D56C1D"/>
    <w:rsid w:val="00D56C6D"/>
    <w:rsid w:val="00D56C7D"/>
    <w:rsid w:val="00D56D16"/>
    <w:rsid w:val="00D56D3A"/>
    <w:rsid w:val="00D56DD3"/>
    <w:rsid w:val="00D56E2A"/>
    <w:rsid w:val="00D56F03"/>
    <w:rsid w:val="00D56F1A"/>
    <w:rsid w:val="00D56F30"/>
    <w:rsid w:val="00D56F39"/>
    <w:rsid w:val="00D56F98"/>
    <w:rsid w:val="00D5701D"/>
    <w:rsid w:val="00D5703A"/>
    <w:rsid w:val="00D57076"/>
    <w:rsid w:val="00D57084"/>
    <w:rsid w:val="00D570C3"/>
    <w:rsid w:val="00D5713C"/>
    <w:rsid w:val="00D57166"/>
    <w:rsid w:val="00D571F2"/>
    <w:rsid w:val="00D57261"/>
    <w:rsid w:val="00D573AB"/>
    <w:rsid w:val="00D57412"/>
    <w:rsid w:val="00D57499"/>
    <w:rsid w:val="00D574F4"/>
    <w:rsid w:val="00D57555"/>
    <w:rsid w:val="00D57627"/>
    <w:rsid w:val="00D57645"/>
    <w:rsid w:val="00D576F1"/>
    <w:rsid w:val="00D57703"/>
    <w:rsid w:val="00D577A9"/>
    <w:rsid w:val="00D5791C"/>
    <w:rsid w:val="00D5798E"/>
    <w:rsid w:val="00D57B09"/>
    <w:rsid w:val="00D57B91"/>
    <w:rsid w:val="00D57C12"/>
    <w:rsid w:val="00D57C4E"/>
    <w:rsid w:val="00D57C5A"/>
    <w:rsid w:val="00D57C7D"/>
    <w:rsid w:val="00D57D69"/>
    <w:rsid w:val="00D57D87"/>
    <w:rsid w:val="00D57E5E"/>
    <w:rsid w:val="00D57E73"/>
    <w:rsid w:val="00D57E81"/>
    <w:rsid w:val="00D57E9F"/>
    <w:rsid w:val="00D57EA8"/>
    <w:rsid w:val="00D57F1B"/>
    <w:rsid w:val="00D57FC1"/>
    <w:rsid w:val="00D57FD6"/>
    <w:rsid w:val="00D600A1"/>
    <w:rsid w:val="00D600D0"/>
    <w:rsid w:val="00D6010B"/>
    <w:rsid w:val="00D60123"/>
    <w:rsid w:val="00D60198"/>
    <w:rsid w:val="00D60199"/>
    <w:rsid w:val="00D60279"/>
    <w:rsid w:val="00D60386"/>
    <w:rsid w:val="00D603AF"/>
    <w:rsid w:val="00D603B3"/>
    <w:rsid w:val="00D603F2"/>
    <w:rsid w:val="00D6051B"/>
    <w:rsid w:val="00D6059C"/>
    <w:rsid w:val="00D605F0"/>
    <w:rsid w:val="00D6076E"/>
    <w:rsid w:val="00D607A1"/>
    <w:rsid w:val="00D60818"/>
    <w:rsid w:val="00D6081F"/>
    <w:rsid w:val="00D60863"/>
    <w:rsid w:val="00D6086F"/>
    <w:rsid w:val="00D60912"/>
    <w:rsid w:val="00D6096E"/>
    <w:rsid w:val="00D60A7C"/>
    <w:rsid w:val="00D60AC1"/>
    <w:rsid w:val="00D60B53"/>
    <w:rsid w:val="00D60B70"/>
    <w:rsid w:val="00D60B9B"/>
    <w:rsid w:val="00D60C22"/>
    <w:rsid w:val="00D60CBD"/>
    <w:rsid w:val="00D60D4D"/>
    <w:rsid w:val="00D60E23"/>
    <w:rsid w:val="00D60E98"/>
    <w:rsid w:val="00D60F24"/>
    <w:rsid w:val="00D60F2E"/>
    <w:rsid w:val="00D60F46"/>
    <w:rsid w:val="00D60F4D"/>
    <w:rsid w:val="00D60FE9"/>
    <w:rsid w:val="00D61058"/>
    <w:rsid w:val="00D6109E"/>
    <w:rsid w:val="00D610CE"/>
    <w:rsid w:val="00D610F0"/>
    <w:rsid w:val="00D610F9"/>
    <w:rsid w:val="00D61133"/>
    <w:rsid w:val="00D611A5"/>
    <w:rsid w:val="00D61233"/>
    <w:rsid w:val="00D61249"/>
    <w:rsid w:val="00D6124E"/>
    <w:rsid w:val="00D61280"/>
    <w:rsid w:val="00D612B7"/>
    <w:rsid w:val="00D61337"/>
    <w:rsid w:val="00D6142E"/>
    <w:rsid w:val="00D61431"/>
    <w:rsid w:val="00D61492"/>
    <w:rsid w:val="00D614EE"/>
    <w:rsid w:val="00D615DF"/>
    <w:rsid w:val="00D61617"/>
    <w:rsid w:val="00D61628"/>
    <w:rsid w:val="00D6170A"/>
    <w:rsid w:val="00D617C0"/>
    <w:rsid w:val="00D6186F"/>
    <w:rsid w:val="00D6187C"/>
    <w:rsid w:val="00D6188D"/>
    <w:rsid w:val="00D619B6"/>
    <w:rsid w:val="00D61A46"/>
    <w:rsid w:val="00D61A96"/>
    <w:rsid w:val="00D61B10"/>
    <w:rsid w:val="00D61BEC"/>
    <w:rsid w:val="00D61C65"/>
    <w:rsid w:val="00D61C6C"/>
    <w:rsid w:val="00D61D27"/>
    <w:rsid w:val="00D61D35"/>
    <w:rsid w:val="00D61DF2"/>
    <w:rsid w:val="00D61F38"/>
    <w:rsid w:val="00D61F7D"/>
    <w:rsid w:val="00D61FF2"/>
    <w:rsid w:val="00D62000"/>
    <w:rsid w:val="00D62012"/>
    <w:rsid w:val="00D621C1"/>
    <w:rsid w:val="00D621E6"/>
    <w:rsid w:val="00D622C9"/>
    <w:rsid w:val="00D62354"/>
    <w:rsid w:val="00D62376"/>
    <w:rsid w:val="00D62391"/>
    <w:rsid w:val="00D623FE"/>
    <w:rsid w:val="00D624AC"/>
    <w:rsid w:val="00D624D9"/>
    <w:rsid w:val="00D6251D"/>
    <w:rsid w:val="00D62552"/>
    <w:rsid w:val="00D62596"/>
    <w:rsid w:val="00D625CE"/>
    <w:rsid w:val="00D62642"/>
    <w:rsid w:val="00D626A8"/>
    <w:rsid w:val="00D626C2"/>
    <w:rsid w:val="00D626C6"/>
    <w:rsid w:val="00D62845"/>
    <w:rsid w:val="00D62966"/>
    <w:rsid w:val="00D6298F"/>
    <w:rsid w:val="00D6299B"/>
    <w:rsid w:val="00D62BA0"/>
    <w:rsid w:val="00D62BB9"/>
    <w:rsid w:val="00D62BC8"/>
    <w:rsid w:val="00D62D13"/>
    <w:rsid w:val="00D62DCB"/>
    <w:rsid w:val="00D62E4D"/>
    <w:rsid w:val="00D62E51"/>
    <w:rsid w:val="00D62E95"/>
    <w:rsid w:val="00D62F36"/>
    <w:rsid w:val="00D6309A"/>
    <w:rsid w:val="00D630E0"/>
    <w:rsid w:val="00D6310F"/>
    <w:rsid w:val="00D6315B"/>
    <w:rsid w:val="00D6325D"/>
    <w:rsid w:val="00D6327F"/>
    <w:rsid w:val="00D632D6"/>
    <w:rsid w:val="00D63356"/>
    <w:rsid w:val="00D63362"/>
    <w:rsid w:val="00D633A8"/>
    <w:rsid w:val="00D6349E"/>
    <w:rsid w:val="00D635E4"/>
    <w:rsid w:val="00D6362E"/>
    <w:rsid w:val="00D63632"/>
    <w:rsid w:val="00D636D7"/>
    <w:rsid w:val="00D6373C"/>
    <w:rsid w:val="00D6386E"/>
    <w:rsid w:val="00D638A4"/>
    <w:rsid w:val="00D63944"/>
    <w:rsid w:val="00D6395A"/>
    <w:rsid w:val="00D63974"/>
    <w:rsid w:val="00D63994"/>
    <w:rsid w:val="00D639C8"/>
    <w:rsid w:val="00D639D0"/>
    <w:rsid w:val="00D639F1"/>
    <w:rsid w:val="00D63B7D"/>
    <w:rsid w:val="00D63BA3"/>
    <w:rsid w:val="00D63C07"/>
    <w:rsid w:val="00D63DC1"/>
    <w:rsid w:val="00D64005"/>
    <w:rsid w:val="00D64054"/>
    <w:rsid w:val="00D6423A"/>
    <w:rsid w:val="00D6424C"/>
    <w:rsid w:val="00D642E2"/>
    <w:rsid w:val="00D64348"/>
    <w:rsid w:val="00D643BF"/>
    <w:rsid w:val="00D64412"/>
    <w:rsid w:val="00D644C5"/>
    <w:rsid w:val="00D6454B"/>
    <w:rsid w:val="00D6458A"/>
    <w:rsid w:val="00D6460C"/>
    <w:rsid w:val="00D64613"/>
    <w:rsid w:val="00D64617"/>
    <w:rsid w:val="00D64641"/>
    <w:rsid w:val="00D64644"/>
    <w:rsid w:val="00D6464D"/>
    <w:rsid w:val="00D64680"/>
    <w:rsid w:val="00D64794"/>
    <w:rsid w:val="00D6482D"/>
    <w:rsid w:val="00D6485F"/>
    <w:rsid w:val="00D64992"/>
    <w:rsid w:val="00D649B5"/>
    <w:rsid w:val="00D64A05"/>
    <w:rsid w:val="00D64A69"/>
    <w:rsid w:val="00D64B8E"/>
    <w:rsid w:val="00D64C42"/>
    <w:rsid w:val="00D64CD0"/>
    <w:rsid w:val="00D64D05"/>
    <w:rsid w:val="00D64E4E"/>
    <w:rsid w:val="00D64F98"/>
    <w:rsid w:val="00D6506D"/>
    <w:rsid w:val="00D65135"/>
    <w:rsid w:val="00D65165"/>
    <w:rsid w:val="00D651A5"/>
    <w:rsid w:val="00D6520A"/>
    <w:rsid w:val="00D6520F"/>
    <w:rsid w:val="00D6524B"/>
    <w:rsid w:val="00D65299"/>
    <w:rsid w:val="00D652D4"/>
    <w:rsid w:val="00D6541E"/>
    <w:rsid w:val="00D65424"/>
    <w:rsid w:val="00D6545C"/>
    <w:rsid w:val="00D654A5"/>
    <w:rsid w:val="00D654F1"/>
    <w:rsid w:val="00D6553D"/>
    <w:rsid w:val="00D6556E"/>
    <w:rsid w:val="00D6558A"/>
    <w:rsid w:val="00D65675"/>
    <w:rsid w:val="00D6578D"/>
    <w:rsid w:val="00D657AA"/>
    <w:rsid w:val="00D657CE"/>
    <w:rsid w:val="00D65857"/>
    <w:rsid w:val="00D65965"/>
    <w:rsid w:val="00D659BF"/>
    <w:rsid w:val="00D65A22"/>
    <w:rsid w:val="00D65A24"/>
    <w:rsid w:val="00D65AA5"/>
    <w:rsid w:val="00D65B37"/>
    <w:rsid w:val="00D65B7E"/>
    <w:rsid w:val="00D65C20"/>
    <w:rsid w:val="00D65CF8"/>
    <w:rsid w:val="00D65D06"/>
    <w:rsid w:val="00D65D9B"/>
    <w:rsid w:val="00D65E90"/>
    <w:rsid w:val="00D6615F"/>
    <w:rsid w:val="00D66204"/>
    <w:rsid w:val="00D662CE"/>
    <w:rsid w:val="00D662F3"/>
    <w:rsid w:val="00D66320"/>
    <w:rsid w:val="00D66356"/>
    <w:rsid w:val="00D663C5"/>
    <w:rsid w:val="00D66428"/>
    <w:rsid w:val="00D66486"/>
    <w:rsid w:val="00D664AA"/>
    <w:rsid w:val="00D66514"/>
    <w:rsid w:val="00D66550"/>
    <w:rsid w:val="00D66573"/>
    <w:rsid w:val="00D66680"/>
    <w:rsid w:val="00D666B6"/>
    <w:rsid w:val="00D6670E"/>
    <w:rsid w:val="00D6682E"/>
    <w:rsid w:val="00D6686E"/>
    <w:rsid w:val="00D66954"/>
    <w:rsid w:val="00D66A5F"/>
    <w:rsid w:val="00D66A6A"/>
    <w:rsid w:val="00D66A97"/>
    <w:rsid w:val="00D66AA5"/>
    <w:rsid w:val="00D66B89"/>
    <w:rsid w:val="00D66BA6"/>
    <w:rsid w:val="00D66BD1"/>
    <w:rsid w:val="00D66C13"/>
    <w:rsid w:val="00D66C24"/>
    <w:rsid w:val="00D66C43"/>
    <w:rsid w:val="00D66D64"/>
    <w:rsid w:val="00D66E09"/>
    <w:rsid w:val="00D66F21"/>
    <w:rsid w:val="00D66FF5"/>
    <w:rsid w:val="00D671D8"/>
    <w:rsid w:val="00D671E8"/>
    <w:rsid w:val="00D67220"/>
    <w:rsid w:val="00D67240"/>
    <w:rsid w:val="00D67241"/>
    <w:rsid w:val="00D67349"/>
    <w:rsid w:val="00D673A0"/>
    <w:rsid w:val="00D673F8"/>
    <w:rsid w:val="00D67479"/>
    <w:rsid w:val="00D67488"/>
    <w:rsid w:val="00D6760A"/>
    <w:rsid w:val="00D6765B"/>
    <w:rsid w:val="00D6765C"/>
    <w:rsid w:val="00D67735"/>
    <w:rsid w:val="00D67748"/>
    <w:rsid w:val="00D6778C"/>
    <w:rsid w:val="00D6792F"/>
    <w:rsid w:val="00D679C0"/>
    <w:rsid w:val="00D679CD"/>
    <w:rsid w:val="00D67ABE"/>
    <w:rsid w:val="00D67B5B"/>
    <w:rsid w:val="00D67BDE"/>
    <w:rsid w:val="00D67D75"/>
    <w:rsid w:val="00D67DC2"/>
    <w:rsid w:val="00D67E3F"/>
    <w:rsid w:val="00D67FCB"/>
    <w:rsid w:val="00D67FDA"/>
    <w:rsid w:val="00D67FE1"/>
    <w:rsid w:val="00D7009B"/>
    <w:rsid w:val="00D700DD"/>
    <w:rsid w:val="00D70148"/>
    <w:rsid w:val="00D70166"/>
    <w:rsid w:val="00D7022C"/>
    <w:rsid w:val="00D70256"/>
    <w:rsid w:val="00D70273"/>
    <w:rsid w:val="00D7029D"/>
    <w:rsid w:val="00D70324"/>
    <w:rsid w:val="00D703BB"/>
    <w:rsid w:val="00D703C3"/>
    <w:rsid w:val="00D70436"/>
    <w:rsid w:val="00D7045A"/>
    <w:rsid w:val="00D704A6"/>
    <w:rsid w:val="00D704A9"/>
    <w:rsid w:val="00D704DF"/>
    <w:rsid w:val="00D70518"/>
    <w:rsid w:val="00D705BD"/>
    <w:rsid w:val="00D705E9"/>
    <w:rsid w:val="00D70788"/>
    <w:rsid w:val="00D707E7"/>
    <w:rsid w:val="00D707EE"/>
    <w:rsid w:val="00D70867"/>
    <w:rsid w:val="00D708FC"/>
    <w:rsid w:val="00D708FE"/>
    <w:rsid w:val="00D709B9"/>
    <w:rsid w:val="00D70A4F"/>
    <w:rsid w:val="00D70A6D"/>
    <w:rsid w:val="00D70B77"/>
    <w:rsid w:val="00D70B83"/>
    <w:rsid w:val="00D70C89"/>
    <w:rsid w:val="00D70D5B"/>
    <w:rsid w:val="00D70D73"/>
    <w:rsid w:val="00D70E25"/>
    <w:rsid w:val="00D70E73"/>
    <w:rsid w:val="00D70FD8"/>
    <w:rsid w:val="00D71110"/>
    <w:rsid w:val="00D71209"/>
    <w:rsid w:val="00D71221"/>
    <w:rsid w:val="00D71240"/>
    <w:rsid w:val="00D7124F"/>
    <w:rsid w:val="00D71257"/>
    <w:rsid w:val="00D7127A"/>
    <w:rsid w:val="00D712C1"/>
    <w:rsid w:val="00D71321"/>
    <w:rsid w:val="00D71322"/>
    <w:rsid w:val="00D71454"/>
    <w:rsid w:val="00D714A7"/>
    <w:rsid w:val="00D714E8"/>
    <w:rsid w:val="00D7152F"/>
    <w:rsid w:val="00D7156F"/>
    <w:rsid w:val="00D715FC"/>
    <w:rsid w:val="00D71741"/>
    <w:rsid w:val="00D717A4"/>
    <w:rsid w:val="00D717B7"/>
    <w:rsid w:val="00D71878"/>
    <w:rsid w:val="00D71ADD"/>
    <w:rsid w:val="00D71AF3"/>
    <w:rsid w:val="00D71C06"/>
    <w:rsid w:val="00D71C1E"/>
    <w:rsid w:val="00D71C43"/>
    <w:rsid w:val="00D71CAA"/>
    <w:rsid w:val="00D71D99"/>
    <w:rsid w:val="00D71DA7"/>
    <w:rsid w:val="00D71E24"/>
    <w:rsid w:val="00D71EA0"/>
    <w:rsid w:val="00D71EE2"/>
    <w:rsid w:val="00D71F2D"/>
    <w:rsid w:val="00D71F3D"/>
    <w:rsid w:val="00D71FCA"/>
    <w:rsid w:val="00D720D0"/>
    <w:rsid w:val="00D7210A"/>
    <w:rsid w:val="00D72125"/>
    <w:rsid w:val="00D72183"/>
    <w:rsid w:val="00D7219B"/>
    <w:rsid w:val="00D721A5"/>
    <w:rsid w:val="00D7220A"/>
    <w:rsid w:val="00D72237"/>
    <w:rsid w:val="00D72389"/>
    <w:rsid w:val="00D7239A"/>
    <w:rsid w:val="00D7264D"/>
    <w:rsid w:val="00D72699"/>
    <w:rsid w:val="00D726A7"/>
    <w:rsid w:val="00D72965"/>
    <w:rsid w:val="00D72993"/>
    <w:rsid w:val="00D729A2"/>
    <w:rsid w:val="00D729C5"/>
    <w:rsid w:val="00D729D9"/>
    <w:rsid w:val="00D72A51"/>
    <w:rsid w:val="00D72BC3"/>
    <w:rsid w:val="00D72BEF"/>
    <w:rsid w:val="00D72C24"/>
    <w:rsid w:val="00D72C3C"/>
    <w:rsid w:val="00D72C68"/>
    <w:rsid w:val="00D72C92"/>
    <w:rsid w:val="00D72CE9"/>
    <w:rsid w:val="00D72DAC"/>
    <w:rsid w:val="00D72DFD"/>
    <w:rsid w:val="00D72E0B"/>
    <w:rsid w:val="00D72FE2"/>
    <w:rsid w:val="00D73048"/>
    <w:rsid w:val="00D730E8"/>
    <w:rsid w:val="00D7316C"/>
    <w:rsid w:val="00D73192"/>
    <w:rsid w:val="00D7340D"/>
    <w:rsid w:val="00D7345E"/>
    <w:rsid w:val="00D7349B"/>
    <w:rsid w:val="00D734C8"/>
    <w:rsid w:val="00D734D0"/>
    <w:rsid w:val="00D73597"/>
    <w:rsid w:val="00D735DA"/>
    <w:rsid w:val="00D735DB"/>
    <w:rsid w:val="00D73631"/>
    <w:rsid w:val="00D73683"/>
    <w:rsid w:val="00D73719"/>
    <w:rsid w:val="00D73771"/>
    <w:rsid w:val="00D73877"/>
    <w:rsid w:val="00D7392B"/>
    <w:rsid w:val="00D739CB"/>
    <w:rsid w:val="00D739E2"/>
    <w:rsid w:val="00D73A47"/>
    <w:rsid w:val="00D73A66"/>
    <w:rsid w:val="00D73A79"/>
    <w:rsid w:val="00D73A7A"/>
    <w:rsid w:val="00D73ABE"/>
    <w:rsid w:val="00D73B35"/>
    <w:rsid w:val="00D73B72"/>
    <w:rsid w:val="00D73CBD"/>
    <w:rsid w:val="00D73D02"/>
    <w:rsid w:val="00D73D20"/>
    <w:rsid w:val="00D73ED1"/>
    <w:rsid w:val="00D73EE2"/>
    <w:rsid w:val="00D73EE6"/>
    <w:rsid w:val="00D7407B"/>
    <w:rsid w:val="00D74082"/>
    <w:rsid w:val="00D740F5"/>
    <w:rsid w:val="00D7418F"/>
    <w:rsid w:val="00D74227"/>
    <w:rsid w:val="00D74244"/>
    <w:rsid w:val="00D74267"/>
    <w:rsid w:val="00D742B3"/>
    <w:rsid w:val="00D742B4"/>
    <w:rsid w:val="00D742DA"/>
    <w:rsid w:val="00D743ED"/>
    <w:rsid w:val="00D74481"/>
    <w:rsid w:val="00D7455C"/>
    <w:rsid w:val="00D745AB"/>
    <w:rsid w:val="00D74750"/>
    <w:rsid w:val="00D74763"/>
    <w:rsid w:val="00D747C0"/>
    <w:rsid w:val="00D74823"/>
    <w:rsid w:val="00D74863"/>
    <w:rsid w:val="00D7497B"/>
    <w:rsid w:val="00D74ABC"/>
    <w:rsid w:val="00D74B81"/>
    <w:rsid w:val="00D74BAD"/>
    <w:rsid w:val="00D74C42"/>
    <w:rsid w:val="00D74C7B"/>
    <w:rsid w:val="00D74CBF"/>
    <w:rsid w:val="00D74D65"/>
    <w:rsid w:val="00D74E14"/>
    <w:rsid w:val="00D74E71"/>
    <w:rsid w:val="00D74EBE"/>
    <w:rsid w:val="00D75014"/>
    <w:rsid w:val="00D7508F"/>
    <w:rsid w:val="00D750CB"/>
    <w:rsid w:val="00D75111"/>
    <w:rsid w:val="00D75434"/>
    <w:rsid w:val="00D754A9"/>
    <w:rsid w:val="00D75507"/>
    <w:rsid w:val="00D75589"/>
    <w:rsid w:val="00D755B4"/>
    <w:rsid w:val="00D7566D"/>
    <w:rsid w:val="00D756B6"/>
    <w:rsid w:val="00D7571D"/>
    <w:rsid w:val="00D75772"/>
    <w:rsid w:val="00D757F7"/>
    <w:rsid w:val="00D75820"/>
    <w:rsid w:val="00D75875"/>
    <w:rsid w:val="00D7587A"/>
    <w:rsid w:val="00D7595D"/>
    <w:rsid w:val="00D75964"/>
    <w:rsid w:val="00D759B3"/>
    <w:rsid w:val="00D759BA"/>
    <w:rsid w:val="00D75A60"/>
    <w:rsid w:val="00D75AED"/>
    <w:rsid w:val="00D75B17"/>
    <w:rsid w:val="00D75B45"/>
    <w:rsid w:val="00D75B81"/>
    <w:rsid w:val="00D75D54"/>
    <w:rsid w:val="00D75D5D"/>
    <w:rsid w:val="00D75E77"/>
    <w:rsid w:val="00D75E7B"/>
    <w:rsid w:val="00D75E7F"/>
    <w:rsid w:val="00D75EB0"/>
    <w:rsid w:val="00D75EEC"/>
    <w:rsid w:val="00D75F56"/>
    <w:rsid w:val="00D75F84"/>
    <w:rsid w:val="00D7600B"/>
    <w:rsid w:val="00D76037"/>
    <w:rsid w:val="00D760A8"/>
    <w:rsid w:val="00D76125"/>
    <w:rsid w:val="00D7620E"/>
    <w:rsid w:val="00D76249"/>
    <w:rsid w:val="00D76280"/>
    <w:rsid w:val="00D762A3"/>
    <w:rsid w:val="00D762C7"/>
    <w:rsid w:val="00D763E9"/>
    <w:rsid w:val="00D764AE"/>
    <w:rsid w:val="00D7656C"/>
    <w:rsid w:val="00D765BC"/>
    <w:rsid w:val="00D765BE"/>
    <w:rsid w:val="00D76634"/>
    <w:rsid w:val="00D766EF"/>
    <w:rsid w:val="00D76777"/>
    <w:rsid w:val="00D767C6"/>
    <w:rsid w:val="00D76844"/>
    <w:rsid w:val="00D76910"/>
    <w:rsid w:val="00D76971"/>
    <w:rsid w:val="00D769FA"/>
    <w:rsid w:val="00D76A15"/>
    <w:rsid w:val="00D76A61"/>
    <w:rsid w:val="00D76AA8"/>
    <w:rsid w:val="00D76AD1"/>
    <w:rsid w:val="00D76AD2"/>
    <w:rsid w:val="00D76B07"/>
    <w:rsid w:val="00D76B7A"/>
    <w:rsid w:val="00D76B93"/>
    <w:rsid w:val="00D76BC3"/>
    <w:rsid w:val="00D76C43"/>
    <w:rsid w:val="00D76C75"/>
    <w:rsid w:val="00D76C91"/>
    <w:rsid w:val="00D76CAA"/>
    <w:rsid w:val="00D76D1E"/>
    <w:rsid w:val="00D76D35"/>
    <w:rsid w:val="00D76ECA"/>
    <w:rsid w:val="00D76EED"/>
    <w:rsid w:val="00D76EF7"/>
    <w:rsid w:val="00D76F28"/>
    <w:rsid w:val="00D770F2"/>
    <w:rsid w:val="00D77196"/>
    <w:rsid w:val="00D771CC"/>
    <w:rsid w:val="00D77206"/>
    <w:rsid w:val="00D77242"/>
    <w:rsid w:val="00D7727C"/>
    <w:rsid w:val="00D77299"/>
    <w:rsid w:val="00D77365"/>
    <w:rsid w:val="00D77495"/>
    <w:rsid w:val="00D7749B"/>
    <w:rsid w:val="00D775C9"/>
    <w:rsid w:val="00D775F7"/>
    <w:rsid w:val="00D77604"/>
    <w:rsid w:val="00D776EE"/>
    <w:rsid w:val="00D77726"/>
    <w:rsid w:val="00D777B0"/>
    <w:rsid w:val="00D777CE"/>
    <w:rsid w:val="00D777CF"/>
    <w:rsid w:val="00D7785E"/>
    <w:rsid w:val="00D77976"/>
    <w:rsid w:val="00D77AD1"/>
    <w:rsid w:val="00D77AE1"/>
    <w:rsid w:val="00D77AEF"/>
    <w:rsid w:val="00D77B02"/>
    <w:rsid w:val="00D77B8D"/>
    <w:rsid w:val="00D77B9B"/>
    <w:rsid w:val="00D77C02"/>
    <w:rsid w:val="00D77CC9"/>
    <w:rsid w:val="00D77CE1"/>
    <w:rsid w:val="00D77D24"/>
    <w:rsid w:val="00D77DD0"/>
    <w:rsid w:val="00D77E0B"/>
    <w:rsid w:val="00D77E61"/>
    <w:rsid w:val="00D77E88"/>
    <w:rsid w:val="00D77FE3"/>
    <w:rsid w:val="00D77FF8"/>
    <w:rsid w:val="00D77FF9"/>
    <w:rsid w:val="00D80041"/>
    <w:rsid w:val="00D800AA"/>
    <w:rsid w:val="00D80155"/>
    <w:rsid w:val="00D801CE"/>
    <w:rsid w:val="00D8027C"/>
    <w:rsid w:val="00D802A4"/>
    <w:rsid w:val="00D802D1"/>
    <w:rsid w:val="00D8030A"/>
    <w:rsid w:val="00D8030C"/>
    <w:rsid w:val="00D8039F"/>
    <w:rsid w:val="00D803EE"/>
    <w:rsid w:val="00D8043A"/>
    <w:rsid w:val="00D80600"/>
    <w:rsid w:val="00D8062A"/>
    <w:rsid w:val="00D8065E"/>
    <w:rsid w:val="00D80691"/>
    <w:rsid w:val="00D806E8"/>
    <w:rsid w:val="00D806EF"/>
    <w:rsid w:val="00D8073F"/>
    <w:rsid w:val="00D807BC"/>
    <w:rsid w:val="00D807DF"/>
    <w:rsid w:val="00D807F4"/>
    <w:rsid w:val="00D8080D"/>
    <w:rsid w:val="00D80885"/>
    <w:rsid w:val="00D80937"/>
    <w:rsid w:val="00D80A31"/>
    <w:rsid w:val="00D80A3F"/>
    <w:rsid w:val="00D80A75"/>
    <w:rsid w:val="00D80B94"/>
    <w:rsid w:val="00D80BEF"/>
    <w:rsid w:val="00D80C43"/>
    <w:rsid w:val="00D80CCB"/>
    <w:rsid w:val="00D80CE2"/>
    <w:rsid w:val="00D80D43"/>
    <w:rsid w:val="00D80D73"/>
    <w:rsid w:val="00D80DAD"/>
    <w:rsid w:val="00D80E4A"/>
    <w:rsid w:val="00D80EA5"/>
    <w:rsid w:val="00D80F53"/>
    <w:rsid w:val="00D81070"/>
    <w:rsid w:val="00D8114C"/>
    <w:rsid w:val="00D811E9"/>
    <w:rsid w:val="00D8123B"/>
    <w:rsid w:val="00D81383"/>
    <w:rsid w:val="00D81399"/>
    <w:rsid w:val="00D81465"/>
    <w:rsid w:val="00D81487"/>
    <w:rsid w:val="00D814A6"/>
    <w:rsid w:val="00D814FC"/>
    <w:rsid w:val="00D8152B"/>
    <w:rsid w:val="00D81558"/>
    <w:rsid w:val="00D817E7"/>
    <w:rsid w:val="00D817E8"/>
    <w:rsid w:val="00D8185B"/>
    <w:rsid w:val="00D818A3"/>
    <w:rsid w:val="00D81946"/>
    <w:rsid w:val="00D81AE6"/>
    <w:rsid w:val="00D81B40"/>
    <w:rsid w:val="00D81B4E"/>
    <w:rsid w:val="00D81B5C"/>
    <w:rsid w:val="00D81B80"/>
    <w:rsid w:val="00D81BBD"/>
    <w:rsid w:val="00D81BF4"/>
    <w:rsid w:val="00D81C3F"/>
    <w:rsid w:val="00D81CE7"/>
    <w:rsid w:val="00D81D37"/>
    <w:rsid w:val="00D81E1A"/>
    <w:rsid w:val="00D81E80"/>
    <w:rsid w:val="00D81E85"/>
    <w:rsid w:val="00D81F0E"/>
    <w:rsid w:val="00D81FBF"/>
    <w:rsid w:val="00D81FF7"/>
    <w:rsid w:val="00D8221A"/>
    <w:rsid w:val="00D8241D"/>
    <w:rsid w:val="00D824AC"/>
    <w:rsid w:val="00D825D7"/>
    <w:rsid w:val="00D82624"/>
    <w:rsid w:val="00D8266B"/>
    <w:rsid w:val="00D82735"/>
    <w:rsid w:val="00D82763"/>
    <w:rsid w:val="00D8282A"/>
    <w:rsid w:val="00D82901"/>
    <w:rsid w:val="00D8290B"/>
    <w:rsid w:val="00D82943"/>
    <w:rsid w:val="00D82978"/>
    <w:rsid w:val="00D82A36"/>
    <w:rsid w:val="00D82A97"/>
    <w:rsid w:val="00D82B59"/>
    <w:rsid w:val="00D82BB0"/>
    <w:rsid w:val="00D82D0F"/>
    <w:rsid w:val="00D82DEA"/>
    <w:rsid w:val="00D82DEF"/>
    <w:rsid w:val="00D82E44"/>
    <w:rsid w:val="00D82E47"/>
    <w:rsid w:val="00D82E4C"/>
    <w:rsid w:val="00D82EA5"/>
    <w:rsid w:val="00D82EC8"/>
    <w:rsid w:val="00D82EDE"/>
    <w:rsid w:val="00D82EDF"/>
    <w:rsid w:val="00D82F40"/>
    <w:rsid w:val="00D82FED"/>
    <w:rsid w:val="00D83019"/>
    <w:rsid w:val="00D83081"/>
    <w:rsid w:val="00D830B0"/>
    <w:rsid w:val="00D830BB"/>
    <w:rsid w:val="00D831B3"/>
    <w:rsid w:val="00D831DB"/>
    <w:rsid w:val="00D8334F"/>
    <w:rsid w:val="00D8336E"/>
    <w:rsid w:val="00D833BA"/>
    <w:rsid w:val="00D833BB"/>
    <w:rsid w:val="00D8343A"/>
    <w:rsid w:val="00D83444"/>
    <w:rsid w:val="00D83565"/>
    <w:rsid w:val="00D8359E"/>
    <w:rsid w:val="00D835EE"/>
    <w:rsid w:val="00D8367C"/>
    <w:rsid w:val="00D83766"/>
    <w:rsid w:val="00D83860"/>
    <w:rsid w:val="00D83876"/>
    <w:rsid w:val="00D83989"/>
    <w:rsid w:val="00D83B56"/>
    <w:rsid w:val="00D83BB8"/>
    <w:rsid w:val="00D83C34"/>
    <w:rsid w:val="00D83C99"/>
    <w:rsid w:val="00D83CAE"/>
    <w:rsid w:val="00D83CBE"/>
    <w:rsid w:val="00D83CFA"/>
    <w:rsid w:val="00D83D64"/>
    <w:rsid w:val="00D83D6D"/>
    <w:rsid w:val="00D83D79"/>
    <w:rsid w:val="00D83F35"/>
    <w:rsid w:val="00D84011"/>
    <w:rsid w:val="00D84033"/>
    <w:rsid w:val="00D8406E"/>
    <w:rsid w:val="00D84071"/>
    <w:rsid w:val="00D840F8"/>
    <w:rsid w:val="00D8415D"/>
    <w:rsid w:val="00D8417B"/>
    <w:rsid w:val="00D84207"/>
    <w:rsid w:val="00D84221"/>
    <w:rsid w:val="00D8422C"/>
    <w:rsid w:val="00D84300"/>
    <w:rsid w:val="00D843E0"/>
    <w:rsid w:val="00D843E4"/>
    <w:rsid w:val="00D84427"/>
    <w:rsid w:val="00D84520"/>
    <w:rsid w:val="00D84530"/>
    <w:rsid w:val="00D84567"/>
    <w:rsid w:val="00D8465C"/>
    <w:rsid w:val="00D84708"/>
    <w:rsid w:val="00D84946"/>
    <w:rsid w:val="00D84973"/>
    <w:rsid w:val="00D8497A"/>
    <w:rsid w:val="00D84999"/>
    <w:rsid w:val="00D84A61"/>
    <w:rsid w:val="00D84A72"/>
    <w:rsid w:val="00D84A78"/>
    <w:rsid w:val="00D84AA4"/>
    <w:rsid w:val="00D84B8F"/>
    <w:rsid w:val="00D84BD4"/>
    <w:rsid w:val="00D84CA3"/>
    <w:rsid w:val="00D84E5D"/>
    <w:rsid w:val="00D84F87"/>
    <w:rsid w:val="00D85033"/>
    <w:rsid w:val="00D8503F"/>
    <w:rsid w:val="00D85043"/>
    <w:rsid w:val="00D850DC"/>
    <w:rsid w:val="00D85124"/>
    <w:rsid w:val="00D851EC"/>
    <w:rsid w:val="00D85211"/>
    <w:rsid w:val="00D85438"/>
    <w:rsid w:val="00D85463"/>
    <w:rsid w:val="00D85595"/>
    <w:rsid w:val="00D855E8"/>
    <w:rsid w:val="00D856E0"/>
    <w:rsid w:val="00D856E4"/>
    <w:rsid w:val="00D8575C"/>
    <w:rsid w:val="00D857B2"/>
    <w:rsid w:val="00D857DC"/>
    <w:rsid w:val="00D857EE"/>
    <w:rsid w:val="00D85869"/>
    <w:rsid w:val="00D85945"/>
    <w:rsid w:val="00D85AAE"/>
    <w:rsid w:val="00D85AC3"/>
    <w:rsid w:val="00D85ACE"/>
    <w:rsid w:val="00D85B45"/>
    <w:rsid w:val="00D85BA3"/>
    <w:rsid w:val="00D85CA4"/>
    <w:rsid w:val="00D85D4B"/>
    <w:rsid w:val="00D85DAC"/>
    <w:rsid w:val="00D85E62"/>
    <w:rsid w:val="00D85E6E"/>
    <w:rsid w:val="00D85EA5"/>
    <w:rsid w:val="00D85ED0"/>
    <w:rsid w:val="00D85F05"/>
    <w:rsid w:val="00D85F3A"/>
    <w:rsid w:val="00D85FCA"/>
    <w:rsid w:val="00D8600E"/>
    <w:rsid w:val="00D860EE"/>
    <w:rsid w:val="00D8614B"/>
    <w:rsid w:val="00D86174"/>
    <w:rsid w:val="00D86194"/>
    <w:rsid w:val="00D86378"/>
    <w:rsid w:val="00D8647E"/>
    <w:rsid w:val="00D864BA"/>
    <w:rsid w:val="00D864E3"/>
    <w:rsid w:val="00D8652F"/>
    <w:rsid w:val="00D865C5"/>
    <w:rsid w:val="00D8662A"/>
    <w:rsid w:val="00D86663"/>
    <w:rsid w:val="00D8666F"/>
    <w:rsid w:val="00D8669F"/>
    <w:rsid w:val="00D866B5"/>
    <w:rsid w:val="00D86786"/>
    <w:rsid w:val="00D8682A"/>
    <w:rsid w:val="00D86833"/>
    <w:rsid w:val="00D86948"/>
    <w:rsid w:val="00D869B3"/>
    <w:rsid w:val="00D86A15"/>
    <w:rsid w:val="00D86A6B"/>
    <w:rsid w:val="00D86AD5"/>
    <w:rsid w:val="00D86B08"/>
    <w:rsid w:val="00D86C5B"/>
    <w:rsid w:val="00D86C78"/>
    <w:rsid w:val="00D86C92"/>
    <w:rsid w:val="00D86CC3"/>
    <w:rsid w:val="00D86CE8"/>
    <w:rsid w:val="00D86CF0"/>
    <w:rsid w:val="00D86CF1"/>
    <w:rsid w:val="00D86DB5"/>
    <w:rsid w:val="00D86DF2"/>
    <w:rsid w:val="00D86E25"/>
    <w:rsid w:val="00D86E4C"/>
    <w:rsid w:val="00D86EC0"/>
    <w:rsid w:val="00D86FF5"/>
    <w:rsid w:val="00D87153"/>
    <w:rsid w:val="00D87170"/>
    <w:rsid w:val="00D87176"/>
    <w:rsid w:val="00D871EE"/>
    <w:rsid w:val="00D872C7"/>
    <w:rsid w:val="00D8731F"/>
    <w:rsid w:val="00D8736F"/>
    <w:rsid w:val="00D873E3"/>
    <w:rsid w:val="00D874C4"/>
    <w:rsid w:val="00D874E9"/>
    <w:rsid w:val="00D87544"/>
    <w:rsid w:val="00D875DD"/>
    <w:rsid w:val="00D87648"/>
    <w:rsid w:val="00D87672"/>
    <w:rsid w:val="00D8776C"/>
    <w:rsid w:val="00D8785E"/>
    <w:rsid w:val="00D878E9"/>
    <w:rsid w:val="00D878F1"/>
    <w:rsid w:val="00D87938"/>
    <w:rsid w:val="00D87995"/>
    <w:rsid w:val="00D87997"/>
    <w:rsid w:val="00D879E3"/>
    <w:rsid w:val="00D87A66"/>
    <w:rsid w:val="00D87A9E"/>
    <w:rsid w:val="00D87AD2"/>
    <w:rsid w:val="00D87AF4"/>
    <w:rsid w:val="00D87B78"/>
    <w:rsid w:val="00D87B94"/>
    <w:rsid w:val="00D87C12"/>
    <w:rsid w:val="00D87CFB"/>
    <w:rsid w:val="00D87DD4"/>
    <w:rsid w:val="00D87E34"/>
    <w:rsid w:val="00D87EC1"/>
    <w:rsid w:val="00D87FC6"/>
    <w:rsid w:val="00D87FF9"/>
    <w:rsid w:val="00D90008"/>
    <w:rsid w:val="00D90057"/>
    <w:rsid w:val="00D9016E"/>
    <w:rsid w:val="00D90237"/>
    <w:rsid w:val="00D9023F"/>
    <w:rsid w:val="00D90248"/>
    <w:rsid w:val="00D902F5"/>
    <w:rsid w:val="00D903DB"/>
    <w:rsid w:val="00D9044D"/>
    <w:rsid w:val="00D9055C"/>
    <w:rsid w:val="00D9062A"/>
    <w:rsid w:val="00D906F8"/>
    <w:rsid w:val="00D90713"/>
    <w:rsid w:val="00D9078D"/>
    <w:rsid w:val="00D907B8"/>
    <w:rsid w:val="00D90849"/>
    <w:rsid w:val="00D90993"/>
    <w:rsid w:val="00D9099D"/>
    <w:rsid w:val="00D90AD6"/>
    <w:rsid w:val="00D90B92"/>
    <w:rsid w:val="00D90C21"/>
    <w:rsid w:val="00D90D55"/>
    <w:rsid w:val="00D90D77"/>
    <w:rsid w:val="00D90E47"/>
    <w:rsid w:val="00D90E6E"/>
    <w:rsid w:val="00D90EA2"/>
    <w:rsid w:val="00D90F33"/>
    <w:rsid w:val="00D90F42"/>
    <w:rsid w:val="00D90FE5"/>
    <w:rsid w:val="00D91005"/>
    <w:rsid w:val="00D91029"/>
    <w:rsid w:val="00D91161"/>
    <w:rsid w:val="00D91271"/>
    <w:rsid w:val="00D91301"/>
    <w:rsid w:val="00D9130D"/>
    <w:rsid w:val="00D913C7"/>
    <w:rsid w:val="00D913FB"/>
    <w:rsid w:val="00D9141C"/>
    <w:rsid w:val="00D9143E"/>
    <w:rsid w:val="00D914BD"/>
    <w:rsid w:val="00D91560"/>
    <w:rsid w:val="00D91587"/>
    <w:rsid w:val="00D9159A"/>
    <w:rsid w:val="00D915A5"/>
    <w:rsid w:val="00D916C1"/>
    <w:rsid w:val="00D916C8"/>
    <w:rsid w:val="00D9179C"/>
    <w:rsid w:val="00D917CE"/>
    <w:rsid w:val="00D917F9"/>
    <w:rsid w:val="00D91878"/>
    <w:rsid w:val="00D9189F"/>
    <w:rsid w:val="00D918F9"/>
    <w:rsid w:val="00D9191F"/>
    <w:rsid w:val="00D91957"/>
    <w:rsid w:val="00D919C2"/>
    <w:rsid w:val="00D91A05"/>
    <w:rsid w:val="00D91A39"/>
    <w:rsid w:val="00D91A52"/>
    <w:rsid w:val="00D91A85"/>
    <w:rsid w:val="00D91AEA"/>
    <w:rsid w:val="00D91B65"/>
    <w:rsid w:val="00D91CA5"/>
    <w:rsid w:val="00D91CAB"/>
    <w:rsid w:val="00D91CEE"/>
    <w:rsid w:val="00D91D03"/>
    <w:rsid w:val="00D91F6B"/>
    <w:rsid w:val="00D91F9C"/>
    <w:rsid w:val="00D91FC3"/>
    <w:rsid w:val="00D92061"/>
    <w:rsid w:val="00D92080"/>
    <w:rsid w:val="00D9210E"/>
    <w:rsid w:val="00D92150"/>
    <w:rsid w:val="00D92170"/>
    <w:rsid w:val="00D921DF"/>
    <w:rsid w:val="00D921E5"/>
    <w:rsid w:val="00D92209"/>
    <w:rsid w:val="00D922A9"/>
    <w:rsid w:val="00D9237C"/>
    <w:rsid w:val="00D923BB"/>
    <w:rsid w:val="00D923C4"/>
    <w:rsid w:val="00D9243C"/>
    <w:rsid w:val="00D92491"/>
    <w:rsid w:val="00D9253B"/>
    <w:rsid w:val="00D9260A"/>
    <w:rsid w:val="00D92736"/>
    <w:rsid w:val="00D92756"/>
    <w:rsid w:val="00D9284E"/>
    <w:rsid w:val="00D9292B"/>
    <w:rsid w:val="00D9293A"/>
    <w:rsid w:val="00D92942"/>
    <w:rsid w:val="00D929B0"/>
    <w:rsid w:val="00D929D4"/>
    <w:rsid w:val="00D92A01"/>
    <w:rsid w:val="00D92A06"/>
    <w:rsid w:val="00D92A30"/>
    <w:rsid w:val="00D92AD2"/>
    <w:rsid w:val="00D92AD8"/>
    <w:rsid w:val="00D92B17"/>
    <w:rsid w:val="00D92C9B"/>
    <w:rsid w:val="00D92CFB"/>
    <w:rsid w:val="00D92E12"/>
    <w:rsid w:val="00D92F8D"/>
    <w:rsid w:val="00D930E6"/>
    <w:rsid w:val="00D93195"/>
    <w:rsid w:val="00D93210"/>
    <w:rsid w:val="00D93390"/>
    <w:rsid w:val="00D934C5"/>
    <w:rsid w:val="00D934D7"/>
    <w:rsid w:val="00D934EE"/>
    <w:rsid w:val="00D93649"/>
    <w:rsid w:val="00D93726"/>
    <w:rsid w:val="00D93794"/>
    <w:rsid w:val="00D9383C"/>
    <w:rsid w:val="00D93887"/>
    <w:rsid w:val="00D938BA"/>
    <w:rsid w:val="00D938D5"/>
    <w:rsid w:val="00D9398F"/>
    <w:rsid w:val="00D939E5"/>
    <w:rsid w:val="00D939F9"/>
    <w:rsid w:val="00D939FF"/>
    <w:rsid w:val="00D93A9A"/>
    <w:rsid w:val="00D93AB2"/>
    <w:rsid w:val="00D93B33"/>
    <w:rsid w:val="00D93B71"/>
    <w:rsid w:val="00D93C09"/>
    <w:rsid w:val="00D93C15"/>
    <w:rsid w:val="00D93C56"/>
    <w:rsid w:val="00D93C66"/>
    <w:rsid w:val="00D93CD0"/>
    <w:rsid w:val="00D93D3F"/>
    <w:rsid w:val="00D93D5B"/>
    <w:rsid w:val="00D93E51"/>
    <w:rsid w:val="00D93E64"/>
    <w:rsid w:val="00D93E84"/>
    <w:rsid w:val="00D93FE1"/>
    <w:rsid w:val="00D94036"/>
    <w:rsid w:val="00D940BC"/>
    <w:rsid w:val="00D94178"/>
    <w:rsid w:val="00D94202"/>
    <w:rsid w:val="00D9425E"/>
    <w:rsid w:val="00D94281"/>
    <w:rsid w:val="00D942EA"/>
    <w:rsid w:val="00D94311"/>
    <w:rsid w:val="00D9435F"/>
    <w:rsid w:val="00D943AC"/>
    <w:rsid w:val="00D94418"/>
    <w:rsid w:val="00D94429"/>
    <w:rsid w:val="00D94519"/>
    <w:rsid w:val="00D945AE"/>
    <w:rsid w:val="00D945BF"/>
    <w:rsid w:val="00D947D7"/>
    <w:rsid w:val="00D94821"/>
    <w:rsid w:val="00D9492B"/>
    <w:rsid w:val="00D9492D"/>
    <w:rsid w:val="00D94971"/>
    <w:rsid w:val="00D94979"/>
    <w:rsid w:val="00D94B8F"/>
    <w:rsid w:val="00D94BB1"/>
    <w:rsid w:val="00D94BEC"/>
    <w:rsid w:val="00D94C2D"/>
    <w:rsid w:val="00D94CBB"/>
    <w:rsid w:val="00D94CC9"/>
    <w:rsid w:val="00D94F07"/>
    <w:rsid w:val="00D94F20"/>
    <w:rsid w:val="00D9505B"/>
    <w:rsid w:val="00D9507D"/>
    <w:rsid w:val="00D9524D"/>
    <w:rsid w:val="00D95329"/>
    <w:rsid w:val="00D953D6"/>
    <w:rsid w:val="00D953EA"/>
    <w:rsid w:val="00D9541E"/>
    <w:rsid w:val="00D9542E"/>
    <w:rsid w:val="00D954BB"/>
    <w:rsid w:val="00D95602"/>
    <w:rsid w:val="00D9561A"/>
    <w:rsid w:val="00D957BE"/>
    <w:rsid w:val="00D95875"/>
    <w:rsid w:val="00D95966"/>
    <w:rsid w:val="00D959AE"/>
    <w:rsid w:val="00D95A9A"/>
    <w:rsid w:val="00D95AA5"/>
    <w:rsid w:val="00D95AAD"/>
    <w:rsid w:val="00D95B27"/>
    <w:rsid w:val="00D95BA3"/>
    <w:rsid w:val="00D95BAF"/>
    <w:rsid w:val="00D95BCC"/>
    <w:rsid w:val="00D95BD0"/>
    <w:rsid w:val="00D95BDD"/>
    <w:rsid w:val="00D95C2E"/>
    <w:rsid w:val="00D95C75"/>
    <w:rsid w:val="00D95C85"/>
    <w:rsid w:val="00D95D02"/>
    <w:rsid w:val="00D95D60"/>
    <w:rsid w:val="00D95DAA"/>
    <w:rsid w:val="00D95DD1"/>
    <w:rsid w:val="00D95E6F"/>
    <w:rsid w:val="00D95E70"/>
    <w:rsid w:val="00D95EA5"/>
    <w:rsid w:val="00D95EB7"/>
    <w:rsid w:val="00D95F17"/>
    <w:rsid w:val="00D96087"/>
    <w:rsid w:val="00D960AF"/>
    <w:rsid w:val="00D96147"/>
    <w:rsid w:val="00D9618B"/>
    <w:rsid w:val="00D961F6"/>
    <w:rsid w:val="00D96254"/>
    <w:rsid w:val="00D96317"/>
    <w:rsid w:val="00D96452"/>
    <w:rsid w:val="00D964D1"/>
    <w:rsid w:val="00D9652B"/>
    <w:rsid w:val="00D965C6"/>
    <w:rsid w:val="00D96636"/>
    <w:rsid w:val="00D966E7"/>
    <w:rsid w:val="00D9670F"/>
    <w:rsid w:val="00D9678E"/>
    <w:rsid w:val="00D96837"/>
    <w:rsid w:val="00D96869"/>
    <w:rsid w:val="00D96968"/>
    <w:rsid w:val="00D9697D"/>
    <w:rsid w:val="00D96BD8"/>
    <w:rsid w:val="00D96CDC"/>
    <w:rsid w:val="00D96D5D"/>
    <w:rsid w:val="00D96DF9"/>
    <w:rsid w:val="00D96F56"/>
    <w:rsid w:val="00D97066"/>
    <w:rsid w:val="00D970A5"/>
    <w:rsid w:val="00D970D1"/>
    <w:rsid w:val="00D97134"/>
    <w:rsid w:val="00D972AD"/>
    <w:rsid w:val="00D97300"/>
    <w:rsid w:val="00D97333"/>
    <w:rsid w:val="00D9734E"/>
    <w:rsid w:val="00D97357"/>
    <w:rsid w:val="00D9739B"/>
    <w:rsid w:val="00D9739C"/>
    <w:rsid w:val="00D973B2"/>
    <w:rsid w:val="00D973F5"/>
    <w:rsid w:val="00D9744E"/>
    <w:rsid w:val="00D9746F"/>
    <w:rsid w:val="00D97497"/>
    <w:rsid w:val="00D975C6"/>
    <w:rsid w:val="00D976A0"/>
    <w:rsid w:val="00D9773D"/>
    <w:rsid w:val="00D9779F"/>
    <w:rsid w:val="00D977FC"/>
    <w:rsid w:val="00D97808"/>
    <w:rsid w:val="00D978C4"/>
    <w:rsid w:val="00D978DC"/>
    <w:rsid w:val="00D979D8"/>
    <w:rsid w:val="00D97AAF"/>
    <w:rsid w:val="00D97AD4"/>
    <w:rsid w:val="00D97AF1"/>
    <w:rsid w:val="00D97B46"/>
    <w:rsid w:val="00D97BF2"/>
    <w:rsid w:val="00D97C42"/>
    <w:rsid w:val="00D97C7E"/>
    <w:rsid w:val="00D97CB6"/>
    <w:rsid w:val="00D97DFF"/>
    <w:rsid w:val="00D97E2A"/>
    <w:rsid w:val="00D97EEC"/>
    <w:rsid w:val="00D97F45"/>
    <w:rsid w:val="00D97F57"/>
    <w:rsid w:val="00D97F75"/>
    <w:rsid w:val="00DA0143"/>
    <w:rsid w:val="00DA01DA"/>
    <w:rsid w:val="00DA02EB"/>
    <w:rsid w:val="00DA0320"/>
    <w:rsid w:val="00DA03AB"/>
    <w:rsid w:val="00DA03D8"/>
    <w:rsid w:val="00DA0426"/>
    <w:rsid w:val="00DA042A"/>
    <w:rsid w:val="00DA068A"/>
    <w:rsid w:val="00DA0788"/>
    <w:rsid w:val="00DA08C0"/>
    <w:rsid w:val="00DA097D"/>
    <w:rsid w:val="00DA09D9"/>
    <w:rsid w:val="00DA0C94"/>
    <w:rsid w:val="00DA0CC3"/>
    <w:rsid w:val="00DA0DB0"/>
    <w:rsid w:val="00DA0E02"/>
    <w:rsid w:val="00DA0E37"/>
    <w:rsid w:val="00DA0E65"/>
    <w:rsid w:val="00DA0E9E"/>
    <w:rsid w:val="00DA0EAE"/>
    <w:rsid w:val="00DA0ECF"/>
    <w:rsid w:val="00DA0ED0"/>
    <w:rsid w:val="00DA0F9A"/>
    <w:rsid w:val="00DA1072"/>
    <w:rsid w:val="00DA10D5"/>
    <w:rsid w:val="00DA1116"/>
    <w:rsid w:val="00DA1167"/>
    <w:rsid w:val="00DA11C2"/>
    <w:rsid w:val="00DA11C4"/>
    <w:rsid w:val="00DA11E5"/>
    <w:rsid w:val="00DA1263"/>
    <w:rsid w:val="00DA13A0"/>
    <w:rsid w:val="00DA149B"/>
    <w:rsid w:val="00DA1520"/>
    <w:rsid w:val="00DA1585"/>
    <w:rsid w:val="00DA1639"/>
    <w:rsid w:val="00DA180B"/>
    <w:rsid w:val="00DA1885"/>
    <w:rsid w:val="00DA1A2A"/>
    <w:rsid w:val="00DA1B1A"/>
    <w:rsid w:val="00DA1C1D"/>
    <w:rsid w:val="00DA1E13"/>
    <w:rsid w:val="00DA1EC4"/>
    <w:rsid w:val="00DA1F25"/>
    <w:rsid w:val="00DA1F62"/>
    <w:rsid w:val="00DA1F72"/>
    <w:rsid w:val="00DA1FDB"/>
    <w:rsid w:val="00DA2062"/>
    <w:rsid w:val="00DA20DC"/>
    <w:rsid w:val="00DA20EC"/>
    <w:rsid w:val="00DA212D"/>
    <w:rsid w:val="00DA2173"/>
    <w:rsid w:val="00DA21B0"/>
    <w:rsid w:val="00DA21C0"/>
    <w:rsid w:val="00DA21F1"/>
    <w:rsid w:val="00DA226B"/>
    <w:rsid w:val="00DA229C"/>
    <w:rsid w:val="00DA2358"/>
    <w:rsid w:val="00DA2362"/>
    <w:rsid w:val="00DA241F"/>
    <w:rsid w:val="00DA2464"/>
    <w:rsid w:val="00DA25AE"/>
    <w:rsid w:val="00DA287B"/>
    <w:rsid w:val="00DA2887"/>
    <w:rsid w:val="00DA293A"/>
    <w:rsid w:val="00DA2BA4"/>
    <w:rsid w:val="00DA2BF8"/>
    <w:rsid w:val="00DA2C3F"/>
    <w:rsid w:val="00DA2C86"/>
    <w:rsid w:val="00DA2D24"/>
    <w:rsid w:val="00DA2D47"/>
    <w:rsid w:val="00DA2E84"/>
    <w:rsid w:val="00DA2ECA"/>
    <w:rsid w:val="00DA2EF5"/>
    <w:rsid w:val="00DA3024"/>
    <w:rsid w:val="00DA3033"/>
    <w:rsid w:val="00DA30BD"/>
    <w:rsid w:val="00DA32D4"/>
    <w:rsid w:val="00DA334B"/>
    <w:rsid w:val="00DA33D3"/>
    <w:rsid w:val="00DA348C"/>
    <w:rsid w:val="00DA3562"/>
    <w:rsid w:val="00DA35C8"/>
    <w:rsid w:val="00DA361A"/>
    <w:rsid w:val="00DA3643"/>
    <w:rsid w:val="00DA36CD"/>
    <w:rsid w:val="00DA3715"/>
    <w:rsid w:val="00DA37BA"/>
    <w:rsid w:val="00DA3850"/>
    <w:rsid w:val="00DA387C"/>
    <w:rsid w:val="00DA38C6"/>
    <w:rsid w:val="00DA3A12"/>
    <w:rsid w:val="00DA3A4A"/>
    <w:rsid w:val="00DA3AC2"/>
    <w:rsid w:val="00DA3AF3"/>
    <w:rsid w:val="00DA3CCF"/>
    <w:rsid w:val="00DA3DD2"/>
    <w:rsid w:val="00DA3E13"/>
    <w:rsid w:val="00DA3E38"/>
    <w:rsid w:val="00DA3E49"/>
    <w:rsid w:val="00DA3E5D"/>
    <w:rsid w:val="00DA3E60"/>
    <w:rsid w:val="00DA3E63"/>
    <w:rsid w:val="00DA3E8D"/>
    <w:rsid w:val="00DA3F7C"/>
    <w:rsid w:val="00DA3F94"/>
    <w:rsid w:val="00DA3FC9"/>
    <w:rsid w:val="00DA3FDB"/>
    <w:rsid w:val="00DA4002"/>
    <w:rsid w:val="00DA4080"/>
    <w:rsid w:val="00DA40BF"/>
    <w:rsid w:val="00DA40C7"/>
    <w:rsid w:val="00DA410E"/>
    <w:rsid w:val="00DA431F"/>
    <w:rsid w:val="00DA4336"/>
    <w:rsid w:val="00DA4346"/>
    <w:rsid w:val="00DA437F"/>
    <w:rsid w:val="00DA43C7"/>
    <w:rsid w:val="00DA4426"/>
    <w:rsid w:val="00DA4481"/>
    <w:rsid w:val="00DA4523"/>
    <w:rsid w:val="00DA45AE"/>
    <w:rsid w:val="00DA460B"/>
    <w:rsid w:val="00DA460E"/>
    <w:rsid w:val="00DA4666"/>
    <w:rsid w:val="00DA46B8"/>
    <w:rsid w:val="00DA4709"/>
    <w:rsid w:val="00DA471F"/>
    <w:rsid w:val="00DA472C"/>
    <w:rsid w:val="00DA4750"/>
    <w:rsid w:val="00DA490E"/>
    <w:rsid w:val="00DA49E3"/>
    <w:rsid w:val="00DA4AFF"/>
    <w:rsid w:val="00DA4B4F"/>
    <w:rsid w:val="00DA4BE3"/>
    <w:rsid w:val="00DA4D3A"/>
    <w:rsid w:val="00DA4D40"/>
    <w:rsid w:val="00DA4DBE"/>
    <w:rsid w:val="00DA4F1F"/>
    <w:rsid w:val="00DA4FB1"/>
    <w:rsid w:val="00DA4FC0"/>
    <w:rsid w:val="00DA503E"/>
    <w:rsid w:val="00DA508F"/>
    <w:rsid w:val="00DA5097"/>
    <w:rsid w:val="00DA50F4"/>
    <w:rsid w:val="00DA524F"/>
    <w:rsid w:val="00DA52B3"/>
    <w:rsid w:val="00DA52F5"/>
    <w:rsid w:val="00DA5402"/>
    <w:rsid w:val="00DA5491"/>
    <w:rsid w:val="00DA54D5"/>
    <w:rsid w:val="00DA54F3"/>
    <w:rsid w:val="00DA552A"/>
    <w:rsid w:val="00DA552B"/>
    <w:rsid w:val="00DA5573"/>
    <w:rsid w:val="00DA55CF"/>
    <w:rsid w:val="00DA5750"/>
    <w:rsid w:val="00DA5779"/>
    <w:rsid w:val="00DA57CA"/>
    <w:rsid w:val="00DA587C"/>
    <w:rsid w:val="00DA588B"/>
    <w:rsid w:val="00DA58FB"/>
    <w:rsid w:val="00DA591C"/>
    <w:rsid w:val="00DA592A"/>
    <w:rsid w:val="00DA5960"/>
    <w:rsid w:val="00DA59B4"/>
    <w:rsid w:val="00DA59E0"/>
    <w:rsid w:val="00DA5A91"/>
    <w:rsid w:val="00DA5AA7"/>
    <w:rsid w:val="00DA5AFA"/>
    <w:rsid w:val="00DA5B6E"/>
    <w:rsid w:val="00DA5C86"/>
    <w:rsid w:val="00DA5D63"/>
    <w:rsid w:val="00DA5DCD"/>
    <w:rsid w:val="00DA5E44"/>
    <w:rsid w:val="00DA5E88"/>
    <w:rsid w:val="00DA5EC6"/>
    <w:rsid w:val="00DA5F00"/>
    <w:rsid w:val="00DA5F1C"/>
    <w:rsid w:val="00DA5F64"/>
    <w:rsid w:val="00DA5FC7"/>
    <w:rsid w:val="00DA5FDD"/>
    <w:rsid w:val="00DA6021"/>
    <w:rsid w:val="00DA6102"/>
    <w:rsid w:val="00DA61BA"/>
    <w:rsid w:val="00DA61D2"/>
    <w:rsid w:val="00DA6217"/>
    <w:rsid w:val="00DA62D4"/>
    <w:rsid w:val="00DA62E9"/>
    <w:rsid w:val="00DA6335"/>
    <w:rsid w:val="00DA634A"/>
    <w:rsid w:val="00DA6356"/>
    <w:rsid w:val="00DA639E"/>
    <w:rsid w:val="00DA63F3"/>
    <w:rsid w:val="00DA6517"/>
    <w:rsid w:val="00DA652E"/>
    <w:rsid w:val="00DA6534"/>
    <w:rsid w:val="00DA6563"/>
    <w:rsid w:val="00DA6582"/>
    <w:rsid w:val="00DA6691"/>
    <w:rsid w:val="00DA6708"/>
    <w:rsid w:val="00DA6718"/>
    <w:rsid w:val="00DA6722"/>
    <w:rsid w:val="00DA6848"/>
    <w:rsid w:val="00DA684A"/>
    <w:rsid w:val="00DA6857"/>
    <w:rsid w:val="00DA685F"/>
    <w:rsid w:val="00DA6924"/>
    <w:rsid w:val="00DA6953"/>
    <w:rsid w:val="00DA69C9"/>
    <w:rsid w:val="00DA69DD"/>
    <w:rsid w:val="00DA6A79"/>
    <w:rsid w:val="00DA6AD4"/>
    <w:rsid w:val="00DA6B05"/>
    <w:rsid w:val="00DA6B87"/>
    <w:rsid w:val="00DA6E52"/>
    <w:rsid w:val="00DA6E83"/>
    <w:rsid w:val="00DA6EA7"/>
    <w:rsid w:val="00DA6F9C"/>
    <w:rsid w:val="00DA703D"/>
    <w:rsid w:val="00DA703E"/>
    <w:rsid w:val="00DA7068"/>
    <w:rsid w:val="00DA70EA"/>
    <w:rsid w:val="00DA71DE"/>
    <w:rsid w:val="00DA73F2"/>
    <w:rsid w:val="00DA7449"/>
    <w:rsid w:val="00DA74FB"/>
    <w:rsid w:val="00DA7512"/>
    <w:rsid w:val="00DA7533"/>
    <w:rsid w:val="00DA7599"/>
    <w:rsid w:val="00DA75B0"/>
    <w:rsid w:val="00DA7618"/>
    <w:rsid w:val="00DA771B"/>
    <w:rsid w:val="00DA7728"/>
    <w:rsid w:val="00DA77A2"/>
    <w:rsid w:val="00DA77AD"/>
    <w:rsid w:val="00DA784B"/>
    <w:rsid w:val="00DA78A7"/>
    <w:rsid w:val="00DA790E"/>
    <w:rsid w:val="00DA793D"/>
    <w:rsid w:val="00DA79AA"/>
    <w:rsid w:val="00DA7A8D"/>
    <w:rsid w:val="00DA7AC1"/>
    <w:rsid w:val="00DA7B1D"/>
    <w:rsid w:val="00DA7BC6"/>
    <w:rsid w:val="00DA7C53"/>
    <w:rsid w:val="00DA7C7C"/>
    <w:rsid w:val="00DA7CCE"/>
    <w:rsid w:val="00DA7CF4"/>
    <w:rsid w:val="00DA7D02"/>
    <w:rsid w:val="00DA7D08"/>
    <w:rsid w:val="00DA7D89"/>
    <w:rsid w:val="00DA7DB5"/>
    <w:rsid w:val="00DA7E62"/>
    <w:rsid w:val="00DA7E67"/>
    <w:rsid w:val="00DA7E7C"/>
    <w:rsid w:val="00DA7EF2"/>
    <w:rsid w:val="00DA7F64"/>
    <w:rsid w:val="00DA7F6F"/>
    <w:rsid w:val="00DA7F82"/>
    <w:rsid w:val="00DA7FE1"/>
    <w:rsid w:val="00DB0022"/>
    <w:rsid w:val="00DB013B"/>
    <w:rsid w:val="00DB0165"/>
    <w:rsid w:val="00DB0171"/>
    <w:rsid w:val="00DB01B7"/>
    <w:rsid w:val="00DB0244"/>
    <w:rsid w:val="00DB0297"/>
    <w:rsid w:val="00DB035A"/>
    <w:rsid w:val="00DB03A4"/>
    <w:rsid w:val="00DB04F8"/>
    <w:rsid w:val="00DB0523"/>
    <w:rsid w:val="00DB055F"/>
    <w:rsid w:val="00DB0566"/>
    <w:rsid w:val="00DB061B"/>
    <w:rsid w:val="00DB0753"/>
    <w:rsid w:val="00DB07D3"/>
    <w:rsid w:val="00DB0810"/>
    <w:rsid w:val="00DB08CA"/>
    <w:rsid w:val="00DB093D"/>
    <w:rsid w:val="00DB09BB"/>
    <w:rsid w:val="00DB0A89"/>
    <w:rsid w:val="00DB0A95"/>
    <w:rsid w:val="00DB0AA0"/>
    <w:rsid w:val="00DB0AA8"/>
    <w:rsid w:val="00DB0B30"/>
    <w:rsid w:val="00DB0BAB"/>
    <w:rsid w:val="00DB0BF1"/>
    <w:rsid w:val="00DB0CC5"/>
    <w:rsid w:val="00DB0D39"/>
    <w:rsid w:val="00DB0E14"/>
    <w:rsid w:val="00DB0E4F"/>
    <w:rsid w:val="00DB0E89"/>
    <w:rsid w:val="00DB0F43"/>
    <w:rsid w:val="00DB0F44"/>
    <w:rsid w:val="00DB0F49"/>
    <w:rsid w:val="00DB0F4D"/>
    <w:rsid w:val="00DB0F79"/>
    <w:rsid w:val="00DB0F7F"/>
    <w:rsid w:val="00DB1077"/>
    <w:rsid w:val="00DB1171"/>
    <w:rsid w:val="00DB11C6"/>
    <w:rsid w:val="00DB11D7"/>
    <w:rsid w:val="00DB123D"/>
    <w:rsid w:val="00DB1285"/>
    <w:rsid w:val="00DB12ED"/>
    <w:rsid w:val="00DB134B"/>
    <w:rsid w:val="00DB138C"/>
    <w:rsid w:val="00DB1423"/>
    <w:rsid w:val="00DB14F0"/>
    <w:rsid w:val="00DB1567"/>
    <w:rsid w:val="00DB1595"/>
    <w:rsid w:val="00DB1597"/>
    <w:rsid w:val="00DB1610"/>
    <w:rsid w:val="00DB1633"/>
    <w:rsid w:val="00DB17A6"/>
    <w:rsid w:val="00DB1930"/>
    <w:rsid w:val="00DB1A98"/>
    <w:rsid w:val="00DB1B9E"/>
    <w:rsid w:val="00DB1E1E"/>
    <w:rsid w:val="00DB1E66"/>
    <w:rsid w:val="00DB1F02"/>
    <w:rsid w:val="00DB1F21"/>
    <w:rsid w:val="00DB1F62"/>
    <w:rsid w:val="00DB1F84"/>
    <w:rsid w:val="00DB2072"/>
    <w:rsid w:val="00DB20AE"/>
    <w:rsid w:val="00DB22E6"/>
    <w:rsid w:val="00DB2326"/>
    <w:rsid w:val="00DB233F"/>
    <w:rsid w:val="00DB236B"/>
    <w:rsid w:val="00DB24B2"/>
    <w:rsid w:val="00DB2537"/>
    <w:rsid w:val="00DB2545"/>
    <w:rsid w:val="00DB26EF"/>
    <w:rsid w:val="00DB28A1"/>
    <w:rsid w:val="00DB29F6"/>
    <w:rsid w:val="00DB2B91"/>
    <w:rsid w:val="00DB2BC9"/>
    <w:rsid w:val="00DB2C12"/>
    <w:rsid w:val="00DB2C13"/>
    <w:rsid w:val="00DB2C48"/>
    <w:rsid w:val="00DB2C94"/>
    <w:rsid w:val="00DB2D3A"/>
    <w:rsid w:val="00DB2F03"/>
    <w:rsid w:val="00DB2F52"/>
    <w:rsid w:val="00DB2F76"/>
    <w:rsid w:val="00DB2FD2"/>
    <w:rsid w:val="00DB30E8"/>
    <w:rsid w:val="00DB30EC"/>
    <w:rsid w:val="00DB3127"/>
    <w:rsid w:val="00DB3186"/>
    <w:rsid w:val="00DB31B0"/>
    <w:rsid w:val="00DB3206"/>
    <w:rsid w:val="00DB321B"/>
    <w:rsid w:val="00DB32C7"/>
    <w:rsid w:val="00DB3355"/>
    <w:rsid w:val="00DB33D0"/>
    <w:rsid w:val="00DB33E2"/>
    <w:rsid w:val="00DB345D"/>
    <w:rsid w:val="00DB345F"/>
    <w:rsid w:val="00DB34B2"/>
    <w:rsid w:val="00DB34D0"/>
    <w:rsid w:val="00DB3512"/>
    <w:rsid w:val="00DB3590"/>
    <w:rsid w:val="00DB35BA"/>
    <w:rsid w:val="00DB3635"/>
    <w:rsid w:val="00DB3649"/>
    <w:rsid w:val="00DB3651"/>
    <w:rsid w:val="00DB36BA"/>
    <w:rsid w:val="00DB372B"/>
    <w:rsid w:val="00DB375F"/>
    <w:rsid w:val="00DB38C6"/>
    <w:rsid w:val="00DB38CC"/>
    <w:rsid w:val="00DB393A"/>
    <w:rsid w:val="00DB3976"/>
    <w:rsid w:val="00DB39BA"/>
    <w:rsid w:val="00DB3BD7"/>
    <w:rsid w:val="00DB3CFA"/>
    <w:rsid w:val="00DB3D9F"/>
    <w:rsid w:val="00DB3EF5"/>
    <w:rsid w:val="00DB3F3E"/>
    <w:rsid w:val="00DB3F3F"/>
    <w:rsid w:val="00DB4235"/>
    <w:rsid w:val="00DB4242"/>
    <w:rsid w:val="00DB4268"/>
    <w:rsid w:val="00DB42A8"/>
    <w:rsid w:val="00DB4315"/>
    <w:rsid w:val="00DB433C"/>
    <w:rsid w:val="00DB4467"/>
    <w:rsid w:val="00DB44AB"/>
    <w:rsid w:val="00DB4528"/>
    <w:rsid w:val="00DB4571"/>
    <w:rsid w:val="00DB459F"/>
    <w:rsid w:val="00DB467E"/>
    <w:rsid w:val="00DB4695"/>
    <w:rsid w:val="00DB4752"/>
    <w:rsid w:val="00DB4822"/>
    <w:rsid w:val="00DB4902"/>
    <w:rsid w:val="00DB49AB"/>
    <w:rsid w:val="00DB4A0C"/>
    <w:rsid w:val="00DB4A61"/>
    <w:rsid w:val="00DB4AA4"/>
    <w:rsid w:val="00DB4ADA"/>
    <w:rsid w:val="00DB4C1E"/>
    <w:rsid w:val="00DB4C48"/>
    <w:rsid w:val="00DB4C8F"/>
    <w:rsid w:val="00DB4CBB"/>
    <w:rsid w:val="00DB4D58"/>
    <w:rsid w:val="00DB4E6D"/>
    <w:rsid w:val="00DB500A"/>
    <w:rsid w:val="00DB5234"/>
    <w:rsid w:val="00DB53A1"/>
    <w:rsid w:val="00DB53FB"/>
    <w:rsid w:val="00DB542F"/>
    <w:rsid w:val="00DB5498"/>
    <w:rsid w:val="00DB554B"/>
    <w:rsid w:val="00DB5597"/>
    <w:rsid w:val="00DB5674"/>
    <w:rsid w:val="00DB57CE"/>
    <w:rsid w:val="00DB583D"/>
    <w:rsid w:val="00DB588F"/>
    <w:rsid w:val="00DB589F"/>
    <w:rsid w:val="00DB58C4"/>
    <w:rsid w:val="00DB58EC"/>
    <w:rsid w:val="00DB597B"/>
    <w:rsid w:val="00DB59A8"/>
    <w:rsid w:val="00DB59EA"/>
    <w:rsid w:val="00DB5AD6"/>
    <w:rsid w:val="00DB5AEC"/>
    <w:rsid w:val="00DB5C18"/>
    <w:rsid w:val="00DB5C70"/>
    <w:rsid w:val="00DB5C7D"/>
    <w:rsid w:val="00DB5C8E"/>
    <w:rsid w:val="00DB5CF1"/>
    <w:rsid w:val="00DB5EF3"/>
    <w:rsid w:val="00DB5F05"/>
    <w:rsid w:val="00DB5F48"/>
    <w:rsid w:val="00DB6239"/>
    <w:rsid w:val="00DB6265"/>
    <w:rsid w:val="00DB62B0"/>
    <w:rsid w:val="00DB62B6"/>
    <w:rsid w:val="00DB6458"/>
    <w:rsid w:val="00DB6474"/>
    <w:rsid w:val="00DB64A5"/>
    <w:rsid w:val="00DB64F3"/>
    <w:rsid w:val="00DB653A"/>
    <w:rsid w:val="00DB656A"/>
    <w:rsid w:val="00DB65FC"/>
    <w:rsid w:val="00DB6642"/>
    <w:rsid w:val="00DB6800"/>
    <w:rsid w:val="00DB68FA"/>
    <w:rsid w:val="00DB6948"/>
    <w:rsid w:val="00DB69A6"/>
    <w:rsid w:val="00DB6A27"/>
    <w:rsid w:val="00DB6A39"/>
    <w:rsid w:val="00DB6A64"/>
    <w:rsid w:val="00DB6A8C"/>
    <w:rsid w:val="00DB6B2A"/>
    <w:rsid w:val="00DB6B88"/>
    <w:rsid w:val="00DB6B96"/>
    <w:rsid w:val="00DB6BE5"/>
    <w:rsid w:val="00DB6BFA"/>
    <w:rsid w:val="00DB6CD1"/>
    <w:rsid w:val="00DB6D34"/>
    <w:rsid w:val="00DB6D9A"/>
    <w:rsid w:val="00DB6D9C"/>
    <w:rsid w:val="00DB6DD2"/>
    <w:rsid w:val="00DB6EE1"/>
    <w:rsid w:val="00DB6F9A"/>
    <w:rsid w:val="00DB6FB2"/>
    <w:rsid w:val="00DB6FF0"/>
    <w:rsid w:val="00DB70D0"/>
    <w:rsid w:val="00DB71BA"/>
    <w:rsid w:val="00DB7289"/>
    <w:rsid w:val="00DB72D8"/>
    <w:rsid w:val="00DB72F3"/>
    <w:rsid w:val="00DB7331"/>
    <w:rsid w:val="00DB7370"/>
    <w:rsid w:val="00DB7372"/>
    <w:rsid w:val="00DB73BD"/>
    <w:rsid w:val="00DB741D"/>
    <w:rsid w:val="00DB7436"/>
    <w:rsid w:val="00DB7529"/>
    <w:rsid w:val="00DB7616"/>
    <w:rsid w:val="00DB7626"/>
    <w:rsid w:val="00DB763F"/>
    <w:rsid w:val="00DB764D"/>
    <w:rsid w:val="00DB7653"/>
    <w:rsid w:val="00DB76A8"/>
    <w:rsid w:val="00DB76CC"/>
    <w:rsid w:val="00DB7744"/>
    <w:rsid w:val="00DB77AC"/>
    <w:rsid w:val="00DB787F"/>
    <w:rsid w:val="00DB78D9"/>
    <w:rsid w:val="00DB7935"/>
    <w:rsid w:val="00DB797A"/>
    <w:rsid w:val="00DB79D2"/>
    <w:rsid w:val="00DB79F9"/>
    <w:rsid w:val="00DB7AD6"/>
    <w:rsid w:val="00DB7AFF"/>
    <w:rsid w:val="00DB7B3E"/>
    <w:rsid w:val="00DB7B78"/>
    <w:rsid w:val="00DB7BED"/>
    <w:rsid w:val="00DB7C5D"/>
    <w:rsid w:val="00DB7D79"/>
    <w:rsid w:val="00DB7DCA"/>
    <w:rsid w:val="00DB7ED3"/>
    <w:rsid w:val="00DB7EEB"/>
    <w:rsid w:val="00DB7F36"/>
    <w:rsid w:val="00DB7F86"/>
    <w:rsid w:val="00DB7F88"/>
    <w:rsid w:val="00DB7F89"/>
    <w:rsid w:val="00DB7F90"/>
    <w:rsid w:val="00DB7F98"/>
    <w:rsid w:val="00DB7F9B"/>
    <w:rsid w:val="00DB7FB9"/>
    <w:rsid w:val="00DC00A0"/>
    <w:rsid w:val="00DC00E0"/>
    <w:rsid w:val="00DC0190"/>
    <w:rsid w:val="00DC01B5"/>
    <w:rsid w:val="00DC0530"/>
    <w:rsid w:val="00DC056F"/>
    <w:rsid w:val="00DC06B7"/>
    <w:rsid w:val="00DC0728"/>
    <w:rsid w:val="00DC0820"/>
    <w:rsid w:val="00DC0840"/>
    <w:rsid w:val="00DC0849"/>
    <w:rsid w:val="00DC090A"/>
    <w:rsid w:val="00DC0986"/>
    <w:rsid w:val="00DC0A64"/>
    <w:rsid w:val="00DC0AA6"/>
    <w:rsid w:val="00DC0C0D"/>
    <w:rsid w:val="00DC0CF3"/>
    <w:rsid w:val="00DC0E21"/>
    <w:rsid w:val="00DC0EA9"/>
    <w:rsid w:val="00DC0ECA"/>
    <w:rsid w:val="00DC1304"/>
    <w:rsid w:val="00DC1324"/>
    <w:rsid w:val="00DC133C"/>
    <w:rsid w:val="00DC134E"/>
    <w:rsid w:val="00DC142D"/>
    <w:rsid w:val="00DC153D"/>
    <w:rsid w:val="00DC15D1"/>
    <w:rsid w:val="00DC15EA"/>
    <w:rsid w:val="00DC1634"/>
    <w:rsid w:val="00DC1635"/>
    <w:rsid w:val="00DC17D8"/>
    <w:rsid w:val="00DC18DA"/>
    <w:rsid w:val="00DC1A0C"/>
    <w:rsid w:val="00DC1A36"/>
    <w:rsid w:val="00DC1AB1"/>
    <w:rsid w:val="00DC1AF3"/>
    <w:rsid w:val="00DC1B14"/>
    <w:rsid w:val="00DC1B66"/>
    <w:rsid w:val="00DC1BF4"/>
    <w:rsid w:val="00DC1C3E"/>
    <w:rsid w:val="00DC1C86"/>
    <w:rsid w:val="00DC1D33"/>
    <w:rsid w:val="00DC1D53"/>
    <w:rsid w:val="00DC1D7D"/>
    <w:rsid w:val="00DC1DB0"/>
    <w:rsid w:val="00DC1E2A"/>
    <w:rsid w:val="00DC1E47"/>
    <w:rsid w:val="00DC1E71"/>
    <w:rsid w:val="00DC1EFD"/>
    <w:rsid w:val="00DC1F55"/>
    <w:rsid w:val="00DC1F56"/>
    <w:rsid w:val="00DC1F5E"/>
    <w:rsid w:val="00DC1F81"/>
    <w:rsid w:val="00DC1FDF"/>
    <w:rsid w:val="00DC1FF4"/>
    <w:rsid w:val="00DC202B"/>
    <w:rsid w:val="00DC2223"/>
    <w:rsid w:val="00DC234F"/>
    <w:rsid w:val="00DC242B"/>
    <w:rsid w:val="00DC2468"/>
    <w:rsid w:val="00DC2484"/>
    <w:rsid w:val="00DC2498"/>
    <w:rsid w:val="00DC24EB"/>
    <w:rsid w:val="00DC24F2"/>
    <w:rsid w:val="00DC252C"/>
    <w:rsid w:val="00DC2560"/>
    <w:rsid w:val="00DC2643"/>
    <w:rsid w:val="00DC2659"/>
    <w:rsid w:val="00DC2666"/>
    <w:rsid w:val="00DC27FA"/>
    <w:rsid w:val="00DC2805"/>
    <w:rsid w:val="00DC2878"/>
    <w:rsid w:val="00DC2892"/>
    <w:rsid w:val="00DC2944"/>
    <w:rsid w:val="00DC294F"/>
    <w:rsid w:val="00DC2A2A"/>
    <w:rsid w:val="00DC2AAF"/>
    <w:rsid w:val="00DC2BA8"/>
    <w:rsid w:val="00DC2C01"/>
    <w:rsid w:val="00DC2C39"/>
    <w:rsid w:val="00DC2C43"/>
    <w:rsid w:val="00DC2D19"/>
    <w:rsid w:val="00DC2D4C"/>
    <w:rsid w:val="00DC2D4D"/>
    <w:rsid w:val="00DC2D90"/>
    <w:rsid w:val="00DC2DEF"/>
    <w:rsid w:val="00DC2E0F"/>
    <w:rsid w:val="00DC2E4C"/>
    <w:rsid w:val="00DC2E59"/>
    <w:rsid w:val="00DC2EB7"/>
    <w:rsid w:val="00DC2F34"/>
    <w:rsid w:val="00DC3024"/>
    <w:rsid w:val="00DC3043"/>
    <w:rsid w:val="00DC3118"/>
    <w:rsid w:val="00DC311B"/>
    <w:rsid w:val="00DC3129"/>
    <w:rsid w:val="00DC313E"/>
    <w:rsid w:val="00DC3166"/>
    <w:rsid w:val="00DC325C"/>
    <w:rsid w:val="00DC32B4"/>
    <w:rsid w:val="00DC32DF"/>
    <w:rsid w:val="00DC3362"/>
    <w:rsid w:val="00DC3383"/>
    <w:rsid w:val="00DC33D0"/>
    <w:rsid w:val="00DC343F"/>
    <w:rsid w:val="00DC3506"/>
    <w:rsid w:val="00DC35DE"/>
    <w:rsid w:val="00DC35EB"/>
    <w:rsid w:val="00DC36BC"/>
    <w:rsid w:val="00DC36D8"/>
    <w:rsid w:val="00DC3702"/>
    <w:rsid w:val="00DC37AD"/>
    <w:rsid w:val="00DC37D8"/>
    <w:rsid w:val="00DC389C"/>
    <w:rsid w:val="00DC398D"/>
    <w:rsid w:val="00DC39AB"/>
    <w:rsid w:val="00DC3A76"/>
    <w:rsid w:val="00DC3A90"/>
    <w:rsid w:val="00DC3AC0"/>
    <w:rsid w:val="00DC3B42"/>
    <w:rsid w:val="00DC3BE9"/>
    <w:rsid w:val="00DC3CBB"/>
    <w:rsid w:val="00DC3E38"/>
    <w:rsid w:val="00DC3E88"/>
    <w:rsid w:val="00DC3ECB"/>
    <w:rsid w:val="00DC3FDF"/>
    <w:rsid w:val="00DC407D"/>
    <w:rsid w:val="00DC41B2"/>
    <w:rsid w:val="00DC41DC"/>
    <w:rsid w:val="00DC421F"/>
    <w:rsid w:val="00DC422B"/>
    <w:rsid w:val="00DC431A"/>
    <w:rsid w:val="00DC435F"/>
    <w:rsid w:val="00DC4402"/>
    <w:rsid w:val="00DC44CB"/>
    <w:rsid w:val="00DC4512"/>
    <w:rsid w:val="00DC4532"/>
    <w:rsid w:val="00DC4536"/>
    <w:rsid w:val="00DC45E6"/>
    <w:rsid w:val="00DC467C"/>
    <w:rsid w:val="00DC4719"/>
    <w:rsid w:val="00DC472D"/>
    <w:rsid w:val="00DC49BA"/>
    <w:rsid w:val="00DC49CF"/>
    <w:rsid w:val="00DC4A0A"/>
    <w:rsid w:val="00DC4A80"/>
    <w:rsid w:val="00DC4ADC"/>
    <w:rsid w:val="00DC4B88"/>
    <w:rsid w:val="00DC4BF0"/>
    <w:rsid w:val="00DC4CBA"/>
    <w:rsid w:val="00DC4DB1"/>
    <w:rsid w:val="00DC4DB9"/>
    <w:rsid w:val="00DC4E09"/>
    <w:rsid w:val="00DC4E29"/>
    <w:rsid w:val="00DC4E70"/>
    <w:rsid w:val="00DC4F23"/>
    <w:rsid w:val="00DC5119"/>
    <w:rsid w:val="00DC5188"/>
    <w:rsid w:val="00DC51E3"/>
    <w:rsid w:val="00DC527D"/>
    <w:rsid w:val="00DC5357"/>
    <w:rsid w:val="00DC5378"/>
    <w:rsid w:val="00DC53D7"/>
    <w:rsid w:val="00DC5424"/>
    <w:rsid w:val="00DC544D"/>
    <w:rsid w:val="00DC55E2"/>
    <w:rsid w:val="00DC56F8"/>
    <w:rsid w:val="00DC58A1"/>
    <w:rsid w:val="00DC5947"/>
    <w:rsid w:val="00DC5A1F"/>
    <w:rsid w:val="00DC5B79"/>
    <w:rsid w:val="00DC5BF4"/>
    <w:rsid w:val="00DC5D75"/>
    <w:rsid w:val="00DC5D86"/>
    <w:rsid w:val="00DC5DD4"/>
    <w:rsid w:val="00DC5EE2"/>
    <w:rsid w:val="00DC5FD1"/>
    <w:rsid w:val="00DC6043"/>
    <w:rsid w:val="00DC604D"/>
    <w:rsid w:val="00DC60D0"/>
    <w:rsid w:val="00DC6143"/>
    <w:rsid w:val="00DC61B2"/>
    <w:rsid w:val="00DC6214"/>
    <w:rsid w:val="00DC6258"/>
    <w:rsid w:val="00DC6266"/>
    <w:rsid w:val="00DC62BD"/>
    <w:rsid w:val="00DC647B"/>
    <w:rsid w:val="00DC6494"/>
    <w:rsid w:val="00DC6550"/>
    <w:rsid w:val="00DC65B3"/>
    <w:rsid w:val="00DC6673"/>
    <w:rsid w:val="00DC66C4"/>
    <w:rsid w:val="00DC66CC"/>
    <w:rsid w:val="00DC67AB"/>
    <w:rsid w:val="00DC67F0"/>
    <w:rsid w:val="00DC6822"/>
    <w:rsid w:val="00DC6865"/>
    <w:rsid w:val="00DC6894"/>
    <w:rsid w:val="00DC68A3"/>
    <w:rsid w:val="00DC68CE"/>
    <w:rsid w:val="00DC6961"/>
    <w:rsid w:val="00DC69A0"/>
    <w:rsid w:val="00DC6A4E"/>
    <w:rsid w:val="00DC6AC5"/>
    <w:rsid w:val="00DC6B4E"/>
    <w:rsid w:val="00DC6B7F"/>
    <w:rsid w:val="00DC6CBB"/>
    <w:rsid w:val="00DC6CBD"/>
    <w:rsid w:val="00DC6D81"/>
    <w:rsid w:val="00DC6D94"/>
    <w:rsid w:val="00DC6EFB"/>
    <w:rsid w:val="00DC6F12"/>
    <w:rsid w:val="00DC6F98"/>
    <w:rsid w:val="00DC6FFB"/>
    <w:rsid w:val="00DC7058"/>
    <w:rsid w:val="00DC705B"/>
    <w:rsid w:val="00DC70E7"/>
    <w:rsid w:val="00DC7144"/>
    <w:rsid w:val="00DC71E4"/>
    <w:rsid w:val="00DC7265"/>
    <w:rsid w:val="00DC73EB"/>
    <w:rsid w:val="00DC7401"/>
    <w:rsid w:val="00DC7490"/>
    <w:rsid w:val="00DC7577"/>
    <w:rsid w:val="00DC7584"/>
    <w:rsid w:val="00DC7587"/>
    <w:rsid w:val="00DC75B9"/>
    <w:rsid w:val="00DC7631"/>
    <w:rsid w:val="00DC765B"/>
    <w:rsid w:val="00DC76D4"/>
    <w:rsid w:val="00DC77F0"/>
    <w:rsid w:val="00DC7837"/>
    <w:rsid w:val="00DC78B0"/>
    <w:rsid w:val="00DC7A05"/>
    <w:rsid w:val="00DC7AB5"/>
    <w:rsid w:val="00DC7B55"/>
    <w:rsid w:val="00DC7C21"/>
    <w:rsid w:val="00DC7CBB"/>
    <w:rsid w:val="00DC7CDE"/>
    <w:rsid w:val="00DC7D38"/>
    <w:rsid w:val="00DC7D3B"/>
    <w:rsid w:val="00DC7F0F"/>
    <w:rsid w:val="00DC7F36"/>
    <w:rsid w:val="00DC7F88"/>
    <w:rsid w:val="00DC7F9C"/>
    <w:rsid w:val="00DC7FD5"/>
    <w:rsid w:val="00DD00D2"/>
    <w:rsid w:val="00DD00E9"/>
    <w:rsid w:val="00DD0176"/>
    <w:rsid w:val="00DD01F9"/>
    <w:rsid w:val="00DD0203"/>
    <w:rsid w:val="00DD0258"/>
    <w:rsid w:val="00DD0262"/>
    <w:rsid w:val="00DD02E9"/>
    <w:rsid w:val="00DD0342"/>
    <w:rsid w:val="00DD034E"/>
    <w:rsid w:val="00DD0389"/>
    <w:rsid w:val="00DD03C1"/>
    <w:rsid w:val="00DD045E"/>
    <w:rsid w:val="00DD04BE"/>
    <w:rsid w:val="00DD0504"/>
    <w:rsid w:val="00DD0610"/>
    <w:rsid w:val="00DD071B"/>
    <w:rsid w:val="00DD0771"/>
    <w:rsid w:val="00DD07F4"/>
    <w:rsid w:val="00DD0905"/>
    <w:rsid w:val="00DD0912"/>
    <w:rsid w:val="00DD0940"/>
    <w:rsid w:val="00DD0AE7"/>
    <w:rsid w:val="00DD0B80"/>
    <w:rsid w:val="00DD0D0E"/>
    <w:rsid w:val="00DD0D6A"/>
    <w:rsid w:val="00DD0E17"/>
    <w:rsid w:val="00DD0EC7"/>
    <w:rsid w:val="00DD0ECD"/>
    <w:rsid w:val="00DD0F12"/>
    <w:rsid w:val="00DD0FDA"/>
    <w:rsid w:val="00DD10D4"/>
    <w:rsid w:val="00DD1179"/>
    <w:rsid w:val="00DD12B9"/>
    <w:rsid w:val="00DD12D8"/>
    <w:rsid w:val="00DD12E6"/>
    <w:rsid w:val="00DD12E7"/>
    <w:rsid w:val="00DD135D"/>
    <w:rsid w:val="00DD142E"/>
    <w:rsid w:val="00DD14AC"/>
    <w:rsid w:val="00DD1514"/>
    <w:rsid w:val="00DD1568"/>
    <w:rsid w:val="00DD15A4"/>
    <w:rsid w:val="00DD168D"/>
    <w:rsid w:val="00DD16D4"/>
    <w:rsid w:val="00DD18D1"/>
    <w:rsid w:val="00DD192F"/>
    <w:rsid w:val="00DD19BF"/>
    <w:rsid w:val="00DD1B32"/>
    <w:rsid w:val="00DD1C8C"/>
    <w:rsid w:val="00DD1DC0"/>
    <w:rsid w:val="00DD1F8F"/>
    <w:rsid w:val="00DD20CF"/>
    <w:rsid w:val="00DD218C"/>
    <w:rsid w:val="00DD21B6"/>
    <w:rsid w:val="00DD23A0"/>
    <w:rsid w:val="00DD23E5"/>
    <w:rsid w:val="00DD2487"/>
    <w:rsid w:val="00DD24EA"/>
    <w:rsid w:val="00DD2508"/>
    <w:rsid w:val="00DD255D"/>
    <w:rsid w:val="00DD257C"/>
    <w:rsid w:val="00DD258C"/>
    <w:rsid w:val="00DD25A9"/>
    <w:rsid w:val="00DD27E5"/>
    <w:rsid w:val="00DD280C"/>
    <w:rsid w:val="00DD287D"/>
    <w:rsid w:val="00DD28DC"/>
    <w:rsid w:val="00DD28FA"/>
    <w:rsid w:val="00DD2A08"/>
    <w:rsid w:val="00DD2B2D"/>
    <w:rsid w:val="00DD2C0D"/>
    <w:rsid w:val="00DD2C77"/>
    <w:rsid w:val="00DD2DB0"/>
    <w:rsid w:val="00DD2DFA"/>
    <w:rsid w:val="00DD2E49"/>
    <w:rsid w:val="00DD2F5B"/>
    <w:rsid w:val="00DD2F5F"/>
    <w:rsid w:val="00DD2F77"/>
    <w:rsid w:val="00DD302C"/>
    <w:rsid w:val="00DD303D"/>
    <w:rsid w:val="00DD30E2"/>
    <w:rsid w:val="00DD31E4"/>
    <w:rsid w:val="00DD320C"/>
    <w:rsid w:val="00DD32A0"/>
    <w:rsid w:val="00DD3306"/>
    <w:rsid w:val="00DD3394"/>
    <w:rsid w:val="00DD3396"/>
    <w:rsid w:val="00DD33FE"/>
    <w:rsid w:val="00DD34DF"/>
    <w:rsid w:val="00DD3542"/>
    <w:rsid w:val="00DD354F"/>
    <w:rsid w:val="00DD35B0"/>
    <w:rsid w:val="00DD3669"/>
    <w:rsid w:val="00DD3684"/>
    <w:rsid w:val="00DD3721"/>
    <w:rsid w:val="00DD3757"/>
    <w:rsid w:val="00DD3862"/>
    <w:rsid w:val="00DD3885"/>
    <w:rsid w:val="00DD38AA"/>
    <w:rsid w:val="00DD38AF"/>
    <w:rsid w:val="00DD3A73"/>
    <w:rsid w:val="00DD3AE5"/>
    <w:rsid w:val="00DD3C05"/>
    <w:rsid w:val="00DD3CDD"/>
    <w:rsid w:val="00DD3E4F"/>
    <w:rsid w:val="00DD3EE0"/>
    <w:rsid w:val="00DD3FB1"/>
    <w:rsid w:val="00DD4068"/>
    <w:rsid w:val="00DD40A3"/>
    <w:rsid w:val="00DD4109"/>
    <w:rsid w:val="00DD4123"/>
    <w:rsid w:val="00DD41DF"/>
    <w:rsid w:val="00DD420C"/>
    <w:rsid w:val="00DD42EF"/>
    <w:rsid w:val="00DD43FA"/>
    <w:rsid w:val="00DD4416"/>
    <w:rsid w:val="00DD467A"/>
    <w:rsid w:val="00DD47CF"/>
    <w:rsid w:val="00DD47E4"/>
    <w:rsid w:val="00DD47F5"/>
    <w:rsid w:val="00DD4806"/>
    <w:rsid w:val="00DD4900"/>
    <w:rsid w:val="00DD4909"/>
    <w:rsid w:val="00DD49AA"/>
    <w:rsid w:val="00DD49BB"/>
    <w:rsid w:val="00DD4A44"/>
    <w:rsid w:val="00DD4A85"/>
    <w:rsid w:val="00DD4A98"/>
    <w:rsid w:val="00DD4B2D"/>
    <w:rsid w:val="00DD4B77"/>
    <w:rsid w:val="00DD4BA3"/>
    <w:rsid w:val="00DD4C3A"/>
    <w:rsid w:val="00DD4DD3"/>
    <w:rsid w:val="00DD4EC6"/>
    <w:rsid w:val="00DD4EC8"/>
    <w:rsid w:val="00DD4ECC"/>
    <w:rsid w:val="00DD4EEE"/>
    <w:rsid w:val="00DD503D"/>
    <w:rsid w:val="00DD5052"/>
    <w:rsid w:val="00DD5061"/>
    <w:rsid w:val="00DD50EE"/>
    <w:rsid w:val="00DD50FC"/>
    <w:rsid w:val="00DD511C"/>
    <w:rsid w:val="00DD51FC"/>
    <w:rsid w:val="00DD5244"/>
    <w:rsid w:val="00DD5284"/>
    <w:rsid w:val="00DD528D"/>
    <w:rsid w:val="00DD530A"/>
    <w:rsid w:val="00DD5368"/>
    <w:rsid w:val="00DD53AC"/>
    <w:rsid w:val="00DD53DC"/>
    <w:rsid w:val="00DD549A"/>
    <w:rsid w:val="00DD54CB"/>
    <w:rsid w:val="00DD5594"/>
    <w:rsid w:val="00DD55F1"/>
    <w:rsid w:val="00DD56A1"/>
    <w:rsid w:val="00DD57C5"/>
    <w:rsid w:val="00DD57DF"/>
    <w:rsid w:val="00DD58E2"/>
    <w:rsid w:val="00DD593B"/>
    <w:rsid w:val="00DD59AD"/>
    <w:rsid w:val="00DD5AFF"/>
    <w:rsid w:val="00DD5C2C"/>
    <w:rsid w:val="00DD5C74"/>
    <w:rsid w:val="00DD5D0A"/>
    <w:rsid w:val="00DD5D2B"/>
    <w:rsid w:val="00DD5E65"/>
    <w:rsid w:val="00DD5E76"/>
    <w:rsid w:val="00DD5F85"/>
    <w:rsid w:val="00DD5F8E"/>
    <w:rsid w:val="00DD6009"/>
    <w:rsid w:val="00DD60A9"/>
    <w:rsid w:val="00DD6147"/>
    <w:rsid w:val="00DD617C"/>
    <w:rsid w:val="00DD6217"/>
    <w:rsid w:val="00DD6218"/>
    <w:rsid w:val="00DD628B"/>
    <w:rsid w:val="00DD64C0"/>
    <w:rsid w:val="00DD6509"/>
    <w:rsid w:val="00DD6650"/>
    <w:rsid w:val="00DD6719"/>
    <w:rsid w:val="00DD67C8"/>
    <w:rsid w:val="00DD67E3"/>
    <w:rsid w:val="00DD68BB"/>
    <w:rsid w:val="00DD68D8"/>
    <w:rsid w:val="00DD69C4"/>
    <w:rsid w:val="00DD6AAE"/>
    <w:rsid w:val="00DD6B20"/>
    <w:rsid w:val="00DD6B9B"/>
    <w:rsid w:val="00DD6BD7"/>
    <w:rsid w:val="00DD6C04"/>
    <w:rsid w:val="00DD6CA6"/>
    <w:rsid w:val="00DD6CFF"/>
    <w:rsid w:val="00DD6E61"/>
    <w:rsid w:val="00DD6E96"/>
    <w:rsid w:val="00DD6EBC"/>
    <w:rsid w:val="00DD6F0D"/>
    <w:rsid w:val="00DD7025"/>
    <w:rsid w:val="00DD707A"/>
    <w:rsid w:val="00DD7117"/>
    <w:rsid w:val="00DD711C"/>
    <w:rsid w:val="00DD71BF"/>
    <w:rsid w:val="00DD7205"/>
    <w:rsid w:val="00DD729A"/>
    <w:rsid w:val="00DD72AE"/>
    <w:rsid w:val="00DD72EA"/>
    <w:rsid w:val="00DD7327"/>
    <w:rsid w:val="00DD733D"/>
    <w:rsid w:val="00DD7416"/>
    <w:rsid w:val="00DD7434"/>
    <w:rsid w:val="00DD7450"/>
    <w:rsid w:val="00DD746E"/>
    <w:rsid w:val="00DD75A6"/>
    <w:rsid w:val="00DD75C4"/>
    <w:rsid w:val="00DD782E"/>
    <w:rsid w:val="00DD7860"/>
    <w:rsid w:val="00DD7CBB"/>
    <w:rsid w:val="00DD7D36"/>
    <w:rsid w:val="00DD7DBC"/>
    <w:rsid w:val="00DD7E13"/>
    <w:rsid w:val="00DD7EE7"/>
    <w:rsid w:val="00DD7F3C"/>
    <w:rsid w:val="00DD7F53"/>
    <w:rsid w:val="00DD7F69"/>
    <w:rsid w:val="00DD7FA7"/>
    <w:rsid w:val="00DD7FC1"/>
    <w:rsid w:val="00DD7FE1"/>
    <w:rsid w:val="00DE00FD"/>
    <w:rsid w:val="00DE0105"/>
    <w:rsid w:val="00DE0143"/>
    <w:rsid w:val="00DE01BD"/>
    <w:rsid w:val="00DE0211"/>
    <w:rsid w:val="00DE0263"/>
    <w:rsid w:val="00DE03C2"/>
    <w:rsid w:val="00DE042F"/>
    <w:rsid w:val="00DE04EA"/>
    <w:rsid w:val="00DE0506"/>
    <w:rsid w:val="00DE053A"/>
    <w:rsid w:val="00DE058C"/>
    <w:rsid w:val="00DE067A"/>
    <w:rsid w:val="00DE06D6"/>
    <w:rsid w:val="00DE0758"/>
    <w:rsid w:val="00DE07E0"/>
    <w:rsid w:val="00DE07E7"/>
    <w:rsid w:val="00DE0885"/>
    <w:rsid w:val="00DE08CC"/>
    <w:rsid w:val="00DE08FF"/>
    <w:rsid w:val="00DE0918"/>
    <w:rsid w:val="00DE0996"/>
    <w:rsid w:val="00DE0A13"/>
    <w:rsid w:val="00DE0A50"/>
    <w:rsid w:val="00DE0C8A"/>
    <w:rsid w:val="00DE0C8F"/>
    <w:rsid w:val="00DE0CD2"/>
    <w:rsid w:val="00DE0CFE"/>
    <w:rsid w:val="00DE0D1A"/>
    <w:rsid w:val="00DE0E21"/>
    <w:rsid w:val="00DE0FEE"/>
    <w:rsid w:val="00DE1027"/>
    <w:rsid w:val="00DE1103"/>
    <w:rsid w:val="00DE131D"/>
    <w:rsid w:val="00DE138F"/>
    <w:rsid w:val="00DE13D6"/>
    <w:rsid w:val="00DE13F9"/>
    <w:rsid w:val="00DE1401"/>
    <w:rsid w:val="00DE143A"/>
    <w:rsid w:val="00DE145C"/>
    <w:rsid w:val="00DE14B6"/>
    <w:rsid w:val="00DE14CE"/>
    <w:rsid w:val="00DE1517"/>
    <w:rsid w:val="00DE1673"/>
    <w:rsid w:val="00DE171B"/>
    <w:rsid w:val="00DE172C"/>
    <w:rsid w:val="00DE1748"/>
    <w:rsid w:val="00DE183A"/>
    <w:rsid w:val="00DE185A"/>
    <w:rsid w:val="00DE1882"/>
    <w:rsid w:val="00DE1899"/>
    <w:rsid w:val="00DE1AC7"/>
    <w:rsid w:val="00DE1BAE"/>
    <w:rsid w:val="00DE1BFB"/>
    <w:rsid w:val="00DE1C28"/>
    <w:rsid w:val="00DE1C84"/>
    <w:rsid w:val="00DE1D38"/>
    <w:rsid w:val="00DE1D4F"/>
    <w:rsid w:val="00DE1D58"/>
    <w:rsid w:val="00DE1E25"/>
    <w:rsid w:val="00DE1EB3"/>
    <w:rsid w:val="00DE1F32"/>
    <w:rsid w:val="00DE1F87"/>
    <w:rsid w:val="00DE1FA5"/>
    <w:rsid w:val="00DE1FBC"/>
    <w:rsid w:val="00DE203F"/>
    <w:rsid w:val="00DE2098"/>
    <w:rsid w:val="00DE20E2"/>
    <w:rsid w:val="00DE22AF"/>
    <w:rsid w:val="00DE23E1"/>
    <w:rsid w:val="00DE2435"/>
    <w:rsid w:val="00DE24DC"/>
    <w:rsid w:val="00DE2538"/>
    <w:rsid w:val="00DE257E"/>
    <w:rsid w:val="00DE25A9"/>
    <w:rsid w:val="00DE266A"/>
    <w:rsid w:val="00DE2761"/>
    <w:rsid w:val="00DE27A4"/>
    <w:rsid w:val="00DE27D5"/>
    <w:rsid w:val="00DE2869"/>
    <w:rsid w:val="00DE2935"/>
    <w:rsid w:val="00DE2950"/>
    <w:rsid w:val="00DE2A98"/>
    <w:rsid w:val="00DE2A9F"/>
    <w:rsid w:val="00DE2B23"/>
    <w:rsid w:val="00DE2BDD"/>
    <w:rsid w:val="00DE2BE9"/>
    <w:rsid w:val="00DE2C4C"/>
    <w:rsid w:val="00DE2C60"/>
    <w:rsid w:val="00DE2CDD"/>
    <w:rsid w:val="00DE2CFF"/>
    <w:rsid w:val="00DE2D87"/>
    <w:rsid w:val="00DE2DC0"/>
    <w:rsid w:val="00DE2E2D"/>
    <w:rsid w:val="00DE2EF7"/>
    <w:rsid w:val="00DE2F24"/>
    <w:rsid w:val="00DE3019"/>
    <w:rsid w:val="00DE311D"/>
    <w:rsid w:val="00DE3218"/>
    <w:rsid w:val="00DE324B"/>
    <w:rsid w:val="00DE3295"/>
    <w:rsid w:val="00DE33A0"/>
    <w:rsid w:val="00DE33E7"/>
    <w:rsid w:val="00DE33FE"/>
    <w:rsid w:val="00DE3414"/>
    <w:rsid w:val="00DE3520"/>
    <w:rsid w:val="00DE3660"/>
    <w:rsid w:val="00DE36CE"/>
    <w:rsid w:val="00DE36E5"/>
    <w:rsid w:val="00DE36EC"/>
    <w:rsid w:val="00DE375C"/>
    <w:rsid w:val="00DE3763"/>
    <w:rsid w:val="00DE379A"/>
    <w:rsid w:val="00DE37A1"/>
    <w:rsid w:val="00DE3809"/>
    <w:rsid w:val="00DE3872"/>
    <w:rsid w:val="00DE3991"/>
    <w:rsid w:val="00DE3A7E"/>
    <w:rsid w:val="00DE3AC5"/>
    <w:rsid w:val="00DE3B95"/>
    <w:rsid w:val="00DE3BC9"/>
    <w:rsid w:val="00DE3BF0"/>
    <w:rsid w:val="00DE3C29"/>
    <w:rsid w:val="00DE3C49"/>
    <w:rsid w:val="00DE3C60"/>
    <w:rsid w:val="00DE3C61"/>
    <w:rsid w:val="00DE3CB5"/>
    <w:rsid w:val="00DE3CD3"/>
    <w:rsid w:val="00DE3D5B"/>
    <w:rsid w:val="00DE3E5D"/>
    <w:rsid w:val="00DE3F1B"/>
    <w:rsid w:val="00DE3F46"/>
    <w:rsid w:val="00DE3F9D"/>
    <w:rsid w:val="00DE4055"/>
    <w:rsid w:val="00DE4064"/>
    <w:rsid w:val="00DE412A"/>
    <w:rsid w:val="00DE41B3"/>
    <w:rsid w:val="00DE41E8"/>
    <w:rsid w:val="00DE423D"/>
    <w:rsid w:val="00DE42EA"/>
    <w:rsid w:val="00DE4366"/>
    <w:rsid w:val="00DE4394"/>
    <w:rsid w:val="00DE4576"/>
    <w:rsid w:val="00DE458F"/>
    <w:rsid w:val="00DE45FC"/>
    <w:rsid w:val="00DE470D"/>
    <w:rsid w:val="00DE47A6"/>
    <w:rsid w:val="00DE47C1"/>
    <w:rsid w:val="00DE47EA"/>
    <w:rsid w:val="00DE4809"/>
    <w:rsid w:val="00DE4952"/>
    <w:rsid w:val="00DE49A6"/>
    <w:rsid w:val="00DE49C9"/>
    <w:rsid w:val="00DE4A08"/>
    <w:rsid w:val="00DE4AA8"/>
    <w:rsid w:val="00DE4AAA"/>
    <w:rsid w:val="00DE4AC7"/>
    <w:rsid w:val="00DE4AF5"/>
    <w:rsid w:val="00DE4B20"/>
    <w:rsid w:val="00DE4B89"/>
    <w:rsid w:val="00DE4BE3"/>
    <w:rsid w:val="00DE4C60"/>
    <w:rsid w:val="00DE4CD7"/>
    <w:rsid w:val="00DE4CE3"/>
    <w:rsid w:val="00DE4DDC"/>
    <w:rsid w:val="00DE4DE4"/>
    <w:rsid w:val="00DE4DEF"/>
    <w:rsid w:val="00DE4FEF"/>
    <w:rsid w:val="00DE5035"/>
    <w:rsid w:val="00DE5160"/>
    <w:rsid w:val="00DE51E4"/>
    <w:rsid w:val="00DE5211"/>
    <w:rsid w:val="00DE52F4"/>
    <w:rsid w:val="00DE53A5"/>
    <w:rsid w:val="00DE53CA"/>
    <w:rsid w:val="00DE543B"/>
    <w:rsid w:val="00DE5482"/>
    <w:rsid w:val="00DE5608"/>
    <w:rsid w:val="00DE5637"/>
    <w:rsid w:val="00DE5658"/>
    <w:rsid w:val="00DE567E"/>
    <w:rsid w:val="00DE56BE"/>
    <w:rsid w:val="00DE56FB"/>
    <w:rsid w:val="00DE5700"/>
    <w:rsid w:val="00DE57A8"/>
    <w:rsid w:val="00DE57BE"/>
    <w:rsid w:val="00DE588B"/>
    <w:rsid w:val="00DE5930"/>
    <w:rsid w:val="00DE59ED"/>
    <w:rsid w:val="00DE5A02"/>
    <w:rsid w:val="00DE5A2E"/>
    <w:rsid w:val="00DE5A63"/>
    <w:rsid w:val="00DE5B00"/>
    <w:rsid w:val="00DE5C74"/>
    <w:rsid w:val="00DE5CF9"/>
    <w:rsid w:val="00DE5D70"/>
    <w:rsid w:val="00DE5E1C"/>
    <w:rsid w:val="00DE5E45"/>
    <w:rsid w:val="00DE5F01"/>
    <w:rsid w:val="00DE5F31"/>
    <w:rsid w:val="00DE5F65"/>
    <w:rsid w:val="00DE5FBD"/>
    <w:rsid w:val="00DE5FF0"/>
    <w:rsid w:val="00DE60D2"/>
    <w:rsid w:val="00DE60EA"/>
    <w:rsid w:val="00DE6215"/>
    <w:rsid w:val="00DE622E"/>
    <w:rsid w:val="00DE6249"/>
    <w:rsid w:val="00DE6270"/>
    <w:rsid w:val="00DE6278"/>
    <w:rsid w:val="00DE62B1"/>
    <w:rsid w:val="00DE62D0"/>
    <w:rsid w:val="00DE63F6"/>
    <w:rsid w:val="00DE6406"/>
    <w:rsid w:val="00DE648F"/>
    <w:rsid w:val="00DE663B"/>
    <w:rsid w:val="00DE6674"/>
    <w:rsid w:val="00DE66D9"/>
    <w:rsid w:val="00DE678A"/>
    <w:rsid w:val="00DE67AC"/>
    <w:rsid w:val="00DE67D4"/>
    <w:rsid w:val="00DE6804"/>
    <w:rsid w:val="00DE6842"/>
    <w:rsid w:val="00DE68F9"/>
    <w:rsid w:val="00DE69FB"/>
    <w:rsid w:val="00DE6A64"/>
    <w:rsid w:val="00DE6A66"/>
    <w:rsid w:val="00DE6A85"/>
    <w:rsid w:val="00DE6A9E"/>
    <w:rsid w:val="00DE6ACC"/>
    <w:rsid w:val="00DE6B4D"/>
    <w:rsid w:val="00DE6B56"/>
    <w:rsid w:val="00DE6C22"/>
    <w:rsid w:val="00DE6CC3"/>
    <w:rsid w:val="00DE6CDD"/>
    <w:rsid w:val="00DE6D0B"/>
    <w:rsid w:val="00DE6D47"/>
    <w:rsid w:val="00DE6E65"/>
    <w:rsid w:val="00DE6E66"/>
    <w:rsid w:val="00DE6FB1"/>
    <w:rsid w:val="00DE6FD4"/>
    <w:rsid w:val="00DE6FE2"/>
    <w:rsid w:val="00DE7095"/>
    <w:rsid w:val="00DE7373"/>
    <w:rsid w:val="00DE743B"/>
    <w:rsid w:val="00DE7478"/>
    <w:rsid w:val="00DE7589"/>
    <w:rsid w:val="00DE75D3"/>
    <w:rsid w:val="00DE7617"/>
    <w:rsid w:val="00DE7790"/>
    <w:rsid w:val="00DE780A"/>
    <w:rsid w:val="00DE7856"/>
    <w:rsid w:val="00DE789C"/>
    <w:rsid w:val="00DE78A0"/>
    <w:rsid w:val="00DE796F"/>
    <w:rsid w:val="00DE79E3"/>
    <w:rsid w:val="00DE79F0"/>
    <w:rsid w:val="00DE7B71"/>
    <w:rsid w:val="00DE7BDA"/>
    <w:rsid w:val="00DE7D44"/>
    <w:rsid w:val="00DE7D51"/>
    <w:rsid w:val="00DE7D9E"/>
    <w:rsid w:val="00DE7E64"/>
    <w:rsid w:val="00DE7F21"/>
    <w:rsid w:val="00DF004D"/>
    <w:rsid w:val="00DF0068"/>
    <w:rsid w:val="00DF00C2"/>
    <w:rsid w:val="00DF0164"/>
    <w:rsid w:val="00DF0236"/>
    <w:rsid w:val="00DF023C"/>
    <w:rsid w:val="00DF0240"/>
    <w:rsid w:val="00DF02B2"/>
    <w:rsid w:val="00DF034B"/>
    <w:rsid w:val="00DF034D"/>
    <w:rsid w:val="00DF038D"/>
    <w:rsid w:val="00DF0407"/>
    <w:rsid w:val="00DF0425"/>
    <w:rsid w:val="00DF045C"/>
    <w:rsid w:val="00DF065B"/>
    <w:rsid w:val="00DF06D0"/>
    <w:rsid w:val="00DF07B2"/>
    <w:rsid w:val="00DF07D6"/>
    <w:rsid w:val="00DF089E"/>
    <w:rsid w:val="00DF08C0"/>
    <w:rsid w:val="00DF08C9"/>
    <w:rsid w:val="00DF0950"/>
    <w:rsid w:val="00DF09A8"/>
    <w:rsid w:val="00DF0A7E"/>
    <w:rsid w:val="00DF0AF9"/>
    <w:rsid w:val="00DF0B17"/>
    <w:rsid w:val="00DF0BA0"/>
    <w:rsid w:val="00DF0D0D"/>
    <w:rsid w:val="00DF0D30"/>
    <w:rsid w:val="00DF0DE9"/>
    <w:rsid w:val="00DF0EC4"/>
    <w:rsid w:val="00DF0FA7"/>
    <w:rsid w:val="00DF1025"/>
    <w:rsid w:val="00DF10F4"/>
    <w:rsid w:val="00DF1122"/>
    <w:rsid w:val="00DF116A"/>
    <w:rsid w:val="00DF11E3"/>
    <w:rsid w:val="00DF122D"/>
    <w:rsid w:val="00DF122E"/>
    <w:rsid w:val="00DF1249"/>
    <w:rsid w:val="00DF1393"/>
    <w:rsid w:val="00DF145C"/>
    <w:rsid w:val="00DF148A"/>
    <w:rsid w:val="00DF14D5"/>
    <w:rsid w:val="00DF158B"/>
    <w:rsid w:val="00DF16A9"/>
    <w:rsid w:val="00DF16FC"/>
    <w:rsid w:val="00DF171B"/>
    <w:rsid w:val="00DF1738"/>
    <w:rsid w:val="00DF189B"/>
    <w:rsid w:val="00DF1A62"/>
    <w:rsid w:val="00DF1A72"/>
    <w:rsid w:val="00DF1A82"/>
    <w:rsid w:val="00DF1A9A"/>
    <w:rsid w:val="00DF1B51"/>
    <w:rsid w:val="00DF1B6B"/>
    <w:rsid w:val="00DF1BA5"/>
    <w:rsid w:val="00DF1CC0"/>
    <w:rsid w:val="00DF1D46"/>
    <w:rsid w:val="00DF1D76"/>
    <w:rsid w:val="00DF1DBD"/>
    <w:rsid w:val="00DF1ECA"/>
    <w:rsid w:val="00DF1F1A"/>
    <w:rsid w:val="00DF1F2C"/>
    <w:rsid w:val="00DF20BE"/>
    <w:rsid w:val="00DF20F1"/>
    <w:rsid w:val="00DF238D"/>
    <w:rsid w:val="00DF23FA"/>
    <w:rsid w:val="00DF2517"/>
    <w:rsid w:val="00DF2549"/>
    <w:rsid w:val="00DF269F"/>
    <w:rsid w:val="00DF2714"/>
    <w:rsid w:val="00DF2719"/>
    <w:rsid w:val="00DF277D"/>
    <w:rsid w:val="00DF27A6"/>
    <w:rsid w:val="00DF27E7"/>
    <w:rsid w:val="00DF284B"/>
    <w:rsid w:val="00DF2858"/>
    <w:rsid w:val="00DF28E4"/>
    <w:rsid w:val="00DF2A47"/>
    <w:rsid w:val="00DF2B5D"/>
    <w:rsid w:val="00DF2B7D"/>
    <w:rsid w:val="00DF2BCD"/>
    <w:rsid w:val="00DF2C94"/>
    <w:rsid w:val="00DF2D09"/>
    <w:rsid w:val="00DF2E71"/>
    <w:rsid w:val="00DF2F9E"/>
    <w:rsid w:val="00DF302A"/>
    <w:rsid w:val="00DF305B"/>
    <w:rsid w:val="00DF30C6"/>
    <w:rsid w:val="00DF3144"/>
    <w:rsid w:val="00DF3154"/>
    <w:rsid w:val="00DF33B7"/>
    <w:rsid w:val="00DF345B"/>
    <w:rsid w:val="00DF3479"/>
    <w:rsid w:val="00DF3687"/>
    <w:rsid w:val="00DF3720"/>
    <w:rsid w:val="00DF3758"/>
    <w:rsid w:val="00DF3775"/>
    <w:rsid w:val="00DF37A5"/>
    <w:rsid w:val="00DF37D3"/>
    <w:rsid w:val="00DF37FC"/>
    <w:rsid w:val="00DF3836"/>
    <w:rsid w:val="00DF38A3"/>
    <w:rsid w:val="00DF38D4"/>
    <w:rsid w:val="00DF3926"/>
    <w:rsid w:val="00DF3948"/>
    <w:rsid w:val="00DF3968"/>
    <w:rsid w:val="00DF3A2D"/>
    <w:rsid w:val="00DF3A4C"/>
    <w:rsid w:val="00DF3ABD"/>
    <w:rsid w:val="00DF3BB2"/>
    <w:rsid w:val="00DF3E48"/>
    <w:rsid w:val="00DF3E5D"/>
    <w:rsid w:val="00DF3E6F"/>
    <w:rsid w:val="00DF3EC9"/>
    <w:rsid w:val="00DF3EFE"/>
    <w:rsid w:val="00DF3F2C"/>
    <w:rsid w:val="00DF3F35"/>
    <w:rsid w:val="00DF3FC0"/>
    <w:rsid w:val="00DF412F"/>
    <w:rsid w:val="00DF41D9"/>
    <w:rsid w:val="00DF41EE"/>
    <w:rsid w:val="00DF4256"/>
    <w:rsid w:val="00DF4286"/>
    <w:rsid w:val="00DF466C"/>
    <w:rsid w:val="00DF4724"/>
    <w:rsid w:val="00DF474B"/>
    <w:rsid w:val="00DF47CB"/>
    <w:rsid w:val="00DF48E1"/>
    <w:rsid w:val="00DF4907"/>
    <w:rsid w:val="00DF4A1D"/>
    <w:rsid w:val="00DF4AC7"/>
    <w:rsid w:val="00DF4ADA"/>
    <w:rsid w:val="00DF4B15"/>
    <w:rsid w:val="00DF4B30"/>
    <w:rsid w:val="00DF4B50"/>
    <w:rsid w:val="00DF4B5A"/>
    <w:rsid w:val="00DF4BE7"/>
    <w:rsid w:val="00DF4C31"/>
    <w:rsid w:val="00DF4C52"/>
    <w:rsid w:val="00DF4CA5"/>
    <w:rsid w:val="00DF4CC2"/>
    <w:rsid w:val="00DF4CF2"/>
    <w:rsid w:val="00DF4D05"/>
    <w:rsid w:val="00DF4D11"/>
    <w:rsid w:val="00DF4D41"/>
    <w:rsid w:val="00DF4D5F"/>
    <w:rsid w:val="00DF4E02"/>
    <w:rsid w:val="00DF4E69"/>
    <w:rsid w:val="00DF4E9C"/>
    <w:rsid w:val="00DF4EC4"/>
    <w:rsid w:val="00DF4F1C"/>
    <w:rsid w:val="00DF4F69"/>
    <w:rsid w:val="00DF4FBE"/>
    <w:rsid w:val="00DF4FF1"/>
    <w:rsid w:val="00DF5077"/>
    <w:rsid w:val="00DF5100"/>
    <w:rsid w:val="00DF5177"/>
    <w:rsid w:val="00DF520E"/>
    <w:rsid w:val="00DF5258"/>
    <w:rsid w:val="00DF5270"/>
    <w:rsid w:val="00DF5272"/>
    <w:rsid w:val="00DF52DB"/>
    <w:rsid w:val="00DF5318"/>
    <w:rsid w:val="00DF5366"/>
    <w:rsid w:val="00DF536C"/>
    <w:rsid w:val="00DF537D"/>
    <w:rsid w:val="00DF5381"/>
    <w:rsid w:val="00DF5386"/>
    <w:rsid w:val="00DF53C3"/>
    <w:rsid w:val="00DF552F"/>
    <w:rsid w:val="00DF5744"/>
    <w:rsid w:val="00DF5766"/>
    <w:rsid w:val="00DF5773"/>
    <w:rsid w:val="00DF577C"/>
    <w:rsid w:val="00DF57A5"/>
    <w:rsid w:val="00DF57EB"/>
    <w:rsid w:val="00DF582F"/>
    <w:rsid w:val="00DF586A"/>
    <w:rsid w:val="00DF5870"/>
    <w:rsid w:val="00DF58B4"/>
    <w:rsid w:val="00DF5991"/>
    <w:rsid w:val="00DF5993"/>
    <w:rsid w:val="00DF5A0B"/>
    <w:rsid w:val="00DF5A6D"/>
    <w:rsid w:val="00DF5B3B"/>
    <w:rsid w:val="00DF5B65"/>
    <w:rsid w:val="00DF5B82"/>
    <w:rsid w:val="00DF5C67"/>
    <w:rsid w:val="00DF5C89"/>
    <w:rsid w:val="00DF5CDB"/>
    <w:rsid w:val="00DF5D6D"/>
    <w:rsid w:val="00DF5D78"/>
    <w:rsid w:val="00DF5D91"/>
    <w:rsid w:val="00DF5DF5"/>
    <w:rsid w:val="00DF5E29"/>
    <w:rsid w:val="00DF5EAA"/>
    <w:rsid w:val="00DF5EAE"/>
    <w:rsid w:val="00DF5F2D"/>
    <w:rsid w:val="00DF6065"/>
    <w:rsid w:val="00DF6082"/>
    <w:rsid w:val="00DF60C6"/>
    <w:rsid w:val="00DF611E"/>
    <w:rsid w:val="00DF6197"/>
    <w:rsid w:val="00DF62BD"/>
    <w:rsid w:val="00DF62DA"/>
    <w:rsid w:val="00DF64C9"/>
    <w:rsid w:val="00DF65B3"/>
    <w:rsid w:val="00DF65EC"/>
    <w:rsid w:val="00DF6600"/>
    <w:rsid w:val="00DF660E"/>
    <w:rsid w:val="00DF6613"/>
    <w:rsid w:val="00DF6686"/>
    <w:rsid w:val="00DF66A8"/>
    <w:rsid w:val="00DF6764"/>
    <w:rsid w:val="00DF67AB"/>
    <w:rsid w:val="00DF67C7"/>
    <w:rsid w:val="00DF67FD"/>
    <w:rsid w:val="00DF6834"/>
    <w:rsid w:val="00DF68A1"/>
    <w:rsid w:val="00DF68AE"/>
    <w:rsid w:val="00DF68E6"/>
    <w:rsid w:val="00DF68F6"/>
    <w:rsid w:val="00DF6924"/>
    <w:rsid w:val="00DF694C"/>
    <w:rsid w:val="00DF696C"/>
    <w:rsid w:val="00DF6999"/>
    <w:rsid w:val="00DF6A69"/>
    <w:rsid w:val="00DF6B1A"/>
    <w:rsid w:val="00DF6B40"/>
    <w:rsid w:val="00DF6B42"/>
    <w:rsid w:val="00DF6B9A"/>
    <w:rsid w:val="00DF6CF7"/>
    <w:rsid w:val="00DF6D37"/>
    <w:rsid w:val="00DF6D79"/>
    <w:rsid w:val="00DF6E2A"/>
    <w:rsid w:val="00DF6EA0"/>
    <w:rsid w:val="00DF6F96"/>
    <w:rsid w:val="00DF6FCB"/>
    <w:rsid w:val="00DF6FD4"/>
    <w:rsid w:val="00DF7134"/>
    <w:rsid w:val="00DF7141"/>
    <w:rsid w:val="00DF718D"/>
    <w:rsid w:val="00DF7242"/>
    <w:rsid w:val="00DF7281"/>
    <w:rsid w:val="00DF72AB"/>
    <w:rsid w:val="00DF732B"/>
    <w:rsid w:val="00DF73CC"/>
    <w:rsid w:val="00DF7425"/>
    <w:rsid w:val="00DF74F0"/>
    <w:rsid w:val="00DF75D8"/>
    <w:rsid w:val="00DF75E1"/>
    <w:rsid w:val="00DF75F1"/>
    <w:rsid w:val="00DF76FE"/>
    <w:rsid w:val="00DF771F"/>
    <w:rsid w:val="00DF7769"/>
    <w:rsid w:val="00DF7794"/>
    <w:rsid w:val="00DF77C8"/>
    <w:rsid w:val="00DF78E1"/>
    <w:rsid w:val="00DF7945"/>
    <w:rsid w:val="00DF79C9"/>
    <w:rsid w:val="00DF7AE7"/>
    <w:rsid w:val="00DF7B47"/>
    <w:rsid w:val="00DF7B83"/>
    <w:rsid w:val="00DF7B98"/>
    <w:rsid w:val="00DF7C3A"/>
    <w:rsid w:val="00DF7C76"/>
    <w:rsid w:val="00DF7DF8"/>
    <w:rsid w:val="00DF7E98"/>
    <w:rsid w:val="00DF7EE3"/>
    <w:rsid w:val="00DF7F38"/>
    <w:rsid w:val="00DF7F6A"/>
    <w:rsid w:val="00E0005F"/>
    <w:rsid w:val="00E00127"/>
    <w:rsid w:val="00E0029F"/>
    <w:rsid w:val="00E002D5"/>
    <w:rsid w:val="00E002F8"/>
    <w:rsid w:val="00E00364"/>
    <w:rsid w:val="00E0041F"/>
    <w:rsid w:val="00E00471"/>
    <w:rsid w:val="00E00565"/>
    <w:rsid w:val="00E00596"/>
    <w:rsid w:val="00E0059F"/>
    <w:rsid w:val="00E0060E"/>
    <w:rsid w:val="00E0062C"/>
    <w:rsid w:val="00E0065B"/>
    <w:rsid w:val="00E006CF"/>
    <w:rsid w:val="00E00721"/>
    <w:rsid w:val="00E00728"/>
    <w:rsid w:val="00E00753"/>
    <w:rsid w:val="00E0081C"/>
    <w:rsid w:val="00E009DF"/>
    <w:rsid w:val="00E00A0C"/>
    <w:rsid w:val="00E00AAB"/>
    <w:rsid w:val="00E00AD1"/>
    <w:rsid w:val="00E00AF8"/>
    <w:rsid w:val="00E00B51"/>
    <w:rsid w:val="00E00B65"/>
    <w:rsid w:val="00E00B88"/>
    <w:rsid w:val="00E00B8B"/>
    <w:rsid w:val="00E00BDC"/>
    <w:rsid w:val="00E00C55"/>
    <w:rsid w:val="00E00D2D"/>
    <w:rsid w:val="00E00DF8"/>
    <w:rsid w:val="00E00E34"/>
    <w:rsid w:val="00E00E4F"/>
    <w:rsid w:val="00E00EB6"/>
    <w:rsid w:val="00E00EDE"/>
    <w:rsid w:val="00E00F44"/>
    <w:rsid w:val="00E00F81"/>
    <w:rsid w:val="00E00F87"/>
    <w:rsid w:val="00E00FA6"/>
    <w:rsid w:val="00E00FBD"/>
    <w:rsid w:val="00E01016"/>
    <w:rsid w:val="00E01021"/>
    <w:rsid w:val="00E01043"/>
    <w:rsid w:val="00E011DD"/>
    <w:rsid w:val="00E0126D"/>
    <w:rsid w:val="00E01282"/>
    <w:rsid w:val="00E0129D"/>
    <w:rsid w:val="00E013AC"/>
    <w:rsid w:val="00E01407"/>
    <w:rsid w:val="00E0145A"/>
    <w:rsid w:val="00E014AB"/>
    <w:rsid w:val="00E014C9"/>
    <w:rsid w:val="00E0151A"/>
    <w:rsid w:val="00E01521"/>
    <w:rsid w:val="00E01555"/>
    <w:rsid w:val="00E015C1"/>
    <w:rsid w:val="00E016C3"/>
    <w:rsid w:val="00E0178E"/>
    <w:rsid w:val="00E017F4"/>
    <w:rsid w:val="00E0185E"/>
    <w:rsid w:val="00E018BA"/>
    <w:rsid w:val="00E018DE"/>
    <w:rsid w:val="00E019C9"/>
    <w:rsid w:val="00E01A3D"/>
    <w:rsid w:val="00E01A8A"/>
    <w:rsid w:val="00E01AFC"/>
    <w:rsid w:val="00E01B88"/>
    <w:rsid w:val="00E01BB7"/>
    <w:rsid w:val="00E01C5C"/>
    <w:rsid w:val="00E01CA9"/>
    <w:rsid w:val="00E01D79"/>
    <w:rsid w:val="00E01EC2"/>
    <w:rsid w:val="00E01F03"/>
    <w:rsid w:val="00E01F91"/>
    <w:rsid w:val="00E02009"/>
    <w:rsid w:val="00E02013"/>
    <w:rsid w:val="00E0208E"/>
    <w:rsid w:val="00E020FD"/>
    <w:rsid w:val="00E0211F"/>
    <w:rsid w:val="00E02128"/>
    <w:rsid w:val="00E02135"/>
    <w:rsid w:val="00E021A2"/>
    <w:rsid w:val="00E02259"/>
    <w:rsid w:val="00E0234E"/>
    <w:rsid w:val="00E02367"/>
    <w:rsid w:val="00E02384"/>
    <w:rsid w:val="00E02387"/>
    <w:rsid w:val="00E023F7"/>
    <w:rsid w:val="00E0246F"/>
    <w:rsid w:val="00E024D9"/>
    <w:rsid w:val="00E024F2"/>
    <w:rsid w:val="00E02557"/>
    <w:rsid w:val="00E02591"/>
    <w:rsid w:val="00E025BA"/>
    <w:rsid w:val="00E02670"/>
    <w:rsid w:val="00E02690"/>
    <w:rsid w:val="00E02743"/>
    <w:rsid w:val="00E027EF"/>
    <w:rsid w:val="00E02812"/>
    <w:rsid w:val="00E028E3"/>
    <w:rsid w:val="00E02910"/>
    <w:rsid w:val="00E029C4"/>
    <w:rsid w:val="00E02A8F"/>
    <w:rsid w:val="00E02A96"/>
    <w:rsid w:val="00E02C63"/>
    <w:rsid w:val="00E02CF9"/>
    <w:rsid w:val="00E02D00"/>
    <w:rsid w:val="00E02ECB"/>
    <w:rsid w:val="00E02FF4"/>
    <w:rsid w:val="00E03098"/>
    <w:rsid w:val="00E03133"/>
    <w:rsid w:val="00E03227"/>
    <w:rsid w:val="00E03230"/>
    <w:rsid w:val="00E032CA"/>
    <w:rsid w:val="00E032CE"/>
    <w:rsid w:val="00E032ED"/>
    <w:rsid w:val="00E033D7"/>
    <w:rsid w:val="00E0341A"/>
    <w:rsid w:val="00E03434"/>
    <w:rsid w:val="00E034AC"/>
    <w:rsid w:val="00E034E0"/>
    <w:rsid w:val="00E0351D"/>
    <w:rsid w:val="00E03538"/>
    <w:rsid w:val="00E035E8"/>
    <w:rsid w:val="00E03614"/>
    <w:rsid w:val="00E03619"/>
    <w:rsid w:val="00E036D7"/>
    <w:rsid w:val="00E03714"/>
    <w:rsid w:val="00E03764"/>
    <w:rsid w:val="00E0384C"/>
    <w:rsid w:val="00E038A2"/>
    <w:rsid w:val="00E03A64"/>
    <w:rsid w:val="00E03A9D"/>
    <w:rsid w:val="00E03AD1"/>
    <w:rsid w:val="00E03AF1"/>
    <w:rsid w:val="00E03B25"/>
    <w:rsid w:val="00E03B7F"/>
    <w:rsid w:val="00E03C83"/>
    <w:rsid w:val="00E03CC7"/>
    <w:rsid w:val="00E03CF7"/>
    <w:rsid w:val="00E03D95"/>
    <w:rsid w:val="00E03D9A"/>
    <w:rsid w:val="00E03DE4"/>
    <w:rsid w:val="00E03E0B"/>
    <w:rsid w:val="00E03E61"/>
    <w:rsid w:val="00E03EB0"/>
    <w:rsid w:val="00E03EB2"/>
    <w:rsid w:val="00E03F0E"/>
    <w:rsid w:val="00E04003"/>
    <w:rsid w:val="00E04094"/>
    <w:rsid w:val="00E04169"/>
    <w:rsid w:val="00E04195"/>
    <w:rsid w:val="00E0424D"/>
    <w:rsid w:val="00E0425F"/>
    <w:rsid w:val="00E04321"/>
    <w:rsid w:val="00E04352"/>
    <w:rsid w:val="00E04389"/>
    <w:rsid w:val="00E043A9"/>
    <w:rsid w:val="00E044B6"/>
    <w:rsid w:val="00E045AB"/>
    <w:rsid w:val="00E0464B"/>
    <w:rsid w:val="00E0468C"/>
    <w:rsid w:val="00E04709"/>
    <w:rsid w:val="00E0472E"/>
    <w:rsid w:val="00E04769"/>
    <w:rsid w:val="00E047DF"/>
    <w:rsid w:val="00E0482E"/>
    <w:rsid w:val="00E04894"/>
    <w:rsid w:val="00E04896"/>
    <w:rsid w:val="00E04919"/>
    <w:rsid w:val="00E04958"/>
    <w:rsid w:val="00E049D6"/>
    <w:rsid w:val="00E04A77"/>
    <w:rsid w:val="00E04B26"/>
    <w:rsid w:val="00E04B72"/>
    <w:rsid w:val="00E04BA6"/>
    <w:rsid w:val="00E04D0F"/>
    <w:rsid w:val="00E04D45"/>
    <w:rsid w:val="00E04DCA"/>
    <w:rsid w:val="00E04DD0"/>
    <w:rsid w:val="00E04DF0"/>
    <w:rsid w:val="00E04E13"/>
    <w:rsid w:val="00E050FC"/>
    <w:rsid w:val="00E05130"/>
    <w:rsid w:val="00E0515D"/>
    <w:rsid w:val="00E052C8"/>
    <w:rsid w:val="00E053A1"/>
    <w:rsid w:val="00E053F3"/>
    <w:rsid w:val="00E05497"/>
    <w:rsid w:val="00E0550E"/>
    <w:rsid w:val="00E0559C"/>
    <w:rsid w:val="00E055F7"/>
    <w:rsid w:val="00E05609"/>
    <w:rsid w:val="00E05657"/>
    <w:rsid w:val="00E0566C"/>
    <w:rsid w:val="00E0567A"/>
    <w:rsid w:val="00E05684"/>
    <w:rsid w:val="00E056B6"/>
    <w:rsid w:val="00E056CB"/>
    <w:rsid w:val="00E057FA"/>
    <w:rsid w:val="00E05851"/>
    <w:rsid w:val="00E058DC"/>
    <w:rsid w:val="00E0592A"/>
    <w:rsid w:val="00E05A03"/>
    <w:rsid w:val="00E05A60"/>
    <w:rsid w:val="00E05A90"/>
    <w:rsid w:val="00E05B4A"/>
    <w:rsid w:val="00E05B72"/>
    <w:rsid w:val="00E05BA4"/>
    <w:rsid w:val="00E05BC6"/>
    <w:rsid w:val="00E05C5A"/>
    <w:rsid w:val="00E05D6F"/>
    <w:rsid w:val="00E05E5D"/>
    <w:rsid w:val="00E05ED6"/>
    <w:rsid w:val="00E05F41"/>
    <w:rsid w:val="00E05F63"/>
    <w:rsid w:val="00E05F77"/>
    <w:rsid w:val="00E05FD0"/>
    <w:rsid w:val="00E05FD4"/>
    <w:rsid w:val="00E05FD7"/>
    <w:rsid w:val="00E06008"/>
    <w:rsid w:val="00E06035"/>
    <w:rsid w:val="00E06046"/>
    <w:rsid w:val="00E060C8"/>
    <w:rsid w:val="00E060FE"/>
    <w:rsid w:val="00E06275"/>
    <w:rsid w:val="00E0628F"/>
    <w:rsid w:val="00E06361"/>
    <w:rsid w:val="00E0636A"/>
    <w:rsid w:val="00E063C0"/>
    <w:rsid w:val="00E063D9"/>
    <w:rsid w:val="00E06667"/>
    <w:rsid w:val="00E06676"/>
    <w:rsid w:val="00E066AC"/>
    <w:rsid w:val="00E06768"/>
    <w:rsid w:val="00E06796"/>
    <w:rsid w:val="00E067E1"/>
    <w:rsid w:val="00E06901"/>
    <w:rsid w:val="00E06A2E"/>
    <w:rsid w:val="00E06A99"/>
    <w:rsid w:val="00E06AC4"/>
    <w:rsid w:val="00E06AF4"/>
    <w:rsid w:val="00E06B45"/>
    <w:rsid w:val="00E06B9B"/>
    <w:rsid w:val="00E06C07"/>
    <w:rsid w:val="00E06C08"/>
    <w:rsid w:val="00E06C1C"/>
    <w:rsid w:val="00E06CA2"/>
    <w:rsid w:val="00E06DC0"/>
    <w:rsid w:val="00E06DC1"/>
    <w:rsid w:val="00E06E0C"/>
    <w:rsid w:val="00E06E31"/>
    <w:rsid w:val="00E06E67"/>
    <w:rsid w:val="00E06F79"/>
    <w:rsid w:val="00E0712B"/>
    <w:rsid w:val="00E07143"/>
    <w:rsid w:val="00E071FE"/>
    <w:rsid w:val="00E07223"/>
    <w:rsid w:val="00E07226"/>
    <w:rsid w:val="00E0727D"/>
    <w:rsid w:val="00E072C1"/>
    <w:rsid w:val="00E072E2"/>
    <w:rsid w:val="00E0734A"/>
    <w:rsid w:val="00E07369"/>
    <w:rsid w:val="00E073B7"/>
    <w:rsid w:val="00E073BA"/>
    <w:rsid w:val="00E073C7"/>
    <w:rsid w:val="00E07422"/>
    <w:rsid w:val="00E07429"/>
    <w:rsid w:val="00E0748A"/>
    <w:rsid w:val="00E074F2"/>
    <w:rsid w:val="00E07568"/>
    <w:rsid w:val="00E07581"/>
    <w:rsid w:val="00E0763F"/>
    <w:rsid w:val="00E078DD"/>
    <w:rsid w:val="00E07983"/>
    <w:rsid w:val="00E07A5C"/>
    <w:rsid w:val="00E07A69"/>
    <w:rsid w:val="00E07B31"/>
    <w:rsid w:val="00E07B34"/>
    <w:rsid w:val="00E07C04"/>
    <w:rsid w:val="00E07C78"/>
    <w:rsid w:val="00E07D61"/>
    <w:rsid w:val="00E07DD2"/>
    <w:rsid w:val="00E07DD3"/>
    <w:rsid w:val="00E07E88"/>
    <w:rsid w:val="00E10036"/>
    <w:rsid w:val="00E10106"/>
    <w:rsid w:val="00E101D5"/>
    <w:rsid w:val="00E10287"/>
    <w:rsid w:val="00E10371"/>
    <w:rsid w:val="00E1041D"/>
    <w:rsid w:val="00E10422"/>
    <w:rsid w:val="00E10441"/>
    <w:rsid w:val="00E10444"/>
    <w:rsid w:val="00E104AF"/>
    <w:rsid w:val="00E104C8"/>
    <w:rsid w:val="00E10559"/>
    <w:rsid w:val="00E105B2"/>
    <w:rsid w:val="00E10751"/>
    <w:rsid w:val="00E1078D"/>
    <w:rsid w:val="00E107B1"/>
    <w:rsid w:val="00E107BE"/>
    <w:rsid w:val="00E1081E"/>
    <w:rsid w:val="00E10870"/>
    <w:rsid w:val="00E108B1"/>
    <w:rsid w:val="00E1093B"/>
    <w:rsid w:val="00E10995"/>
    <w:rsid w:val="00E10B2E"/>
    <w:rsid w:val="00E10BA5"/>
    <w:rsid w:val="00E10BF0"/>
    <w:rsid w:val="00E10C01"/>
    <w:rsid w:val="00E10D04"/>
    <w:rsid w:val="00E10DBC"/>
    <w:rsid w:val="00E10DE9"/>
    <w:rsid w:val="00E10EA0"/>
    <w:rsid w:val="00E10F24"/>
    <w:rsid w:val="00E10F28"/>
    <w:rsid w:val="00E10F8F"/>
    <w:rsid w:val="00E10FC3"/>
    <w:rsid w:val="00E11002"/>
    <w:rsid w:val="00E11097"/>
    <w:rsid w:val="00E110DD"/>
    <w:rsid w:val="00E1110F"/>
    <w:rsid w:val="00E11114"/>
    <w:rsid w:val="00E1115F"/>
    <w:rsid w:val="00E11266"/>
    <w:rsid w:val="00E11309"/>
    <w:rsid w:val="00E11340"/>
    <w:rsid w:val="00E11366"/>
    <w:rsid w:val="00E11393"/>
    <w:rsid w:val="00E1145A"/>
    <w:rsid w:val="00E11527"/>
    <w:rsid w:val="00E1155D"/>
    <w:rsid w:val="00E115C8"/>
    <w:rsid w:val="00E115F9"/>
    <w:rsid w:val="00E1173C"/>
    <w:rsid w:val="00E1179C"/>
    <w:rsid w:val="00E117DD"/>
    <w:rsid w:val="00E118A3"/>
    <w:rsid w:val="00E119B5"/>
    <w:rsid w:val="00E11A2C"/>
    <w:rsid w:val="00E11ABE"/>
    <w:rsid w:val="00E11AE6"/>
    <w:rsid w:val="00E11BC5"/>
    <w:rsid w:val="00E11C66"/>
    <w:rsid w:val="00E11CD8"/>
    <w:rsid w:val="00E11D9D"/>
    <w:rsid w:val="00E11E56"/>
    <w:rsid w:val="00E11E62"/>
    <w:rsid w:val="00E11F45"/>
    <w:rsid w:val="00E11F9F"/>
    <w:rsid w:val="00E11FB3"/>
    <w:rsid w:val="00E1210E"/>
    <w:rsid w:val="00E12168"/>
    <w:rsid w:val="00E121AE"/>
    <w:rsid w:val="00E121CB"/>
    <w:rsid w:val="00E121E9"/>
    <w:rsid w:val="00E121FE"/>
    <w:rsid w:val="00E12362"/>
    <w:rsid w:val="00E12378"/>
    <w:rsid w:val="00E123D7"/>
    <w:rsid w:val="00E1241F"/>
    <w:rsid w:val="00E124C1"/>
    <w:rsid w:val="00E1259B"/>
    <w:rsid w:val="00E125E4"/>
    <w:rsid w:val="00E1263B"/>
    <w:rsid w:val="00E126A8"/>
    <w:rsid w:val="00E126C1"/>
    <w:rsid w:val="00E1277E"/>
    <w:rsid w:val="00E12899"/>
    <w:rsid w:val="00E12936"/>
    <w:rsid w:val="00E129D8"/>
    <w:rsid w:val="00E12A52"/>
    <w:rsid w:val="00E12ABB"/>
    <w:rsid w:val="00E12B0A"/>
    <w:rsid w:val="00E12B1A"/>
    <w:rsid w:val="00E12B73"/>
    <w:rsid w:val="00E12BC0"/>
    <w:rsid w:val="00E12C51"/>
    <w:rsid w:val="00E12CC0"/>
    <w:rsid w:val="00E12D07"/>
    <w:rsid w:val="00E12D2E"/>
    <w:rsid w:val="00E12D39"/>
    <w:rsid w:val="00E12D43"/>
    <w:rsid w:val="00E12E1A"/>
    <w:rsid w:val="00E12E97"/>
    <w:rsid w:val="00E12F1C"/>
    <w:rsid w:val="00E13025"/>
    <w:rsid w:val="00E13027"/>
    <w:rsid w:val="00E13029"/>
    <w:rsid w:val="00E130DC"/>
    <w:rsid w:val="00E13155"/>
    <w:rsid w:val="00E131AC"/>
    <w:rsid w:val="00E131E9"/>
    <w:rsid w:val="00E13208"/>
    <w:rsid w:val="00E13228"/>
    <w:rsid w:val="00E1323B"/>
    <w:rsid w:val="00E132BE"/>
    <w:rsid w:val="00E1336B"/>
    <w:rsid w:val="00E133AE"/>
    <w:rsid w:val="00E133D5"/>
    <w:rsid w:val="00E134BD"/>
    <w:rsid w:val="00E134D5"/>
    <w:rsid w:val="00E13583"/>
    <w:rsid w:val="00E1358B"/>
    <w:rsid w:val="00E1376E"/>
    <w:rsid w:val="00E13811"/>
    <w:rsid w:val="00E13824"/>
    <w:rsid w:val="00E13918"/>
    <w:rsid w:val="00E1397D"/>
    <w:rsid w:val="00E139A2"/>
    <w:rsid w:val="00E139EE"/>
    <w:rsid w:val="00E139F7"/>
    <w:rsid w:val="00E13A3F"/>
    <w:rsid w:val="00E13A66"/>
    <w:rsid w:val="00E13ACA"/>
    <w:rsid w:val="00E13AF1"/>
    <w:rsid w:val="00E13B0D"/>
    <w:rsid w:val="00E13B3F"/>
    <w:rsid w:val="00E13B69"/>
    <w:rsid w:val="00E13B71"/>
    <w:rsid w:val="00E13B7D"/>
    <w:rsid w:val="00E13B81"/>
    <w:rsid w:val="00E13B97"/>
    <w:rsid w:val="00E13BA8"/>
    <w:rsid w:val="00E13C90"/>
    <w:rsid w:val="00E13DC8"/>
    <w:rsid w:val="00E13E5A"/>
    <w:rsid w:val="00E13F81"/>
    <w:rsid w:val="00E13F98"/>
    <w:rsid w:val="00E140E0"/>
    <w:rsid w:val="00E1410C"/>
    <w:rsid w:val="00E1412C"/>
    <w:rsid w:val="00E14143"/>
    <w:rsid w:val="00E14144"/>
    <w:rsid w:val="00E141F3"/>
    <w:rsid w:val="00E14255"/>
    <w:rsid w:val="00E14272"/>
    <w:rsid w:val="00E14472"/>
    <w:rsid w:val="00E14537"/>
    <w:rsid w:val="00E1456C"/>
    <w:rsid w:val="00E14588"/>
    <w:rsid w:val="00E145D3"/>
    <w:rsid w:val="00E1462E"/>
    <w:rsid w:val="00E14678"/>
    <w:rsid w:val="00E146F8"/>
    <w:rsid w:val="00E14820"/>
    <w:rsid w:val="00E14824"/>
    <w:rsid w:val="00E1482A"/>
    <w:rsid w:val="00E14A34"/>
    <w:rsid w:val="00E14AAB"/>
    <w:rsid w:val="00E14B01"/>
    <w:rsid w:val="00E14BBF"/>
    <w:rsid w:val="00E14CE1"/>
    <w:rsid w:val="00E14D16"/>
    <w:rsid w:val="00E14D48"/>
    <w:rsid w:val="00E14E81"/>
    <w:rsid w:val="00E14EB2"/>
    <w:rsid w:val="00E14ED9"/>
    <w:rsid w:val="00E14EF6"/>
    <w:rsid w:val="00E14F08"/>
    <w:rsid w:val="00E14F2C"/>
    <w:rsid w:val="00E14F45"/>
    <w:rsid w:val="00E14F65"/>
    <w:rsid w:val="00E14F88"/>
    <w:rsid w:val="00E15022"/>
    <w:rsid w:val="00E15149"/>
    <w:rsid w:val="00E15187"/>
    <w:rsid w:val="00E15217"/>
    <w:rsid w:val="00E15226"/>
    <w:rsid w:val="00E1522F"/>
    <w:rsid w:val="00E1537F"/>
    <w:rsid w:val="00E154F4"/>
    <w:rsid w:val="00E154F9"/>
    <w:rsid w:val="00E15526"/>
    <w:rsid w:val="00E15622"/>
    <w:rsid w:val="00E1563A"/>
    <w:rsid w:val="00E15693"/>
    <w:rsid w:val="00E1571A"/>
    <w:rsid w:val="00E1571E"/>
    <w:rsid w:val="00E1578A"/>
    <w:rsid w:val="00E157BA"/>
    <w:rsid w:val="00E157F2"/>
    <w:rsid w:val="00E158F3"/>
    <w:rsid w:val="00E15919"/>
    <w:rsid w:val="00E159EB"/>
    <w:rsid w:val="00E159FC"/>
    <w:rsid w:val="00E15A01"/>
    <w:rsid w:val="00E15B22"/>
    <w:rsid w:val="00E15BA6"/>
    <w:rsid w:val="00E15D42"/>
    <w:rsid w:val="00E15D64"/>
    <w:rsid w:val="00E15DCA"/>
    <w:rsid w:val="00E15E1B"/>
    <w:rsid w:val="00E15E52"/>
    <w:rsid w:val="00E15F82"/>
    <w:rsid w:val="00E15FA5"/>
    <w:rsid w:val="00E15FF3"/>
    <w:rsid w:val="00E16008"/>
    <w:rsid w:val="00E1602F"/>
    <w:rsid w:val="00E1613F"/>
    <w:rsid w:val="00E161CD"/>
    <w:rsid w:val="00E161DC"/>
    <w:rsid w:val="00E16220"/>
    <w:rsid w:val="00E16272"/>
    <w:rsid w:val="00E16277"/>
    <w:rsid w:val="00E162C9"/>
    <w:rsid w:val="00E1630A"/>
    <w:rsid w:val="00E1635B"/>
    <w:rsid w:val="00E16424"/>
    <w:rsid w:val="00E16436"/>
    <w:rsid w:val="00E16478"/>
    <w:rsid w:val="00E165B1"/>
    <w:rsid w:val="00E165F6"/>
    <w:rsid w:val="00E16688"/>
    <w:rsid w:val="00E16718"/>
    <w:rsid w:val="00E1680B"/>
    <w:rsid w:val="00E16843"/>
    <w:rsid w:val="00E16878"/>
    <w:rsid w:val="00E168E5"/>
    <w:rsid w:val="00E16971"/>
    <w:rsid w:val="00E169C4"/>
    <w:rsid w:val="00E169C5"/>
    <w:rsid w:val="00E169C9"/>
    <w:rsid w:val="00E16A23"/>
    <w:rsid w:val="00E16AAD"/>
    <w:rsid w:val="00E16ABC"/>
    <w:rsid w:val="00E16B5B"/>
    <w:rsid w:val="00E16C13"/>
    <w:rsid w:val="00E16C1E"/>
    <w:rsid w:val="00E16E9C"/>
    <w:rsid w:val="00E16EA1"/>
    <w:rsid w:val="00E16FD7"/>
    <w:rsid w:val="00E16FE7"/>
    <w:rsid w:val="00E16FEE"/>
    <w:rsid w:val="00E170B7"/>
    <w:rsid w:val="00E170D9"/>
    <w:rsid w:val="00E1719D"/>
    <w:rsid w:val="00E171D3"/>
    <w:rsid w:val="00E17209"/>
    <w:rsid w:val="00E172C2"/>
    <w:rsid w:val="00E174EE"/>
    <w:rsid w:val="00E17551"/>
    <w:rsid w:val="00E175EF"/>
    <w:rsid w:val="00E1760C"/>
    <w:rsid w:val="00E17648"/>
    <w:rsid w:val="00E17685"/>
    <w:rsid w:val="00E17690"/>
    <w:rsid w:val="00E17712"/>
    <w:rsid w:val="00E1773D"/>
    <w:rsid w:val="00E177FC"/>
    <w:rsid w:val="00E17889"/>
    <w:rsid w:val="00E17890"/>
    <w:rsid w:val="00E178B2"/>
    <w:rsid w:val="00E17A33"/>
    <w:rsid w:val="00E17AD8"/>
    <w:rsid w:val="00E17BA1"/>
    <w:rsid w:val="00E17C4B"/>
    <w:rsid w:val="00E17CCB"/>
    <w:rsid w:val="00E17D5D"/>
    <w:rsid w:val="00E17DF8"/>
    <w:rsid w:val="00E17E23"/>
    <w:rsid w:val="00E17E5E"/>
    <w:rsid w:val="00E17E91"/>
    <w:rsid w:val="00E17EBB"/>
    <w:rsid w:val="00E17EC2"/>
    <w:rsid w:val="00E17F07"/>
    <w:rsid w:val="00E17F6F"/>
    <w:rsid w:val="00E17F83"/>
    <w:rsid w:val="00E17FB3"/>
    <w:rsid w:val="00E17FD7"/>
    <w:rsid w:val="00E2004D"/>
    <w:rsid w:val="00E200BE"/>
    <w:rsid w:val="00E200CB"/>
    <w:rsid w:val="00E20101"/>
    <w:rsid w:val="00E2013B"/>
    <w:rsid w:val="00E20198"/>
    <w:rsid w:val="00E201BB"/>
    <w:rsid w:val="00E20237"/>
    <w:rsid w:val="00E20275"/>
    <w:rsid w:val="00E204A6"/>
    <w:rsid w:val="00E205B3"/>
    <w:rsid w:val="00E205BA"/>
    <w:rsid w:val="00E205F3"/>
    <w:rsid w:val="00E20601"/>
    <w:rsid w:val="00E2064B"/>
    <w:rsid w:val="00E20700"/>
    <w:rsid w:val="00E20712"/>
    <w:rsid w:val="00E20728"/>
    <w:rsid w:val="00E20775"/>
    <w:rsid w:val="00E207E6"/>
    <w:rsid w:val="00E20828"/>
    <w:rsid w:val="00E20900"/>
    <w:rsid w:val="00E2092C"/>
    <w:rsid w:val="00E20950"/>
    <w:rsid w:val="00E20970"/>
    <w:rsid w:val="00E20A5C"/>
    <w:rsid w:val="00E20AA1"/>
    <w:rsid w:val="00E20AA4"/>
    <w:rsid w:val="00E20B49"/>
    <w:rsid w:val="00E20C12"/>
    <w:rsid w:val="00E20C3D"/>
    <w:rsid w:val="00E20CB4"/>
    <w:rsid w:val="00E20D3F"/>
    <w:rsid w:val="00E20E32"/>
    <w:rsid w:val="00E20E45"/>
    <w:rsid w:val="00E20E85"/>
    <w:rsid w:val="00E20F80"/>
    <w:rsid w:val="00E20F85"/>
    <w:rsid w:val="00E20FE7"/>
    <w:rsid w:val="00E21044"/>
    <w:rsid w:val="00E21167"/>
    <w:rsid w:val="00E2118C"/>
    <w:rsid w:val="00E2126A"/>
    <w:rsid w:val="00E2128A"/>
    <w:rsid w:val="00E212D9"/>
    <w:rsid w:val="00E212EF"/>
    <w:rsid w:val="00E21398"/>
    <w:rsid w:val="00E213B1"/>
    <w:rsid w:val="00E214B2"/>
    <w:rsid w:val="00E214BD"/>
    <w:rsid w:val="00E214F4"/>
    <w:rsid w:val="00E21526"/>
    <w:rsid w:val="00E21686"/>
    <w:rsid w:val="00E216BC"/>
    <w:rsid w:val="00E216D9"/>
    <w:rsid w:val="00E21702"/>
    <w:rsid w:val="00E217AC"/>
    <w:rsid w:val="00E21868"/>
    <w:rsid w:val="00E2186D"/>
    <w:rsid w:val="00E21876"/>
    <w:rsid w:val="00E2187E"/>
    <w:rsid w:val="00E218EE"/>
    <w:rsid w:val="00E2193F"/>
    <w:rsid w:val="00E21995"/>
    <w:rsid w:val="00E21A30"/>
    <w:rsid w:val="00E21A31"/>
    <w:rsid w:val="00E21ABC"/>
    <w:rsid w:val="00E21ABD"/>
    <w:rsid w:val="00E21AEC"/>
    <w:rsid w:val="00E21B04"/>
    <w:rsid w:val="00E21B32"/>
    <w:rsid w:val="00E21BC1"/>
    <w:rsid w:val="00E21D16"/>
    <w:rsid w:val="00E21D2E"/>
    <w:rsid w:val="00E21D67"/>
    <w:rsid w:val="00E21D9E"/>
    <w:rsid w:val="00E21DD7"/>
    <w:rsid w:val="00E21DF3"/>
    <w:rsid w:val="00E21E46"/>
    <w:rsid w:val="00E21E55"/>
    <w:rsid w:val="00E21EFA"/>
    <w:rsid w:val="00E21F91"/>
    <w:rsid w:val="00E22023"/>
    <w:rsid w:val="00E220DE"/>
    <w:rsid w:val="00E2220C"/>
    <w:rsid w:val="00E222CF"/>
    <w:rsid w:val="00E2245F"/>
    <w:rsid w:val="00E22618"/>
    <w:rsid w:val="00E22668"/>
    <w:rsid w:val="00E22697"/>
    <w:rsid w:val="00E2271F"/>
    <w:rsid w:val="00E227ED"/>
    <w:rsid w:val="00E2286B"/>
    <w:rsid w:val="00E228AE"/>
    <w:rsid w:val="00E22AA2"/>
    <w:rsid w:val="00E22AA9"/>
    <w:rsid w:val="00E22CFB"/>
    <w:rsid w:val="00E22D8F"/>
    <w:rsid w:val="00E22E85"/>
    <w:rsid w:val="00E22FDE"/>
    <w:rsid w:val="00E230B3"/>
    <w:rsid w:val="00E23111"/>
    <w:rsid w:val="00E23146"/>
    <w:rsid w:val="00E231AB"/>
    <w:rsid w:val="00E23203"/>
    <w:rsid w:val="00E232DC"/>
    <w:rsid w:val="00E2334A"/>
    <w:rsid w:val="00E233A9"/>
    <w:rsid w:val="00E233E3"/>
    <w:rsid w:val="00E233EC"/>
    <w:rsid w:val="00E233F0"/>
    <w:rsid w:val="00E234BE"/>
    <w:rsid w:val="00E23538"/>
    <w:rsid w:val="00E2355B"/>
    <w:rsid w:val="00E235BB"/>
    <w:rsid w:val="00E237D4"/>
    <w:rsid w:val="00E237DE"/>
    <w:rsid w:val="00E238FE"/>
    <w:rsid w:val="00E2399F"/>
    <w:rsid w:val="00E239AB"/>
    <w:rsid w:val="00E239D0"/>
    <w:rsid w:val="00E23A0F"/>
    <w:rsid w:val="00E23A1E"/>
    <w:rsid w:val="00E23A47"/>
    <w:rsid w:val="00E23A51"/>
    <w:rsid w:val="00E23BB1"/>
    <w:rsid w:val="00E23BDD"/>
    <w:rsid w:val="00E23C20"/>
    <w:rsid w:val="00E23D49"/>
    <w:rsid w:val="00E23D56"/>
    <w:rsid w:val="00E23DC0"/>
    <w:rsid w:val="00E23EC0"/>
    <w:rsid w:val="00E23FBB"/>
    <w:rsid w:val="00E2405A"/>
    <w:rsid w:val="00E240BC"/>
    <w:rsid w:val="00E24136"/>
    <w:rsid w:val="00E241A5"/>
    <w:rsid w:val="00E24262"/>
    <w:rsid w:val="00E24279"/>
    <w:rsid w:val="00E2427D"/>
    <w:rsid w:val="00E24324"/>
    <w:rsid w:val="00E243BD"/>
    <w:rsid w:val="00E243E5"/>
    <w:rsid w:val="00E24444"/>
    <w:rsid w:val="00E2445C"/>
    <w:rsid w:val="00E2449E"/>
    <w:rsid w:val="00E244D5"/>
    <w:rsid w:val="00E244E2"/>
    <w:rsid w:val="00E24678"/>
    <w:rsid w:val="00E24743"/>
    <w:rsid w:val="00E24775"/>
    <w:rsid w:val="00E24826"/>
    <w:rsid w:val="00E2489B"/>
    <w:rsid w:val="00E248A3"/>
    <w:rsid w:val="00E24A48"/>
    <w:rsid w:val="00E24AF1"/>
    <w:rsid w:val="00E24D09"/>
    <w:rsid w:val="00E24D0D"/>
    <w:rsid w:val="00E24D8E"/>
    <w:rsid w:val="00E24DDA"/>
    <w:rsid w:val="00E24E8E"/>
    <w:rsid w:val="00E24F01"/>
    <w:rsid w:val="00E24FA5"/>
    <w:rsid w:val="00E24FB9"/>
    <w:rsid w:val="00E24FDF"/>
    <w:rsid w:val="00E2529E"/>
    <w:rsid w:val="00E252A1"/>
    <w:rsid w:val="00E252C8"/>
    <w:rsid w:val="00E253B6"/>
    <w:rsid w:val="00E253CB"/>
    <w:rsid w:val="00E25415"/>
    <w:rsid w:val="00E2543A"/>
    <w:rsid w:val="00E2546B"/>
    <w:rsid w:val="00E25494"/>
    <w:rsid w:val="00E254E5"/>
    <w:rsid w:val="00E2552E"/>
    <w:rsid w:val="00E25569"/>
    <w:rsid w:val="00E255A9"/>
    <w:rsid w:val="00E255F1"/>
    <w:rsid w:val="00E256E8"/>
    <w:rsid w:val="00E25723"/>
    <w:rsid w:val="00E25813"/>
    <w:rsid w:val="00E258FF"/>
    <w:rsid w:val="00E25917"/>
    <w:rsid w:val="00E25966"/>
    <w:rsid w:val="00E25AA0"/>
    <w:rsid w:val="00E25AD5"/>
    <w:rsid w:val="00E25B21"/>
    <w:rsid w:val="00E25BCE"/>
    <w:rsid w:val="00E25D0B"/>
    <w:rsid w:val="00E25D2B"/>
    <w:rsid w:val="00E25D63"/>
    <w:rsid w:val="00E25D6D"/>
    <w:rsid w:val="00E25D90"/>
    <w:rsid w:val="00E25DCC"/>
    <w:rsid w:val="00E25E58"/>
    <w:rsid w:val="00E25FCC"/>
    <w:rsid w:val="00E2602B"/>
    <w:rsid w:val="00E26047"/>
    <w:rsid w:val="00E26050"/>
    <w:rsid w:val="00E26069"/>
    <w:rsid w:val="00E26097"/>
    <w:rsid w:val="00E260B2"/>
    <w:rsid w:val="00E260C2"/>
    <w:rsid w:val="00E261BD"/>
    <w:rsid w:val="00E26263"/>
    <w:rsid w:val="00E262C5"/>
    <w:rsid w:val="00E262D0"/>
    <w:rsid w:val="00E262EB"/>
    <w:rsid w:val="00E26355"/>
    <w:rsid w:val="00E263CC"/>
    <w:rsid w:val="00E263D4"/>
    <w:rsid w:val="00E26537"/>
    <w:rsid w:val="00E26542"/>
    <w:rsid w:val="00E265DC"/>
    <w:rsid w:val="00E26733"/>
    <w:rsid w:val="00E26820"/>
    <w:rsid w:val="00E268CE"/>
    <w:rsid w:val="00E268D2"/>
    <w:rsid w:val="00E26912"/>
    <w:rsid w:val="00E269BB"/>
    <w:rsid w:val="00E269C3"/>
    <w:rsid w:val="00E269CB"/>
    <w:rsid w:val="00E26A97"/>
    <w:rsid w:val="00E26B3E"/>
    <w:rsid w:val="00E26BE5"/>
    <w:rsid w:val="00E26C11"/>
    <w:rsid w:val="00E26C2E"/>
    <w:rsid w:val="00E26C81"/>
    <w:rsid w:val="00E26D78"/>
    <w:rsid w:val="00E26DD0"/>
    <w:rsid w:val="00E26DF7"/>
    <w:rsid w:val="00E26E98"/>
    <w:rsid w:val="00E26ED7"/>
    <w:rsid w:val="00E26EFB"/>
    <w:rsid w:val="00E26F62"/>
    <w:rsid w:val="00E26F75"/>
    <w:rsid w:val="00E26FD6"/>
    <w:rsid w:val="00E26FEA"/>
    <w:rsid w:val="00E26FF9"/>
    <w:rsid w:val="00E270A4"/>
    <w:rsid w:val="00E270AB"/>
    <w:rsid w:val="00E270BD"/>
    <w:rsid w:val="00E271A2"/>
    <w:rsid w:val="00E271A5"/>
    <w:rsid w:val="00E27263"/>
    <w:rsid w:val="00E27280"/>
    <w:rsid w:val="00E27293"/>
    <w:rsid w:val="00E272A4"/>
    <w:rsid w:val="00E272C5"/>
    <w:rsid w:val="00E272D8"/>
    <w:rsid w:val="00E2741F"/>
    <w:rsid w:val="00E27444"/>
    <w:rsid w:val="00E2749F"/>
    <w:rsid w:val="00E2752B"/>
    <w:rsid w:val="00E27621"/>
    <w:rsid w:val="00E27661"/>
    <w:rsid w:val="00E276A9"/>
    <w:rsid w:val="00E276BB"/>
    <w:rsid w:val="00E27738"/>
    <w:rsid w:val="00E2774C"/>
    <w:rsid w:val="00E27764"/>
    <w:rsid w:val="00E277E8"/>
    <w:rsid w:val="00E278DD"/>
    <w:rsid w:val="00E2791F"/>
    <w:rsid w:val="00E27934"/>
    <w:rsid w:val="00E27961"/>
    <w:rsid w:val="00E27972"/>
    <w:rsid w:val="00E279D9"/>
    <w:rsid w:val="00E27A4E"/>
    <w:rsid w:val="00E27A92"/>
    <w:rsid w:val="00E27AF2"/>
    <w:rsid w:val="00E27B2A"/>
    <w:rsid w:val="00E27B6E"/>
    <w:rsid w:val="00E27B73"/>
    <w:rsid w:val="00E27C32"/>
    <w:rsid w:val="00E27C37"/>
    <w:rsid w:val="00E27D5B"/>
    <w:rsid w:val="00E27D63"/>
    <w:rsid w:val="00E27D82"/>
    <w:rsid w:val="00E27DAE"/>
    <w:rsid w:val="00E27E5E"/>
    <w:rsid w:val="00E27E9A"/>
    <w:rsid w:val="00E30028"/>
    <w:rsid w:val="00E30085"/>
    <w:rsid w:val="00E300B5"/>
    <w:rsid w:val="00E30100"/>
    <w:rsid w:val="00E3015C"/>
    <w:rsid w:val="00E301D8"/>
    <w:rsid w:val="00E301F2"/>
    <w:rsid w:val="00E301FE"/>
    <w:rsid w:val="00E3029E"/>
    <w:rsid w:val="00E302B1"/>
    <w:rsid w:val="00E3030C"/>
    <w:rsid w:val="00E303A9"/>
    <w:rsid w:val="00E30434"/>
    <w:rsid w:val="00E304CC"/>
    <w:rsid w:val="00E30519"/>
    <w:rsid w:val="00E3056A"/>
    <w:rsid w:val="00E306A3"/>
    <w:rsid w:val="00E30710"/>
    <w:rsid w:val="00E30733"/>
    <w:rsid w:val="00E307D9"/>
    <w:rsid w:val="00E30807"/>
    <w:rsid w:val="00E308BC"/>
    <w:rsid w:val="00E308F7"/>
    <w:rsid w:val="00E30940"/>
    <w:rsid w:val="00E309E0"/>
    <w:rsid w:val="00E30A19"/>
    <w:rsid w:val="00E30A4A"/>
    <w:rsid w:val="00E30AAB"/>
    <w:rsid w:val="00E30AB4"/>
    <w:rsid w:val="00E30ACC"/>
    <w:rsid w:val="00E30B6D"/>
    <w:rsid w:val="00E30B83"/>
    <w:rsid w:val="00E30BC7"/>
    <w:rsid w:val="00E30C14"/>
    <w:rsid w:val="00E30C47"/>
    <w:rsid w:val="00E30C84"/>
    <w:rsid w:val="00E30D81"/>
    <w:rsid w:val="00E30E7C"/>
    <w:rsid w:val="00E30ED3"/>
    <w:rsid w:val="00E30F7C"/>
    <w:rsid w:val="00E30F97"/>
    <w:rsid w:val="00E30FAF"/>
    <w:rsid w:val="00E310EB"/>
    <w:rsid w:val="00E31102"/>
    <w:rsid w:val="00E311CF"/>
    <w:rsid w:val="00E31212"/>
    <w:rsid w:val="00E31235"/>
    <w:rsid w:val="00E3133E"/>
    <w:rsid w:val="00E3136C"/>
    <w:rsid w:val="00E31381"/>
    <w:rsid w:val="00E314E9"/>
    <w:rsid w:val="00E314EE"/>
    <w:rsid w:val="00E31575"/>
    <w:rsid w:val="00E315A5"/>
    <w:rsid w:val="00E315B1"/>
    <w:rsid w:val="00E315BE"/>
    <w:rsid w:val="00E31636"/>
    <w:rsid w:val="00E31654"/>
    <w:rsid w:val="00E31714"/>
    <w:rsid w:val="00E3173B"/>
    <w:rsid w:val="00E3189D"/>
    <w:rsid w:val="00E318B6"/>
    <w:rsid w:val="00E31901"/>
    <w:rsid w:val="00E31937"/>
    <w:rsid w:val="00E3196B"/>
    <w:rsid w:val="00E319D9"/>
    <w:rsid w:val="00E31A3A"/>
    <w:rsid w:val="00E31A77"/>
    <w:rsid w:val="00E31CA4"/>
    <w:rsid w:val="00E31D1E"/>
    <w:rsid w:val="00E31D3C"/>
    <w:rsid w:val="00E31D64"/>
    <w:rsid w:val="00E31DA3"/>
    <w:rsid w:val="00E31DD6"/>
    <w:rsid w:val="00E31E19"/>
    <w:rsid w:val="00E31E2F"/>
    <w:rsid w:val="00E31E34"/>
    <w:rsid w:val="00E31E76"/>
    <w:rsid w:val="00E31E7A"/>
    <w:rsid w:val="00E3217B"/>
    <w:rsid w:val="00E3221E"/>
    <w:rsid w:val="00E3223B"/>
    <w:rsid w:val="00E3223D"/>
    <w:rsid w:val="00E32258"/>
    <w:rsid w:val="00E322B9"/>
    <w:rsid w:val="00E32326"/>
    <w:rsid w:val="00E32472"/>
    <w:rsid w:val="00E32728"/>
    <w:rsid w:val="00E3278B"/>
    <w:rsid w:val="00E327A6"/>
    <w:rsid w:val="00E327E2"/>
    <w:rsid w:val="00E32813"/>
    <w:rsid w:val="00E32824"/>
    <w:rsid w:val="00E32884"/>
    <w:rsid w:val="00E328A2"/>
    <w:rsid w:val="00E328E2"/>
    <w:rsid w:val="00E32970"/>
    <w:rsid w:val="00E329B7"/>
    <w:rsid w:val="00E32A13"/>
    <w:rsid w:val="00E32B75"/>
    <w:rsid w:val="00E32BF2"/>
    <w:rsid w:val="00E32CBB"/>
    <w:rsid w:val="00E32CCB"/>
    <w:rsid w:val="00E32D35"/>
    <w:rsid w:val="00E32DB0"/>
    <w:rsid w:val="00E32DCB"/>
    <w:rsid w:val="00E32E7C"/>
    <w:rsid w:val="00E32F30"/>
    <w:rsid w:val="00E32F38"/>
    <w:rsid w:val="00E32F69"/>
    <w:rsid w:val="00E32FAC"/>
    <w:rsid w:val="00E3304D"/>
    <w:rsid w:val="00E330F9"/>
    <w:rsid w:val="00E33119"/>
    <w:rsid w:val="00E33144"/>
    <w:rsid w:val="00E3314B"/>
    <w:rsid w:val="00E331A4"/>
    <w:rsid w:val="00E331B5"/>
    <w:rsid w:val="00E332A1"/>
    <w:rsid w:val="00E33305"/>
    <w:rsid w:val="00E33320"/>
    <w:rsid w:val="00E334B0"/>
    <w:rsid w:val="00E335C5"/>
    <w:rsid w:val="00E336FC"/>
    <w:rsid w:val="00E33756"/>
    <w:rsid w:val="00E337B0"/>
    <w:rsid w:val="00E337DB"/>
    <w:rsid w:val="00E33937"/>
    <w:rsid w:val="00E33941"/>
    <w:rsid w:val="00E339A1"/>
    <w:rsid w:val="00E33A6F"/>
    <w:rsid w:val="00E33A72"/>
    <w:rsid w:val="00E33A87"/>
    <w:rsid w:val="00E33AC3"/>
    <w:rsid w:val="00E33B0F"/>
    <w:rsid w:val="00E33B82"/>
    <w:rsid w:val="00E33C1C"/>
    <w:rsid w:val="00E33C74"/>
    <w:rsid w:val="00E33CD7"/>
    <w:rsid w:val="00E33D1A"/>
    <w:rsid w:val="00E33D46"/>
    <w:rsid w:val="00E33D5C"/>
    <w:rsid w:val="00E33D9D"/>
    <w:rsid w:val="00E33ED9"/>
    <w:rsid w:val="00E33EEF"/>
    <w:rsid w:val="00E33F01"/>
    <w:rsid w:val="00E33F70"/>
    <w:rsid w:val="00E34024"/>
    <w:rsid w:val="00E34050"/>
    <w:rsid w:val="00E340C6"/>
    <w:rsid w:val="00E34120"/>
    <w:rsid w:val="00E3418F"/>
    <w:rsid w:val="00E342E2"/>
    <w:rsid w:val="00E343E3"/>
    <w:rsid w:val="00E343EB"/>
    <w:rsid w:val="00E34511"/>
    <w:rsid w:val="00E3459F"/>
    <w:rsid w:val="00E345EF"/>
    <w:rsid w:val="00E34624"/>
    <w:rsid w:val="00E34646"/>
    <w:rsid w:val="00E346C6"/>
    <w:rsid w:val="00E347D6"/>
    <w:rsid w:val="00E3484E"/>
    <w:rsid w:val="00E3487E"/>
    <w:rsid w:val="00E34922"/>
    <w:rsid w:val="00E3495B"/>
    <w:rsid w:val="00E34986"/>
    <w:rsid w:val="00E34A19"/>
    <w:rsid w:val="00E34AD1"/>
    <w:rsid w:val="00E34B1B"/>
    <w:rsid w:val="00E34B98"/>
    <w:rsid w:val="00E34C23"/>
    <w:rsid w:val="00E34F3C"/>
    <w:rsid w:val="00E34F82"/>
    <w:rsid w:val="00E34FA5"/>
    <w:rsid w:val="00E34FB0"/>
    <w:rsid w:val="00E34FCE"/>
    <w:rsid w:val="00E3502C"/>
    <w:rsid w:val="00E35038"/>
    <w:rsid w:val="00E3507D"/>
    <w:rsid w:val="00E35088"/>
    <w:rsid w:val="00E35113"/>
    <w:rsid w:val="00E35254"/>
    <w:rsid w:val="00E3525A"/>
    <w:rsid w:val="00E3526F"/>
    <w:rsid w:val="00E35389"/>
    <w:rsid w:val="00E353B1"/>
    <w:rsid w:val="00E354B6"/>
    <w:rsid w:val="00E354F2"/>
    <w:rsid w:val="00E35543"/>
    <w:rsid w:val="00E355B8"/>
    <w:rsid w:val="00E3565A"/>
    <w:rsid w:val="00E35671"/>
    <w:rsid w:val="00E356C4"/>
    <w:rsid w:val="00E35711"/>
    <w:rsid w:val="00E3575B"/>
    <w:rsid w:val="00E35771"/>
    <w:rsid w:val="00E35885"/>
    <w:rsid w:val="00E35888"/>
    <w:rsid w:val="00E359E9"/>
    <w:rsid w:val="00E35A23"/>
    <w:rsid w:val="00E35A7A"/>
    <w:rsid w:val="00E35A82"/>
    <w:rsid w:val="00E35B0E"/>
    <w:rsid w:val="00E35D37"/>
    <w:rsid w:val="00E35D8F"/>
    <w:rsid w:val="00E35DBD"/>
    <w:rsid w:val="00E35E11"/>
    <w:rsid w:val="00E35E2E"/>
    <w:rsid w:val="00E35E94"/>
    <w:rsid w:val="00E35F54"/>
    <w:rsid w:val="00E35F55"/>
    <w:rsid w:val="00E35F9B"/>
    <w:rsid w:val="00E36083"/>
    <w:rsid w:val="00E36204"/>
    <w:rsid w:val="00E36258"/>
    <w:rsid w:val="00E36264"/>
    <w:rsid w:val="00E36291"/>
    <w:rsid w:val="00E3631D"/>
    <w:rsid w:val="00E3635E"/>
    <w:rsid w:val="00E363CE"/>
    <w:rsid w:val="00E363D0"/>
    <w:rsid w:val="00E363E0"/>
    <w:rsid w:val="00E36438"/>
    <w:rsid w:val="00E36494"/>
    <w:rsid w:val="00E36506"/>
    <w:rsid w:val="00E366FC"/>
    <w:rsid w:val="00E36719"/>
    <w:rsid w:val="00E36730"/>
    <w:rsid w:val="00E3687D"/>
    <w:rsid w:val="00E3696B"/>
    <w:rsid w:val="00E36A82"/>
    <w:rsid w:val="00E36CB6"/>
    <w:rsid w:val="00E36CBB"/>
    <w:rsid w:val="00E36CEF"/>
    <w:rsid w:val="00E36D25"/>
    <w:rsid w:val="00E36E7E"/>
    <w:rsid w:val="00E36F95"/>
    <w:rsid w:val="00E37093"/>
    <w:rsid w:val="00E37111"/>
    <w:rsid w:val="00E37130"/>
    <w:rsid w:val="00E37146"/>
    <w:rsid w:val="00E371B0"/>
    <w:rsid w:val="00E3722C"/>
    <w:rsid w:val="00E37366"/>
    <w:rsid w:val="00E373A9"/>
    <w:rsid w:val="00E3741D"/>
    <w:rsid w:val="00E374FD"/>
    <w:rsid w:val="00E374FF"/>
    <w:rsid w:val="00E37587"/>
    <w:rsid w:val="00E37632"/>
    <w:rsid w:val="00E37648"/>
    <w:rsid w:val="00E37661"/>
    <w:rsid w:val="00E37678"/>
    <w:rsid w:val="00E37708"/>
    <w:rsid w:val="00E3778D"/>
    <w:rsid w:val="00E377C9"/>
    <w:rsid w:val="00E37830"/>
    <w:rsid w:val="00E37853"/>
    <w:rsid w:val="00E37887"/>
    <w:rsid w:val="00E37921"/>
    <w:rsid w:val="00E37973"/>
    <w:rsid w:val="00E379A8"/>
    <w:rsid w:val="00E379B4"/>
    <w:rsid w:val="00E379D6"/>
    <w:rsid w:val="00E37B8B"/>
    <w:rsid w:val="00E37BA9"/>
    <w:rsid w:val="00E37BC4"/>
    <w:rsid w:val="00E37BE2"/>
    <w:rsid w:val="00E37CA8"/>
    <w:rsid w:val="00E37E18"/>
    <w:rsid w:val="00E37FA4"/>
    <w:rsid w:val="00E400C9"/>
    <w:rsid w:val="00E40112"/>
    <w:rsid w:val="00E40200"/>
    <w:rsid w:val="00E4020E"/>
    <w:rsid w:val="00E40244"/>
    <w:rsid w:val="00E40274"/>
    <w:rsid w:val="00E4028D"/>
    <w:rsid w:val="00E40313"/>
    <w:rsid w:val="00E40362"/>
    <w:rsid w:val="00E4051F"/>
    <w:rsid w:val="00E40522"/>
    <w:rsid w:val="00E405B2"/>
    <w:rsid w:val="00E405EC"/>
    <w:rsid w:val="00E4069E"/>
    <w:rsid w:val="00E406C5"/>
    <w:rsid w:val="00E406F8"/>
    <w:rsid w:val="00E40770"/>
    <w:rsid w:val="00E40797"/>
    <w:rsid w:val="00E40843"/>
    <w:rsid w:val="00E40919"/>
    <w:rsid w:val="00E409AC"/>
    <w:rsid w:val="00E409D9"/>
    <w:rsid w:val="00E40A10"/>
    <w:rsid w:val="00E40A20"/>
    <w:rsid w:val="00E40A24"/>
    <w:rsid w:val="00E40ABC"/>
    <w:rsid w:val="00E40B38"/>
    <w:rsid w:val="00E40B3D"/>
    <w:rsid w:val="00E40C2F"/>
    <w:rsid w:val="00E40F48"/>
    <w:rsid w:val="00E40FAA"/>
    <w:rsid w:val="00E40FFF"/>
    <w:rsid w:val="00E41024"/>
    <w:rsid w:val="00E4102A"/>
    <w:rsid w:val="00E4103E"/>
    <w:rsid w:val="00E41068"/>
    <w:rsid w:val="00E410A5"/>
    <w:rsid w:val="00E410EB"/>
    <w:rsid w:val="00E41156"/>
    <w:rsid w:val="00E4123C"/>
    <w:rsid w:val="00E413FB"/>
    <w:rsid w:val="00E4147A"/>
    <w:rsid w:val="00E41576"/>
    <w:rsid w:val="00E4158F"/>
    <w:rsid w:val="00E4174B"/>
    <w:rsid w:val="00E418CD"/>
    <w:rsid w:val="00E419C0"/>
    <w:rsid w:val="00E41AAA"/>
    <w:rsid w:val="00E41C7B"/>
    <w:rsid w:val="00E41CD5"/>
    <w:rsid w:val="00E41D77"/>
    <w:rsid w:val="00E41DA7"/>
    <w:rsid w:val="00E41DCC"/>
    <w:rsid w:val="00E41EBC"/>
    <w:rsid w:val="00E41EC7"/>
    <w:rsid w:val="00E41F68"/>
    <w:rsid w:val="00E42050"/>
    <w:rsid w:val="00E42077"/>
    <w:rsid w:val="00E420AC"/>
    <w:rsid w:val="00E420E3"/>
    <w:rsid w:val="00E421A8"/>
    <w:rsid w:val="00E4224B"/>
    <w:rsid w:val="00E42272"/>
    <w:rsid w:val="00E42302"/>
    <w:rsid w:val="00E423B5"/>
    <w:rsid w:val="00E4244C"/>
    <w:rsid w:val="00E42492"/>
    <w:rsid w:val="00E424A8"/>
    <w:rsid w:val="00E424F9"/>
    <w:rsid w:val="00E42551"/>
    <w:rsid w:val="00E4255C"/>
    <w:rsid w:val="00E425D0"/>
    <w:rsid w:val="00E42665"/>
    <w:rsid w:val="00E426A6"/>
    <w:rsid w:val="00E4276C"/>
    <w:rsid w:val="00E427B5"/>
    <w:rsid w:val="00E42852"/>
    <w:rsid w:val="00E429CB"/>
    <w:rsid w:val="00E42A6A"/>
    <w:rsid w:val="00E42CED"/>
    <w:rsid w:val="00E42D13"/>
    <w:rsid w:val="00E42D9B"/>
    <w:rsid w:val="00E42E67"/>
    <w:rsid w:val="00E42F16"/>
    <w:rsid w:val="00E42F41"/>
    <w:rsid w:val="00E42F60"/>
    <w:rsid w:val="00E42FB9"/>
    <w:rsid w:val="00E42FD2"/>
    <w:rsid w:val="00E43002"/>
    <w:rsid w:val="00E43042"/>
    <w:rsid w:val="00E4305D"/>
    <w:rsid w:val="00E430B2"/>
    <w:rsid w:val="00E43258"/>
    <w:rsid w:val="00E432E1"/>
    <w:rsid w:val="00E4330D"/>
    <w:rsid w:val="00E433A9"/>
    <w:rsid w:val="00E433FE"/>
    <w:rsid w:val="00E435A8"/>
    <w:rsid w:val="00E4363B"/>
    <w:rsid w:val="00E43641"/>
    <w:rsid w:val="00E43656"/>
    <w:rsid w:val="00E436DD"/>
    <w:rsid w:val="00E43774"/>
    <w:rsid w:val="00E4377C"/>
    <w:rsid w:val="00E4380A"/>
    <w:rsid w:val="00E43936"/>
    <w:rsid w:val="00E439DC"/>
    <w:rsid w:val="00E43B8D"/>
    <w:rsid w:val="00E43B95"/>
    <w:rsid w:val="00E43C96"/>
    <w:rsid w:val="00E43CE4"/>
    <w:rsid w:val="00E43D04"/>
    <w:rsid w:val="00E43D3C"/>
    <w:rsid w:val="00E43DC7"/>
    <w:rsid w:val="00E43E03"/>
    <w:rsid w:val="00E44000"/>
    <w:rsid w:val="00E44003"/>
    <w:rsid w:val="00E44038"/>
    <w:rsid w:val="00E4405A"/>
    <w:rsid w:val="00E4407C"/>
    <w:rsid w:val="00E44151"/>
    <w:rsid w:val="00E4426A"/>
    <w:rsid w:val="00E442B4"/>
    <w:rsid w:val="00E4430A"/>
    <w:rsid w:val="00E44371"/>
    <w:rsid w:val="00E443D7"/>
    <w:rsid w:val="00E444A9"/>
    <w:rsid w:val="00E444AB"/>
    <w:rsid w:val="00E44560"/>
    <w:rsid w:val="00E44683"/>
    <w:rsid w:val="00E446FA"/>
    <w:rsid w:val="00E4470A"/>
    <w:rsid w:val="00E44825"/>
    <w:rsid w:val="00E4485B"/>
    <w:rsid w:val="00E44969"/>
    <w:rsid w:val="00E449B1"/>
    <w:rsid w:val="00E449E4"/>
    <w:rsid w:val="00E44A01"/>
    <w:rsid w:val="00E44A19"/>
    <w:rsid w:val="00E44A42"/>
    <w:rsid w:val="00E44AE6"/>
    <w:rsid w:val="00E44BA7"/>
    <w:rsid w:val="00E44BB8"/>
    <w:rsid w:val="00E44C80"/>
    <w:rsid w:val="00E44CD8"/>
    <w:rsid w:val="00E44F48"/>
    <w:rsid w:val="00E44F51"/>
    <w:rsid w:val="00E44F59"/>
    <w:rsid w:val="00E45031"/>
    <w:rsid w:val="00E4513A"/>
    <w:rsid w:val="00E451F2"/>
    <w:rsid w:val="00E45287"/>
    <w:rsid w:val="00E452A8"/>
    <w:rsid w:val="00E45386"/>
    <w:rsid w:val="00E453A1"/>
    <w:rsid w:val="00E453A7"/>
    <w:rsid w:val="00E454FF"/>
    <w:rsid w:val="00E45500"/>
    <w:rsid w:val="00E45554"/>
    <w:rsid w:val="00E455B0"/>
    <w:rsid w:val="00E455BD"/>
    <w:rsid w:val="00E45773"/>
    <w:rsid w:val="00E45789"/>
    <w:rsid w:val="00E4593B"/>
    <w:rsid w:val="00E459B8"/>
    <w:rsid w:val="00E45A99"/>
    <w:rsid w:val="00E45AD8"/>
    <w:rsid w:val="00E45B7B"/>
    <w:rsid w:val="00E45B9B"/>
    <w:rsid w:val="00E45C6E"/>
    <w:rsid w:val="00E45C70"/>
    <w:rsid w:val="00E45CBD"/>
    <w:rsid w:val="00E45D56"/>
    <w:rsid w:val="00E45E1F"/>
    <w:rsid w:val="00E45E6B"/>
    <w:rsid w:val="00E45F1A"/>
    <w:rsid w:val="00E45FDD"/>
    <w:rsid w:val="00E460CC"/>
    <w:rsid w:val="00E460D0"/>
    <w:rsid w:val="00E460F3"/>
    <w:rsid w:val="00E46169"/>
    <w:rsid w:val="00E461D2"/>
    <w:rsid w:val="00E461E7"/>
    <w:rsid w:val="00E462D1"/>
    <w:rsid w:val="00E46370"/>
    <w:rsid w:val="00E4637F"/>
    <w:rsid w:val="00E4639F"/>
    <w:rsid w:val="00E463C8"/>
    <w:rsid w:val="00E46437"/>
    <w:rsid w:val="00E46440"/>
    <w:rsid w:val="00E46534"/>
    <w:rsid w:val="00E46565"/>
    <w:rsid w:val="00E4659E"/>
    <w:rsid w:val="00E465B2"/>
    <w:rsid w:val="00E465C1"/>
    <w:rsid w:val="00E465C9"/>
    <w:rsid w:val="00E4667A"/>
    <w:rsid w:val="00E46750"/>
    <w:rsid w:val="00E46767"/>
    <w:rsid w:val="00E467DA"/>
    <w:rsid w:val="00E468E9"/>
    <w:rsid w:val="00E46942"/>
    <w:rsid w:val="00E469C0"/>
    <w:rsid w:val="00E469D9"/>
    <w:rsid w:val="00E469DB"/>
    <w:rsid w:val="00E46A3D"/>
    <w:rsid w:val="00E46A5A"/>
    <w:rsid w:val="00E46B3F"/>
    <w:rsid w:val="00E46B98"/>
    <w:rsid w:val="00E46C56"/>
    <w:rsid w:val="00E46CEA"/>
    <w:rsid w:val="00E46D8D"/>
    <w:rsid w:val="00E46E06"/>
    <w:rsid w:val="00E46E0D"/>
    <w:rsid w:val="00E46E3C"/>
    <w:rsid w:val="00E46E7F"/>
    <w:rsid w:val="00E46E99"/>
    <w:rsid w:val="00E46E9A"/>
    <w:rsid w:val="00E46F2D"/>
    <w:rsid w:val="00E47015"/>
    <w:rsid w:val="00E47094"/>
    <w:rsid w:val="00E470D8"/>
    <w:rsid w:val="00E47145"/>
    <w:rsid w:val="00E47185"/>
    <w:rsid w:val="00E4727C"/>
    <w:rsid w:val="00E472E7"/>
    <w:rsid w:val="00E4736C"/>
    <w:rsid w:val="00E474DC"/>
    <w:rsid w:val="00E47570"/>
    <w:rsid w:val="00E47581"/>
    <w:rsid w:val="00E475A2"/>
    <w:rsid w:val="00E47607"/>
    <w:rsid w:val="00E4768B"/>
    <w:rsid w:val="00E477BC"/>
    <w:rsid w:val="00E47825"/>
    <w:rsid w:val="00E47850"/>
    <w:rsid w:val="00E4786C"/>
    <w:rsid w:val="00E478A1"/>
    <w:rsid w:val="00E478B1"/>
    <w:rsid w:val="00E478DE"/>
    <w:rsid w:val="00E47A3A"/>
    <w:rsid w:val="00E47ACA"/>
    <w:rsid w:val="00E47AE8"/>
    <w:rsid w:val="00E47AEE"/>
    <w:rsid w:val="00E47BBB"/>
    <w:rsid w:val="00E47C0D"/>
    <w:rsid w:val="00E47C52"/>
    <w:rsid w:val="00E47CEF"/>
    <w:rsid w:val="00E47DC2"/>
    <w:rsid w:val="00E47E3C"/>
    <w:rsid w:val="00E47FE6"/>
    <w:rsid w:val="00E5008C"/>
    <w:rsid w:val="00E500A5"/>
    <w:rsid w:val="00E500D8"/>
    <w:rsid w:val="00E5011B"/>
    <w:rsid w:val="00E501A7"/>
    <w:rsid w:val="00E501C2"/>
    <w:rsid w:val="00E501DB"/>
    <w:rsid w:val="00E501E5"/>
    <w:rsid w:val="00E50259"/>
    <w:rsid w:val="00E50531"/>
    <w:rsid w:val="00E50600"/>
    <w:rsid w:val="00E50607"/>
    <w:rsid w:val="00E506E7"/>
    <w:rsid w:val="00E50744"/>
    <w:rsid w:val="00E5075F"/>
    <w:rsid w:val="00E50847"/>
    <w:rsid w:val="00E508F2"/>
    <w:rsid w:val="00E508F5"/>
    <w:rsid w:val="00E50961"/>
    <w:rsid w:val="00E509A6"/>
    <w:rsid w:val="00E509BA"/>
    <w:rsid w:val="00E50A62"/>
    <w:rsid w:val="00E50B40"/>
    <w:rsid w:val="00E50C5C"/>
    <w:rsid w:val="00E50DB3"/>
    <w:rsid w:val="00E50E67"/>
    <w:rsid w:val="00E50EF4"/>
    <w:rsid w:val="00E50F33"/>
    <w:rsid w:val="00E50F36"/>
    <w:rsid w:val="00E51026"/>
    <w:rsid w:val="00E510BF"/>
    <w:rsid w:val="00E510FA"/>
    <w:rsid w:val="00E51153"/>
    <w:rsid w:val="00E511BB"/>
    <w:rsid w:val="00E512A0"/>
    <w:rsid w:val="00E5131F"/>
    <w:rsid w:val="00E51324"/>
    <w:rsid w:val="00E51358"/>
    <w:rsid w:val="00E51373"/>
    <w:rsid w:val="00E51435"/>
    <w:rsid w:val="00E51486"/>
    <w:rsid w:val="00E5150A"/>
    <w:rsid w:val="00E51576"/>
    <w:rsid w:val="00E5157E"/>
    <w:rsid w:val="00E51602"/>
    <w:rsid w:val="00E5163A"/>
    <w:rsid w:val="00E5165C"/>
    <w:rsid w:val="00E5172A"/>
    <w:rsid w:val="00E517BF"/>
    <w:rsid w:val="00E517D3"/>
    <w:rsid w:val="00E51899"/>
    <w:rsid w:val="00E51975"/>
    <w:rsid w:val="00E519F8"/>
    <w:rsid w:val="00E51A49"/>
    <w:rsid w:val="00E51B6F"/>
    <w:rsid w:val="00E51BC9"/>
    <w:rsid w:val="00E51C04"/>
    <w:rsid w:val="00E51C36"/>
    <w:rsid w:val="00E51D47"/>
    <w:rsid w:val="00E51D76"/>
    <w:rsid w:val="00E51D78"/>
    <w:rsid w:val="00E51DC5"/>
    <w:rsid w:val="00E51E4E"/>
    <w:rsid w:val="00E51F5C"/>
    <w:rsid w:val="00E5200C"/>
    <w:rsid w:val="00E520DD"/>
    <w:rsid w:val="00E520EE"/>
    <w:rsid w:val="00E5217F"/>
    <w:rsid w:val="00E522DE"/>
    <w:rsid w:val="00E5231D"/>
    <w:rsid w:val="00E52401"/>
    <w:rsid w:val="00E5245E"/>
    <w:rsid w:val="00E524E9"/>
    <w:rsid w:val="00E52538"/>
    <w:rsid w:val="00E52599"/>
    <w:rsid w:val="00E5272D"/>
    <w:rsid w:val="00E52732"/>
    <w:rsid w:val="00E528C5"/>
    <w:rsid w:val="00E52A13"/>
    <w:rsid w:val="00E52A46"/>
    <w:rsid w:val="00E52A79"/>
    <w:rsid w:val="00E52A99"/>
    <w:rsid w:val="00E52C2D"/>
    <w:rsid w:val="00E52C6A"/>
    <w:rsid w:val="00E52C84"/>
    <w:rsid w:val="00E52D14"/>
    <w:rsid w:val="00E52D5C"/>
    <w:rsid w:val="00E52D7A"/>
    <w:rsid w:val="00E52D9B"/>
    <w:rsid w:val="00E52DCF"/>
    <w:rsid w:val="00E52DD5"/>
    <w:rsid w:val="00E52E6D"/>
    <w:rsid w:val="00E52E84"/>
    <w:rsid w:val="00E52F7E"/>
    <w:rsid w:val="00E52FCF"/>
    <w:rsid w:val="00E52FE7"/>
    <w:rsid w:val="00E53078"/>
    <w:rsid w:val="00E531CA"/>
    <w:rsid w:val="00E53339"/>
    <w:rsid w:val="00E533A0"/>
    <w:rsid w:val="00E5341E"/>
    <w:rsid w:val="00E534A0"/>
    <w:rsid w:val="00E534F5"/>
    <w:rsid w:val="00E5366E"/>
    <w:rsid w:val="00E536DA"/>
    <w:rsid w:val="00E5371C"/>
    <w:rsid w:val="00E53754"/>
    <w:rsid w:val="00E53759"/>
    <w:rsid w:val="00E53776"/>
    <w:rsid w:val="00E5380B"/>
    <w:rsid w:val="00E5381D"/>
    <w:rsid w:val="00E53865"/>
    <w:rsid w:val="00E53869"/>
    <w:rsid w:val="00E53883"/>
    <w:rsid w:val="00E538A7"/>
    <w:rsid w:val="00E538CD"/>
    <w:rsid w:val="00E538D8"/>
    <w:rsid w:val="00E53903"/>
    <w:rsid w:val="00E53951"/>
    <w:rsid w:val="00E53957"/>
    <w:rsid w:val="00E539C6"/>
    <w:rsid w:val="00E539CF"/>
    <w:rsid w:val="00E53A50"/>
    <w:rsid w:val="00E53AD6"/>
    <w:rsid w:val="00E53B55"/>
    <w:rsid w:val="00E53B93"/>
    <w:rsid w:val="00E53D26"/>
    <w:rsid w:val="00E53D46"/>
    <w:rsid w:val="00E53D97"/>
    <w:rsid w:val="00E53E70"/>
    <w:rsid w:val="00E53E77"/>
    <w:rsid w:val="00E53EB9"/>
    <w:rsid w:val="00E53FD9"/>
    <w:rsid w:val="00E54034"/>
    <w:rsid w:val="00E5409C"/>
    <w:rsid w:val="00E54135"/>
    <w:rsid w:val="00E54140"/>
    <w:rsid w:val="00E541AA"/>
    <w:rsid w:val="00E54234"/>
    <w:rsid w:val="00E54244"/>
    <w:rsid w:val="00E543C2"/>
    <w:rsid w:val="00E54416"/>
    <w:rsid w:val="00E5444C"/>
    <w:rsid w:val="00E544EE"/>
    <w:rsid w:val="00E545A0"/>
    <w:rsid w:val="00E545D8"/>
    <w:rsid w:val="00E5470F"/>
    <w:rsid w:val="00E54758"/>
    <w:rsid w:val="00E54774"/>
    <w:rsid w:val="00E547E2"/>
    <w:rsid w:val="00E548D4"/>
    <w:rsid w:val="00E548E5"/>
    <w:rsid w:val="00E548F5"/>
    <w:rsid w:val="00E54967"/>
    <w:rsid w:val="00E54987"/>
    <w:rsid w:val="00E549C8"/>
    <w:rsid w:val="00E54A9E"/>
    <w:rsid w:val="00E54AF7"/>
    <w:rsid w:val="00E54B2E"/>
    <w:rsid w:val="00E54B59"/>
    <w:rsid w:val="00E54C23"/>
    <w:rsid w:val="00E54C5F"/>
    <w:rsid w:val="00E54C82"/>
    <w:rsid w:val="00E54D4D"/>
    <w:rsid w:val="00E54D66"/>
    <w:rsid w:val="00E54DE2"/>
    <w:rsid w:val="00E54F13"/>
    <w:rsid w:val="00E54FC5"/>
    <w:rsid w:val="00E55011"/>
    <w:rsid w:val="00E55045"/>
    <w:rsid w:val="00E550D0"/>
    <w:rsid w:val="00E550D4"/>
    <w:rsid w:val="00E55109"/>
    <w:rsid w:val="00E55114"/>
    <w:rsid w:val="00E55149"/>
    <w:rsid w:val="00E55182"/>
    <w:rsid w:val="00E554AE"/>
    <w:rsid w:val="00E55520"/>
    <w:rsid w:val="00E55664"/>
    <w:rsid w:val="00E55725"/>
    <w:rsid w:val="00E55770"/>
    <w:rsid w:val="00E557AF"/>
    <w:rsid w:val="00E55853"/>
    <w:rsid w:val="00E5586B"/>
    <w:rsid w:val="00E558D2"/>
    <w:rsid w:val="00E55918"/>
    <w:rsid w:val="00E55961"/>
    <w:rsid w:val="00E55B0B"/>
    <w:rsid w:val="00E55BE7"/>
    <w:rsid w:val="00E55D1D"/>
    <w:rsid w:val="00E55D44"/>
    <w:rsid w:val="00E55E35"/>
    <w:rsid w:val="00E55EF0"/>
    <w:rsid w:val="00E55F25"/>
    <w:rsid w:val="00E56078"/>
    <w:rsid w:val="00E56145"/>
    <w:rsid w:val="00E561E8"/>
    <w:rsid w:val="00E561FF"/>
    <w:rsid w:val="00E5630F"/>
    <w:rsid w:val="00E563EC"/>
    <w:rsid w:val="00E5655D"/>
    <w:rsid w:val="00E565C2"/>
    <w:rsid w:val="00E56695"/>
    <w:rsid w:val="00E56796"/>
    <w:rsid w:val="00E56838"/>
    <w:rsid w:val="00E569AE"/>
    <w:rsid w:val="00E56A38"/>
    <w:rsid w:val="00E56AB9"/>
    <w:rsid w:val="00E56AEA"/>
    <w:rsid w:val="00E56B86"/>
    <w:rsid w:val="00E56B8D"/>
    <w:rsid w:val="00E56C9A"/>
    <w:rsid w:val="00E56C9F"/>
    <w:rsid w:val="00E56CB2"/>
    <w:rsid w:val="00E56D5D"/>
    <w:rsid w:val="00E56DE8"/>
    <w:rsid w:val="00E56DF1"/>
    <w:rsid w:val="00E56DF9"/>
    <w:rsid w:val="00E56E81"/>
    <w:rsid w:val="00E56FF4"/>
    <w:rsid w:val="00E570B7"/>
    <w:rsid w:val="00E57188"/>
    <w:rsid w:val="00E57347"/>
    <w:rsid w:val="00E5739E"/>
    <w:rsid w:val="00E573A3"/>
    <w:rsid w:val="00E573D5"/>
    <w:rsid w:val="00E57413"/>
    <w:rsid w:val="00E57433"/>
    <w:rsid w:val="00E57460"/>
    <w:rsid w:val="00E574D1"/>
    <w:rsid w:val="00E5761B"/>
    <w:rsid w:val="00E57627"/>
    <w:rsid w:val="00E57779"/>
    <w:rsid w:val="00E57794"/>
    <w:rsid w:val="00E577AC"/>
    <w:rsid w:val="00E5781D"/>
    <w:rsid w:val="00E57828"/>
    <w:rsid w:val="00E57880"/>
    <w:rsid w:val="00E578B2"/>
    <w:rsid w:val="00E578CD"/>
    <w:rsid w:val="00E578F7"/>
    <w:rsid w:val="00E57917"/>
    <w:rsid w:val="00E5791C"/>
    <w:rsid w:val="00E5799B"/>
    <w:rsid w:val="00E57AA6"/>
    <w:rsid w:val="00E57AA7"/>
    <w:rsid w:val="00E57AF8"/>
    <w:rsid w:val="00E57B13"/>
    <w:rsid w:val="00E57B17"/>
    <w:rsid w:val="00E57B5D"/>
    <w:rsid w:val="00E57BDF"/>
    <w:rsid w:val="00E57BEB"/>
    <w:rsid w:val="00E57CBE"/>
    <w:rsid w:val="00E57CC4"/>
    <w:rsid w:val="00E57D20"/>
    <w:rsid w:val="00E57D4D"/>
    <w:rsid w:val="00E57DB3"/>
    <w:rsid w:val="00E57DE8"/>
    <w:rsid w:val="00E57DE9"/>
    <w:rsid w:val="00E57E1C"/>
    <w:rsid w:val="00E57EF8"/>
    <w:rsid w:val="00E57FA7"/>
    <w:rsid w:val="00E57FE5"/>
    <w:rsid w:val="00E6001A"/>
    <w:rsid w:val="00E60031"/>
    <w:rsid w:val="00E6005A"/>
    <w:rsid w:val="00E60073"/>
    <w:rsid w:val="00E60092"/>
    <w:rsid w:val="00E6009E"/>
    <w:rsid w:val="00E600C6"/>
    <w:rsid w:val="00E60183"/>
    <w:rsid w:val="00E6020A"/>
    <w:rsid w:val="00E60230"/>
    <w:rsid w:val="00E6024D"/>
    <w:rsid w:val="00E6039C"/>
    <w:rsid w:val="00E6040A"/>
    <w:rsid w:val="00E60428"/>
    <w:rsid w:val="00E60450"/>
    <w:rsid w:val="00E604DF"/>
    <w:rsid w:val="00E60572"/>
    <w:rsid w:val="00E605AF"/>
    <w:rsid w:val="00E60660"/>
    <w:rsid w:val="00E6066F"/>
    <w:rsid w:val="00E60680"/>
    <w:rsid w:val="00E606C0"/>
    <w:rsid w:val="00E60752"/>
    <w:rsid w:val="00E607F8"/>
    <w:rsid w:val="00E6081E"/>
    <w:rsid w:val="00E6083D"/>
    <w:rsid w:val="00E608BA"/>
    <w:rsid w:val="00E60994"/>
    <w:rsid w:val="00E609B8"/>
    <w:rsid w:val="00E60A57"/>
    <w:rsid w:val="00E60A5A"/>
    <w:rsid w:val="00E60A6C"/>
    <w:rsid w:val="00E60AB8"/>
    <w:rsid w:val="00E60B38"/>
    <w:rsid w:val="00E60BAB"/>
    <w:rsid w:val="00E60BFE"/>
    <w:rsid w:val="00E60CE2"/>
    <w:rsid w:val="00E60CE9"/>
    <w:rsid w:val="00E60F87"/>
    <w:rsid w:val="00E60FB3"/>
    <w:rsid w:val="00E60FEE"/>
    <w:rsid w:val="00E610BB"/>
    <w:rsid w:val="00E610CB"/>
    <w:rsid w:val="00E610E6"/>
    <w:rsid w:val="00E61116"/>
    <w:rsid w:val="00E61231"/>
    <w:rsid w:val="00E61234"/>
    <w:rsid w:val="00E612AE"/>
    <w:rsid w:val="00E61316"/>
    <w:rsid w:val="00E6141A"/>
    <w:rsid w:val="00E615EB"/>
    <w:rsid w:val="00E61604"/>
    <w:rsid w:val="00E61635"/>
    <w:rsid w:val="00E6165F"/>
    <w:rsid w:val="00E61668"/>
    <w:rsid w:val="00E61706"/>
    <w:rsid w:val="00E61816"/>
    <w:rsid w:val="00E61880"/>
    <w:rsid w:val="00E61892"/>
    <w:rsid w:val="00E618CF"/>
    <w:rsid w:val="00E618D3"/>
    <w:rsid w:val="00E618D4"/>
    <w:rsid w:val="00E61912"/>
    <w:rsid w:val="00E6196A"/>
    <w:rsid w:val="00E6198B"/>
    <w:rsid w:val="00E619BC"/>
    <w:rsid w:val="00E61A7F"/>
    <w:rsid w:val="00E61B05"/>
    <w:rsid w:val="00E61B9C"/>
    <w:rsid w:val="00E61BA8"/>
    <w:rsid w:val="00E61CAE"/>
    <w:rsid w:val="00E61CD3"/>
    <w:rsid w:val="00E61CD7"/>
    <w:rsid w:val="00E61D03"/>
    <w:rsid w:val="00E61D32"/>
    <w:rsid w:val="00E61D50"/>
    <w:rsid w:val="00E61DCA"/>
    <w:rsid w:val="00E61E72"/>
    <w:rsid w:val="00E61E9F"/>
    <w:rsid w:val="00E61ECE"/>
    <w:rsid w:val="00E61F02"/>
    <w:rsid w:val="00E61F7E"/>
    <w:rsid w:val="00E62015"/>
    <w:rsid w:val="00E62065"/>
    <w:rsid w:val="00E62146"/>
    <w:rsid w:val="00E6219A"/>
    <w:rsid w:val="00E621D5"/>
    <w:rsid w:val="00E621DB"/>
    <w:rsid w:val="00E62209"/>
    <w:rsid w:val="00E62226"/>
    <w:rsid w:val="00E62231"/>
    <w:rsid w:val="00E62280"/>
    <w:rsid w:val="00E6228D"/>
    <w:rsid w:val="00E622BD"/>
    <w:rsid w:val="00E622D4"/>
    <w:rsid w:val="00E622FC"/>
    <w:rsid w:val="00E623E6"/>
    <w:rsid w:val="00E62474"/>
    <w:rsid w:val="00E624F5"/>
    <w:rsid w:val="00E6253D"/>
    <w:rsid w:val="00E6262E"/>
    <w:rsid w:val="00E627A1"/>
    <w:rsid w:val="00E627BB"/>
    <w:rsid w:val="00E627C9"/>
    <w:rsid w:val="00E62A57"/>
    <w:rsid w:val="00E62A9E"/>
    <w:rsid w:val="00E62B23"/>
    <w:rsid w:val="00E62BD7"/>
    <w:rsid w:val="00E62C1F"/>
    <w:rsid w:val="00E62C22"/>
    <w:rsid w:val="00E62CA8"/>
    <w:rsid w:val="00E62CB4"/>
    <w:rsid w:val="00E62CDE"/>
    <w:rsid w:val="00E62CFF"/>
    <w:rsid w:val="00E62D80"/>
    <w:rsid w:val="00E62DEA"/>
    <w:rsid w:val="00E62DF0"/>
    <w:rsid w:val="00E62E70"/>
    <w:rsid w:val="00E62E73"/>
    <w:rsid w:val="00E62F01"/>
    <w:rsid w:val="00E62F1D"/>
    <w:rsid w:val="00E62F2C"/>
    <w:rsid w:val="00E62F44"/>
    <w:rsid w:val="00E62F98"/>
    <w:rsid w:val="00E62FA4"/>
    <w:rsid w:val="00E6305D"/>
    <w:rsid w:val="00E63196"/>
    <w:rsid w:val="00E631F2"/>
    <w:rsid w:val="00E632A8"/>
    <w:rsid w:val="00E63334"/>
    <w:rsid w:val="00E633DA"/>
    <w:rsid w:val="00E63400"/>
    <w:rsid w:val="00E6341E"/>
    <w:rsid w:val="00E634E2"/>
    <w:rsid w:val="00E634F8"/>
    <w:rsid w:val="00E635AF"/>
    <w:rsid w:val="00E6373A"/>
    <w:rsid w:val="00E6377A"/>
    <w:rsid w:val="00E63901"/>
    <w:rsid w:val="00E63953"/>
    <w:rsid w:val="00E63A74"/>
    <w:rsid w:val="00E63A7B"/>
    <w:rsid w:val="00E63A94"/>
    <w:rsid w:val="00E63ACE"/>
    <w:rsid w:val="00E63AE9"/>
    <w:rsid w:val="00E63B38"/>
    <w:rsid w:val="00E63BAB"/>
    <w:rsid w:val="00E63C1D"/>
    <w:rsid w:val="00E63C94"/>
    <w:rsid w:val="00E63D54"/>
    <w:rsid w:val="00E63DEC"/>
    <w:rsid w:val="00E63E69"/>
    <w:rsid w:val="00E63EFD"/>
    <w:rsid w:val="00E63FC7"/>
    <w:rsid w:val="00E63FE6"/>
    <w:rsid w:val="00E64001"/>
    <w:rsid w:val="00E64003"/>
    <w:rsid w:val="00E64027"/>
    <w:rsid w:val="00E64098"/>
    <w:rsid w:val="00E640DB"/>
    <w:rsid w:val="00E64122"/>
    <w:rsid w:val="00E642F6"/>
    <w:rsid w:val="00E64302"/>
    <w:rsid w:val="00E6430F"/>
    <w:rsid w:val="00E64315"/>
    <w:rsid w:val="00E64335"/>
    <w:rsid w:val="00E64385"/>
    <w:rsid w:val="00E644AB"/>
    <w:rsid w:val="00E6450C"/>
    <w:rsid w:val="00E64534"/>
    <w:rsid w:val="00E6454F"/>
    <w:rsid w:val="00E645ED"/>
    <w:rsid w:val="00E646BC"/>
    <w:rsid w:val="00E64712"/>
    <w:rsid w:val="00E64725"/>
    <w:rsid w:val="00E6474D"/>
    <w:rsid w:val="00E6477C"/>
    <w:rsid w:val="00E647A7"/>
    <w:rsid w:val="00E647BB"/>
    <w:rsid w:val="00E647DA"/>
    <w:rsid w:val="00E6482E"/>
    <w:rsid w:val="00E64853"/>
    <w:rsid w:val="00E64921"/>
    <w:rsid w:val="00E649CE"/>
    <w:rsid w:val="00E64AC3"/>
    <w:rsid w:val="00E64C12"/>
    <w:rsid w:val="00E64CAD"/>
    <w:rsid w:val="00E64D30"/>
    <w:rsid w:val="00E64D4F"/>
    <w:rsid w:val="00E64D8E"/>
    <w:rsid w:val="00E64E0E"/>
    <w:rsid w:val="00E64ED8"/>
    <w:rsid w:val="00E64EE7"/>
    <w:rsid w:val="00E64F9C"/>
    <w:rsid w:val="00E65012"/>
    <w:rsid w:val="00E65053"/>
    <w:rsid w:val="00E65074"/>
    <w:rsid w:val="00E6513E"/>
    <w:rsid w:val="00E65170"/>
    <w:rsid w:val="00E652D4"/>
    <w:rsid w:val="00E6536E"/>
    <w:rsid w:val="00E65394"/>
    <w:rsid w:val="00E653DA"/>
    <w:rsid w:val="00E65539"/>
    <w:rsid w:val="00E6555B"/>
    <w:rsid w:val="00E65577"/>
    <w:rsid w:val="00E65677"/>
    <w:rsid w:val="00E656AF"/>
    <w:rsid w:val="00E65798"/>
    <w:rsid w:val="00E657AE"/>
    <w:rsid w:val="00E657B7"/>
    <w:rsid w:val="00E657C9"/>
    <w:rsid w:val="00E6590F"/>
    <w:rsid w:val="00E65A6E"/>
    <w:rsid w:val="00E65AF0"/>
    <w:rsid w:val="00E65D19"/>
    <w:rsid w:val="00E65D25"/>
    <w:rsid w:val="00E65D26"/>
    <w:rsid w:val="00E65DE7"/>
    <w:rsid w:val="00E65E3B"/>
    <w:rsid w:val="00E65E53"/>
    <w:rsid w:val="00E65EC5"/>
    <w:rsid w:val="00E65ED4"/>
    <w:rsid w:val="00E65F16"/>
    <w:rsid w:val="00E65F1B"/>
    <w:rsid w:val="00E65F21"/>
    <w:rsid w:val="00E65F30"/>
    <w:rsid w:val="00E65F42"/>
    <w:rsid w:val="00E65FBF"/>
    <w:rsid w:val="00E66105"/>
    <w:rsid w:val="00E66132"/>
    <w:rsid w:val="00E661A9"/>
    <w:rsid w:val="00E661EF"/>
    <w:rsid w:val="00E6621B"/>
    <w:rsid w:val="00E66220"/>
    <w:rsid w:val="00E66234"/>
    <w:rsid w:val="00E66240"/>
    <w:rsid w:val="00E66293"/>
    <w:rsid w:val="00E663A7"/>
    <w:rsid w:val="00E663F3"/>
    <w:rsid w:val="00E66451"/>
    <w:rsid w:val="00E664E8"/>
    <w:rsid w:val="00E66593"/>
    <w:rsid w:val="00E6667B"/>
    <w:rsid w:val="00E666A0"/>
    <w:rsid w:val="00E6675F"/>
    <w:rsid w:val="00E66775"/>
    <w:rsid w:val="00E66788"/>
    <w:rsid w:val="00E6682B"/>
    <w:rsid w:val="00E668D7"/>
    <w:rsid w:val="00E669CE"/>
    <w:rsid w:val="00E669EB"/>
    <w:rsid w:val="00E66A62"/>
    <w:rsid w:val="00E66A9D"/>
    <w:rsid w:val="00E66B67"/>
    <w:rsid w:val="00E66C71"/>
    <w:rsid w:val="00E66D78"/>
    <w:rsid w:val="00E66DB9"/>
    <w:rsid w:val="00E66E80"/>
    <w:rsid w:val="00E66EF5"/>
    <w:rsid w:val="00E66F42"/>
    <w:rsid w:val="00E66F43"/>
    <w:rsid w:val="00E66FFD"/>
    <w:rsid w:val="00E670B0"/>
    <w:rsid w:val="00E6717F"/>
    <w:rsid w:val="00E672C3"/>
    <w:rsid w:val="00E67303"/>
    <w:rsid w:val="00E67353"/>
    <w:rsid w:val="00E67442"/>
    <w:rsid w:val="00E6756B"/>
    <w:rsid w:val="00E676A0"/>
    <w:rsid w:val="00E676D3"/>
    <w:rsid w:val="00E6773D"/>
    <w:rsid w:val="00E678AF"/>
    <w:rsid w:val="00E6790C"/>
    <w:rsid w:val="00E67934"/>
    <w:rsid w:val="00E679B9"/>
    <w:rsid w:val="00E679D3"/>
    <w:rsid w:val="00E67A55"/>
    <w:rsid w:val="00E67B35"/>
    <w:rsid w:val="00E67C3C"/>
    <w:rsid w:val="00E67D28"/>
    <w:rsid w:val="00E67D7D"/>
    <w:rsid w:val="00E67E45"/>
    <w:rsid w:val="00E67F63"/>
    <w:rsid w:val="00E67F7D"/>
    <w:rsid w:val="00E700BC"/>
    <w:rsid w:val="00E700D0"/>
    <w:rsid w:val="00E70116"/>
    <w:rsid w:val="00E70172"/>
    <w:rsid w:val="00E701A9"/>
    <w:rsid w:val="00E701FE"/>
    <w:rsid w:val="00E70323"/>
    <w:rsid w:val="00E70376"/>
    <w:rsid w:val="00E703AE"/>
    <w:rsid w:val="00E7046B"/>
    <w:rsid w:val="00E70479"/>
    <w:rsid w:val="00E7051B"/>
    <w:rsid w:val="00E70561"/>
    <w:rsid w:val="00E7068F"/>
    <w:rsid w:val="00E706BD"/>
    <w:rsid w:val="00E706C5"/>
    <w:rsid w:val="00E706FA"/>
    <w:rsid w:val="00E70783"/>
    <w:rsid w:val="00E7084F"/>
    <w:rsid w:val="00E70875"/>
    <w:rsid w:val="00E7092E"/>
    <w:rsid w:val="00E70953"/>
    <w:rsid w:val="00E7095C"/>
    <w:rsid w:val="00E70965"/>
    <w:rsid w:val="00E7099C"/>
    <w:rsid w:val="00E70A60"/>
    <w:rsid w:val="00E70B71"/>
    <w:rsid w:val="00E70C18"/>
    <w:rsid w:val="00E70CD3"/>
    <w:rsid w:val="00E70CD6"/>
    <w:rsid w:val="00E70CE8"/>
    <w:rsid w:val="00E70D4B"/>
    <w:rsid w:val="00E70DA8"/>
    <w:rsid w:val="00E70E00"/>
    <w:rsid w:val="00E70F12"/>
    <w:rsid w:val="00E70FFA"/>
    <w:rsid w:val="00E71053"/>
    <w:rsid w:val="00E711B8"/>
    <w:rsid w:val="00E71321"/>
    <w:rsid w:val="00E71339"/>
    <w:rsid w:val="00E71401"/>
    <w:rsid w:val="00E714BB"/>
    <w:rsid w:val="00E71553"/>
    <w:rsid w:val="00E716D3"/>
    <w:rsid w:val="00E7171D"/>
    <w:rsid w:val="00E71853"/>
    <w:rsid w:val="00E718B7"/>
    <w:rsid w:val="00E719BE"/>
    <w:rsid w:val="00E719D2"/>
    <w:rsid w:val="00E719E7"/>
    <w:rsid w:val="00E71A3B"/>
    <w:rsid w:val="00E71B09"/>
    <w:rsid w:val="00E71BBC"/>
    <w:rsid w:val="00E71BD5"/>
    <w:rsid w:val="00E71D0A"/>
    <w:rsid w:val="00E71DAA"/>
    <w:rsid w:val="00E71DD1"/>
    <w:rsid w:val="00E71E00"/>
    <w:rsid w:val="00E71E7C"/>
    <w:rsid w:val="00E71EA6"/>
    <w:rsid w:val="00E71EC2"/>
    <w:rsid w:val="00E72001"/>
    <w:rsid w:val="00E72005"/>
    <w:rsid w:val="00E7200C"/>
    <w:rsid w:val="00E720D4"/>
    <w:rsid w:val="00E721B1"/>
    <w:rsid w:val="00E721D9"/>
    <w:rsid w:val="00E722A1"/>
    <w:rsid w:val="00E72329"/>
    <w:rsid w:val="00E723CD"/>
    <w:rsid w:val="00E7240F"/>
    <w:rsid w:val="00E72653"/>
    <w:rsid w:val="00E726C9"/>
    <w:rsid w:val="00E7279B"/>
    <w:rsid w:val="00E7279E"/>
    <w:rsid w:val="00E727CA"/>
    <w:rsid w:val="00E72952"/>
    <w:rsid w:val="00E729B7"/>
    <w:rsid w:val="00E72A38"/>
    <w:rsid w:val="00E72A53"/>
    <w:rsid w:val="00E72A6A"/>
    <w:rsid w:val="00E72AC3"/>
    <w:rsid w:val="00E72B45"/>
    <w:rsid w:val="00E72D00"/>
    <w:rsid w:val="00E72D3A"/>
    <w:rsid w:val="00E72E25"/>
    <w:rsid w:val="00E72E71"/>
    <w:rsid w:val="00E72E96"/>
    <w:rsid w:val="00E72FC6"/>
    <w:rsid w:val="00E72FE7"/>
    <w:rsid w:val="00E73014"/>
    <w:rsid w:val="00E73053"/>
    <w:rsid w:val="00E73062"/>
    <w:rsid w:val="00E73137"/>
    <w:rsid w:val="00E7316C"/>
    <w:rsid w:val="00E7323F"/>
    <w:rsid w:val="00E73269"/>
    <w:rsid w:val="00E7329D"/>
    <w:rsid w:val="00E732DA"/>
    <w:rsid w:val="00E732EA"/>
    <w:rsid w:val="00E7332E"/>
    <w:rsid w:val="00E733B6"/>
    <w:rsid w:val="00E73411"/>
    <w:rsid w:val="00E73480"/>
    <w:rsid w:val="00E734FE"/>
    <w:rsid w:val="00E7360A"/>
    <w:rsid w:val="00E7366B"/>
    <w:rsid w:val="00E73728"/>
    <w:rsid w:val="00E73762"/>
    <w:rsid w:val="00E73771"/>
    <w:rsid w:val="00E73782"/>
    <w:rsid w:val="00E73784"/>
    <w:rsid w:val="00E737CC"/>
    <w:rsid w:val="00E73825"/>
    <w:rsid w:val="00E73887"/>
    <w:rsid w:val="00E7388F"/>
    <w:rsid w:val="00E738C0"/>
    <w:rsid w:val="00E73949"/>
    <w:rsid w:val="00E73990"/>
    <w:rsid w:val="00E739A5"/>
    <w:rsid w:val="00E739A8"/>
    <w:rsid w:val="00E739D4"/>
    <w:rsid w:val="00E73A0B"/>
    <w:rsid w:val="00E73A95"/>
    <w:rsid w:val="00E73B62"/>
    <w:rsid w:val="00E73B6A"/>
    <w:rsid w:val="00E73C2A"/>
    <w:rsid w:val="00E73C91"/>
    <w:rsid w:val="00E73CDB"/>
    <w:rsid w:val="00E73D1B"/>
    <w:rsid w:val="00E73DCD"/>
    <w:rsid w:val="00E73EA5"/>
    <w:rsid w:val="00E73F19"/>
    <w:rsid w:val="00E7404C"/>
    <w:rsid w:val="00E740C0"/>
    <w:rsid w:val="00E74116"/>
    <w:rsid w:val="00E74164"/>
    <w:rsid w:val="00E741B3"/>
    <w:rsid w:val="00E741F7"/>
    <w:rsid w:val="00E74209"/>
    <w:rsid w:val="00E7427F"/>
    <w:rsid w:val="00E742DC"/>
    <w:rsid w:val="00E742EB"/>
    <w:rsid w:val="00E743AD"/>
    <w:rsid w:val="00E743AE"/>
    <w:rsid w:val="00E743B9"/>
    <w:rsid w:val="00E7445F"/>
    <w:rsid w:val="00E744E8"/>
    <w:rsid w:val="00E744EA"/>
    <w:rsid w:val="00E745D9"/>
    <w:rsid w:val="00E74614"/>
    <w:rsid w:val="00E746AF"/>
    <w:rsid w:val="00E746C4"/>
    <w:rsid w:val="00E747C0"/>
    <w:rsid w:val="00E74823"/>
    <w:rsid w:val="00E74855"/>
    <w:rsid w:val="00E7487D"/>
    <w:rsid w:val="00E74BAA"/>
    <w:rsid w:val="00E74BF5"/>
    <w:rsid w:val="00E74C5C"/>
    <w:rsid w:val="00E74C9B"/>
    <w:rsid w:val="00E74CB4"/>
    <w:rsid w:val="00E74D3B"/>
    <w:rsid w:val="00E74EDD"/>
    <w:rsid w:val="00E74F07"/>
    <w:rsid w:val="00E74F46"/>
    <w:rsid w:val="00E75125"/>
    <w:rsid w:val="00E751BA"/>
    <w:rsid w:val="00E7523F"/>
    <w:rsid w:val="00E7524F"/>
    <w:rsid w:val="00E752BA"/>
    <w:rsid w:val="00E75387"/>
    <w:rsid w:val="00E753A3"/>
    <w:rsid w:val="00E753E9"/>
    <w:rsid w:val="00E75455"/>
    <w:rsid w:val="00E7546F"/>
    <w:rsid w:val="00E7549B"/>
    <w:rsid w:val="00E754C1"/>
    <w:rsid w:val="00E75555"/>
    <w:rsid w:val="00E75562"/>
    <w:rsid w:val="00E756BA"/>
    <w:rsid w:val="00E7575A"/>
    <w:rsid w:val="00E758C1"/>
    <w:rsid w:val="00E758CD"/>
    <w:rsid w:val="00E75A40"/>
    <w:rsid w:val="00E75B1A"/>
    <w:rsid w:val="00E75C11"/>
    <w:rsid w:val="00E75CBD"/>
    <w:rsid w:val="00E75D1D"/>
    <w:rsid w:val="00E75D28"/>
    <w:rsid w:val="00E75D81"/>
    <w:rsid w:val="00E75FAD"/>
    <w:rsid w:val="00E7602F"/>
    <w:rsid w:val="00E76036"/>
    <w:rsid w:val="00E76088"/>
    <w:rsid w:val="00E76380"/>
    <w:rsid w:val="00E76395"/>
    <w:rsid w:val="00E76402"/>
    <w:rsid w:val="00E7640F"/>
    <w:rsid w:val="00E76490"/>
    <w:rsid w:val="00E764A3"/>
    <w:rsid w:val="00E764AB"/>
    <w:rsid w:val="00E764D3"/>
    <w:rsid w:val="00E76501"/>
    <w:rsid w:val="00E76515"/>
    <w:rsid w:val="00E765EE"/>
    <w:rsid w:val="00E765F1"/>
    <w:rsid w:val="00E7664F"/>
    <w:rsid w:val="00E76685"/>
    <w:rsid w:val="00E766EC"/>
    <w:rsid w:val="00E766F7"/>
    <w:rsid w:val="00E76715"/>
    <w:rsid w:val="00E76721"/>
    <w:rsid w:val="00E767E1"/>
    <w:rsid w:val="00E7681F"/>
    <w:rsid w:val="00E7688F"/>
    <w:rsid w:val="00E76975"/>
    <w:rsid w:val="00E769CC"/>
    <w:rsid w:val="00E769CE"/>
    <w:rsid w:val="00E76AB0"/>
    <w:rsid w:val="00E76AD8"/>
    <w:rsid w:val="00E76B35"/>
    <w:rsid w:val="00E76D8F"/>
    <w:rsid w:val="00E76EA0"/>
    <w:rsid w:val="00E76EF0"/>
    <w:rsid w:val="00E76F55"/>
    <w:rsid w:val="00E76F84"/>
    <w:rsid w:val="00E76F86"/>
    <w:rsid w:val="00E77040"/>
    <w:rsid w:val="00E77063"/>
    <w:rsid w:val="00E77187"/>
    <w:rsid w:val="00E771EE"/>
    <w:rsid w:val="00E77259"/>
    <w:rsid w:val="00E7725F"/>
    <w:rsid w:val="00E772C4"/>
    <w:rsid w:val="00E7733A"/>
    <w:rsid w:val="00E773F2"/>
    <w:rsid w:val="00E77437"/>
    <w:rsid w:val="00E77454"/>
    <w:rsid w:val="00E77655"/>
    <w:rsid w:val="00E77683"/>
    <w:rsid w:val="00E77691"/>
    <w:rsid w:val="00E776AB"/>
    <w:rsid w:val="00E776F9"/>
    <w:rsid w:val="00E77821"/>
    <w:rsid w:val="00E77847"/>
    <w:rsid w:val="00E77A1E"/>
    <w:rsid w:val="00E77A37"/>
    <w:rsid w:val="00E77A4E"/>
    <w:rsid w:val="00E77ACD"/>
    <w:rsid w:val="00E77BD1"/>
    <w:rsid w:val="00E77BDB"/>
    <w:rsid w:val="00E77C3F"/>
    <w:rsid w:val="00E77D2F"/>
    <w:rsid w:val="00E77E01"/>
    <w:rsid w:val="00E77F12"/>
    <w:rsid w:val="00E77F51"/>
    <w:rsid w:val="00E80038"/>
    <w:rsid w:val="00E8003C"/>
    <w:rsid w:val="00E80062"/>
    <w:rsid w:val="00E8007C"/>
    <w:rsid w:val="00E80151"/>
    <w:rsid w:val="00E80191"/>
    <w:rsid w:val="00E80270"/>
    <w:rsid w:val="00E802E7"/>
    <w:rsid w:val="00E803A6"/>
    <w:rsid w:val="00E8040F"/>
    <w:rsid w:val="00E8046E"/>
    <w:rsid w:val="00E8049F"/>
    <w:rsid w:val="00E806AA"/>
    <w:rsid w:val="00E806C1"/>
    <w:rsid w:val="00E8070C"/>
    <w:rsid w:val="00E80733"/>
    <w:rsid w:val="00E807BC"/>
    <w:rsid w:val="00E8083C"/>
    <w:rsid w:val="00E80841"/>
    <w:rsid w:val="00E808C4"/>
    <w:rsid w:val="00E809D5"/>
    <w:rsid w:val="00E80A0D"/>
    <w:rsid w:val="00E80B66"/>
    <w:rsid w:val="00E80BA6"/>
    <w:rsid w:val="00E80BCC"/>
    <w:rsid w:val="00E80C76"/>
    <w:rsid w:val="00E80CB4"/>
    <w:rsid w:val="00E80D20"/>
    <w:rsid w:val="00E80E98"/>
    <w:rsid w:val="00E80F38"/>
    <w:rsid w:val="00E80F68"/>
    <w:rsid w:val="00E80FD5"/>
    <w:rsid w:val="00E8102F"/>
    <w:rsid w:val="00E810CD"/>
    <w:rsid w:val="00E812F2"/>
    <w:rsid w:val="00E812FC"/>
    <w:rsid w:val="00E81370"/>
    <w:rsid w:val="00E81423"/>
    <w:rsid w:val="00E81432"/>
    <w:rsid w:val="00E8146E"/>
    <w:rsid w:val="00E814A7"/>
    <w:rsid w:val="00E817B7"/>
    <w:rsid w:val="00E8186A"/>
    <w:rsid w:val="00E818E6"/>
    <w:rsid w:val="00E819E8"/>
    <w:rsid w:val="00E81A09"/>
    <w:rsid w:val="00E81A62"/>
    <w:rsid w:val="00E81ABD"/>
    <w:rsid w:val="00E81B0C"/>
    <w:rsid w:val="00E81B43"/>
    <w:rsid w:val="00E81B86"/>
    <w:rsid w:val="00E81C09"/>
    <w:rsid w:val="00E81C40"/>
    <w:rsid w:val="00E81C4D"/>
    <w:rsid w:val="00E81D7C"/>
    <w:rsid w:val="00E81D87"/>
    <w:rsid w:val="00E81EB3"/>
    <w:rsid w:val="00E81F2E"/>
    <w:rsid w:val="00E81F78"/>
    <w:rsid w:val="00E81F9A"/>
    <w:rsid w:val="00E81FDA"/>
    <w:rsid w:val="00E82011"/>
    <w:rsid w:val="00E8205F"/>
    <w:rsid w:val="00E82136"/>
    <w:rsid w:val="00E8215B"/>
    <w:rsid w:val="00E8217B"/>
    <w:rsid w:val="00E821A9"/>
    <w:rsid w:val="00E822D2"/>
    <w:rsid w:val="00E822D3"/>
    <w:rsid w:val="00E822F1"/>
    <w:rsid w:val="00E82369"/>
    <w:rsid w:val="00E8238F"/>
    <w:rsid w:val="00E823BF"/>
    <w:rsid w:val="00E8244F"/>
    <w:rsid w:val="00E82558"/>
    <w:rsid w:val="00E825E3"/>
    <w:rsid w:val="00E825E4"/>
    <w:rsid w:val="00E8261C"/>
    <w:rsid w:val="00E8290C"/>
    <w:rsid w:val="00E829BB"/>
    <w:rsid w:val="00E82A39"/>
    <w:rsid w:val="00E82AB4"/>
    <w:rsid w:val="00E82AFA"/>
    <w:rsid w:val="00E82BE7"/>
    <w:rsid w:val="00E82D74"/>
    <w:rsid w:val="00E82D7A"/>
    <w:rsid w:val="00E82E03"/>
    <w:rsid w:val="00E82E05"/>
    <w:rsid w:val="00E82EB4"/>
    <w:rsid w:val="00E82F4A"/>
    <w:rsid w:val="00E82F65"/>
    <w:rsid w:val="00E83104"/>
    <w:rsid w:val="00E8320D"/>
    <w:rsid w:val="00E83342"/>
    <w:rsid w:val="00E83355"/>
    <w:rsid w:val="00E83371"/>
    <w:rsid w:val="00E833EF"/>
    <w:rsid w:val="00E8344B"/>
    <w:rsid w:val="00E8344D"/>
    <w:rsid w:val="00E834E7"/>
    <w:rsid w:val="00E835EB"/>
    <w:rsid w:val="00E835FA"/>
    <w:rsid w:val="00E836A4"/>
    <w:rsid w:val="00E83782"/>
    <w:rsid w:val="00E8394D"/>
    <w:rsid w:val="00E83AAE"/>
    <w:rsid w:val="00E83B20"/>
    <w:rsid w:val="00E83C5E"/>
    <w:rsid w:val="00E83C7F"/>
    <w:rsid w:val="00E83D7F"/>
    <w:rsid w:val="00E83E09"/>
    <w:rsid w:val="00E83E32"/>
    <w:rsid w:val="00E83EF8"/>
    <w:rsid w:val="00E83F9E"/>
    <w:rsid w:val="00E83FD0"/>
    <w:rsid w:val="00E83FDB"/>
    <w:rsid w:val="00E840AC"/>
    <w:rsid w:val="00E8411C"/>
    <w:rsid w:val="00E8426A"/>
    <w:rsid w:val="00E842FE"/>
    <w:rsid w:val="00E843CF"/>
    <w:rsid w:val="00E844D1"/>
    <w:rsid w:val="00E84582"/>
    <w:rsid w:val="00E84688"/>
    <w:rsid w:val="00E846A3"/>
    <w:rsid w:val="00E846B2"/>
    <w:rsid w:val="00E846F4"/>
    <w:rsid w:val="00E84705"/>
    <w:rsid w:val="00E847DA"/>
    <w:rsid w:val="00E84827"/>
    <w:rsid w:val="00E84829"/>
    <w:rsid w:val="00E8482E"/>
    <w:rsid w:val="00E84898"/>
    <w:rsid w:val="00E849BA"/>
    <w:rsid w:val="00E84A4C"/>
    <w:rsid w:val="00E84AAA"/>
    <w:rsid w:val="00E84AAD"/>
    <w:rsid w:val="00E84AC1"/>
    <w:rsid w:val="00E84AE3"/>
    <w:rsid w:val="00E84B02"/>
    <w:rsid w:val="00E84BF4"/>
    <w:rsid w:val="00E84C16"/>
    <w:rsid w:val="00E84C40"/>
    <w:rsid w:val="00E84CB5"/>
    <w:rsid w:val="00E84CDB"/>
    <w:rsid w:val="00E84D73"/>
    <w:rsid w:val="00E84E04"/>
    <w:rsid w:val="00E84E0B"/>
    <w:rsid w:val="00E84E95"/>
    <w:rsid w:val="00E84EA5"/>
    <w:rsid w:val="00E84F14"/>
    <w:rsid w:val="00E85025"/>
    <w:rsid w:val="00E8506B"/>
    <w:rsid w:val="00E85177"/>
    <w:rsid w:val="00E8528E"/>
    <w:rsid w:val="00E853C9"/>
    <w:rsid w:val="00E8541B"/>
    <w:rsid w:val="00E85434"/>
    <w:rsid w:val="00E85458"/>
    <w:rsid w:val="00E85469"/>
    <w:rsid w:val="00E85479"/>
    <w:rsid w:val="00E855D8"/>
    <w:rsid w:val="00E855DC"/>
    <w:rsid w:val="00E85629"/>
    <w:rsid w:val="00E85815"/>
    <w:rsid w:val="00E8586C"/>
    <w:rsid w:val="00E858DE"/>
    <w:rsid w:val="00E858FE"/>
    <w:rsid w:val="00E859A1"/>
    <w:rsid w:val="00E859DC"/>
    <w:rsid w:val="00E85A07"/>
    <w:rsid w:val="00E85B22"/>
    <w:rsid w:val="00E85B5C"/>
    <w:rsid w:val="00E85C0E"/>
    <w:rsid w:val="00E85C34"/>
    <w:rsid w:val="00E85C68"/>
    <w:rsid w:val="00E85C82"/>
    <w:rsid w:val="00E85CCC"/>
    <w:rsid w:val="00E85E2F"/>
    <w:rsid w:val="00E85F06"/>
    <w:rsid w:val="00E85F19"/>
    <w:rsid w:val="00E8600B"/>
    <w:rsid w:val="00E860EE"/>
    <w:rsid w:val="00E860F9"/>
    <w:rsid w:val="00E8640B"/>
    <w:rsid w:val="00E86438"/>
    <w:rsid w:val="00E86459"/>
    <w:rsid w:val="00E8657F"/>
    <w:rsid w:val="00E866F2"/>
    <w:rsid w:val="00E867B1"/>
    <w:rsid w:val="00E86802"/>
    <w:rsid w:val="00E868BC"/>
    <w:rsid w:val="00E86911"/>
    <w:rsid w:val="00E86990"/>
    <w:rsid w:val="00E86A47"/>
    <w:rsid w:val="00E86C94"/>
    <w:rsid w:val="00E86D2F"/>
    <w:rsid w:val="00E86D4C"/>
    <w:rsid w:val="00E86D8B"/>
    <w:rsid w:val="00E86D90"/>
    <w:rsid w:val="00E86DC1"/>
    <w:rsid w:val="00E86DCE"/>
    <w:rsid w:val="00E86E5A"/>
    <w:rsid w:val="00E86F13"/>
    <w:rsid w:val="00E86F17"/>
    <w:rsid w:val="00E86F8D"/>
    <w:rsid w:val="00E86FEB"/>
    <w:rsid w:val="00E8703E"/>
    <w:rsid w:val="00E870B0"/>
    <w:rsid w:val="00E87109"/>
    <w:rsid w:val="00E87198"/>
    <w:rsid w:val="00E8729E"/>
    <w:rsid w:val="00E872ED"/>
    <w:rsid w:val="00E8739D"/>
    <w:rsid w:val="00E8741B"/>
    <w:rsid w:val="00E87428"/>
    <w:rsid w:val="00E8752F"/>
    <w:rsid w:val="00E87543"/>
    <w:rsid w:val="00E876D3"/>
    <w:rsid w:val="00E877A7"/>
    <w:rsid w:val="00E877D0"/>
    <w:rsid w:val="00E877F3"/>
    <w:rsid w:val="00E878EB"/>
    <w:rsid w:val="00E87920"/>
    <w:rsid w:val="00E87AF7"/>
    <w:rsid w:val="00E87B03"/>
    <w:rsid w:val="00E87B97"/>
    <w:rsid w:val="00E87CF5"/>
    <w:rsid w:val="00E87D12"/>
    <w:rsid w:val="00E87D1F"/>
    <w:rsid w:val="00E87DB7"/>
    <w:rsid w:val="00E87DC6"/>
    <w:rsid w:val="00E87DE9"/>
    <w:rsid w:val="00E87E35"/>
    <w:rsid w:val="00E87E8C"/>
    <w:rsid w:val="00E87E98"/>
    <w:rsid w:val="00E87ED1"/>
    <w:rsid w:val="00E87F4F"/>
    <w:rsid w:val="00E9029B"/>
    <w:rsid w:val="00E902F6"/>
    <w:rsid w:val="00E90370"/>
    <w:rsid w:val="00E90400"/>
    <w:rsid w:val="00E9040F"/>
    <w:rsid w:val="00E90463"/>
    <w:rsid w:val="00E9051D"/>
    <w:rsid w:val="00E905FF"/>
    <w:rsid w:val="00E90711"/>
    <w:rsid w:val="00E90850"/>
    <w:rsid w:val="00E908A8"/>
    <w:rsid w:val="00E90956"/>
    <w:rsid w:val="00E90A03"/>
    <w:rsid w:val="00E90B68"/>
    <w:rsid w:val="00E90B6B"/>
    <w:rsid w:val="00E90B80"/>
    <w:rsid w:val="00E90BFE"/>
    <w:rsid w:val="00E90C77"/>
    <w:rsid w:val="00E90C78"/>
    <w:rsid w:val="00E90CE4"/>
    <w:rsid w:val="00E90E54"/>
    <w:rsid w:val="00E90FA1"/>
    <w:rsid w:val="00E91023"/>
    <w:rsid w:val="00E91045"/>
    <w:rsid w:val="00E910BB"/>
    <w:rsid w:val="00E9116A"/>
    <w:rsid w:val="00E911BF"/>
    <w:rsid w:val="00E91202"/>
    <w:rsid w:val="00E91296"/>
    <w:rsid w:val="00E912B3"/>
    <w:rsid w:val="00E9132C"/>
    <w:rsid w:val="00E9143D"/>
    <w:rsid w:val="00E914AB"/>
    <w:rsid w:val="00E9164A"/>
    <w:rsid w:val="00E917CC"/>
    <w:rsid w:val="00E91894"/>
    <w:rsid w:val="00E9193D"/>
    <w:rsid w:val="00E919E8"/>
    <w:rsid w:val="00E91AE1"/>
    <w:rsid w:val="00E91B6A"/>
    <w:rsid w:val="00E91BAF"/>
    <w:rsid w:val="00E91CE4"/>
    <w:rsid w:val="00E91FFB"/>
    <w:rsid w:val="00E92188"/>
    <w:rsid w:val="00E921B9"/>
    <w:rsid w:val="00E92211"/>
    <w:rsid w:val="00E9221B"/>
    <w:rsid w:val="00E92288"/>
    <w:rsid w:val="00E922C1"/>
    <w:rsid w:val="00E9230D"/>
    <w:rsid w:val="00E9237E"/>
    <w:rsid w:val="00E92390"/>
    <w:rsid w:val="00E9245E"/>
    <w:rsid w:val="00E9247C"/>
    <w:rsid w:val="00E925DF"/>
    <w:rsid w:val="00E92615"/>
    <w:rsid w:val="00E926BE"/>
    <w:rsid w:val="00E926DB"/>
    <w:rsid w:val="00E928E0"/>
    <w:rsid w:val="00E92912"/>
    <w:rsid w:val="00E929CD"/>
    <w:rsid w:val="00E92B48"/>
    <w:rsid w:val="00E92C7A"/>
    <w:rsid w:val="00E92CBB"/>
    <w:rsid w:val="00E92CBE"/>
    <w:rsid w:val="00E92CF9"/>
    <w:rsid w:val="00E92D81"/>
    <w:rsid w:val="00E92DE8"/>
    <w:rsid w:val="00E92E7C"/>
    <w:rsid w:val="00E92E92"/>
    <w:rsid w:val="00E93084"/>
    <w:rsid w:val="00E93137"/>
    <w:rsid w:val="00E9315B"/>
    <w:rsid w:val="00E93165"/>
    <w:rsid w:val="00E93194"/>
    <w:rsid w:val="00E931E3"/>
    <w:rsid w:val="00E9325B"/>
    <w:rsid w:val="00E932D6"/>
    <w:rsid w:val="00E93462"/>
    <w:rsid w:val="00E93476"/>
    <w:rsid w:val="00E93508"/>
    <w:rsid w:val="00E935B0"/>
    <w:rsid w:val="00E935F5"/>
    <w:rsid w:val="00E93639"/>
    <w:rsid w:val="00E9369A"/>
    <w:rsid w:val="00E93736"/>
    <w:rsid w:val="00E93774"/>
    <w:rsid w:val="00E93795"/>
    <w:rsid w:val="00E93816"/>
    <w:rsid w:val="00E93819"/>
    <w:rsid w:val="00E9381E"/>
    <w:rsid w:val="00E93835"/>
    <w:rsid w:val="00E938E4"/>
    <w:rsid w:val="00E93A55"/>
    <w:rsid w:val="00E93B85"/>
    <w:rsid w:val="00E93C2B"/>
    <w:rsid w:val="00E93C60"/>
    <w:rsid w:val="00E93CDC"/>
    <w:rsid w:val="00E93CF4"/>
    <w:rsid w:val="00E93D6D"/>
    <w:rsid w:val="00E93F37"/>
    <w:rsid w:val="00E93F4C"/>
    <w:rsid w:val="00E93FB1"/>
    <w:rsid w:val="00E93FBB"/>
    <w:rsid w:val="00E93FD6"/>
    <w:rsid w:val="00E9405C"/>
    <w:rsid w:val="00E941DB"/>
    <w:rsid w:val="00E9422C"/>
    <w:rsid w:val="00E94357"/>
    <w:rsid w:val="00E94375"/>
    <w:rsid w:val="00E9442B"/>
    <w:rsid w:val="00E9442C"/>
    <w:rsid w:val="00E94466"/>
    <w:rsid w:val="00E944EF"/>
    <w:rsid w:val="00E94530"/>
    <w:rsid w:val="00E9462B"/>
    <w:rsid w:val="00E9469B"/>
    <w:rsid w:val="00E947AD"/>
    <w:rsid w:val="00E947CE"/>
    <w:rsid w:val="00E94A2A"/>
    <w:rsid w:val="00E94A68"/>
    <w:rsid w:val="00E94AF2"/>
    <w:rsid w:val="00E94C26"/>
    <w:rsid w:val="00E94D13"/>
    <w:rsid w:val="00E94E01"/>
    <w:rsid w:val="00E94E19"/>
    <w:rsid w:val="00E94F1B"/>
    <w:rsid w:val="00E94F28"/>
    <w:rsid w:val="00E94F73"/>
    <w:rsid w:val="00E94FF9"/>
    <w:rsid w:val="00E950FB"/>
    <w:rsid w:val="00E95163"/>
    <w:rsid w:val="00E951BB"/>
    <w:rsid w:val="00E951E8"/>
    <w:rsid w:val="00E95234"/>
    <w:rsid w:val="00E9545D"/>
    <w:rsid w:val="00E9547F"/>
    <w:rsid w:val="00E954E0"/>
    <w:rsid w:val="00E9551C"/>
    <w:rsid w:val="00E9552A"/>
    <w:rsid w:val="00E9559A"/>
    <w:rsid w:val="00E95607"/>
    <w:rsid w:val="00E9563B"/>
    <w:rsid w:val="00E95723"/>
    <w:rsid w:val="00E958BB"/>
    <w:rsid w:val="00E95975"/>
    <w:rsid w:val="00E95AA7"/>
    <w:rsid w:val="00E95AC5"/>
    <w:rsid w:val="00E95AC9"/>
    <w:rsid w:val="00E95AE7"/>
    <w:rsid w:val="00E95BD3"/>
    <w:rsid w:val="00E95C0F"/>
    <w:rsid w:val="00E95C3B"/>
    <w:rsid w:val="00E95C3C"/>
    <w:rsid w:val="00E95C77"/>
    <w:rsid w:val="00E95CCF"/>
    <w:rsid w:val="00E95D19"/>
    <w:rsid w:val="00E95D4D"/>
    <w:rsid w:val="00E95D92"/>
    <w:rsid w:val="00E95E0B"/>
    <w:rsid w:val="00E95F1A"/>
    <w:rsid w:val="00E9609E"/>
    <w:rsid w:val="00E960BF"/>
    <w:rsid w:val="00E96165"/>
    <w:rsid w:val="00E961B1"/>
    <w:rsid w:val="00E961FC"/>
    <w:rsid w:val="00E9620B"/>
    <w:rsid w:val="00E96265"/>
    <w:rsid w:val="00E96314"/>
    <w:rsid w:val="00E96353"/>
    <w:rsid w:val="00E9647A"/>
    <w:rsid w:val="00E965AC"/>
    <w:rsid w:val="00E966A9"/>
    <w:rsid w:val="00E9670A"/>
    <w:rsid w:val="00E96719"/>
    <w:rsid w:val="00E96868"/>
    <w:rsid w:val="00E968F3"/>
    <w:rsid w:val="00E96A4B"/>
    <w:rsid w:val="00E96A6B"/>
    <w:rsid w:val="00E96ADE"/>
    <w:rsid w:val="00E96B01"/>
    <w:rsid w:val="00E96C1B"/>
    <w:rsid w:val="00E96CE6"/>
    <w:rsid w:val="00E96D82"/>
    <w:rsid w:val="00E96DA2"/>
    <w:rsid w:val="00E96F14"/>
    <w:rsid w:val="00E96F59"/>
    <w:rsid w:val="00E96F6A"/>
    <w:rsid w:val="00E97106"/>
    <w:rsid w:val="00E9715D"/>
    <w:rsid w:val="00E973CA"/>
    <w:rsid w:val="00E9746D"/>
    <w:rsid w:val="00E974A0"/>
    <w:rsid w:val="00E974C8"/>
    <w:rsid w:val="00E974E3"/>
    <w:rsid w:val="00E9755D"/>
    <w:rsid w:val="00E975D1"/>
    <w:rsid w:val="00E97637"/>
    <w:rsid w:val="00E97669"/>
    <w:rsid w:val="00E97697"/>
    <w:rsid w:val="00E9777F"/>
    <w:rsid w:val="00E97797"/>
    <w:rsid w:val="00E977C5"/>
    <w:rsid w:val="00E97820"/>
    <w:rsid w:val="00E9783E"/>
    <w:rsid w:val="00E97879"/>
    <w:rsid w:val="00E978B6"/>
    <w:rsid w:val="00E97A7B"/>
    <w:rsid w:val="00E97A83"/>
    <w:rsid w:val="00E97AA4"/>
    <w:rsid w:val="00E97ABD"/>
    <w:rsid w:val="00E97B12"/>
    <w:rsid w:val="00E97BD7"/>
    <w:rsid w:val="00E97C11"/>
    <w:rsid w:val="00E97C5A"/>
    <w:rsid w:val="00E97D08"/>
    <w:rsid w:val="00E97D91"/>
    <w:rsid w:val="00E97E77"/>
    <w:rsid w:val="00EA00C6"/>
    <w:rsid w:val="00EA0106"/>
    <w:rsid w:val="00EA0108"/>
    <w:rsid w:val="00EA022A"/>
    <w:rsid w:val="00EA0285"/>
    <w:rsid w:val="00EA02B2"/>
    <w:rsid w:val="00EA02EB"/>
    <w:rsid w:val="00EA031A"/>
    <w:rsid w:val="00EA032D"/>
    <w:rsid w:val="00EA03AD"/>
    <w:rsid w:val="00EA03B2"/>
    <w:rsid w:val="00EA0454"/>
    <w:rsid w:val="00EA04BC"/>
    <w:rsid w:val="00EA05A9"/>
    <w:rsid w:val="00EA060A"/>
    <w:rsid w:val="00EA067A"/>
    <w:rsid w:val="00EA073C"/>
    <w:rsid w:val="00EA07C3"/>
    <w:rsid w:val="00EA07DD"/>
    <w:rsid w:val="00EA07E2"/>
    <w:rsid w:val="00EA0891"/>
    <w:rsid w:val="00EA090D"/>
    <w:rsid w:val="00EA0957"/>
    <w:rsid w:val="00EA095F"/>
    <w:rsid w:val="00EA0A42"/>
    <w:rsid w:val="00EA0AC5"/>
    <w:rsid w:val="00EA0B49"/>
    <w:rsid w:val="00EA0B6A"/>
    <w:rsid w:val="00EA0B84"/>
    <w:rsid w:val="00EA0BFC"/>
    <w:rsid w:val="00EA0C05"/>
    <w:rsid w:val="00EA0C12"/>
    <w:rsid w:val="00EA0CAD"/>
    <w:rsid w:val="00EA0D19"/>
    <w:rsid w:val="00EA0D8B"/>
    <w:rsid w:val="00EA0DE9"/>
    <w:rsid w:val="00EA0E37"/>
    <w:rsid w:val="00EA0EB3"/>
    <w:rsid w:val="00EA0F28"/>
    <w:rsid w:val="00EA0F30"/>
    <w:rsid w:val="00EA0FBB"/>
    <w:rsid w:val="00EA1210"/>
    <w:rsid w:val="00EA12E0"/>
    <w:rsid w:val="00EA131E"/>
    <w:rsid w:val="00EA1378"/>
    <w:rsid w:val="00EA1447"/>
    <w:rsid w:val="00EA145C"/>
    <w:rsid w:val="00EA1484"/>
    <w:rsid w:val="00EA14E6"/>
    <w:rsid w:val="00EA1557"/>
    <w:rsid w:val="00EA1580"/>
    <w:rsid w:val="00EA15D9"/>
    <w:rsid w:val="00EA1642"/>
    <w:rsid w:val="00EA1710"/>
    <w:rsid w:val="00EA1767"/>
    <w:rsid w:val="00EA1790"/>
    <w:rsid w:val="00EA1814"/>
    <w:rsid w:val="00EA181D"/>
    <w:rsid w:val="00EA1857"/>
    <w:rsid w:val="00EA187B"/>
    <w:rsid w:val="00EA18AD"/>
    <w:rsid w:val="00EA18B0"/>
    <w:rsid w:val="00EA19AB"/>
    <w:rsid w:val="00EA1A0C"/>
    <w:rsid w:val="00EA1A40"/>
    <w:rsid w:val="00EA1A58"/>
    <w:rsid w:val="00EA1ACC"/>
    <w:rsid w:val="00EA1B60"/>
    <w:rsid w:val="00EA1B67"/>
    <w:rsid w:val="00EA1B6A"/>
    <w:rsid w:val="00EA1B75"/>
    <w:rsid w:val="00EA1BD8"/>
    <w:rsid w:val="00EA1C80"/>
    <w:rsid w:val="00EA1CE1"/>
    <w:rsid w:val="00EA1D9F"/>
    <w:rsid w:val="00EA1DAE"/>
    <w:rsid w:val="00EA1DDC"/>
    <w:rsid w:val="00EA1E3A"/>
    <w:rsid w:val="00EA1EF7"/>
    <w:rsid w:val="00EA1F01"/>
    <w:rsid w:val="00EA1F0F"/>
    <w:rsid w:val="00EA1F54"/>
    <w:rsid w:val="00EA1F56"/>
    <w:rsid w:val="00EA1FB2"/>
    <w:rsid w:val="00EA200F"/>
    <w:rsid w:val="00EA2045"/>
    <w:rsid w:val="00EA209C"/>
    <w:rsid w:val="00EA20F1"/>
    <w:rsid w:val="00EA21DE"/>
    <w:rsid w:val="00EA2227"/>
    <w:rsid w:val="00EA2234"/>
    <w:rsid w:val="00EA223D"/>
    <w:rsid w:val="00EA2267"/>
    <w:rsid w:val="00EA228D"/>
    <w:rsid w:val="00EA235D"/>
    <w:rsid w:val="00EA2375"/>
    <w:rsid w:val="00EA23B2"/>
    <w:rsid w:val="00EA242A"/>
    <w:rsid w:val="00EA2462"/>
    <w:rsid w:val="00EA2528"/>
    <w:rsid w:val="00EA25B3"/>
    <w:rsid w:val="00EA25D2"/>
    <w:rsid w:val="00EA2746"/>
    <w:rsid w:val="00EA2767"/>
    <w:rsid w:val="00EA2A0E"/>
    <w:rsid w:val="00EA2A3C"/>
    <w:rsid w:val="00EA2A4E"/>
    <w:rsid w:val="00EA2B7C"/>
    <w:rsid w:val="00EA2CB5"/>
    <w:rsid w:val="00EA2CEA"/>
    <w:rsid w:val="00EA2D05"/>
    <w:rsid w:val="00EA2DEE"/>
    <w:rsid w:val="00EA2E1B"/>
    <w:rsid w:val="00EA2EA2"/>
    <w:rsid w:val="00EA2EF6"/>
    <w:rsid w:val="00EA2F0D"/>
    <w:rsid w:val="00EA2FFD"/>
    <w:rsid w:val="00EA3033"/>
    <w:rsid w:val="00EA30DB"/>
    <w:rsid w:val="00EA3193"/>
    <w:rsid w:val="00EA3247"/>
    <w:rsid w:val="00EA32FB"/>
    <w:rsid w:val="00EA3349"/>
    <w:rsid w:val="00EA3411"/>
    <w:rsid w:val="00EA3416"/>
    <w:rsid w:val="00EA350A"/>
    <w:rsid w:val="00EA3525"/>
    <w:rsid w:val="00EA3642"/>
    <w:rsid w:val="00EA380F"/>
    <w:rsid w:val="00EA3878"/>
    <w:rsid w:val="00EA38D0"/>
    <w:rsid w:val="00EA390A"/>
    <w:rsid w:val="00EA39A1"/>
    <w:rsid w:val="00EA39B7"/>
    <w:rsid w:val="00EA3A37"/>
    <w:rsid w:val="00EA3AFE"/>
    <w:rsid w:val="00EA3B1C"/>
    <w:rsid w:val="00EA3B21"/>
    <w:rsid w:val="00EA3B97"/>
    <w:rsid w:val="00EA3BAF"/>
    <w:rsid w:val="00EA3BEB"/>
    <w:rsid w:val="00EA3C72"/>
    <w:rsid w:val="00EA3D12"/>
    <w:rsid w:val="00EA3DE5"/>
    <w:rsid w:val="00EA3E11"/>
    <w:rsid w:val="00EA3E1F"/>
    <w:rsid w:val="00EA3E3B"/>
    <w:rsid w:val="00EA3EF9"/>
    <w:rsid w:val="00EA3F17"/>
    <w:rsid w:val="00EA3F2A"/>
    <w:rsid w:val="00EA3F39"/>
    <w:rsid w:val="00EA404C"/>
    <w:rsid w:val="00EA4052"/>
    <w:rsid w:val="00EA4071"/>
    <w:rsid w:val="00EA40A4"/>
    <w:rsid w:val="00EA40BB"/>
    <w:rsid w:val="00EA41B5"/>
    <w:rsid w:val="00EA420A"/>
    <w:rsid w:val="00EA42E4"/>
    <w:rsid w:val="00EA4365"/>
    <w:rsid w:val="00EA4367"/>
    <w:rsid w:val="00EA43C6"/>
    <w:rsid w:val="00EA4467"/>
    <w:rsid w:val="00EA446C"/>
    <w:rsid w:val="00EA4501"/>
    <w:rsid w:val="00EA466A"/>
    <w:rsid w:val="00EA4778"/>
    <w:rsid w:val="00EA47BE"/>
    <w:rsid w:val="00EA4827"/>
    <w:rsid w:val="00EA4941"/>
    <w:rsid w:val="00EA4961"/>
    <w:rsid w:val="00EA4BFF"/>
    <w:rsid w:val="00EA4CF2"/>
    <w:rsid w:val="00EA4F66"/>
    <w:rsid w:val="00EA4F6D"/>
    <w:rsid w:val="00EA4FB4"/>
    <w:rsid w:val="00EA50C2"/>
    <w:rsid w:val="00EA5111"/>
    <w:rsid w:val="00EA5157"/>
    <w:rsid w:val="00EA51DF"/>
    <w:rsid w:val="00EA51F0"/>
    <w:rsid w:val="00EA522A"/>
    <w:rsid w:val="00EA530D"/>
    <w:rsid w:val="00EA531A"/>
    <w:rsid w:val="00EA5366"/>
    <w:rsid w:val="00EA5374"/>
    <w:rsid w:val="00EA53C1"/>
    <w:rsid w:val="00EA53E4"/>
    <w:rsid w:val="00EA549D"/>
    <w:rsid w:val="00EA54A1"/>
    <w:rsid w:val="00EA54AA"/>
    <w:rsid w:val="00EA5587"/>
    <w:rsid w:val="00EA5655"/>
    <w:rsid w:val="00EA569C"/>
    <w:rsid w:val="00EA56C4"/>
    <w:rsid w:val="00EA56D2"/>
    <w:rsid w:val="00EA56D5"/>
    <w:rsid w:val="00EA56EC"/>
    <w:rsid w:val="00EA573F"/>
    <w:rsid w:val="00EA575F"/>
    <w:rsid w:val="00EA57B9"/>
    <w:rsid w:val="00EA58CD"/>
    <w:rsid w:val="00EA597A"/>
    <w:rsid w:val="00EA59A4"/>
    <w:rsid w:val="00EA59D8"/>
    <w:rsid w:val="00EA5A56"/>
    <w:rsid w:val="00EA5B09"/>
    <w:rsid w:val="00EA5B72"/>
    <w:rsid w:val="00EA5CC5"/>
    <w:rsid w:val="00EA5DBC"/>
    <w:rsid w:val="00EA5DCF"/>
    <w:rsid w:val="00EA5E9F"/>
    <w:rsid w:val="00EA5F3F"/>
    <w:rsid w:val="00EA5F8F"/>
    <w:rsid w:val="00EA5FC6"/>
    <w:rsid w:val="00EA5FF6"/>
    <w:rsid w:val="00EA605B"/>
    <w:rsid w:val="00EA60BE"/>
    <w:rsid w:val="00EA60CE"/>
    <w:rsid w:val="00EA617B"/>
    <w:rsid w:val="00EA6424"/>
    <w:rsid w:val="00EA64D3"/>
    <w:rsid w:val="00EA64E7"/>
    <w:rsid w:val="00EA64F4"/>
    <w:rsid w:val="00EA655D"/>
    <w:rsid w:val="00EA661B"/>
    <w:rsid w:val="00EA67F5"/>
    <w:rsid w:val="00EA688E"/>
    <w:rsid w:val="00EA6957"/>
    <w:rsid w:val="00EA69A1"/>
    <w:rsid w:val="00EA6A59"/>
    <w:rsid w:val="00EA6A7E"/>
    <w:rsid w:val="00EA6AAE"/>
    <w:rsid w:val="00EA6B32"/>
    <w:rsid w:val="00EA6BD4"/>
    <w:rsid w:val="00EA6C64"/>
    <w:rsid w:val="00EA6D03"/>
    <w:rsid w:val="00EA6DCC"/>
    <w:rsid w:val="00EA6DED"/>
    <w:rsid w:val="00EA6EAE"/>
    <w:rsid w:val="00EA6FD0"/>
    <w:rsid w:val="00EA7101"/>
    <w:rsid w:val="00EA711D"/>
    <w:rsid w:val="00EA71FD"/>
    <w:rsid w:val="00EA7205"/>
    <w:rsid w:val="00EA73A1"/>
    <w:rsid w:val="00EA73E0"/>
    <w:rsid w:val="00EA749C"/>
    <w:rsid w:val="00EA74FB"/>
    <w:rsid w:val="00EA7534"/>
    <w:rsid w:val="00EA7542"/>
    <w:rsid w:val="00EA7618"/>
    <w:rsid w:val="00EA767E"/>
    <w:rsid w:val="00EA76D2"/>
    <w:rsid w:val="00EA7708"/>
    <w:rsid w:val="00EA772B"/>
    <w:rsid w:val="00EA7733"/>
    <w:rsid w:val="00EA7794"/>
    <w:rsid w:val="00EA779A"/>
    <w:rsid w:val="00EA779F"/>
    <w:rsid w:val="00EA7839"/>
    <w:rsid w:val="00EA78EE"/>
    <w:rsid w:val="00EA79F4"/>
    <w:rsid w:val="00EA7B0D"/>
    <w:rsid w:val="00EA7B69"/>
    <w:rsid w:val="00EA7B9B"/>
    <w:rsid w:val="00EA7B9C"/>
    <w:rsid w:val="00EA7C9E"/>
    <w:rsid w:val="00EA7D36"/>
    <w:rsid w:val="00EA7D3B"/>
    <w:rsid w:val="00EA7DE2"/>
    <w:rsid w:val="00EA7E72"/>
    <w:rsid w:val="00EA7E8F"/>
    <w:rsid w:val="00EA7F67"/>
    <w:rsid w:val="00EB0041"/>
    <w:rsid w:val="00EB005D"/>
    <w:rsid w:val="00EB00F9"/>
    <w:rsid w:val="00EB0121"/>
    <w:rsid w:val="00EB022F"/>
    <w:rsid w:val="00EB024D"/>
    <w:rsid w:val="00EB025B"/>
    <w:rsid w:val="00EB028A"/>
    <w:rsid w:val="00EB02C0"/>
    <w:rsid w:val="00EB0317"/>
    <w:rsid w:val="00EB0320"/>
    <w:rsid w:val="00EB0351"/>
    <w:rsid w:val="00EB05D7"/>
    <w:rsid w:val="00EB068C"/>
    <w:rsid w:val="00EB0812"/>
    <w:rsid w:val="00EB0872"/>
    <w:rsid w:val="00EB0911"/>
    <w:rsid w:val="00EB09EF"/>
    <w:rsid w:val="00EB0C0B"/>
    <w:rsid w:val="00EB0CF7"/>
    <w:rsid w:val="00EB0D79"/>
    <w:rsid w:val="00EB0D7B"/>
    <w:rsid w:val="00EB0DFF"/>
    <w:rsid w:val="00EB0E0E"/>
    <w:rsid w:val="00EB0F1A"/>
    <w:rsid w:val="00EB1075"/>
    <w:rsid w:val="00EB10A7"/>
    <w:rsid w:val="00EB10CB"/>
    <w:rsid w:val="00EB10E2"/>
    <w:rsid w:val="00EB127F"/>
    <w:rsid w:val="00EB12CE"/>
    <w:rsid w:val="00EB12E0"/>
    <w:rsid w:val="00EB12FE"/>
    <w:rsid w:val="00EB1367"/>
    <w:rsid w:val="00EB14C5"/>
    <w:rsid w:val="00EB152D"/>
    <w:rsid w:val="00EB1568"/>
    <w:rsid w:val="00EB15AA"/>
    <w:rsid w:val="00EB16B2"/>
    <w:rsid w:val="00EB1745"/>
    <w:rsid w:val="00EB1750"/>
    <w:rsid w:val="00EB17DC"/>
    <w:rsid w:val="00EB183B"/>
    <w:rsid w:val="00EB190C"/>
    <w:rsid w:val="00EB1923"/>
    <w:rsid w:val="00EB1BA9"/>
    <w:rsid w:val="00EB1DCB"/>
    <w:rsid w:val="00EB1FB7"/>
    <w:rsid w:val="00EB1FDE"/>
    <w:rsid w:val="00EB2075"/>
    <w:rsid w:val="00EB216E"/>
    <w:rsid w:val="00EB2184"/>
    <w:rsid w:val="00EB218C"/>
    <w:rsid w:val="00EB219F"/>
    <w:rsid w:val="00EB2299"/>
    <w:rsid w:val="00EB22FE"/>
    <w:rsid w:val="00EB23A7"/>
    <w:rsid w:val="00EB2428"/>
    <w:rsid w:val="00EB24AB"/>
    <w:rsid w:val="00EB261F"/>
    <w:rsid w:val="00EB2672"/>
    <w:rsid w:val="00EB269B"/>
    <w:rsid w:val="00EB26A7"/>
    <w:rsid w:val="00EB26BE"/>
    <w:rsid w:val="00EB29F8"/>
    <w:rsid w:val="00EB2A1A"/>
    <w:rsid w:val="00EB2A23"/>
    <w:rsid w:val="00EB2B2C"/>
    <w:rsid w:val="00EB2B90"/>
    <w:rsid w:val="00EB2E1D"/>
    <w:rsid w:val="00EB2EBE"/>
    <w:rsid w:val="00EB2EC8"/>
    <w:rsid w:val="00EB2F01"/>
    <w:rsid w:val="00EB2F2F"/>
    <w:rsid w:val="00EB2F52"/>
    <w:rsid w:val="00EB2FA3"/>
    <w:rsid w:val="00EB30AD"/>
    <w:rsid w:val="00EB3104"/>
    <w:rsid w:val="00EB3186"/>
    <w:rsid w:val="00EB31B2"/>
    <w:rsid w:val="00EB31BB"/>
    <w:rsid w:val="00EB331F"/>
    <w:rsid w:val="00EB3486"/>
    <w:rsid w:val="00EB34A4"/>
    <w:rsid w:val="00EB34D3"/>
    <w:rsid w:val="00EB3552"/>
    <w:rsid w:val="00EB35C9"/>
    <w:rsid w:val="00EB3777"/>
    <w:rsid w:val="00EB3781"/>
    <w:rsid w:val="00EB3806"/>
    <w:rsid w:val="00EB389B"/>
    <w:rsid w:val="00EB38E7"/>
    <w:rsid w:val="00EB3959"/>
    <w:rsid w:val="00EB3A3C"/>
    <w:rsid w:val="00EB3A9B"/>
    <w:rsid w:val="00EB3B65"/>
    <w:rsid w:val="00EB3B8A"/>
    <w:rsid w:val="00EB3BA8"/>
    <w:rsid w:val="00EB3BF1"/>
    <w:rsid w:val="00EB3C22"/>
    <w:rsid w:val="00EB3C66"/>
    <w:rsid w:val="00EB3C6C"/>
    <w:rsid w:val="00EB3D79"/>
    <w:rsid w:val="00EB3EBD"/>
    <w:rsid w:val="00EB4036"/>
    <w:rsid w:val="00EB403E"/>
    <w:rsid w:val="00EB4150"/>
    <w:rsid w:val="00EB41AF"/>
    <w:rsid w:val="00EB41C8"/>
    <w:rsid w:val="00EB4302"/>
    <w:rsid w:val="00EB4370"/>
    <w:rsid w:val="00EB438B"/>
    <w:rsid w:val="00EB43BC"/>
    <w:rsid w:val="00EB44DA"/>
    <w:rsid w:val="00EB44EA"/>
    <w:rsid w:val="00EB4588"/>
    <w:rsid w:val="00EB459B"/>
    <w:rsid w:val="00EB45BC"/>
    <w:rsid w:val="00EB45CD"/>
    <w:rsid w:val="00EB45DE"/>
    <w:rsid w:val="00EB4680"/>
    <w:rsid w:val="00EB4822"/>
    <w:rsid w:val="00EB48B0"/>
    <w:rsid w:val="00EB4953"/>
    <w:rsid w:val="00EB4976"/>
    <w:rsid w:val="00EB49C7"/>
    <w:rsid w:val="00EB49DB"/>
    <w:rsid w:val="00EB49F1"/>
    <w:rsid w:val="00EB4A3D"/>
    <w:rsid w:val="00EB4B03"/>
    <w:rsid w:val="00EB4B27"/>
    <w:rsid w:val="00EB4C04"/>
    <w:rsid w:val="00EB4CC1"/>
    <w:rsid w:val="00EB4CDE"/>
    <w:rsid w:val="00EB4D74"/>
    <w:rsid w:val="00EB4D90"/>
    <w:rsid w:val="00EB4DC0"/>
    <w:rsid w:val="00EB4E17"/>
    <w:rsid w:val="00EB4E52"/>
    <w:rsid w:val="00EB4E6F"/>
    <w:rsid w:val="00EB4E99"/>
    <w:rsid w:val="00EB4EB2"/>
    <w:rsid w:val="00EB4ECE"/>
    <w:rsid w:val="00EB4EE0"/>
    <w:rsid w:val="00EB4EFA"/>
    <w:rsid w:val="00EB4F18"/>
    <w:rsid w:val="00EB4F19"/>
    <w:rsid w:val="00EB5077"/>
    <w:rsid w:val="00EB50B6"/>
    <w:rsid w:val="00EB5116"/>
    <w:rsid w:val="00EB51B1"/>
    <w:rsid w:val="00EB51B5"/>
    <w:rsid w:val="00EB51E4"/>
    <w:rsid w:val="00EB523C"/>
    <w:rsid w:val="00EB52A0"/>
    <w:rsid w:val="00EB5328"/>
    <w:rsid w:val="00EB53FC"/>
    <w:rsid w:val="00EB5467"/>
    <w:rsid w:val="00EB54BB"/>
    <w:rsid w:val="00EB5503"/>
    <w:rsid w:val="00EB557F"/>
    <w:rsid w:val="00EB5581"/>
    <w:rsid w:val="00EB5783"/>
    <w:rsid w:val="00EB588F"/>
    <w:rsid w:val="00EB5AB2"/>
    <w:rsid w:val="00EB5B51"/>
    <w:rsid w:val="00EB5C5D"/>
    <w:rsid w:val="00EB5C9C"/>
    <w:rsid w:val="00EB5CA4"/>
    <w:rsid w:val="00EB5DA0"/>
    <w:rsid w:val="00EB5EBE"/>
    <w:rsid w:val="00EB5F63"/>
    <w:rsid w:val="00EB5FFF"/>
    <w:rsid w:val="00EB61D8"/>
    <w:rsid w:val="00EB61F5"/>
    <w:rsid w:val="00EB6221"/>
    <w:rsid w:val="00EB6222"/>
    <w:rsid w:val="00EB6270"/>
    <w:rsid w:val="00EB62E3"/>
    <w:rsid w:val="00EB62F9"/>
    <w:rsid w:val="00EB6360"/>
    <w:rsid w:val="00EB63C1"/>
    <w:rsid w:val="00EB6440"/>
    <w:rsid w:val="00EB645B"/>
    <w:rsid w:val="00EB64AF"/>
    <w:rsid w:val="00EB64CF"/>
    <w:rsid w:val="00EB65DD"/>
    <w:rsid w:val="00EB66C6"/>
    <w:rsid w:val="00EB689D"/>
    <w:rsid w:val="00EB68F4"/>
    <w:rsid w:val="00EB692C"/>
    <w:rsid w:val="00EB69EC"/>
    <w:rsid w:val="00EB6A47"/>
    <w:rsid w:val="00EB6A57"/>
    <w:rsid w:val="00EB6A9B"/>
    <w:rsid w:val="00EB6B25"/>
    <w:rsid w:val="00EB6B30"/>
    <w:rsid w:val="00EB6B91"/>
    <w:rsid w:val="00EB6CA0"/>
    <w:rsid w:val="00EB6D0B"/>
    <w:rsid w:val="00EB6DCA"/>
    <w:rsid w:val="00EB6E01"/>
    <w:rsid w:val="00EB6EA2"/>
    <w:rsid w:val="00EB6ED1"/>
    <w:rsid w:val="00EB6F3D"/>
    <w:rsid w:val="00EB6FDE"/>
    <w:rsid w:val="00EB7021"/>
    <w:rsid w:val="00EB704D"/>
    <w:rsid w:val="00EB709B"/>
    <w:rsid w:val="00EB7181"/>
    <w:rsid w:val="00EB71C1"/>
    <w:rsid w:val="00EB7206"/>
    <w:rsid w:val="00EB727C"/>
    <w:rsid w:val="00EB7379"/>
    <w:rsid w:val="00EB7409"/>
    <w:rsid w:val="00EB743F"/>
    <w:rsid w:val="00EB7472"/>
    <w:rsid w:val="00EB751B"/>
    <w:rsid w:val="00EB765E"/>
    <w:rsid w:val="00EB771A"/>
    <w:rsid w:val="00EB77D3"/>
    <w:rsid w:val="00EB77E3"/>
    <w:rsid w:val="00EB780E"/>
    <w:rsid w:val="00EB7818"/>
    <w:rsid w:val="00EB7840"/>
    <w:rsid w:val="00EB78C8"/>
    <w:rsid w:val="00EB78DF"/>
    <w:rsid w:val="00EB7956"/>
    <w:rsid w:val="00EB7ABF"/>
    <w:rsid w:val="00EB7B3C"/>
    <w:rsid w:val="00EB7B44"/>
    <w:rsid w:val="00EB7CF7"/>
    <w:rsid w:val="00EB7D14"/>
    <w:rsid w:val="00EB7D47"/>
    <w:rsid w:val="00EB7D77"/>
    <w:rsid w:val="00EB7DE7"/>
    <w:rsid w:val="00EB7E40"/>
    <w:rsid w:val="00EB7F33"/>
    <w:rsid w:val="00EB7F53"/>
    <w:rsid w:val="00EB7F5E"/>
    <w:rsid w:val="00EB7FBB"/>
    <w:rsid w:val="00EB7FF0"/>
    <w:rsid w:val="00EC007F"/>
    <w:rsid w:val="00EC00D6"/>
    <w:rsid w:val="00EC00D9"/>
    <w:rsid w:val="00EC0291"/>
    <w:rsid w:val="00EC029F"/>
    <w:rsid w:val="00EC02BB"/>
    <w:rsid w:val="00EC02BC"/>
    <w:rsid w:val="00EC0326"/>
    <w:rsid w:val="00EC0413"/>
    <w:rsid w:val="00EC0440"/>
    <w:rsid w:val="00EC054A"/>
    <w:rsid w:val="00EC058B"/>
    <w:rsid w:val="00EC0639"/>
    <w:rsid w:val="00EC06CC"/>
    <w:rsid w:val="00EC0701"/>
    <w:rsid w:val="00EC0702"/>
    <w:rsid w:val="00EC0704"/>
    <w:rsid w:val="00EC07A9"/>
    <w:rsid w:val="00EC0846"/>
    <w:rsid w:val="00EC085E"/>
    <w:rsid w:val="00EC0865"/>
    <w:rsid w:val="00EC08C2"/>
    <w:rsid w:val="00EC0934"/>
    <w:rsid w:val="00EC09D4"/>
    <w:rsid w:val="00EC0A65"/>
    <w:rsid w:val="00EC0ABE"/>
    <w:rsid w:val="00EC0AD3"/>
    <w:rsid w:val="00EC0AFC"/>
    <w:rsid w:val="00EC0B24"/>
    <w:rsid w:val="00EC0C13"/>
    <w:rsid w:val="00EC0C2E"/>
    <w:rsid w:val="00EC0C4A"/>
    <w:rsid w:val="00EC0C50"/>
    <w:rsid w:val="00EC0C7B"/>
    <w:rsid w:val="00EC0CF5"/>
    <w:rsid w:val="00EC0D31"/>
    <w:rsid w:val="00EC0D46"/>
    <w:rsid w:val="00EC0DA6"/>
    <w:rsid w:val="00EC0E01"/>
    <w:rsid w:val="00EC0E29"/>
    <w:rsid w:val="00EC0E49"/>
    <w:rsid w:val="00EC0F33"/>
    <w:rsid w:val="00EC1029"/>
    <w:rsid w:val="00EC1066"/>
    <w:rsid w:val="00EC109B"/>
    <w:rsid w:val="00EC10EC"/>
    <w:rsid w:val="00EC1126"/>
    <w:rsid w:val="00EC11CC"/>
    <w:rsid w:val="00EC1201"/>
    <w:rsid w:val="00EC1256"/>
    <w:rsid w:val="00EC128F"/>
    <w:rsid w:val="00EC12DE"/>
    <w:rsid w:val="00EC1307"/>
    <w:rsid w:val="00EC13AD"/>
    <w:rsid w:val="00EC140E"/>
    <w:rsid w:val="00EC149A"/>
    <w:rsid w:val="00EC14A7"/>
    <w:rsid w:val="00EC14CC"/>
    <w:rsid w:val="00EC1504"/>
    <w:rsid w:val="00EC153E"/>
    <w:rsid w:val="00EC163B"/>
    <w:rsid w:val="00EC1739"/>
    <w:rsid w:val="00EC1858"/>
    <w:rsid w:val="00EC18C8"/>
    <w:rsid w:val="00EC190D"/>
    <w:rsid w:val="00EC1934"/>
    <w:rsid w:val="00EC194E"/>
    <w:rsid w:val="00EC1973"/>
    <w:rsid w:val="00EC19AA"/>
    <w:rsid w:val="00EC19BA"/>
    <w:rsid w:val="00EC1A02"/>
    <w:rsid w:val="00EC1A76"/>
    <w:rsid w:val="00EC1AA0"/>
    <w:rsid w:val="00EC1B34"/>
    <w:rsid w:val="00EC1BA0"/>
    <w:rsid w:val="00EC1C2C"/>
    <w:rsid w:val="00EC1CA9"/>
    <w:rsid w:val="00EC1DB2"/>
    <w:rsid w:val="00EC1E50"/>
    <w:rsid w:val="00EC1F58"/>
    <w:rsid w:val="00EC1FD0"/>
    <w:rsid w:val="00EC207D"/>
    <w:rsid w:val="00EC2215"/>
    <w:rsid w:val="00EC2235"/>
    <w:rsid w:val="00EC2255"/>
    <w:rsid w:val="00EC2315"/>
    <w:rsid w:val="00EC23DE"/>
    <w:rsid w:val="00EC23E4"/>
    <w:rsid w:val="00EC244E"/>
    <w:rsid w:val="00EC26EC"/>
    <w:rsid w:val="00EC26FB"/>
    <w:rsid w:val="00EC27A0"/>
    <w:rsid w:val="00EC27E4"/>
    <w:rsid w:val="00EC27EA"/>
    <w:rsid w:val="00EC2887"/>
    <w:rsid w:val="00EC28B1"/>
    <w:rsid w:val="00EC28E7"/>
    <w:rsid w:val="00EC2930"/>
    <w:rsid w:val="00EC294C"/>
    <w:rsid w:val="00EC2959"/>
    <w:rsid w:val="00EC2962"/>
    <w:rsid w:val="00EC296E"/>
    <w:rsid w:val="00EC2AF6"/>
    <w:rsid w:val="00EC2BBB"/>
    <w:rsid w:val="00EC2BD8"/>
    <w:rsid w:val="00EC2C0A"/>
    <w:rsid w:val="00EC2C33"/>
    <w:rsid w:val="00EC2E4A"/>
    <w:rsid w:val="00EC2EAD"/>
    <w:rsid w:val="00EC2EAF"/>
    <w:rsid w:val="00EC2EC1"/>
    <w:rsid w:val="00EC2EF4"/>
    <w:rsid w:val="00EC2FA7"/>
    <w:rsid w:val="00EC3022"/>
    <w:rsid w:val="00EC3086"/>
    <w:rsid w:val="00EC3247"/>
    <w:rsid w:val="00EC334A"/>
    <w:rsid w:val="00EC3404"/>
    <w:rsid w:val="00EC3463"/>
    <w:rsid w:val="00EC346E"/>
    <w:rsid w:val="00EC34B4"/>
    <w:rsid w:val="00EC3538"/>
    <w:rsid w:val="00EC3574"/>
    <w:rsid w:val="00EC3620"/>
    <w:rsid w:val="00EC3633"/>
    <w:rsid w:val="00EC3738"/>
    <w:rsid w:val="00EC37AD"/>
    <w:rsid w:val="00EC37E1"/>
    <w:rsid w:val="00EC3807"/>
    <w:rsid w:val="00EC383F"/>
    <w:rsid w:val="00EC3854"/>
    <w:rsid w:val="00EC3A24"/>
    <w:rsid w:val="00EC3A88"/>
    <w:rsid w:val="00EC3B0E"/>
    <w:rsid w:val="00EC3B9D"/>
    <w:rsid w:val="00EC3BFC"/>
    <w:rsid w:val="00EC3C0E"/>
    <w:rsid w:val="00EC3C7D"/>
    <w:rsid w:val="00EC3CD1"/>
    <w:rsid w:val="00EC3D34"/>
    <w:rsid w:val="00EC3DA9"/>
    <w:rsid w:val="00EC3DE0"/>
    <w:rsid w:val="00EC3FB7"/>
    <w:rsid w:val="00EC3FE6"/>
    <w:rsid w:val="00EC4066"/>
    <w:rsid w:val="00EC4148"/>
    <w:rsid w:val="00EC4153"/>
    <w:rsid w:val="00EC417F"/>
    <w:rsid w:val="00EC41C9"/>
    <w:rsid w:val="00EC4201"/>
    <w:rsid w:val="00EC4303"/>
    <w:rsid w:val="00EC4331"/>
    <w:rsid w:val="00EC43D5"/>
    <w:rsid w:val="00EC442F"/>
    <w:rsid w:val="00EC456D"/>
    <w:rsid w:val="00EC4617"/>
    <w:rsid w:val="00EC4631"/>
    <w:rsid w:val="00EC4652"/>
    <w:rsid w:val="00EC478A"/>
    <w:rsid w:val="00EC491F"/>
    <w:rsid w:val="00EC49F0"/>
    <w:rsid w:val="00EC49FC"/>
    <w:rsid w:val="00EC4A19"/>
    <w:rsid w:val="00EC4ABF"/>
    <w:rsid w:val="00EC4ADD"/>
    <w:rsid w:val="00EC4BB5"/>
    <w:rsid w:val="00EC4C0F"/>
    <w:rsid w:val="00EC4D10"/>
    <w:rsid w:val="00EC4D36"/>
    <w:rsid w:val="00EC4DE3"/>
    <w:rsid w:val="00EC4E92"/>
    <w:rsid w:val="00EC4ED8"/>
    <w:rsid w:val="00EC5038"/>
    <w:rsid w:val="00EC5098"/>
    <w:rsid w:val="00EC50A9"/>
    <w:rsid w:val="00EC50FD"/>
    <w:rsid w:val="00EC5160"/>
    <w:rsid w:val="00EC51FE"/>
    <w:rsid w:val="00EC524B"/>
    <w:rsid w:val="00EC5293"/>
    <w:rsid w:val="00EC52C6"/>
    <w:rsid w:val="00EC53B6"/>
    <w:rsid w:val="00EC549F"/>
    <w:rsid w:val="00EC54A0"/>
    <w:rsid w:val="00EC5582"/>
    <w:rsid w:val="00EC55D1"/>
    <w:rsid w:val="00EC565D"/>
    <w:rsid w:val="00EC5676"/>
    <w:rsid w:val="00EC56F7"/>
    <w:rsid w:val="00EC57E4"/>
    <w:rsid w:val="00EC58E4"/>
    <w:rsid w:val="00EC599B"/>
    <w:rsid w:val="00EC59AB"/>
    <w:rsid w:val="00EC5AC1"/>
    <w:rsid w:val="00EC5B04"/>
    <w:rsid w:val="00EC5B53"/>
    <w:rsid w:val="00EC5B75"/>
    <w:rsid w:val="00EC5C15"/>
    <w:rsid w:val="00EC5D49"/>
    <w:rsid w:val="00EC5DD6"/>
    <w:rsid w:val="00EC5DE6"/>
    <w:rsid w:val="00EC5E3B"/>
    <w:rsid w:val="00EC5E42"/>
    <w:rsid w:val="00EC5E66"/>
    <w:rsid w:val="00EC5ED9"/>
    <w:rsid w:val="00EC5F62"/>
    <w:rsid w:val="00EC5F8A"/>
    <w:rsid w:val="00EC602C"/>
    <w:rsid w:val="00EC610E"/>
    <w:rsid w:val="00EC611D"/>
    <w:rsid w:val="00EC620B"/>
    <w:rsid w:val="00EC6217"/>
    <w:rsid w:val="00EC6315"/>
    <w:rsid w:val="00EC632C"/>
    <w:rsid w:val="00EC63E1"/>
    <w:rsid w:val="00EC6450"/>
    <w:rsid w:val="00EC6576"/>
    <w:rsid w:val="00EC6577"/>
    <w:rsid w:val="00EC6677"/>
    <w:rsid w:val="00EC66E6"/>
    <w:rsid w:val="00EC6739"/>
    <w:rsid w:val="00EC673E"/>
    <w:rsid w:val="00EC6814"/>
    <w:rsid w:val="00EC68F9"/>
    <w:rsid w:val="00EC69A7"/>
    <w:rsid w:val="00EC6A4B"/>
    <w:rsid w:val="00EC6A9E"/>
    <w:rsid w:val="00EC6AA5"/>
    <w:rsid w:val="00EC6CCF"/>
    <w:rsid w:val="00EC6D29"/>
    <w:rsid w:val="00EC6DCE"/>
    <w:rsid w:val="00EC6E0D"/>
    <w:rsid w:val="00EC6E23"/>
    <w:rsid w:val="00EC6FA5"/>
    <w:rsid w:val="00EC703C"/>
    <w:rsid w:val="00EC704A"/>
    <w:rsid w:val="00EC709E"/>
    <w:rsid w:val="00EC7342"/>
    <w:rsid w:val="00EC7598"/>
    <w:rsid w:val="00EC760D"/>
    <w:rsid w:val="00EC766B"/>
    <w:rsid w:val="00EC7708"/>
    <w:rsid w:val="00EC771A"/>
    <w:rsid w:val="00EC77F6"/>
    <w:rsid w:val="00EC789D"/>
    <w:rsid w:val="00EC7930"/>
    <w:rsid w:val="00EC7934"/>
    <w:rsid w:val="00EC7984"/>
    <w:rsid w:val="00EC7991"/>
    <w:rsid w:val="00EC79B1"/>
    <w:rsid w:val="00EC7B69"/>
    <w:rsid w:val="00EC7B6D"/>
    <w:rsid w:val="00EC7B9F"/>
    <w:rsid w:val="00EC7BB4"/>
    <w:rsid w:val="00EC7C74"/>
    <w:rsid w:val="00EC7E36"/>
    <w:rsid w:val="00EC7EA8"/>
    <w:rsid w:val="00EC7EFD"/>
    <w:rsid w:val="00ED0042"/>
    <w:rsid w:val="00ED00C8"/>
    <w:rsid w:val="00ED0121"/>
    <w:rsid w:val="00ED012C"/>
    <w:rsid w:val="00ED0183"/>
    <w:rsid w:val="00ED01D9"/>
    <w:rsid w:val="00ED0201"/>
    <w:rsid w:val="00ED0294"/>
    <w:rsid w:val="00ED030E"/>
    <w:rsid w:val="00ED03C8"/>
    <w:rsid w:val="00ED03EC"/>
    <w:rsid w:val="00ED0402"/>
    <w:rsid w:val="00ED0406"/>
    <w:rsid w:val="00ED042D"/>
    <w:rsid w:val="00ED044C"/>
    <w:rsid w:val="00ED0571"/>
    <w:rsid w:val="00ED05C0"/>
    <w:rsid w:val="00ED062E"/>
    <w:rsid w:val="00ED06DF"/>
    <w:rsid w:val="00ED07AF"/>
    <w:rsid w:val="00ED07D5"/>
    <w:rsid w:val="00ED08DE"/>
    <w:rsid w:val="00ED08E4"/>
    <w:rsid w:val="00ED08ED"/>
    <w:rsid w:val="00ED0932"/>
    <w:rsid w:val="00ED094C"/>
    <w:rsid w:val="00ED0961"/>
    <w:rsid w:val="00ED096C"/>
    <w:rsid w:val="00ED0A8D"/>
    <w:rsid w:val="00ED0AEE"/>
    <w:rsid w:val="00ED0B3C"/>
    <w:rsid w:val="00ED0BB1"/>
    <w:rsid w:val="00ED0BF0"/>
    <w:rsid w:val="00ED0C9D"/>
    <w:rsid w:val="00ED0D06"/>
    <w:rsid w:val="00ED0D37"/>
    <w:rsid w:val="00ED0F39"/>
    <w:rsid w:val="00ED0F52"/>
    <w:rsid w:val="00ED0FBD"/>
    <w:rsid w:val="00ED0FC0"/>
    <w:rsid w:val="00ED100E"/>
    <w:rsid w:val="00ED1041"/>
    <w:rsid w:val="00ED105B"/>
    <w:rsid w:val="00ED10BE"/>
    <w:rsid w:val="00ED10C8"/>
    <w:rsid w:val="00ED124F"/>
    <w:rsid w:val="00ED12CE"/>
    <w:rsid w:val="00ED1348"/>
    <w:rsid w:val="00ED141A"/>
    <w:rsid w:val="00ED1425"/>
    <w:rsid w:val="00ED14C0"/>
    <w:rsid w:val="00ED15AD"/>
    <w:rsid w:val="00ED165C"/>
    <w:rsid w:val="00ED1685"/>
    <w:rsid w:val="00ED17AD"/>
    <w:rsid w:val="00ED1849"/>
    <w:rsid w:val="00ED19A2"/>
    <w:rsid w:val="00ED19AB"/>
    <w:rsid w:val="00ED19F8"/>
    <w:rsid w:val="00ED1AF1"/>
    <w:rsid w:val="00ED1BA5"/>
    <w:rsid w:val="00ED1C06"/>
    <w:rsid w:val="00ED1C27"/>
    <w:rsid w:val="00ED1CE5"/>
    <w:rsid w:val="00ED1D6C"/>
    <w:rsid w:val="00ED1F0B"/>
    <w:rsid w:val="00ED1F24"/>
    <w:rsid w:val="00ED202C"/>
    <w:rsid w:val="00ED2061"/>
    <w:rsid w:val="00ED20A2"/>
    <w:rsid w:val="00ED20AC"/>
    <w:rsid w:val="00ED2228"/>
    <w:rsid w:val="00ED2291"/>
    <w:rsid w:val="00ED229C"/>
    <w:rsid w:val="00ED2312"/>
    <w:rsid w:val="00ED23DC"/>
    <w:rsid w:val="00ED241A"/>
    <w:rsid w:val="00ED24A2"/>
    <w:rsid w:val="00ED2540"/>
    <w:rsid w:val="00ED26CA"/>
    <w:rsid w:val="00ED2716"/>
    <w:rsid w:val="00ED2757"/>
    <w:rsid w:val="00ED2830"/>
    <w:rsid w:val="00ED2850"/>
    <w:rsid w:val="00ED28FC"/>
    <w:rsid w:val="00ED29BC"/>
    <w:rsid w:val="00ED2A07"/>
    <w:rsid w:val="00ED2B5B"/>
    <w:rsid w:val="00ED2B75"/>
    <w:rsid w:val="00ED2B7B"/>
    <w:rsid w:val="00ED2B89"/>
    <w:rsid w:val="00ED2BA5"/>
    <w:rsid w:val="00ED2C32"/>
    <w:rsid w:val="00ED2CBE"/>
    <w:rsid w:val="00ED2CE6"/>
    <w:rsid w:val="00ED2D1A"/>
    <w:rsid w:val="00ED2D27"/>
    <w:rsid w:val="00ED2D76"/>
    <w:rsid w:val="00ED2DA8"/>
    <w:rsid w:val="00ED2DF7"/>
    <w:rsid w:val="00ED2E21"/>
    <w:rsid w:val="00ED2E29"/>
    <w:rsid w:val="00ED2E88"/>
    <w:rsid w:val="00ED2F8E"/>
    <w:rsid w:val="00ED303A"/>
    <w:rsid w:val="00ED30CF"/>
    <w:rsid w:val="00ED311F"/>
    <w:rsid w:val="00ED3183"/>
    <w:rsid w:val="00ED322D"/>
    <w:rsid w:val="00ED328E"/>
    <w:rsid w:val="00ED3295"/>
    <w:rsid w:val="00ED339E"/>
    <w:rsid w:val="00ED340C"/>
    <w:rsid w:val="00ED342F"/>
    <w:rsid w:val="00ED345B"/>
    <w:rsid w:val="00ED34C5"/>
    <w:rsid w:val="00ED351B"/>
    <w:rsid w:val="00ED3594"/>
    <w:rsid w:val="00ED363B"/>
    <w:rsid w:val="00ED367C"/>
    <w:rsid w:val="00ED3755"/>
    <w:rsid w:val="00ED37F4"/>
    <w:rsid w:val="00ED38CD"/>
    <w:rsid w:val="00ED38F8"/>
    <w:rsid w:val="00ED3943"/>
    <w:rsid w:val="00ED397F"/>
    <w:rsid w:val="00ED3AD7"/>
    <w:rsid w:val="00ED3B69"/>
    <w:rsid w:val="00ED3CA2"/>
    <w:rsid w:val="00ED3D3F"/>
    <w:rsid w:val="00ED3E0C"/>
    <w:rsid w:val="00ED3F24"/>
    <w:rsid w:val="00ED3F3C"/>
    <w:rsid w:val="00ED3FCD"/>
    <w:rsid w:val="00ED418A"/>
    <w:rsid w:val="00ED41E7"/>
    <w:rsid w:val="00ED4225"/>
    <w:rsid w:val="00ED42DF"/>
    <w:rsid w:val="00ED442D"/>
    <w:rsid w:val="00ED4459"/>
    <w:rsid w:val="00ED446C"/>
    <w:rsid w:val="00ED4481"/>
    <w:rsid w:val="00ED44A7"/>
    <w:rsid w:val="00ED457A"/>
    <w:rsid w:val="00ED45A3"/>
    <w:rsid w:val="00ED4653"/>
    <w:rsid w:val="00ED46F8"/>
    <w:rsid w:val="00ED4746"/>
    <w:rsid w:val="00ED4774"/>
    <w:rsid w:val="00ED47EF"/>
    <w:rsid w:val="00ED4864"/>
    <w:rsid w:val="00ED49C0"/>
    <w:rsid w:val="00ED49F1"/>
    <w:rsid w:val="00ED4A44"/>
    <w:rsid w:val="00ED4A6A"/>
    <w:rsid w:val="00ED4ADC"/>
    <w:rsid w:val="00ED4AE2"/>
    <w:rsid w:val="00ED4C2D"/>
    <w:rsid w:val="00ED4CA3"/>
    <w:rsid w:val="00ED4CB3"/>
    <w:rsid w:val="00ED4D7C"/>
    <w:rsid w:val="00ED4E58"/>
    <w:rsid w:val="00ED4F4F"/>
    <w:rsid w:val="00ED4F9E"/>
    <w:rsid w:val="00ED50DD"/>
    <w:rsid w:val="00ED521D"/>
    <w:rsid w:val="00ED522E"/>
    <w:rsid w:val="00ED527F"/>
    <w:rsid w:val="00ED531A"/>
    <w:rsid w:val="00ED532C"/>
    <w:rsid w:val="00ED53D4"/>
    <w:rsid w:val="00ED5454"/>
    <w:rsid w:val="00ED5483"/>
    <w:rsid w:val="00ED54AE"/>
    <w:rsid w:val="00ED54F2"/>
    <w:rsid w:val="00ED5551"/>
    <w:rsid w:val="00ED55BF"/>
    <w:rsid w:val="00ED55C8"/>
    <w:rsid w:val="00ED55D7"/>
    <w:rsid w:val="00ED568B"/>
    <w:rsid w:val="00ED56C1"/>
    <w:rsid w:val="00ED56DF"/>
    <w:rsid w:val="00ED5853"/>
    <w:rsid w:val="00ED58AE"/>
    <w:rsid w:val="00ED58C8"/>
    <w:rsid w:val="00ED58D4"/>
    <w:rsid w:val="00ED59CB"/>
    <w:rsid w:val="00ED5ABE"/>
    <w:rsid w:val="00ED5AF0"/>
    <w:rsid w:val="00ED5AFC"/>
    <w:rsid w:val="00ED5BCB"/>
    <w:rsid w:val="00ED5BDF"/>
    <w:rsid w:val="00ED5BE9"/>
    <w:rsid w:val="00ED5C39"/>
    <w:rsid w:val="00ED5C46"/>
    <w:rsid w:val="00ED5C48"/>
    <w:rsid w:val="00ED5D49"/>
    <w:rsid w:val="00ED5F01"/>
    <w:rsid w:val="00ED5F8F"/>
    <w:rsid w:val="00ED610F"/>
    <w:rsid w:val="00ED6171"/>
    <w:rsid w:val="00ED61E7"/>
    <w:rsid w:val="00ED622F"/>
    <w:rsid w:val="00ED6279"/>
    <w:rsid w:val="00ED6299"/>
    <w:rsid w:val="00ED62D2"/>
    <w:rsid w:val="00ED6378"/>
    <w:rsid w:val="00ED63A7"/>
    <w:rsid w:val="00ED63AE"/>
    <w:rsid w:val="00ED6540"/>
    <w:rsid w:val="00ED65C4"/>
    <w:rsid w:val="00ED65C6"/>
    <w:rsid w:val="00ED67EF"/>
    <w:rsid w:val="00ED6838"/>
    <w:rsid w:val="00ED6842"/>
    <w:rsid w:val="00ED6BD6"/>
    <w:rsid w:val="00ED6C4B"/>
    <w:rsid w:val="00ED6DAC"/>
    <w:rsid w:val="00ED6DCD"/>
    <w:rsid w:val="00ED6DD6"/>
    <w:rsid w:val="00ED6E22"/>
    <w:rsid w:val="00ED6E30"/>
    <w:rsid w:val="00ED6F24"/>
    <w:rsid w:val="00ED6F61"/>
    <w:rsid w:val="00ED7004"/>
    <w:rsid w:val="00ED715A"/>
    <w:rsid w:val="00ED7171"/>
    <w:rsid w:val="00ED71C8"/>
    <w:rsid w:val="00ED71FC"/>
    <w:rsid w:val="00ED7360"/>
    <w:rsid w:val="00ED7379"/>
    <w:rsid w:val="00ED7489"/>
    <w:rsid w:val="00ED7504"/>
    <w:rsid w:val="00ED75A9"/>
    <w:rsid w:val="00ED76A5"/>
    <w:rsid w:val="00ED7745"/>
    <w:rsid w:val="00ED7785"/>
    <w:rsid w:val="00ED790A"/>
    <w:rsid w:val="00ED7AEA"/>
    <w:rsid w:val="00ED7B1E"/>
    <w:rsid w:val="00ED7B57"/>
    <w:rsid w:val="00ED7B63"/>
    <w:rsid w:val="00ED7BCD"/>
    <w:rsid w:val="00ED7BEA"/>
    <w:rsid w:val="00ED7C13"/>
    <w:rsid w:val="00ED7CDE"/>
    <w:rsid w:val="00ED7E22"/>
    <w:rsid w:val="00ED7E55"/>
    <w:rsid w:val="00ED7E59"/>
    <w:rsid w:val="00ED7EAF"/>
    <w:rsid w:val="00ED7EED"/>
    <w:rsid w:val="00EE014A"/>
    <w:rsid w:val="00EE02A1"/>
    <w:rsid w:val="00EE02CE"/>
    <w:rsid w:val="00EE0377"/>
    <w:rsid w:val="00EE03FF"/>
    <w:rsid w:val="00EE05CB"/>
    <w:rsid w:val="00EE060B"/>
    <w:rsid w:val="00EE064D"/>
    <w:rsid w:val="00EE0747"/>
    <w:rsid w:val="00EE0783"/>
    <w:rsid w:val="00EE0C3A"/>
    <w:rsid w:val="00EE0C3D"/>
    <w:rsid w:val="00EE0C8B"/>
    <w:rsid w:val="00EE0D61"/>
    <w:rsid w:val="00EE0EAA"/>
    <w:rsid w:val="00EE0F29"/>
    <w:rsid w:val="00EE1136"/>
    <w:rsid w:val="00EE119E"/>
    <w:rsid w:val="00EE15A6"/>
    <w:rsid w:val="00EE16BD"/>
    <w:rsid w:val="00EE1761"/>
    <w:rsid w:val="00EE1788"/>
    <w:rsid w:val="00EE17B7"/>
    <w:rsid w:val="00EE1813"/>
    <w:rsid w:val="00EE189D"/>
    <w:rsid w:val="00EE18F4"/>
    <w:rsid w:val="00EE1915"/>
    <w:rsid w:val="00EE1985"/>
    <w:rsid w:val="00EE19B6"/>
    <w:rsid w:val="00EE19C0"/>
    <w:rsid w:val="00EE19C7"/>
    <w:rsid w:val="00EE1A7F"/>
    <w:rsid w:val="00EE1AE6"/>
    <w:rsid w:val="00EE1B19"/>
    <w:rsid w:val="00EE1B50"/>
    <w:rsid w:val="00EE1B75"/>
    <w:rsid w:val="00EE1B85"/>
    <w:rsid w:val="00EE1C6A"/>
    <w:rsid w:val="00EE1C7F"/>
    <w:rsid w:val="00EE1E94"/>
    <w:rsid w:val="00EE1E95"/>
    <w:rsid w:val="00EE1EA6"/>
    <w:rsid w:val="00EE1EAD"/>
    <w:rsid w:val="00EE1F0D"/>
    <w:rsid w:val="00EE1F97"/>
    <w:rsid w:val="00EE1FB1"/>
    <w:rsid w:val="00EE200B"/>
    <w:rsid w:val="00EE211F"/>
    <w:rsid w:val="00EE214D"/>
    <w:rsid w:val="00EE2190"/>
    <w:rsid w:val="00EE21BC"/>
    <w:rsid w:val="00EE21C8"/>
    <w:rsid w:val="00EE22C7"/>
    <w:rsid w:val="00EE22E1"/>
    <w:rsid w:val="00EE234B"/>
    <w:rsid w:val="00EE2497"/>
    <w:rsid w:val="00EE24C9"/>
    <w:rsid w:val="00EE252C"/>
    <w:rsid w:val="00EE264C"/>
    <w:rsid w:val="00EE2675"/>
    <w:rsid w:val="00EE2775"/>
    <w:rsid w:val="00EE27C3"/>
    <w:rsid w:val="00EE28DD"/>
    <w:rsid w:val="00EE2937"/>
    <w:rsid w:val="00EE29AB"/>
    <w:rsid w:val="00EE29C1"/>
    <w:rsid w:val="00EE2A0F"/>
    <w:rsid w:val="00EE2ADA"/>
    <w:rsid w:val="00EE2ADB"/>
    <w:rsid w:val="00EE2B19"/>
    <w:rsid w:val="00EE2B27"/>
    <w:rsid w:val="00EE2BDA"/>
    <w:rsid w:val="00EE2C0E"/>
    <w:rsid w:val="00EE2C6B"/>
    <w:rsid w:val="00EE2D28"/>
    <w:rsid w:val="00EE2DD4"/>
    <w:rsid w:val="00EE2F7D"/>
    <w:rsid w:val="00EE2FE3"/>
    <w:rsid w:val="00EE3081"/>
    <w:rsid w:val="00EE30C3"/>
    <w:rsid w:val="00EE3332"/>
    <w:rsid w:val="00EE3381"/>
    <w:rsid w:val="00EE3466"/>
    <w:rsid w:val="00EE3496"/>
    <w:rsid w:val="00EE34A0"/>
    <w:rsid w:val="00EE360C"/>
    <w:rsid w:val="00EE369C"/>
    <w:rsid w:val="00EE36B7"/>
    <w:rsid w:val="00EE3723"/>
    <w:rsid w:val="00EE372E"/>
    <w:rsid w:val="00EE373B"/>
    <w:rsid w:val="00EE3828"/>
    <w:rsid w:val="00EE3965"/>
    <w:rsid w:val="00EE39E3"/>
    <w:rsid w:val="00EE3AF0"/>
    <w:rsid w:val="00EE3AF5"/>
    <w:rsid w:val="00EE3B31"/>
    <w:rsid w:val="00EE3BC7"/>
    <w:rsid w:val="00EE3CDC"/>
    <w:rsid w:val="00EE3CEC"/>
    <w:rsid w:val="00EE402E"/>
    <w:rsid w:val="00EE4111"/>
    <w:rsid w:val="00EE4159"/>
    <w:rsid w:val="00EE4182"/>
    <w:rsid w:val="00EE4302"/>
    <w:rsid w:val="00EE43B8"/>
    <w:rsid w:val="00EE4454"/>
    <w:rsid w:val="00EE4467"/>
    <w:rsid w:val="00EE458D"/>
    <w:rsid w:val="00EE46E1"/>
    <w:rsid w:val="00EE485F"/>
    <w:rsid w:val="00EE48A3"/>
    <w:rsid w:val="00EE48A9"/>
    <w:rsid w:val="00EE492D"/>
    <w:rsid w:val="00EE49CB"/>
    <w:rsid w:val="00EE49D9"/>
    <w:rsid w:val="00EE4AC3"/>
    <w:rsid w:val="00EE4C0F"/>
    <w:rsid w:val="00EE4C28"/>
    <w:rsid w:val="00EE4C47"/>
    <w:rsid w:val="00EE4CC8"/>
    <w:rsid w:val="00EE4D30"/>
    <w:rsid w:val="00EE4DDB"/>
    <w:rsid w:val="00EE4F6F"/>
    <w:rsid w:val="00EE4FA3"/>
    <w:rsid w:val="00EE510C"/>
    <w:rsid w:val="00EE512F"/>
    <w:rsid w:val="00EE526F"/>
    <w:rsid w:val="00EE52D5"/>
    <w:rsid w:val="00EE5349"/>
    <w:rsid w:val="00EE534C"/>
    <w:rsid w:val="00EE5379"/>
    <w:rsid w:val="00EE53CA"/>
    <w:rsid w:val="00EE5434"/>
    <w:rsid w:val="00EE54CA"/>
    <w:rsid w:val="00EE54EA"/>
    <w:rsid w:val="00EE557C"/>
    <w:rsid w:val="00EE558C"/>
    <w:rsid w:val="00EE5774"/>
    <w:rsid w:val="00EE57C3"/>
    <w:rsid w:val="00EE57F4"/>
    <w:rsid w:val="00EE5850"/>
    <w:rsid w:val="00EE58F3"/>
    <w:rsid w:val="00EE59AD"/>
    <w:rsid w:val="00EE5B5D"/>
    <w:rsid w:val="00EE5B62"/>
    <w:rsid w:val="00EE5BF1"/>
    <w:rsid w:val="00EE5C4C"/>
    <w:rsid w:val="00EE5CBE"/>
    <w:rsid w:val="00EE5D33"/>
    <w:rsid w:val="00EE5E18"/>
    <w:rsid w:val="00EE5E2B"/>
    <w:rsid w:val="00EE5EA5"/>
    <w:rsid w:val="00EE5EAB"/>
    <w:rsid w:val="00EE5F07"/>
    <w:rsid w:val="00EE5F11"/>
    <w:rsid w:val="00EE5F37"/>
    <w:rsid w:val="00EE6049"/>
    <w:rsid w:val="00EE6053"/>
    <w:rsid w:val="00EE6086"/>
    <w:rsid w:val="00EE609F"/>
    <w:rsid w:val="00EE610F"/>
    <w:rsid w:val="00EE61F4"/>
    <w:rsid w:val="00EE620A"/>
    <w:rsid w:val="00EE6330"/>
    <w:rsid w:val="00EE6347"/>
    <w:rsid w:val="00EE63A0"/>
    <w:rsid w:val="00EE643E"/>
    <w:rsid w:val="00EE64DC"/>
    <w:rsid w:val="00EE6584"/>
    <w:rsid w:val="00EE6637"/>
    <w:rsid w:val="00EE665D"/>
    <w:rsid w:val="00EE67BE"/>
    <w:rsid w:val="00EE67C1"/>
    <w:rsid w:val="00EE67DE"/>
    <w:rsid w:val="00EE6A1C"/>
    <w:rsid w:val="00EE6A3E"/>
    <w:rsid w:val="00EE6A91"/>
    <w:rsid w:val="00EE6AD9"/>
    <w:rsid w:val="00EE6AF6"/>
    <w:rsid w:val="00EE6C05"/>
    <w:rsid w:val="00EE6C7A"/>
    <w:rsid w:val="00EE6C9A"/>
    <w:rsid w:val="00EE6D40"/>
    <w:rsid w:val="00EE6D78"/>
    <w:rsid w:val="00EE6D7E"/>
    <w:rsid w:val="00EE6D9F"/>
    <w:rsid w:val="00EE6DB4"/>
    <w:rsid w:val="00EE6E06"/>
    <w:rsid w:val="00EE6E59"/>
    <w:rsid w:val="00EE6F55"/>
    <w:rsid w:val="00EE6F8F"/>
    <w:rsid w:val="00EE6FA8"/>
    <w:rsid w:val="00EE6FC4"/>
    <w:rsid w:val="00EE6FFD"/>
    <w:rsid w:val="00EE7058"/>
    <w:rsid w:val="00EE70DB"/>
    <w:rsid w:val="00EE714E"/>
    <w:rsid w:val="00EE71BF"/>
    <w:rsid w:val="00EE71ED"/>
    <w:rsid w:val="00EE720B"/>
    <w:rsid w:val="00EE7218"/>
    <w:rsid w:val="00EE729E"/>
    <w:rsid w:val="00EE72D4"/>
    <w:rsid w:val="00EE7338"/>
    <w:rsid w:val="00EE7345"/>
    <w:rsid w:val="00EE73A2"/>
    <w:rsid w:val="00EE74B7"/>
    <w:rsid w:val="00EE7580"/>
    <w:rsid w:val="00EE7588"/>
    <w:rsid w:val="00EE75AA"/>
    <w:rsid w:val="00EE75B7"/>
    <w:rsid w:val="00EE75D2"/>
    <w:rsid w:val="00EE7621"/>
    <w:rsid w:val="00EE7669"/>
    <w:rsid w:val="00EE76B2"/>
    <w:rsid w:val="00EE76BD"/>
    <w:rsid w:val="00EE7789"/>
    <w:rsid w:val="00EE7816"/>
    <w:rsid w:val="00EE7AB8"/>
    <w:rsid w:val="00EE7BA3"/>
    <w:rsid w:val="00EE7C7C"/>
    <w:rsid w:val="00EE7D2E"/>
    <w:rsid w:val="00EE7DE2"/>
    <w:rsid w:val="00EE7F85"/>
    <w:rsid w:val="00EE7F9C"/>
    <w:rsid w:val="00EF003B"/>
    <w:rsid w:val="00EF0042"/>
    <w:rsid w:val="00EF0122"/>
    <w:rsid w:val="00EF0145"/>
    <w:rsid w:val="00EF0169"/>
    <w:rsid w:val="00EF02AA"/>
    <w:rsid w:val="00EF02C3"/>
    <w:rsid w:val="00EF034B"/>
    <w:rsid w:val="00EF03D1"/>
    <w:rsid w:val="00EF04D9"/>
    <w:rsid w:val="00EF053F"/>
    <w:rsid w:val="00EF0568"/>
    <w:rsid w:val="00EF059E"/>
    <w:rsid w:val="00EF06F3"/>
    <w:rsid w:val="00EF083F"/>
    <w:rsid w:val="00EF0848"/>
    <w:rsid w:val="00EF0897"/>
    <w:rsid w:val="00EF08E1"/>
    <w:rsid w:val="00EF0901"/>
    <w:rsid w:val="00EF0912"/>
    <w:rsid w:val="00EF09C3"/>
    <w:rsid w:val="00EF0A45"/>
    <w:rsid w:val="00EF0A4F"/>
    <w:rsid w:val="00EF0A83"/>
    <w:rsid w:val="00EF0B45"/>
    <w:rsid w:val="00EF0B73"/>
    <w:rsid w:val="00EF0CA8"/>
    <w:rsid w:val="00EF0D6B"/>
    <w:rsid w:val="00EF0EC1"/>
    <w:rsid w:val="00EF0F01"/>
    <w:rsid w:val="00EF0F28"/>
    <w:rsid w:val="00EF0F2C"/>
    <w:rsid w:val="00EF0F4F"/>
    <w:rsid w:val="00EF0FC6"/>
    <w:rsid w:val="00EF1090"/>
    <w:rsid w:val="00EF1091"/>
    <w:rsid w:val="00EF10DD"/>
    <w:rsid w:val="00EF1179"/>
    <w:rsid w:val="00EF1254"/>
    <w:rsid w:val="00EF1279"/>
    <w:rsid w:val="00EF1283"/>
    <w:rsid w:val="00EF13AF"/>
    <w:rsid w:val="00EF13E8"/>
    <w:rsid w:val="00EF141D"/>
    <w:rsid w:val="00EF1523"/>
    <w:rsid w:val="00EF183E"/>
    <w:rsid w:val="00EF199D"/>
    <w:rsid w:val="00EF1A26"/>
    <w:rsid w:val="00EF1A2B"/>
    <w:rsid w:val="00EF1A5A"/>
    <w:rsid w:val="00EF1AF5"/>
    <w:rsid w:val="00EF1B6E"/>
    <w:rsid w:val="00EF1C4B"/>
    <w:rsid w:val="00EF1CEE"/>
    <w:rsid w:val="00EF1CF3"/>
    <w:rsid w:val="00EF1D0E"/>
    <w:rsid w:val="00EF1D1F"/>
    <w:rsid w:val="00EF1D29"/>
    <w:rsid w:val="00EF1D8A"/>
    <w:rsid w:val="00EF1EA2"/>
    <w:rsid w:val="00EF1FFF"/>
    <w:rsid w:val="00EF201D"/>
    <w:rsid w:val="00EF2029"/>
    <w:rsid w:val="00EF2077"/>
    <w:rsid w:val="00EF207C"/>
    <w:rsid w:val="00EF21BE"/>
    <w:rsid w:val="00EF224B"/>
    <w:rsid w:val="00EF229D"/>
    <w:rsid w:val="00EF22EC"/>
    <w:rsid w:val="00EF2334"/>
    <w:rsid w:val="00EF234F"/>
    <w:rsid w:val="00EF2373"/>
    <w:rsid w:val="00EF23B3"/>
    <w:rsid w:val="00EF24FB"/>
    <w:rsid w:val="00EF2688"/>
    <w:rsid w:val="00EF2692"/>
    <w:rsid w:val="00EF26C2"/>
    <w:rsid w:val="00EF2788"/>
    <w:rsid w:val="00EF27BF"/>
    <w:rsid w:val="00EF27D7"/>
    <w:rsid w:val="00EF2800"/>
    <w:rsid w:val="00EF28C4"/>
    <w:rsid w:val="00EF2938"/>
    <w:rsid w:val="00EF2985"/>
    <w:rsid w:val="00EF2A7C"/>
    <w:rsid w:val="00EF2A9B"/>
    <w:rsid w:val="00EF2AE9"/>
    <w:rsid w:val="00EF2B1F"/>
    <w:rsid w:val="00EF2BE5"/>
    <w:rsid w:val="00EF2C0B"/>
    <w:rsid w:val="00EF2C4F"/>
    <w:rsid w:val="00EF2CA1"/>
    <w:rsid w:val="00EF2CA9"/>
    <w:rsid w:val="00EF2DF4"/>
    <w:rsid w:val="00EF2DF8"/>
    <w:rsid w:val="00EF2E57"/>
    <w:rsid w:val="00EF2F25"/>
    <w:rsid w:val="00EF2FB0"/>
    <w:rsid w:val="00EF3124"/>
    <w:rsid w:val="00EF313B"/>
    <w:rsid w:val="00EF3157"/>
    <w:rsid w:val="00EF321B"/>
    <w:rsid w:val="00EF3228"/>
    <w:rsid w:val="00EF3261"/>
    <w:rsid w:val="00EF335F"/>
    <w:rsid w:val="00EF33B7"/>
    <w:rsid w:val="00EF3415"/>
    <w:rsid w:val="00EF3416"/>
    <w:rsid w:val="00EF3476"/>
    <w:rsid w:val="00EF34BF"/>
    <w:rsid w:val="00EF355F"/>
    <w:rsid w:val="00EF3569"/>
    <w:rsid w:val="00EF35C0"/>
    <w:rsid w:val="00EF3633"/>
    <w:rsid w:val="00EF3747"/>
    <w:rsid w:val="00EF3775"/>
    <w:rsid w:val="00EF37A6"/>
    <w:rsid w:val="00EF38C8"/>
    <w:rsid w:val="00EF3946"/>
    <w:rsid w:val="00EF39B8"/>
    <w:rsid w:val="00EF3A49"/>
    <w:rsid w:val="00EF3A82"/>
    <w:rsid w:val="00EF3A97"/>
    <w:rsid w:val="00EF3A99"/>
    <w:rsid w:val="00EF3ACE"/>
    <w:rsid w:val="00EF3D43"/>
    <w:rsid w:val="00EF3E01"/>
    <w:rsid w:val="00EF3EB4"/>
    <w:rsid w:val="00EF3EC2"/>
    <w:rsid w:val="00EF3F33"/>
    <w:rsid w:val="00EF3F48"/>
    <w:rsid w:val="00EF3F66"/>
    <w:rsid w:val="00EF3F8B"/>
    <w:rsid w:val="00EF3FB9"/>
    <w:rsid w:val="00EF3FFE"/>
    <w:rsid w:val="00EF40E3"/>
    <w:rsid w:val="00EF40FD"/>
    <w:rsid w:val="00EF4135"/>
    <w:rsid w:val="00EF417E"/>
    <w:rsid w:val="00EF41B5"/>
    <w:rsid w:val="00EF41D1"/>
    <w:rsid w:val="00EF426B"/>
    <w:rsid w:val="00EF426E"/>
    <w:rsid w:val="00EF42FC"/>
    <w:rsid w:val="00EF4323"/>
    <w:rsid w:val="00EF4379"/>
    <w:rsid w:val="00EF4447"/>
    <w:rsid w:val="00EF4451"/>
    <w:rsid w:val="00EF44EC"/>
    <w:rsid w:val="00EF4551"/>
    <w:rsid w:val="00EF4614"/>
    <w:rsid w:val="00EF4870"/>
    <w:rsid w:val="00EF48D7"/>
    <w:rsid w:val="00EF48F7"/>
    <w:rsid w:val="00EF4920"/>
    <w:rsid w:val="00EF497A"/>
    <w:rsid w:val="00EF4A7C"/>
    <w:rsid w:val="00EF4B02"/>
    <w:rsid w:val="00EF4BD0"/>
    <w:rsid w:val="00EF4BF4"/>
    <w:rsid w:val="00EF4D7A"/>
    <w:rsid w:val="00EF4DF2"/>
    <w:rsid w:val="00EF4EA3"/>
    <w:rsid w:val="00EF4F4E"/>
    <w:rsid w:val="00EF4FD9"/>
    <w:rsid w:val="00EF500F"/>
    <w:rsid w:val="00EF506B"/>
    <w:rsid w:val="00EF511A"/>
    <w:rsid w:val="00EF5139"/>
    <w:rsid w:val="00EF5239"/>
    <w:rsid w:val="00EF5399"/>
    <w:rsid w:val="00EF53AE"/>
    <w:rsid w:val="00EF53C9"/>
    <w:rsid w:val="00EF53DD"/>
    <w:rsid w:val="00EF54AD"/>
    <w:rsid w:val="00EF55C7"/>
    <w:rsid w:val="00EF5853"/>
    <w:rsid w:val="00EF58AF"/>
    <w:rsid w:val="00EF58D0"/>
    <w:rsid w:val="00EF59BD"/>
    <w:rsid w:val="00EF5A14"/>
    <w:rsid w:val="00EF5A19"/>
    <w:rsid w:val="00EF5A32"/>
    <w:rsid w:val="00EF5A54"/>
    <w:rsid w:val="00EF5ABE"/>
    <w:rsid w:val="00EF5B23"/>
    <w:rsid w:val="00EF5BA0"/>
    <w:rsid w:val="00EF5BD9"/>
    <w:rsid w:val="00EF5BE2"/>
    <w:rsid w:val="00EF5C1C"/>
    <w:rsid w:val="00EF5D35"/>
    <w:rsid w:val="00EF5D9B"/>
    <w:rsid w:val="00EF5DDA"/>
    <w:rsid w:val="00EF5DE8"/>
    <w:rsid w:val="00EF5DF6"/>
    <w:rsid w:val="00EF5E94"/>
    <w:rsid w:val="00EF5EB8"/>
    <w:rsid w:val="00EF6010"/>
    <w:rsid w:val="00EF601D"/>
    <w:rsid w:val="00EF603D"/>
    <w:rsid w:val="00EF60E6"/>
    <w:rsid w:val="00EF61D6"/>
    <w:rsid w:val="00EF6395"/>
    <w:rsid w:val="00EF6442"/>
    <w:rsid w:val="00EF6464"/>
    <w:rsid w:val="00EF65EF"/>
    <w:rsid w:val="00EF66FE"/>
    <w:rsid w:val="00EF672A"/>
    <w:rsid w:val="00EF68B0"/>
    <w:rsid w:val="00EF6AB8"/>
    <w:rsid w:val="00EF6AC3"/>
    <w:rsid w:val="00EF6AFB"/>
    <w:rsid w:val="00EF6B0C"/>
    <w:rsid w:val="00EF6B6B"/>
    <w:rsid w:val="00EF6BD5"/>
    <w:rsid w:val="00EF6D4C"/>
    <w:rsid w:val="00EF6DFF"/>
    <w:rsid w:val="00EF6E40"/>
    <w:rsid w:val="00EF6EFE"/>
    <w:rsid w:val="00EF6F08"/>
    <w:rsid w:val="00EF6F5D"/>
    <w:rsid w:val="00EF6FF0"/>
    <w:rsid w:val="00EF703F"/>
    <w:rsid w:val="00EF70B9"/>
    <w:rsid w:val="00EF717D"/>
    <w:rsid w:val="00EF72B2"/>
    <w:rsid w:val="00EF72DE"/>
    <w:rsid w:val="00EF7344"/>
    <w:rsid w:val="00EF7479"/>
    <w:rsid w:val="00EF747A"/>
    <w:rsid w:val="00EF74D2"/>
    <w:rsid w:val="00EF755E"/>
    <w:rsid w:val="00EF75B6"/>
    <w:rsid w:val="00EF75CF"/>
    <w:rsid w:val="00EF75D1"/>
    <w:rsid w:val="00EF760B"/>
    <w:rsid w:val="00EF7637"/>
    <w:rsid w:val="00EF768B"/>
    <w:rsid w:val="00EF76F6"/>
    <w:rsid w:val="00EF7706"/>
    <w:rsid w:val="00EF7756"/>
    <w:rsid w:val="00EF775B"/>
    <w:rsid w:val="00EF7827"/>
    <w:rsid w:val="00EF7839"/>
    <w:rsid w:val="00EF788B"/>
    <w:rsid w:val="00EF789B"/>
    <w:rsid w:val="00EF78C4"/>
    <w:rsid w:val="00EF78F1"/>
    <w:rsid w:val="00EF793B"/>
    <w:rsid w:val="00EF793D"/>
    <w:rsid w:val="00EF7962"/>
    <w:rsid w:val="00EF79A2"/>
    <w:rsid w:val="00EF79A3"/>
    <w:rsid w:val="00EF79B2"/>
    <w:rsid w:val="00EF79CC"/>
    <w:rsid w:val="00EF7A93"/>
    <w:rsid w:val="00EF7ADC"/>
    <w:rsid w:val="00EF7B1E"/>
    <w:rsid w:val="00EF7BFD"/>
    <w:rsid w:val="00EF7C2A"/>
    <w:rsid w:val="00EF7CCF"/>
    <w:rsid w:val="00EF7D31"/>
    <w:rsid w:val="00EF7ECD"/>
    <w:rsid w:val="00EF7EEA"/>
    <w:rsid w:val="00EF7F3B"/>
    <w:rsid w:val="00EF7FCA"/>
    <w:rsid w:val="00EF7FCE"/>
    <w:rsid w:val="00EF7FE1"/>
    <w:rsid w:val="00EF7FE5"/>
    <w:rsid w:val="00F00000"/>
    <w:rsid w:val="00F001FC"/>
    <w:rsid w:val="00F00255"/>
    <w:rsid w:val="00F002A2"/>
    <w:rsid w:val="00F005D0"/>
    <w:rsid w:val="00F00603"/>
    <w:rsid w:val="00F0065A"/>
    <w:rsid w:val="00F00696"/>
    <w:rsid w:val="00F00735"/>
    <w:rsid w:val="00F00771"/>
    <w:rsid w:val="00F0080C"/>
    <w:rsid w:val="00F008F4"/>
    <w:rsid w:val="00F00950"/>
    <w:rsid w:val="00F009E0"/>
    <w:rsid w:val="00F00AD9"/>
    <w:rsid w:val="00F00ADC"/>
    <w:rsid w:val="00F00BEB"/>
    <w:rsid w:val="00F00C10"/>
    <w:rsid w:val="00F00CBD"/>
    <w:rsid w:val="00F00CF2"/>
    <w:rsid w:val="00F00D3A"/>
    <w:rsid w:val="00F00D88"/>
    <w:rsid w:val="00F00DAD"/>
    <w:rsid w:val="00F00DFF"/>
    <w:rsid w:val="00F00E7C"/>
    <w:rsid w:val="00F00EED"/>
    <w:rsid w:val="00F00FA3"/>
    <w:rsid w:val="00F010F6"/>
    <w:rsid w:val="00F01146"/>
    <w:rsid w:val="00F011B7"/>
    <w:rsid w:val="00F01207"/>
    <w:rsid w:val="00F01387"/>
    <w:rsid w:val="00F013CC"/>
    <w:rsid w:val="00F01459"/>
    <w:rsid w:val="00F014D6"/>
    <w:rsid w:val="00F01527"/>
    <w:rsid w:val="00F01536"/>
    <w:rsid w:val="00F015F6"/>
    <w:rsid w:val="00F01605"/>
    <w:rsid w:val="00F01677"/>
    <w:rsid w:val="00F01721"/>
    <w:rsid w:val="00F01897"/>
    <w:rsid w:val="00F019EB"/>
    <w:rsid w:val="00F01AD1"/>
    <w:rsid w:val="00F01AEB"/>
    <w:rsid w:val="00F01B25"/>
    <w:rsid w:val="00F01B40"/>
    <w:rsid w:val="00F01B5C"/>
    <w:rsid w:val="00F01BC3"/>
    <w:rsid w:val="00F01BD8"/>
    <w:rsid w:val="00F01D03"/>
    <w:rsid w:val="00F01D53"/>
    <w:rsid w:val="00F01E0C"/>
    <w:rsid w:val="00F01E45"/>
    <w:rsid w:val="00F01F2C"/>
    <w:rsid w:val="00F01F7B"/>
    <w:rsid w:val="00F01FE8"/>
    <w:rsid w:val="00F01FED"/>
    <w:rsid w:val="00F02010"/>
    <w:rsid w:val="00F02014"/>
    <w:rsid w:val="00F0207A"/>
    <w:rsid w:val="00F0211B"/>
    <w:rsid w:val="00F023C5"/>
    <w:rsid w:val="00F0241D"/>
    <w:rsid w:val="00F02453"/>
    <w:rsid w:val="00F02542"/>
    <w:rsid w:val="00F025D8"/>
    <w:rsid w:val="00F02622"/>
    <w:rsid w:val="00F02762"/>
    <w:rsid w:val="00F027AA"/>
    <w:rsid w:val="00F027B6"/>
    <w:rsid w:val="00F0294E"/>
    <w:rsid w:val="00F0295A"/>
    <w:rsid w:val="00F029EB"/>
    <w:rsid w:val="00F029F3"/>
    <w:rsid w:val="00F02A45"/>
    <w:rsid w:val="00F02A65"/>
    <w:rsid w:val="00F02AAD"/>
    <w:rsid w:val="00F02B68"/>
    <w:rsid w:val="00F02B7B"/>
    <w:rsid w:val="00F02BCA"/>
    <w:rsid w:val="00F02C6C"/>
    <w:rsid w:val="00F02DF1"/>
    <w:rsid w:val="00F02E15"/>
    <w:rsid w:val="00F02FDB"/>
    <w:rsid w:val="00F02FEE"/>
    <w:rsid w:val="00F03028"/>
    <w:rsid w:val="00F03151"/>
    <w:rsid w:val="00F03275"/>
    <w:rsid w:val="00F03277"/>
    <w:rsid w:val="00F032E9"/>
    <w:rsid w:val="00F03337"/>
    <w:rsid w:val="00F035A6"/>
    <w:rsid w:val="00F0364A"/>
    <w:rsid w:val="00F036E1"/>
    <w:rsid w:val="00F0377F"/>
    <w:rsid w:val="00F037A9"/>
    <w:rsid w:val="00F03805"/>
    <w:rsid w:val="00F0388E"/>
    <w:rsid w:val="00F03B1D"/>
    <w:rsid w:val="00F03B30"/>
    <w:rsid w:val="00F03B71"/>
    <w:rsid w:val="00F03C51"/>
    <w:rsid w:val="00F03C7C"/>
    <w:rsid w:val="00F03CAA"/>
    <w:rsid w:val="00F03DB0"/>
    <w:rsid w:val="00F03E6E"/>
    <w:rsid w:val="00F03F1C"/>
    <w:rsid w:val="00F03F62"/>
    <w:rsid w:val="00F040B2"/>
    <w:rsid w:val="00F0424F"/>
    <w:rsid w:val="00F0428F"/>
    <w:rsid w:val="00F04328"/>
    <w:rsid w:val="00F0435E"/>
    <w:rsid w:val="00F0437B"/>
    <w:rsid w:val="00F043C0"/>
    <w:rsid w:val="00F044A6"/>
    <w:rsid w:val="00F044AC"/>
    <w:rsid w:val="00F04537"/>
    <w:rsid w:val="00F04569"/>
    <w:rsid w:val="00F04589"/>
    <w:rsid w:val="00F0458F"/>
    <w:rsid w:val="00F045C4"/>
    <w:rsid w:val="00F045C7"/>
    <w:rsid w:val="00F0463E"/>
    <w:rsid w:val="00F046AF"/>
    <w:rsid w:val="00F046BA"/>
    <w:rsid w:val="00F046EE"/>
    <w:rsid w:val="00F0470E"/>
    <w:rsid w:val="00F04742"/>
    <w:rsid w:val="00F0487F"/>
    <w:rsid w:val="00F04899"/>
    <w:rsid w:val="00F048AD"/>
    <w:rsid w:val="00F048C1"/>
    <w:rsid w:val="00F04965"/>
    <w:rsid w:val="00F04A8B"/>
    <w:rsid w:val="00F04AAC"/>
    <w:rsid w:val="00F04AE8"/>
    <w:rsid w:val="00F04B19"/>
    <w:rsid w:val="00F04BD1"/>
    <w:rsid w:val="00F04C06"/>
    <w:rsid w:val="00F04CD0"/>
    <w:rsid w:val="00F04D03"/>
    <w:rsid w:val="00F04D69"/>
    <w:rsid w:val="00F04DB7"/>
    <w:rsid w:val="00F04DD3"/>
    <w:rsid w:val="00F04E52"/>
    <w:rsid w:val="00F04E83"/>
    <w:rsid w:val="00F04F2D"/>
    <w:rsid w:val="00F05015"/>
    <w:rsid w:val="00F050B2"/>
    <w:rsid w:val="00F0513B"/>
    <w:rsid w:val="00F05184"/>
    <w:rsid w:val="00F051CD"/>
    <w:rsid w:val="00F05296"/>
    <w:rsid w:val="00F0532A"/>
    <w:rsid w:val="00F05330"/>
    <w:rsid w:val="00F05415"/>
    <w:rsid w:val="00F05540"/>
    <w:rsid w:val="00F055F5"/>
    <w:rsid w:val="00F05791"/>
    <w:rsid w:val="00F0579F"/>
    <w:rsid w:val="00F0585B"/>
    <w:rsid w:val="00F05860"/>
    <w:rsid w:val="00F05864"/>
    <w:rsid w:val="00F05910"/>
    <w:rsid w:val="00F0597E"/>
    <w:rsid w:val="00F059E4"/>
    <w:rsid w:val="00F059EA"/>
    <w:rsid w:val="00F05A7B"/>
    <w:rsid w:val="00F05BA2"/>
    <w:rsid w:val="00F05BFB"/>
    <w:rsid w:val="00F05C3F"/>
    <w:rsid w:val="00F05CEC"/>
    <w:rsid w:val="00F05D2F"/>
    <w:rsid w:val="00F05D3F"/>
    <w:rsid w:val="00F05D9B"/>
    <w:rsid w:val="00F05DE6"/>
    <w:rsid w:val="00F05E2F"/>
    <w:rsid w:val="00F05E47"/>
    <w:rsid w:val="00F05E9B"/>
    <w:rsid w:val="00F05F12"/>
    <w:rsid w:val="00F05F32"/>
    <w:rsid w:val="00F05F59"/>
    <w:rsid w:val="00F05F64"/>
    <w:rsid w:val="00F05FF3"/>
    <w:rsid w:val="00F06031"/>
    <w:rsid w:val="00F06065"/>
    <w:rsid w:val="00F06120"/>
    <w:rsid w:val="00F06160"/>
    <w:rsid w:val="00F061A5"/>
    <w:rsid w:val="00F0631E"/>
    <w:rsid w:val="00F06337"/>
    <w:rsid w:val="00F0641B"/>
    <w:rsid w:val="00F06458"/>
    <w:rsid w:val="00F0649B"/>
    <w:rsid w:val="00F064A6"/>
    <w:rsid w:val="00F064DD"/>
    <w:rsid w:val="00F06517"/>
    <w:rsid w:val="00F0654D"/>
    <w:rsid w:val="00F06648"/>
    <w:rsid w:val="00F0665E"/>
    <w:rsid w:val="00F06672"/>
    <w:rsid w:val="00F066AE"/>
    <w:rsid w:val="00F06718"/>
    <w:rsid w:val="00F06778"/>
    <w:rsid w:val="00F067E8"/>
    <w:rsid w:val="00F06878"/>
    <w:rsid w:val="00F06889"/>
    <w:rsid w:val="00F0696A"/>
    <w:rsid w:val="00F069BF"/>
    <w:rsid w:val="00F069CC"/>
    <w:rsid w:val="00F06A48"/>
    <w:rsid w:val="00F06A87"/>
    <w:rsid w:val="00F06B44"/>
    <w:rsid w:val="00F06BCD"/>
    <w:rsid w:val="00F06C91"/>
    <w:rsid w:val="00F06CD5"/>
    <w:rsid w:val="00F06D2C"/>
    <w:rsid w:val="00F06DA7"/>
    <w:rsid w:val="00F06DD0"/>
    <w:rsid w:val="00F06E04"/>
    <w:rsid w:val="00F06E79"/>
    <w:rsid w:val="00F07007"/>
    <w:rsid w:val="00F07063"/>
    <w:rsid w:val="00F070F6"/>
    <w:rsid w:val="00F07181"/>
    <w:rsid w:val="00F071F8"/>
    <w:rsid w:val="00F07201"/>
    <w:rsid w:val="00F07203"/>
    <w:rsid w:val="00F07283"/>
    <w:rsid w:val="00F072DE"/>
    <w:rsid w:val="00F07363"/>
    <w:rsid w:val="00F07396"/>
    <w:rsid w:val="00F073A1"/>
    <w:rsid w:val="00F0743A"/>
    <w:rsid w:val="00F074C1"/>
    <w:rsid w:val="00F07501"/>
    <w:rsid w:val="00F07519"/>
    <w:rsid w:val="00F0753E"/>
    <w:rsid w:val="00F0757E"/>
    <w:rsid w:val="00F075D0"/>
    <w:rsid w:val="00F07631"/>
    <w:rsid w:val="00F07706"/>
    <w:rsid w:val="00F0770A"/>
    <w:rsid w:val="00F07740"/>
    <w:rsid w:val="00F07830"/>
    <w:rsid w:val="00F0785C"/>
    <w:rsid w:val="00F078DE"/>
    <w:rsid w:val="00F079D5"/>
    <w:rsid w:val="00F07A73"/>
    <w:rsid w:val="00F07A7E"/>
    <w:rsid w:val="00F07ADD"/>
    <w:rsid w:val="00F07B4A"/>
    <w:rsid w:val="00F07C1D"/>
    <w:rsid w:val="00F07D2A"/>
    <w:rsid w:val="00F07DDF"/>
    <w:rsid w:val="00F07DF4"/>
    <w:rsid w:val="00F07E75"/>
    <w:rsid w:val="00F10015"/>
    <w:rsid w:val="00F1008A"/>
    <w:rsid w:val="00F100AB"/>
    <w:rsid w:val="00F100B1"/>
    <w:rsid w:val="00F100C6"/>
    <w:rsid w:val="00F1016E"/>
    <w:rsid w:val="00F101D4"/>
    <w:rsid w:val="00F101E9"/>
    <w:rsid w:val="00F10230"/>
    <w:rsid w:val="00F1023C"/>
    <w:rsid w:val="00F102E9"/>
    <w:rsid w:val="00F10328"/>
    <w:rsid w:val="00F103DB"/>
    <w:rsid w:val="00F10496"/>
    <w:rsid w:val="00F1055D"/>
    <w:rsid w:val="00F10632"/>
    <w:rsid w:val="00F10645"/>
    <w:rsid w:val="00F1066B"/>
    <w:rsid w:val="00F106B9"/>
    <w:rsid w:val="00F10965"/>
    <w:rsid w:val="00F109B9"/>
    <w:rsid w:val="00F10BE1"/>
    <w:rsid w:val="00F10C7A"/>
    <w:rsid w:val="00F10D2C"/>
    <w:rsid w:val="00F10D4B"/>
    <w:rsid w:val="00F10D4D"/>
    <w:rsid w:val="00F10DA8"/>
    <w:rsid w:val="00F10E6E"/>
    <w:rsid w:val="00F10EAD"/>
    <w:rsid w:val="00F10F4E"/>
    <w:rsid w:val="00F11019"/>
    <w:rsid w:val="00F11047"/>
    <w:rsid w:val="00F1104F"/>
    <w:rsid w:val="00F110E7"/>
    <w:rsid w:val="00F1114C"/>
    <w:rsid w:val="00F11186"/>
    <w:rsid w:val="00F111B9"/>
    <w:rsid w:val="00F11271"/>
    <w:rsid w:val="00F112A1"/>
    <w:rsid w:val="00F112AF"/>
    <w:rsid w:val="00F112C4"/>
    <w:rsid w:val="00F114F3"/>
    <w:rsid w:val="00F11679"/>
    <w:rsid w:val="00F116F2"/>
    <w:rsid w:val="00F1170D"/>
    <w:rsid w:val="00F117F3"/>
    <w:rsid w:val="00F11A63"/>
    <w:rsid w:val="00F11A9C"/>
    <w:rsid w:val="00F11AC9"/>
    <w:rsid w:val="00F11AD2"/>
    <w:rsid w:val="00F11B44"/>
    <w:rsid w:val="00F11B87"/>
    <w:rsid w:val="00F11BC1"/>
    <w:rsid w:val="00F11BF2"/>
    <w:rsid w:val="00F11C9A"/>
    <w:rsid w:val="00F11CC9"/>
    <w:rsid w:val="00F11D6C"/>
    <w:rsid w:val="00F11E7E"/>
    <w:rsid w:val="00F11EF4"/>
    <w:rsid w:val="00F11F16"/>
    <w:rsid w:val="00F11F42"/>
    <w:rsid w:val="00F11FD0"/>
    <w:rsid w:val="00F11FDD"/>
    <w:rsid w:val="00F11FF2"/>
    <w:rsid w:val="00F12034"/>
    <w:rsid w:val="00F12049"/>
    <w:rsid w:val="00F120BA"/>
    <w:rsid w:val="00F12118"/>
    <w:rsid w:val="00F1216D"/>
    <w:rsid w:val="00F121CA"/>
    <w:rsid w:val="00F121DA"/>
    <w:rsid w:val="00F1222C"/>
    <w:rsid w:val="00F1228C"/>
    <w:rsid w:val="00F1228F"/>
    <w:rsid w:val="00F12379"/>
    <w:rsid w:val="00F123BA"/>
    <w:rsid w:val="00F12403"/>
    <w:rsid w:val="00F12439"/>
    <w:rsid w:val="00F124A1"/>
    <w:rsid w:val="00F12570"/>
    <w:rsid w:val="00F125BA"/>
    <w:rsid w:val="00F125F7"/>
    <w:rsid w:val="00F126B1"/>
    <w:rsid w:val="00F12739"/>
    <w:rsid w:val="00F12858"/>
    <w:rsid w:val="00F12865"/>
    <w:rsid w:val="00F12902"/>
    <w:rsid w:val="00F12979"/>
    <w:rsid w:val="00F129FE"/>
    <w:rsid w:val="00F12A1E"/>
    <w:rsid w:val="00F12AB6"/>
    <w:rsid w:val="00F12B41"/>
    <w:rsid w:val="00F12B57"/>
    <w:rsid w:val="00F12BA6"/>
    <w:rsid w:val="00F12C91"/>
    <w:rsid w:val="00F12CC3"/>
    <w:rsid w:val="00F12CC9"/>
    <w:rsid w:val="00F12CD7"/>
    <w:rsid w:val="00F12D91"/>
    <w:rsid w:val="00F12EBC"/>
    <w:rsid w:val="00F12ED0"/>
    <w:rsid w:val="00F12F0E"/>
    <w:rsid w:val="00F12F3B"/>
    <w:rsid w:val="00F12FEA"/>
    <w:rsid w:val="00F1301E"/>
    <w:rsid w:val="00F1301F"/>
    <w:rsid w:val="00F130A7"/>
    <w:rsid w:val="00F13128"/>
    <w:rsid w:val="00F13148"/>
    <w:rsid w:val="00F13195"/>
    <w:rsid w:val="00F13207"/>
    <w:rsid w:val="00F1320E"/>
    <w:rsid w:val="00F13245"/>
    <w:rsid w:val="00F13272"/>
    <w:rsid w:val="00F132FE"/>
    <w:rsid w:val="00F13342"/>
    <w:rsid w:val="00F13371"/>
    <w:rsid w:val="00F133C5"/>
    <w:rsid w:val="00F134CB"/>
    <w:rsid w:val="00F135CA"/>
    <w:rsid w:val="00F1361C"/>
    <w:rsid w:val="00F13669"/>
    <w:rsid w:val="00F13874"/>
    <w:rsid w:val="00F138D9"/>
    <w:rsid w:val="00F13955"/>
    <w:rsid w:val="00F139E7"/>
    <w:rsid w:val="00F13A3F"/>
    <w:rsid w:val="00F13A41"/>
    <w:rsid w:val="00F13B1D"/>
    <w:rsid w:val="00F13B34"/>
    <w:rsid w:val="00F13C58"/>
    <w:rsid w:val="00F13C80"/>
    <w:rsid w:val="00F13D95"/>
    <w:rsid w:val="00F13F1D"/>
    <w:rsid w:val="00F13F9B"/>
    <w:rsid w:val="00F13FD3"/>
    <w:rsid w:val="00F14013"/>
    <w:rsid w:val="00F1406C"/>
    <w:rsid w:val="00F1409F"/>
    <w:rsid w:val="00F1412E"/>
    <w:rsid w:val="00F141BF"/>
    <w:rsid w:val="00F142D7"/>
    <w:rsid w:val="00F14401"/>
    <w:rsid w:val="00F14423"/>
    <w:rsid w:val="00F14544"/>
    <w:rsid w:val="00F1455A"/>
    <w:rsid w:val="00F145D2"/>
    <w:rsid w:val="00F14615"/>
    <w:rsid w:val="00F1480A"/>
    <w:rsid w:val="00F14821"/>
    <w:rsid w:val="00F1482C"/>
    <w:rsid w:val="00F1496E"/>
    <w:rsid w:val="00F149E1"/>
    <w:rsid w:val="00F14B21"/>
    <w:rsid w:val="00F14BD0"/>
    <w:rsid w:val="00F14C2A"/>
    <w:rsid w:val="00F14C97"/>
    <w:rsid w:val="00F14CC1"/>
    <w:rsid w:val="00F14CD2"/>
    <w:rsid w:val="00F14CF1"/>
    <w:rsid w:val="00F14D76"/>
    <w:rsid w:val="00F14DF0"/>
    <w:rsid w:val="00F14E08"/>
    <w:rsid w:val="00F14E78"/>
    <w:rsid w:val="00F14EC4"/>
    <w:rsid w:val="00F14EC7"/>
    <w:rsid w:val="00F14F3A"/>
    <w:rsid w:val="00F14FBF"/>
    <w:rsid w:val="00F14FD1"/>
    <w:rsid w:val="00F14FEC"/>
    <w:rsid w:val="00F14FF1"/>
    <w:rsid w:val="00F15019"/>
    <w:rsid w:val="00F1512D"/>
    <w:rsid w:val="00F1518F"/>
    <w:rsid w:val="00F15192"/>
    <w:rsid w:val="00F1519C"/>
    <w:rsid w:val="00F151AC"/>
    <w:rsid w:val="00F153DC"/>
    <w:rsid w:val="00F155E8"/>
    <w:rsid w:val="00F1574B"/>
    <w:rsid w:val="00F1574E"/>
    <w:rsid w:val="00F15769"/>
    <w:rsid w:val="00F1580B"/>
    <w:rsid w:val="00F15880"/>
    <w:rsid w:val="00F158F8"/>
    <w:rsid w:val="00F15B54"/>
    <w:rsid w:val="00F15C18"/>
    <w:rsid w:val="00F15CD6"/>
    <w:rsid w:val="00F15D0D"/>
    <w:rsid w:val="00F15D13"/>
    <w:rsid w:val="00F15E8D"/>
    <w:rsid w:val="00F15ED0"/>
    <w:rsid w:val="00F15F79"/>
    <w:rsid w:val="00F160DF"/>
    <w:rsid w:val="00F1622F"/>
    <w:rsid w:val="00F16278"/>
    <w:rsid w:val="00F1633F"/>
    <w:rsid w:val="00F163AA"/>
    <w:rsid w:val="00F1642B"/>
    <w:rsid w:val="00F1642E"/>
    <w:rsid w:val="00F1649B"/>
    <w:rsid w:val="00F16583"/>
    <w:rsid w:val="00F165AA"/>
    <w:rsid w:val="00F165E2"/>
    <w:rsid w:val="00F165E5"/>
    <w:rsid w:val="00F165FC"/>
    <w:rsid w:val="00F16676"/>
    <w:rsid w:val="00F16703"/>
    <w:rsid w:val="00F1671C"/>
    <w:rsid w:val="00F167C9"/>
    <w:rsid w:val="00F1693A"/>
    <w:rsid w:val="00F16A71"/>
    <w:rsid w:val="00F16BA5"/>
    <w:rsid w:val="00F16D8D"/>
    <w:rsid w:val="00F16D96"/>
    <w:rsid w:val="00F16E57"/>
    <w:rsid w:val="00F16ED1"/>
    <w:rsid w:val="00F16EE1"/>
    <w:rsid w:val="00F16EE8"/>
    <w:rsid w:val="00F16F7E"/>
    <w:rsid w:val="00F16F86"/>
    <w:rsid w:val="00F17063"/>
    <w:rsid w:val="00F170BA"/>
    <w:rsid w:val="00F170CA"/>
    <w:rsid w:val="00F171E5"/>
    <w:rsid w:val="00F17220"/>
    <w:rsid w:val="00F1722E"/>
    <w:rsid w:val="00F172B6"/>
    <w:rsid w:val="00F17494"/>
    <w:rsid w:val="00F174BF"/>
    <w:rsid w:val="00F174DD"/>
    <w:rsid w:val="00F1754E"/>
    <w:rsid w:val="00F17616"/>
    <w:rsid w:val="00F17663"/>
    <w:rsid w:val="00F17743"/>
    <w:rsid w:val="00F17786"/>
    <w:rsid w:val="00F1779E"/>
    <w:rsid w:val="00F178E6"/>
    <w:rsid w:val="00F17913"/>
    <w:rsid w:val="00F1794C"/>
    <w:rsid w:val="00F179A0"/>
    <w:rsid w:val="00F17A97"/>
    <w:rsid w:val="00F17B32"/>
    <w:rsid w:val="00F17B4C"/>
    <w:rsid w:val="00F17B9B"/>
    <w:rsid w:val="00F17BA1"/>
    <w:rsid w:val="00F17C08"/>
    <w:rsid w:val="00F17C35"/>
    <w:rsid w:val="00F17C41"/>
    <w:rsid w:val="00F17C54"/>
    <w:rsid w:val="00F17D1A"/>
    <w:rsid w:val="00F17D9C"/>
    <w:rsid w:val="00F17DEA"/>
    <w:rsid w:val="00F17E53"/>
    <w:rsid w:val="00F17E62"/>
    <w:rsid w:val="00F17E7C"/>
    <w:rsid w:val="00F17E97"/>
    <w:rsid w:val="00F17FAB"/>
    <w:rsid w:val="00F17FB0"/>
    <w:rsid w:val="00F17FD6"/>
    <w:rsid w:val="00F2008B"/>
    <w:rsid w:val="00F200D6"/>
    <w:rsid w:val="00F2015C"/>
    <w:rsid w:val="00F201C2"/>
    <w:rsid w:val="00F2023D"/>
    <w:rsid w:val="00F20320"/>
    <w:rsid w:val="00F2032B"/>
    <w:rsid w:val="00F20379"/>
    <w:rsid w:val="00F2037F"/>
    <w:rsid w:val="00F20564"/>
    <w:rsid w:val="00F20683"/>
    <w:rsid w:val="00F206DD"/>
    <w:rsid w:val="00F20710"/>
    <w:rsid w:val="00F20747"/>
    <w:rsid w:val="00F20826"/>
    <w:rsid w:val="00F2084D"/>
    <w:rsid w:val="00F20A04"/>
    <w:rsid w:val="00F20AA7"/>
    <w:rsid w:val="00F20ADB"/>
    <w:rsid w:val="00F20B20"/>
    <w:rsid w:val="00F20B2A"/>
    <w:rsid w:val="00F20C1D"/>
    <w:rsid w:val="00F20C85"/>
    <w:rsid w:val="00F20CC1"/>
    <w:rsid w:val="00F20CEA"/>
    <w:rsid w:val="00F20D0C"/>
    <w:rsid w:val="00F20D9A"/>
    <w:rsid w:val="00F20DDA"/>
    <w:rsid w:val="00F20DDD"/>
    <w:rsid w:val="00F20ECC"/>
    <w:rsid w:val="00F20F94"/>
    <w:rsid w:val="00F20FA0"/>
    <w:rsid w:val="00F2106F"/>
    <w:rsid w:val="00F2109C"/>
    <w:rsid w:val="00F210C7"/>
    <w:rsid w:val="00F211EB"/>
    <w:rsid w:val="00F212A7"/>
    <w:rsid w:val="00F212A8"/>
    <w:rsid w:val="00F212DF"/>
    <w:rsid w:val="00F213DE"/>
    <w:rsid w:val="00F21413"/>
    <w:rsid w:val="00F214F4"/>
    <w:rsid w:val="00F2154C"/>
    <w:rsid w:val="00F21561"/>
    <w:rsid w:val="00F21570"/>
    <w:rsid w:val="00F2157F"/>
    <w:rsid w:val="00F2158D"/>
    <w:rsid w:val="00F2165D"/>
    <w:rsid w:val="00F2165F"/>
    <w:rsid w:val="00F2166E"/>
    <w:rsid w:val="00F2169C"/>
    <w:rsid w:val="00F216D9"/>
    <w:rsid w:val="00F21756"/>
    <w:rsid w:val="00F217B6"/>
    <w:rsid w:val="00F217C7"/>
    <w:rsid w:val="00F217C9"/>
    <w:rsid w:val="00F2181E"/>
    <w:rsid w:val="00F21858"/>
    <w:rsid w:val="00F218AF"/>
    <w:rsid w:val="00F218C6"/>
    <w:rsid w:val="00F2190E"/>
    <w:rsid w:val="00F21910"/>
    <w:rsid w:val="00F219B5"/>
    <w:rsid w:val="00F21A3F"/>
    <w:rsid w:val="00F21A6C"/>
    <w:rsid w:val="00F21A75"/>
    <w:rsid w:val="00F21A87"/>
    <w:rsid w:val="00F21AE6"/>
    <w:rsid w:val="00F21BDE"/>
    <w:rsid w:val="00F21BE8"/>
    <w:rsid w:val="00F21C2A"/>
    <w:rsid w:val="00F21C7B"/>
    <w:rsid w:val="00F21D77"/>
    <w:rsid w:val="00F21DDA"/>
    <w:rsid w:val="00F21DE0"/>
    <w:rsid w:val="00F21F63"/>
    <w:rsid w:val="00F21F9C"/>
    <w:rsid w:val="00F21FAF"/>
    <w:rsid w:val="00F2210B"/>
    <w:rsid w:val="00F22140"/>
    <w:rsid w:val="00F22156"/>
    <w:rsid w:val="00F22182"/>
    <w:rsid w:val="00F22396"/>
    <w:rsid w:val="00F223EB"/>
    <w:rsid w:val="00F2248D"/>
    <w:rsid w:val="00F224AE"/>
    <w:rsid w:val="00F2253D"/>
    <w:rsid w:val="00F22558"/>
    <w:rsid w:val="00F225D2"/>
    <w:rsid w:val="00F225E1"/>
    <w:rsid w:val="00F2268D"/>
    <w:rsid w:val="00F226AB"/>
    <w:rsid w:val="00F227BD"/>
    <w:rsid w:val="00F22814"/>
    <w:rsid w:val="00F2287B"/>
    <w:rsid w:val="00F228D6"/>
    <w:rsid w:val="00F22958"/>
    <w:rsid w:val="00F229AD"/>
    <w:rsid w:val="00F229C1"/>
    <w:rsid w:val="00F22A80"/>
    <w:rsid w:val="00F22A83"/>
    <w:rsid w:val="00F22B70"/>
    <w:rsid w:val="00F22C45"/>
    <w:rsid w:val="00F22C6E"/>
    <w:rsid w:val="00F22C98"/>
    <w:rsid w:val="00F22CC2"/>
    <w:rsid w:val="00F22D84"/>
    <w:rsid w:val="00F22DA8"/>
    <w:rsid w:val="00F22E10"/>
    <w:rsid w:val="00F22F02"/>
    <w:rsid w:val="00F22F40"/>
    <w:rsid w:val="00F22F4E"/>
    <w:rsid w:val="00F22F6B"/>
    <w:rsid w:val="00F22F70"/>
    <w:rsid w:val="00F22F7D"/>
    <w:rsid w:val="00F23042"/>
    <w:rsid w:val="00F23166"/>
    <w:rsid w:val="00F2317C"/>
    <w:rsid w:val="00F231FE"/>
    <w:rsid w:val="00F232DF"/>
    <w:rsid w:val="00F232E7"/>
    <w:rsid w:val="00F23333"/>
    <w:rsid w:val="00F23463"/>
    <w:rsid w:val="00F234CC"/>
    <w:rsid w:val="00F23633"/>
    <w:rsid w:val="00F23691"/>
    <w:rsid w:val="00F236FA"/>
    <w:rsid w:val="00F23714"/>
    <w:rsid w:val="00F23758"/>
    <w:rsid w:val="00F238D6"/>
    <w:rsid w:val="00F23932"/>
    <w:rsid w:val="00F2394D"/>
    <w:rsid w:val="00F23A94"/>
    <w:rsid w:val="00F23C06"/>
    <w:rsid w:val="00F23C36"/>
    <w:rsid w:val="00F23C6B"/>
    <w:rsid w:val="00F23D11"/>
    <w:rsid w:val="00F23D6B"/>
    <w:rsid w:val="00F23E7F"/>
    <w:rsid w:val="00F24032"/>
    <w:rsid w:val="00F24051"/>
    <w:rsid w:val="00F240C7"/>
    <w:rsid w:val="00F2411A"/>
    <w:rsid w:val="00F24152"/>
    <w:rsid w:val="00F241DC"/>
    <w:rsid w:val="00F2436E"/>
    <w:rsid w:val="00F24449"/>
    <w:rsid w:val="00F24464"/>
    <w:rsid w:val="00F24554"/>
    <w:rsid w:val="00F24564"/>
    <w:rsid w:val="00F24628"/>
    <w:rsid w:val="00F24639"/>
    <w:rsid w:val="00F246E0"/>
    <w:rsid w:val="00F24787"/>
    <w:rsid w:val="00F247D7"/>
    <w:rsid w:val="00F247EC"/>
    <w:rsid w:val="00F24870"/>
    <w:rsid w:val="00F24920"/>
    <w:rsid w:val="00F249AA"/>
    <w:rsid w:val="00F24A28"/>
    <w:rsid w:val="00F24C29"/>
    <w:rsid w:val="00F24CCD"/>
    <w:rsid w:val="00F24DE3"/>
    <w:rsid w:val="00F24E70"/>
    <w:rsid w:val="00F24F3B"/>
    <w:rsid w:val="00F24F69"/>
    <w:rsid w:val="00F24FAD"/>
    <w:rsid w:val="00F250D8"/>
    <w:rsid w:val="00F25140"/>
    <w:rsid w:val="00F25145"/>
    <w:rsid w:val="00F25167"/>
    <w:rsid w:val="00F25174"/>
    <w:rsid w:val="00F251E8"/>
    <w:rsid w:val="00F25228"/>
    <w:rsid w:val="00F25254"/>
    <w:rsid w:val="00F25316"/>
    <w:rsid w:val="00F2542E"/>
    <w:rsid w:val="00F254A4"/>
    <w:rsid w:val="00F254D4"/>
    <w:rsid w:val="00F254EC"/>
    <w:rsid w:val="00F254ED"/>
    <w:rsid w:val="00F254FA"/>
    <w:rsid w:val="00F2559A"/>
    <w:rsid w:val="00F2559D"/>
    <w:rsid w:val="00F255BB"/>
    <w:rsid w:val="00F255D3"/>
    <w:rsid w:val="00F25609"/>
    <w:rsid w:val="00F2561C"/>
    <w:rsid w:val="00F25642"/>
    <w:rsid w:val="00F25770"/>
    <w:rsid w:val="00F257BE"/>
    <w:rsid w:val="00F258F6"/>
    <w:rsid w:val="00F25963"/>
    <w:rsid w:val="00F2597A"/>
    <w:rsid w:val="00F25A16"/>
    <w:rsid w:val="00F25AE1"/>
    <w:rsid w:val="00F25B0B"/>
    <w:rsid w:val="00F25B1B"/>
    <w:rsid w:val="00F25BE5"/>
    <w:rsid w:val="00F25C76"/>
    <w:rsid w:val="00F25CFE"/>
    <w:rsid w:val="00F25D03"/>
    <w:rsid w:val="00F25D04"/>
    <w:rsid w:val="00F25DEF"/>
    <w:rsid w:val="00F25E60"/>
    <w:rsid w:val="00F25E8A"/>
    <w:rsid w:val="00F25EFB"/>
    <w:rsid w:val="00F2605F"/>
    <w:rsid w:val="00F2608A"/>
    <w:rsid w:val="00F26114"/>
    <w:rsid w:val="00F26121"/>
    <w:rsid w:val="00F26166"/>
    <w:rsid w:val="00F26172"/>
    <w:rsid w:val="00F261C8"/>
    <w:rsid w:val="00F262D9"/>
    <w:rsid w:val="00F262F1"/>
    <w:rsid w:val="00F262FC"/>
    <w:rsid w:val="00F2640C"/>
    <w:rsid w:val="00F26538"/>
    <w:rsid w:val="00F265C2"/>
    <w:rsid w:val="00F265D4"/>
    <w:rsid w:val="00F265E7"/>
    <w:rsid w:val="00F26619"/>
    <w:rsid w:val="00F2662C"/>
    <w:rsid w:val="00F26675"/>
    <w:rsid w:val="00F266D2"/>
    <w:rsid w:val="00F2673A"/>
    <w:rsid w:val="00F26803"/>
    <w:rsid w:val="00F2686C"/>
    <w:rsid w:val="00F26894"/>
    <w:rsid w:val="00F26ABC"/>
    <w:rsid w:val="00F26AEE"/>
    <w:rsid w:val="00F26B0A"/>
    <w:rsid w:val="00F26CEA"/>
    <w:rsid w:val="00F26D15"/>
    <w:rsid w:val="00F26DA3"/>
    <w:rsid w:val="00F26DD1"/>
    <w:rsid w:val="00F26EFB"/>
    <w:rsid w:val="00F26F04"/>
    <w:rsid w:val="00F26F1B"/>
    <w:rsid w:val="00F27056"/>
    <w:rsid w:val="00F270BD"/>
    <w:rsid w:val="00F27109"/>
    <w:rsid w:val="00F27178"/>
    <w:rsid w:val="00F2721C"/>
    <w:rsid w:val="00F27233"/>
    <w:rsid w:val="00F27267"/>
    <w:rsid w:val="00F272ED"/>
    <w:rsid w:val="00F27300"/>
    <w:rsid w:val="00F2735A"/>
    <w:rsid w:val="00F273C0"/>
    <w:rsid w:val="00F273D5"/>
    <w:rsid w:val="00F27411"/>
    <w:rsid w:val="00F27484"/>
    <w:rsid w:val="00F2749A"/>
    <w:rsid w:val="00F2754A"/>
    <w:rsid w:val="00F275E5"/>
    <w:rsid w:val="00F27684"/>
    <w:rsid w:val="00F27777"/>
    <w:rsid w:val="00F277D9"/>
    <w:rsid w:val="00F278AA"/>
    <w:rsid w:val="00F2797F"/>
    <w:rsid w:val="00F279D9"/>
    <w:rsid w:val="00F27BEA"/>
    <w:rsid w:val="00F27C60"/>
    <w:rsid w:val="00F27D5C"/>
    <w:rsid w:val="00F27E57"/>
    <w:rsid w:val="00F27EEA"/>
    <w:rsid w:val="00F27EF0"/>
    <w:rsid w:val="00F30077"/>
    <w:rsid w:val="00F300E6"/>
    <w:rsid w:val="00F301FD"/>
    <w:rsid w:val="00F30272"/>
    <w:rsid w:val="00F302F0"/>
    <w:rsid w:val="00F302F1"/>
    <w:rsid w:val="00F304C1"/>
    <w:rsid w:val="00F304C7"/>
    <w:rsid w:val="00F305B4"/>
    <w:rsid w:val="00F3075A"/>
    <w:rsid w:val="00F3077A"/>
    <w:rsid w:val="00F308F4"/>
    <w:rsid w:val="00F30A29"/>
    <w:rsid w:val="00F30B39"/>
    <w:rsid w:val="00F30CD6"/>
    <w:rsid w:val="00F30D74"/>
    <w:rsid w:val="00F30E12"/>
    <w:rsid w:val="00F30E3C"/>
    <w:rsid w:val="00F30E47"/>
    <w:rsid w:val="00F30F72"/>
    <w:rsid w:val="00F30FFD"/>
    <w:rsid w:val="00F31071"/>
    <w:rsid w:val="00F310D0"/>
    <w:rsid w:val="00F311A8"/>
    <w:rsid w:val="00F311DF"/>
    <w:rsid w:val="00F312EC"/>
    <w:rsid w:val="00F31376"/>
    <w:rsid w:val="00F313E4"/>
    <w:rsid w:val="00F3141B"/>
    <w:rsid w:val="00F31448"/>
    <w:rsid w:val="00F31491"/>
    <w:rsid w:val="00F31510"/>
    <w:rsid w:val="00F315DB"/>
    <w:rsid w:val="00F315DF"/>
    <w:rsid w:val="00F315EA"/>
    <w:rsid w:val="00F3161D"/>
    <w:rsid w:val="00F31620"/>
    <w:rsid w:val="00F3165E"/>
    <w:rsid w:val="00F31698"/>
    <w:rsid w:val="00F316E2"/>
    <w:rsid w:val="00F31724"/>
    <w:rsid w:val="00F317D7"/>
    <w:rsid w:val="00F317DE"/>
    <w:rsid w:val="00F3181D"/>
    <w:rsid w:val="00F318C8"/>
    <w:rsid w:val="00F31954"/>
    <w:rsid w:val="00F3198A"/>
    <w:rsid w:val="00F319A8"/>
    <w:rsid w:val="00F319E2"/>
    <w:rsid w:val="00F31C8F"/>
    <w:rsid w:val="00F31CBE"/>
    <w:rsid w:val="00F31CC6"/>
    <w:rsid w:val="00F31D1F"/>
    <w:rsid w:val="00F31D76"/>
    <w:rsid w:val="00F31E01"/>
    <w:rsid w:val="00F31E34"/>
    <w:rsid w:val="00F31E70"/>
    <w:rsid w:val="00F31EAF"/>
    <w:rsid w:val="00F31FCB"/>
    <w:rsid w:val="00F320ED"/>
    <w:rsid w:val="00F3213F"/>
    <w:rsid w:val="00F32183"/>
    <w:rsid w:val="00F321AB"/>
    <w:rsid w:val="00F32368"/>
    <w:rsid w:val="00F32379"/>
    <w:rsid w:val="00F323DF"/>
    <w:rsid w:val="00F32479"/>
    <w:rsid w:val="00F324B0"/>
    <w:rsid w:val="00F3250D"/>
    <w:rsid w:val="00F32531"/>
    <w:rsid w:val="00F326FB"/>
    <w:rsid w:val="00F32703"/>
    <w:rsid w:val="00F32721"/>
    <w:rsid w:val="00F328AE"/>
    <w:rsid w:val="00F328E2"/>
    <w:rsid w:val="00F3294F"/>
    <w:rsid w:val="00F32976"/>
    <w:rsid w:val="00F32978"/>
    <w:rsid w:val="00F329BB"/>
    <w:rsid w:val="00F32A19"/>
    <w:rsid w:val="00F32A89"/>
    <w:rsid w:val="00F32B08"/>
    <w:rsid w:val="00F32B40"/>
    <w:rsid w:val="00F32CB7"/>
    <w:rsid w:val="00F32CD7"/>
    <w:rsid w:val="00F32D77"/>
    <w:rsid w:val="00F32DA0"/>
    <w:rsid w:val="00F32E22"/>
    <w:rsid w:val="00F32E60"/>
    <w:rsid w:val="00F32E8D"/>
    <w:rsid w:val="00F32F55"/>
    <w:rsid w:val="00F33082"/>
    <w:rsid w:val="00F33083"/>
    <w:rsid w:val="00F330E0"/>
    <w:rsid w:val="00F3319B"/>
    <w:rsid w:val="00F3319D"/>
    <w:rsid w:val="00F332A1"/>
    <w:rsid w:val="00F33302"/>
    <w:rsid w:val="00F33410"/>
    <w:rsid w:val="00F3343F"/>
    <w:rsid w:val="00F334BC"/>
    <w:rsid w:val="00F33610"/>
    <w:rsid w:val="00F3366E"/>
    <w:rsid w:val="00F3379C"/>
    <w:rsid w:val="00F337B3"/>
    <w:rsid w:val="00F33867"/>
    <w:rsid w:val="00F3386D"/>
    <w:rsid w:val="00F338E0"/>
    <w:rsid w:val="00F3390B"/>
    <w:rsid w:val="00F3395E"/>
    <w:rsid w:val="00F339F6"/>
    <w:rsid w:val="00F33A7C"/>
    <w:rsid w:val="00F33A8B"/>
    <w:rsid w:val="00F33B46"/>
    <w:rsid w:val="00F33C17"/>
    <w:rsid w:val="00F33C19"/>
    <w:rsid w:val="00F33C80"/>
    <w:rsid w:val="00F33CCC"/>
    <w:rsid w:val="00F33EA4"/>
    <w:rsid w:val="00F33FA0"/>
    <w:rsid w:val="00F341B4"/>
    <w:rsid w:val="00F341C4"/>
    <w:rsid w:val="00F34284"/>
    <w:rsid w:val="00F34354"/>
    <w:rsid w:val="00F34551"/>
    <w:rsid w:val="00F34605"/>
    <w:rsid w:val="00F34651"/>
    <w:rsid w:val="00F34715"/>
    <w:rsid w:val="00F347A6"/>
    <w:rsid w:val="00F3488F"/>
    <w:rsid w:val="00F34904"/>
    <w:rsid w:val="00F349B6"/>
    <w:rsid w:val="00F34B3D"/>
    <w:rsid w:val="00F34B5F"/>
    <w:rsid w:val="00F34C56"/>
    <w:rsid w:val="00F34CB6"/>
    <w:rsid w:val="00F34D7B"/>
    <w:rsid w:val="00F34DC8"/>
    <w:rsid w:val="00F34F3B"/>
    <w:rsid w:val="00F34F41"/>
    <w:rsid w:val="00F35026"/>
    <w:rsid w:val="00F3502A"/>
    <w:rsid w:val="00F35068"/>
    <w:rsid w:val="00F35199"/>
    <w:rsid w:val="00F351C1"/>
    <w:rsid w:val="00F351C9"/>
    <w:rsid w:val="00F351DE"/>
    <w:rsid w:val="00F3528C"/>
    <w:rsid w:val="00F353DA"/>
    <w:rsid w:val="00F353E3"/>
    <w:rsid w:val="00F35474"/>
    <w:rsid w:val="00F35494"/>
    <w:rsid w:val="00F354BF"/>
    <w:rsid w:val="00F3557B"/>
    <w:rsid w:val="00F355B7"/>
    <w:rsid w:val="00F35603"/>
    <w:rsid w:val="00F35790"/>
    <w:rsid w:val="00F357EE"/>
    <w:rsid w:val="00F3587D"/>
    <w:rsid w:val="00F358F8"/>
    <w:rsid w:val="00F35973"/>
    <w:rsid w:val="00F359CF"/>
    <w:rsid w:val="00F359D4"/>
    <w:rsid w:val="00F359EF"/>
    <w:rsid w:val="00F35A70"/>
    <w:rsid w:val="00F35A7A"/>
    <w:rsid w:val="00F35AB8"/>
    <w:rsid w:val="00F35AC3"/>
    <w:rsid w:val="00F35AE2"/>
    <w:rsid w:val="00F35B59"/>
    <w:rsid w:val="00F35B5F"/>
    <w:rsid w:val="00F35B8B"/>
    <w:rsid w:val="00F35C13"/>
    <w:rsid w:val="00F35D18"/>
    <w:rsid w:val="00F35D68"/>
    <w:rsid w:val="00F35DC2"/>
    <w:rsid w:val="00F35E47"/>
    <w:rsid w:val="00F35F60"/>
    <w:rsid w:val="00F3614F"/>
    <w:rsid w:val="00F36225"/>
    <w:rsid w:val="00F3623F"/>
    <w:rsid w:val="00F36275"/>
    <w:rsid w:val="00F36291"/>
    <w:rsid w:val="00F3634F"/>
    <w:rsid w:val="00F36431"/>
    <w:rsid w:val="00F364B4"/>
    <w:rsid w:val="00F3668B"/>
    <w:rsid w:val="00F366E3"/>
    <w:rsid w:val="00F367AA"/>
    <w:rsid w:val="00F3680E"/>
    <w:rsid w:val="00F3683A"/>
    <w:rsid w:val="00F3692C"/>
    <w:rsid w:val="00F369C5"/>
    <w:rsid w:val="00F36A3D"/>
    <w:rsid w:val="00F36B9C"/>
    <w:rsid w:val="00F36CD4"/>
    <w:rsid w:val="00F36DF3"/>
    <w:rsid w:val="00F36E2C"/>
    <w:rsid w:val="00F36F94"/>
    <w:rsid w:val="00F370D6"/>
    <w:rsid w:val="00F3717D"/>
    <w:rsid w:val="00F37232"/>
    <w:rsid w:val="00F37263"/>
    <w:rsid w:val="00F37350"/>
    <w:rsid w:val="00F373E6"/>
    <w:rsid w:val="00F3744E"/>
    <w:rsid w:val="00F37455"/>
    <w:rsid w:val="00F3753D"/>
    <w:rsid w:val="00F37599"/>
    <w:rsid w:val="00F3762C"/>
    <w:rsid w:val="00F3767B"/>
    <w:rsid w:val="00F376C9"/>
    <w:rsid w:val="00F377EE"/>
    <w:rsid w:val="00F37962"/>
    <w:rsid w:val="00F37A29"/>
    <w:rsid w:val="00F37C7C"/>
    <w:rsid w:val="00F37CD6"/>
    <w:rsid w:val="00F37D29"/>
    <w:rsid w:val="00F37D62"/>
    <w:rsid w:val="00F37DE8"/>
    <w:rsid w:val="00F37E54"/>
    <w:rsid w:val="00F37E62"/>
    <w:rsid w:val="00F40023"/>
    <w:rsid w:val="00F40084"/>
    <w:rsid w:val="00F40131"/>
    <w:rsid w:val="00F401AA"/>
    <w:rsid w:val="00F401AC"/>
    <w:rsid w:val="00F401F8"/>
    <w:rsid w:val="00F40209"/>
    <w:rsid w:val="00F4021D"/>
    <w:rsid w:val="00F4023B"/>
    <w:rsid w:val="00F40294"/>
    <w:rsid w:val="00F4040D"/>
    <w:rsid w:val="00F40454"/>
    <w:rsid w:val="00F4048B"/>
    <w:rsid w:val="00F404F3"/>
    <w:rsid w:val="00F405C2"/>
    <w:rsid w:val="00F4065E"/>
    <w:rsid w:val="00F406D3"/>
    <w:rsid w:val="00F4070F"/>
    <w:rsid w:val="00F40753"/>
    <w:rsid w:val="00F40985"/>
    <w:rsid w:val="00F409F2"/>
    <w:rsid w:val="00F40AE2"/>
    <w:rsid w:val="00F40B82"/>
    <w:rsid w:val="00F40C7A"/>
    <w:rsid w:val="00F40C8D"/>
    <w:rsid w:val="00F40D07"/>
    <w:rsid w:val="00F40D25"/>
    <w:rsid w:val="00F40D35"/>
    <w:rsid w:val="00F40D63"/>
    <w:rsid w:val="00F40DD9"/>
    <w:rsid w:val="00F40E00"/>
    <w:rsid w:val="00F40EE7"/>
    <w:rsid w:val="00F40FBE"/>
    <w:rsid w:val="00F41097"/>
    <w:rsid w:val="00F410EB"/>
    <w:rsid w:val="00F41112"/>
    <w:rsid w:val="00F411FB"/>
    <w:rsid w:val="00F41471"/>
    <w:rsid w:val="00F414DF"/>
    <w:rsid w:val="00F41545"/>
    <w:rsid w:val="00F4161A"/>
    <w:rsid w:val="00F4167C"/>
    <w:rsid w:val="00F4187F"/>
    <w:rsid w:val="00F418BD"/>
    <w:rsid w:val="00F418C8"/>
    <w:rsid w:val="00F418FB"/>
    <w:rsid w:val="00F4190E"/>
    <w:rsid w:val="00F41A19"/>
    <w:rsid w:val="00F41ABC"/>
    <w:rsid w:val="00F41AD2"/>
    <w:rsid w:val="00F41B43"/>
    <w:rsid w:val="00F41B8A"/>
    <w:rsid w:val="00F41BC8"/>
    <w:rsid w:val="00F41BD1"/>
    <w:rsid w:val="00F41C11"/>
    <w:rsid w:val="00F41C31"/>
    <w:rsid w:val="00F41CD1"/>
    <w:rsid w:val="00F41DF3"/>
    <w:rsid w:val="00F41E78"/>
    <w:rsid w:val="00F41F04"/>
    <w:rsid w:val="00F41F95"/>
    <w:rsid w:val="00F4201A"/>
    <w:rsid w:val="00F4211C"/>
    <w:rsid w:val="00F421EA"/>
    <w:rsid w:val="00F421F1"/>
    <w:rsid w:val="00F422A7"/>
    <w:rsid w:val="00F422AF"/>
    <w:rsid w:val="00F4245C"/>
    <w:rsid w:val="00F42515"/>
    <w:rsid w:val="00F4259A"/>
    <w:rsid w:val="00F4259C"/>
    <w:rsid w:val="00F425A0"/>
    <w:rsid w:val="00F42602"/>
    <w:rsid w:val="00F42633"/>
    <w:rsid w:val="00F42696"/>
    <w:rsid w:val="00F4276C"/>
    <w:rsid w:val="00F42783"/>
    <w:rsid w:val="00F42913"/>
    <w:rsid w:val="00F42922"/>
    <w:rsid w:val="00F429D2"/>
    <w:rsid w:val="00F429D4"/>
    <w:rsid w:val="00F42AA2"/>
    <w:rsid w:val="00F42AFE"/>
    <w:rsid w:val="00F42B38"/>
    <w:rsid w:val="00F42B3D"/>
    <w:rsid w:val="00F42BE5"/>
    <w:rsid w:val="00F42C41"/>
    <w:rsid w:val="00F42C6A"/>
    <w:rsid w:val="00F42C94"/>
    <w:rsid w:val="00F42CDC"/>
    <w:rsid w:val="00F42D8F"/>
    <w:rsid w:val="00F42DE3"/>
    <w:rsid w:val="00F42EBE"/>
    <w:rsid w:val="00F42EC2"/>
    <w:rsid w:val="00F42EDF"/>
    <w:rsid w:val="00F43039"/>
    <w:rsid w:val="00F43118"/>
    <w:rsid w:val="00F431A4"/>
    <w:rsid w:val="00F431CF"/>
    <w:rsid w:val="00F431F1"/>
    <w:rsid w:val="00F43214"/>
    <w:rsid w:val="00F4322F"/>
    <w:rsid w:val="00F4330E"/>
    <w:rsid w:val="00F43392"/>
    <w:rsid w:val="00F4348F"/>
    <w:rsid w:val="00F434C2"/>
    <w:rsid w:val="00F434CE"/>
    <w:rsid w:val="00F434FA"/>
    <w:rsid w:val="00F43548"/>
    <w:rsid w:val="00F435B5"/>
    <w:rsid w:val="00F435E8"/>
    <w:rsid w:val="00F43690"/>
    <w:rsid w:val="00F436A2"/>
    <w:rsid w:val="00F4371E"/>
    <w:rsid w:val="00F43764"/>
    <w:rsid w:val="00F43910"/>
    <w:rsid w:val="00F439E2"/>
    <w:rsid w:val="00F439F5"/>
    <w:rsid w:val="00F43A7A"/>
    <w:rsid w:val="00F43B3D"/>
    <w:rsid w:val="00F43B64"/>
    <w:rsid w:val="00F43B74"/>
    <w:rsid w:val="00F43BCD"/>
    <w:rsid w:val="00F43BF5"/>
    <w:rsid w:val="00F43CEB"/>
    <w:rsid w:val="00F43D22"/>
    <w:rsid w:val="00F43DA5"/>
    <w:rsid w:val="00F43DEB"/>
    <w:rsid w:val="00F43E5A"/>
    <w:rsid w:val="00F43E70"/>
    <w:rsid w:val="00F43F01"/>
    <w:rsid w:val="00F43FED"/>
    <w:rsid w:val="00F44043"/>
    <w:rsid w:val="00F44102"/>
    <w:rsid w:val="00F4420D"/>
    <w:rsid w:val="00F4431A"/>
    <w:rsid w:val="00F44404"/>
    <w:rsid w:val="00F44432"/>
    <w:rsid w:val="00F445A9"/>
    <w:rsid w:val="00F445C6"/>
    <w:rsid w:val="00F446E5"/>
    <w:rsid w:val="00F446F7"/>
    <w:rsid w:val="00F447F7"/>
    <w:rsid w:val="00F4481A"/>
    <w:rsid w:val="00F44830"/>
    <w:rsid w:val="00F4485A"/>
    <w:rsid w:val="00F44871"/>
    <w:rsid w:val="00F4491D"/>
    <w:rsid w:val="00F44973"/>
    <w:rsid w:val="00F44A3D"/>
    <w:rsid w:val="00F44A4E"/>
    <w:rsid w:val="00F44A83"/>
    <w:rsid w:val="00F44B51"/>
    <w:rsid w:val="00F44B7A"/>
    <w:rsid w:val="00F44BB4"/>
    <w:rsid w:val="00F44BC2"/>
    <w:rsid w:val="00F44C27"/>
    <w:rsid w:val="00F44C36"/>
    <w:rsid w:val="00F44C3C"/>
    <w:rsid w:val="00F44CE5"/>
    <w:rsid w:val="00F44E7E"/>
    <w:rsid w:val="00F4504C"/>
    <w:rsid w:val="00F45075"/>
    <w:rsid w:val="00F45080"/>
    <w:rsid w:val="00F450A8"/>
    <w:rsid w:val="00F450C8"/>
    <w:rsid w:val="00F450CB"/>
    <w:rsid w:val="00F45295"/>
    <w:rsid w:val="00F45339"/>
    <w:rsid w:val="00F4537A"/>
    <w:rsid w:val="00F4543D"/>
    <w:rsid w:val="00F4555C"/>
    <w:rsid w:val="00F45565"/>
    <w:rsid w:val="00F45616"/>
    <w:rsid w:val="00F45645"/>
    <w:rsid w:val="00F4572E"/>
    <w:rsid w:val="00F45730"/>
    <w:rsid w:val="00F457F0"/>
    <w:rsid w:val="00F45890"/>
    <w:rsid w:val="00F458D3"/>
    <w:rsid w:val="00F4593E"/>
    <w:rsid w:val="00F45942"/>
    <w:rsid w:val="00F45B0F"/>
    <w:rsid w:val="00F45B4F"/>
    <w:rsid w:val="00F45B65"/>
    <w:rsid w:val="00F45B69"/>
    <w:rsid w:val="00F45B76"/>
    <w:rsid w:val="00F45C08"/>
    <w:rsid w:val="00F45C7A"/>
    <w:rsid w:val="00F45F4B"/>
    <w:rsid w:val="00F45FAA"/>
    <w:rsid w:val="00F4604B"/>
    <w:rsid w:val="00F46063"/>
    <w:rsid w:val="00F460E2"/>
    <w:rsid w:val="00F4612A"/>
    <w:rsid w:val="00F463FA"/>
    <w:rsid w:val="00F4658A"/>
    <w:rsid w:val="00F46599"/>
    <w:rsid w:val="00F46617"/>
    <w:rsid w:val="00F4666F"/>
    <w:rsid w:val="00F466C7"/>
    <w:rsid w:val="00F4675E"/>
    <w:rsid w:val="00F46817"/>
    <w:rsid w:val="00F46864"/>
    <w:rsid w:val="00F46888"/>
    <w:rsid w:val="00F4689C"/>
    <w:rsid w:val="00F46917"/>
    <w:rsid w:val="00F4691F"/>
    <w:rsid w:val="00F4693B"/>
    <w:rsid w:val="00F46A61"/>
    <w:rsid w:val="00F46AB4"/>
    <w:rsid w:val="00F46B5B"/>
    <w:rsid w:val="00F46C71"/>
    <w:rsid w:val="00F46C76"/>
    <w:rsid w:val="00F46D2F"/>
    <w:rsid w:val="00F46D42"/>
    <w:rsid w:val="00F46D59"/>
    <w:rsid w:val="00F46D86"/>
    <w:rsid w:val="00F46D99"/>
    <w:rsid w:val="00F46E73"/>
    <w:rsid w:val="00F46FF3"/>
    <w:rsid w:val="00F470BA"/>
    <w:rsid w:val="00F47280"/>
    <w:rsid w:val="00F47288"/>
    <w:rsid w:val="00F4733E"/>
    <w:rsid w:val="00F47503"/>
    <w:rsid w:val="00F476E3"/>
    <w:rsid w:val="00F4778D"/>
    <w:rsid w:val="00F477AC"/>
    <w:rsid w:val="00F4790A"/>
    <w:rsid w:val="00F479D7"/>
    <w:rsid w:val="00F47BC8"/>
    <w:rsid w:val="00F47C17"/>
    <w:rsid w:val="00F47C74"/>
    <w:rsid w:val="00F47D75"/>
    <w:rsid w:val="00F47D82"/>
    <w:rsid w:val="00F47DB1"/>
    <w:rsid w:val="00F47E7B"/>
    <w:rsid w:val="00F47EB0"/>
    <w:rsid w:val="00F47EF1"/>
    <w:rsid w:val="00F47FCB"/>
    <w:rsid w:val="00F50064"/>
    <w:rsid w:val="00F50065"/>
    <w:rsid w:val="00F50098"/>
    <w:rsid w:val="00F500A3"/>
    <w:rsid w:val="00F500FF"/>
    <w:rsid w:val="00F5018B"/>
    <w:rsid w:val="00F50202"/>
    <w:rsid w:val="00F5029D"/>
    <w:rsid w:val="00F50379"/>
    <w:rsid w:val="00F5038D"/>
    <w:rsid w:val="00F5043A"/>
    <w:rsid w:val="00F50441"/>
    <w:rsid w:val="00F50510"/>
    <w:rsid w:val="00F505F0"/>
    <w:rsid w:val="00F5067A"/>
    <w:rsid w:val="00F50754"/>
    <w:rsid w:val="00F50810"/>
    <w:rsid w:val="00F5083B"/>
    <w:rsid w:val="00F50890"/>
    <w:rsid w:val="00F50A18"/>
    <w:rsid w:val="00F50A4E"/>
    <w:rsid w:val="00F50AA2"/>
    <w:rsid w:val="00F50B0E"/>
    <w:rsid w:val="00F50B10"/>
    <w:rsid w:val="00F50B4B"/>
    <w:rsid w:val="00F50BDB"/>
    <w:rsid w:val="00F50BDF"/>
    <w:rsid w:val="00F50C38"/>
    <w:rsid w:val="00F50DE5"/>
    <w:rsid w:val="00F50E94"/>
    <w:rsid w:val="00F51095"/>
    <w:rsid w:val="00F5109D"/>
    <w:rsid w:val="00F51177"/>
    <w:rsid w:val="00F511A0"/>
    <w:rsid w:val="00F511FF"/>
    <w:rsid w:val="00F512AB"/>
    <w:rsid w:val="00F51467"/>
    <w:rsid w:val="00F514D3"/>
    <w:rsid w:val="00F514EA"/>
    <w:rsid w:val="00F51552"/>
    <w:rsid w:val="00F515C3"/>
    <w:rsid w:val="00F515D9"/>
    <w:rsid w:val="00F5163F"/>
    <w:rsid w:val="00F5165C"/>
    <w:rsid w:val="00F51741"/>
    <w:rsid w:val="00F51923"/>
    <w:rsid w:val="00F51980"/>
    <w:rsid w:val="00F519AB"/>
    <w:rsid w:val="00F51B02"/>
    <w:rsid w:val="00F51B60"/>
    <w:rsid w:val="00F51B95"/>
    <w:rsid w:val="00F51BF9"/>
    <w:rsid w:val="00F51CB4"/>
    <w:rsid w:val="00F51D12"/>
    <w:rsid w:val="00F51D19"/>
    <w:rsid w:val="00F51D5D"/>
    <w:rsid w:val="00F51DB6"/>
    <w:rsid w:val="00F51DCF"/>
    <w:rsid w:val="00F51E09"/>
    <w:rsid w:val="00F51F16"/>
    <w:rsid w:val="00F521ED"/>
    <w:rsid w:val="00F52335"/>
    <w:rsid w:val="00F52349"/>
    <w:rsid w:val="00F52376"/>
    <w:rsid w:val="00F52407"/>
    <w:rsid w:val="00F52481"/>
    <w:rsid w:val="00F524F9"/>
    <w:rsid w:val="00F52549"/>
    <w:rsid w:val="00F52591"/>
    <w:rsid w:val="00F525BA"/>
    <w:rsid w:val="00F526AF"/>
    <w:rsid w:val="00F52776"/>
    <w:rsid w:val="00F527AC"/>
    <w:rsid w:val="00F52808"/>
    <w:rsid w:val="00F528F0"/>
    <w:rsid w:val="00F528F5"/>
    <w:rsid w:val="00F528FB"/>
    <w:rsid w:val="00F5290D"/>
    <w:rsid w:val="00F529BB"/>
    <w:rsid w:val="00F529BE"/>
    <w:rsid w:val="00F529ED"/>
    <w:rsid w:val="00F52A33"/>
    <w:rsid w:val="00F52A42"/>
    <w:rsid w:val="00F52A5B"/>
    <w:rsid w:val="00F52A95"/>
    <w:rsid w:val="00F52A9C"/>
    <w:rsid w:val="00F52B3E"/>
    <w:rsid w:val="00F52B45"/>
    <w:rsid w:val="00F52B98"/>
    <w:rsid w:val="00F52BED"/>
    <w:rsid w:val="00F52C89"/>
    <w:rsid w:val="00F52CA3"/>
    <w:rsid w:val="00F52D36"/>
    <w:rsid w:val="00F52DC5"/>
    <w:rsid w:val="00F52DD6"/>
    <w:rsid w:val="00F52E2B"/>
    <w:rsid w:val="00F52E2F"/>
    <w:rsid w:val="00F52E74"/>
    <w:rsid w:val="00F52EAF"/>
    <w:rsid w:val="00F52F11"/>
    <w:rsid w:val="00F52F46"/>
    <w:rsid w:val="00F52F4F"/>
    <w:rsid w:val="00F52F6A"/>
    <w:rsid w:val="00F52FC0"/>
    <w:rsid w:val="00F5306B"/>
    <w:rsid w:val="00F530AE"/>
    <w:rsid w:val="00F530C6"/>
    <w:rsid w:val="00F530F1"/>
    <w:rsid w:val="00F53165"/>
    <w:rsid w:val="00F5317C"/>
    <w:rsid w:val="00F531EA"/>
    <w:rsid w:val="00F53255"/>
    <w:rsid w:val="00F532ED"/>
    <w:rsid w:val="00F53405"/>
    <w:rsid w:val="00F5355B"/>
    <w:rsid w:val="00F53561"/>
    <w:rsid w:val="00F53665"/>
    <w:rsid w:val="00F537DA"/>
    <w:rsid w:val="00F53868"/>
    <w:rsid w:val="00F539F3"/>
    <w:rsid w:val="00F539F9"/>
    <w:rsid w:val="00F53A38"/>
    <w:rsid w:val="00F53AE3"/>
    <w:rsid w:val="00F53B4F"/>
    <w:rsid w:val="00F53C65"/>
    <w:rsid w:val="00F53CD1"/>
    <w:rsid w:val="00F53CDE"/>
    <w:rsid w:val="00F53E08"/>
    <w:rsid w:val="00F53E27"/>
    <w:rsid w:val="00F53E4B"/>
    <w:rsid w:val="00F53E7F"/>
    <w:rsid w:val="00F53EA6"/>
    <w:rsid w:val="00F53F17"/>
    <w:rsid w:val="00F53F69"/>
    <w:rsid w:val="00F53FA9"/>
    <w:rsid w:val="00F54028"/>
    <w:rsid w:val="00F54060"/>
    <w:rsid w:val="00F540D5"/>
    <w:rsid w:val="00F5414C"/>
    <w:rsid w:val="00F5421F"/>
    <w:rsid w:val="00F54225"/>
    <w:rsid w:val="00F542A0"/>
    <w:rsid w:val="00F54327"/>
    <w:rsid w:val="00F54471"/>
    <w:rsid w:val="00F544A9"/>
    <w:rsid w:val="00F544DA"/>
    <w:rsid w:val="00F54521"/>
    <w:rsid w:val="00F545A4"/>
    <w:rsid w:val="00F545F5"/>
    <w:rsid w:val="00F5460D"/>
    <w:rsid w:val="00F5472E"/>
    <w:rsid w:val="00F547AC"/>
    <w:rsid w:val="00F5484A"/>
    <w:rsid w:val="00F54877"/>
    <w:rsid w:val="00F549D2"/>
    <w:rsid w:val="00F549F0"/>
    <w:rsid w:val="00F54A37"/>
    <w:rsid w:val="00F54A95"/>
    <w:rsid w:val="00F54A9A"/>
    <w:rsid w:val="00F54AEC"/>
    <w:rsid w:val="00F54BE6"/>
    <w:rsid w:val="00F54C8A"/>
    <w:rsid w:val="00F54CD0"/>
    <w:rsid w:val="00F54CEB"/>
    <w:rsid w:val="00F54E44"/>
    <w:rsid w:val="00F54E89"/>
    <w:rsid w:val="00F54F91"/>
    <w:rsid w:val="00F54FD5"/>
    <w:rsid w:val="00F54FDF"/>
    <w:rsid w:val="00F54FEB"/>
    <w:rsid w:val="00F54FF4"/>
    <w:rsid w:val="00F5508D"/>
    <w:rsid w:val="00F550BF"/>
    <w:rsid w:val="00F550F0"/>
    <w:rsid w:val="00F55152"/>
    <w:rsid w:val="00F55159"/>
    <w:rsid w:val="00F55196"/>
    <w:rsid w:val="00F5525C"/>
    <w:rsid w:val="00F55360"/>
    <w:rsid w:val="00F55370"/>
    <w:rsid w:val="00F55455"/>
    <w:rsid w:val="00F55493"/>
    <w:rsid w:val="00F55590"/>
    <w:rsid w:val="00F555D4"/>
    <w:rsid w:val="00F5568C"/>
    <w:rsid w:val="00F5568D"/>
    <w:rsid w:val="00F556FA"/>
    <w:rsid w:val="00F5574B"/>
    <w:rsid w:val="00F5576B"/>
    <w:rsid w:val="00F5580A"/>
    <w:rsid w:val="00F55865"/>
    <w:rsid w:val="00F55914"/>
    <w:rsid w:val="00F559A3"/>
    <w:rsid w:val="00F55A05"/>
    <w:rsid w:val="00F55A31"/>
    <w:rsid w:val="00F55AEE"/>
    <w:rsid w:val="00F55BE5"/>
    <w:rsid w:val="00F55CFF"/>
    <w:rsid w:val="00F55DCD"/>
    <w:rsid w:val="00F55DD4"/>
    <w:rsid w:val="00F55E53"/>
    <w:rsid w:val="00F55E6B"/>
    <w:rsid w:val="00F55F28"/>
    <w:rsid w:val="00F55F48"/>
    <w:rsid w:val="00F55F78"/>
    <w:rsid w:val="00F56018"/>
    <w:rsid w:val="00F5602B"/>
    <w:rsid w:val="00F56054"/>
    <w:rsid w:val="00F561AD"/>
    <w:rsid w:val="00F561C1"/>
    <w:rsid w:val="00F561C9"/>
    <w:rsid w:val="00F56220"/>
    <w:rsid w:val="00F562EE"/>
    <w:rsid w:val="00F56411"/>
    <w:rsid w:val="00F564B6"/>
    <w:rsid w:val="00F56525"/>
    <w:rsid w:val="00F5665A"/>
    <w:rsid w:val="00F566DE"/>
    <w:rsid w:val="00F5685C"/>
    <w:rsid w:val="00F5694B"/>
    <w:rsid w:val="00F569B6"/>
    <w:rsid w:val="00F56A32"/>
    <w:rsid w:val="00F56A6B"/>
    <w:rsid w:val="00F56A87"/>
    <w:rsid w:val="00F56AB0"/>
    <w:rsid w:val="00F56ACB"/>
    <w:rsid w:val="00F56B02"/>
    <w:rsid w:val="00F56BE4"/>
    <w:rsid w:val="00F56C40"/>
    <w:rsid w:val="00F56C60"/>
    <w:rsid w:val="00F56C6E"/>
    <w:rsid w:val="00F56CCE"/>
    <w:rsid w:val="00F56CD3"/>
    <w:rsid w:val="00F56DD4"/>
    <w:rsid w:val="00F56E58"/>
    <w:rsid w:val="00F56F2E"/>
    <w:rsid w:val="00F56F62"/>
    <w:rsid w:val="00F56F7D"/>
    <w:rsid w:val="00F56FA3"/>
    <w:rsid w:val="00F56FBD"/>
    <w:rsid w:val="00F571B2"/>
    <w:rsid w:val="00F57231"/>
    <w:rsid w:val="00F5725E"/>
    <w:rsid w:val="00F572D6"/>
    <w:rsid w:val="00F57310"/>
    <w:rsid w:val="00F573EA"/>
    <w:rsid w:val="00F573ED"/>
    <w:rsid w:val="00F57434"/>
    <w:rsid w:val="00F57492"/>
    <w:rsid w:val="00F574A8"/>
    <w:rsid w:val="00F57539"/>
    <w:rsid w:val="00F57584"/>
    <w:rsid w:val="00F57586"/>
    <w:rsid w:val="00F575DB"/>
    <w:rsid w:val="00F575F1"/>
    <w:rsid w:val="00F575FF"/>
    <w:rsid w:val="00F5768F"/>
    <w:rsid w:val="00F576B5"/>
    <w:rsid w:val="00F576CA"/>
    <w:rsid w:val="00F576E4"/>
    <w:rsid w:val="00F5779C"/>
    <w:rsid w:val="00F57935"/>
    <w:rsid w:val="00F5798C"/>
    <w:rsid w:val="00F57998"/>
    <w:rsid w:val="00F57CA0"/>
    <w:rsid w:val="00F57D48"/>
    <w:rsid w:val="00F57DAA"/>
    <w:rsid w:val="00F57DCB"/>
    <w:rsid w:val="00F57E6E"/>
    <w:rsid w:val="00F57EC1"/>
    <w:rsid w:val="00F57ED2"/>
    <w:rsid w:val="00F57F96"/>
    <w:rsid w:val="00F60148"/>
    <w:rsid w:val="00F6014C"/>
    <w:rsid w:val="00F60193"/>
    <w:rsid w:val="00F601DB"/>
    <w:rsid w:val="00F60232"/>
    <w:rsid w:val="00F6025D"/>
    <w:rsid w:val="00F602CB"/>
    <w:rsid w:val="00F602E8"/>
    <w:rsid w:val="00F60353"/>
    <w:rsid w:val="00F60360"/>
    <w:rsid w:val="00F6036F"/>
    <w:rsid w:val="00F60393"/>
    <w:rsid w:val="00F60406"/>
    <w:rsid w:val="00F6048E"/>
    <w:rsid w:val="00F60757"/>
    <w:rsid w:val="00F607B7"/>
    <w:rsid w:val="00F607C7"/>
    <w:rsid w:val="00F60871"/>
    <w:rsid w:val="00F6099D"/>
    <w:rsid w:val="00F609C6"/>
    <w:rsid w:val="00F609D6"/>
    <w:rsid w:val="00F60ACF"/>
    <w:rsid w:val="00F60B2E"/>
    <w:rsid w:val="00F60B86"/>
    <w:rsid w:val="00F60C35"/>
    <w:rsid w:val="00F60D48"/>
    <w:rsid w:val="00F60D50"/>
    <w:rsid w:val="00F60D5B"/>
    <w:rsid w:val="00F60DA4"/>
    <w:rsid w:val="00F60DB3"/>
    <w:rsid w:val="00F60E8E"/>
    <w:rsid w:val="00F60F23"/>
    <w:rsid w:val="00F60FBA"/>
    <w:rsid w:val="00F61002"/>
    <w:rsid w:val="00F61022"/>
    <w:rsid w:val="00F610FB"/>
    <w:rsid w:val="00F6118A"/>
    <w:rsid w:val="00F611DB"/>
    <w:rsid w:val="00F61250"/>
    <w:rsid w:val="00F612D5"/>
    <w:rsid w:val="00F61325"/>
    <w:rsid w:val="00F613B7"/>
    <w:rsid w:val="00F6146E"/>
    <w:rsid w:val="00F61586"/>
    <w:rsid w:val="00F615E9"/>
    <w:rsid w:val="00F615F2"/>
    <w:rsid w:val="00F6166E"/>
    <w:rsid w:val="00F616AE"/>
    <w:rsid w:val="00F61841"/>
    <w:rsid w:val="00F61947"/>
    <w:rsid w:val="00F61B4E"/>
    <w:rsid w:val="00F61B99"/>
    <w:rsid w:val="00F61BD9"/>
    <w:rsid w:val="00F61C03"/>
    <w:rsid w:val="00F61CAB"/>
    <w:rsid w:val="00F61D10"/>
    <w:rsid w:val="00F61D51"/>
    <w:rsid w:val="00F61E26"/>
    <w:rsid w:val="00F61E32"/>
    <w:rsid w:val="00F61E7C"/>
    <w:rsid w:val="00F620DC"/>
    <w:rsid w:val="00F620FE"/>
    <w:rsid w:val="00F621E5"/>
    <w:rsid w:val="00F62257"/>
    <w:rsid w:val="00F62274"/>
    <w:rsid w:val="00F623FD"/>
    <w:rsid w:val="00F6241B"/>
    <w:rsid w:val="00F62489"/>
    <w:rsid w:val="00F62582"/>
    <w:rsid w:val="00F625BA"/>
    <w:rsid w:val="00F62678"/>
    <w:rsid w:val="00F62738"/>
    <w:rsid w:val="00F627D6"/>
    <w:rsid w:val="00F62822"/>
    <w:rsid w:val="00F6282F"/>
    <w:rsid w:val="00F6284B"/>
    <w:rsid w:val="00F628B6"/>
    <w:rsid w:val="00F62954"/>
    <w:rsid w:val="00F62AC9"/>
    <w:rsid w:val="00F62AD3"/>
    <w:rsid w:val="00F62C1B"/>
    <w:rsid w:val="00F62C63"/>
    <w:rsid w:val="00F62DDB"/>
    <w:rsid w:val="00F62E3F"/>
    <w:rsid w:val="00F62EB8"/>
    <w:rsid w:val="00F62FA7"/>
    <w:rsid w:val="00F63001"/>
    <w:rsid w:val="00F63010"/>
    <w:rsid w:val="00F63043"/>
    <w:rsid w:val="00F6304A"/>
    <w:rsid w:val="00F63089"/>
    <w:rsid w:val="00F6312F"/>
    <w:rsid w:val="00F63202"/>
    <w:rsid w:val="00F632B7"/>
    <w:rsid w:val="00F63385"/>
    <w:rsid w:val="00F63420"/>
    <w:rsid w:val="00F63447"/>
    <w:rsid w:val="00F6350B"/>
    <w:rsid w:val="00F6351F"/>
    <w:rsid w:val="00F63549"/>
    <w:rsid w:val="00F63554"/>
    <w:rsid w:val="00F635A3"/>
    <w:rsid w:val="00F635E8"/>
    <w:rsid w:val="00F63624"/>
    <w:rsid w:val="00F6374C"/>
    <w:rsid w:val="00F63763"/>
    <w:rsid w:val="00F6378B"/>
    <w:rsid w:val="00F63794"/>
    <w:rsid w:val="00F637AB"/>
    <w:rsid w:val="00F638CF"/>
    <w:rsid w:val="00F638DB"/>
    <w:rsid w:val="00F6392F"/>
    <w:rsid w:val="00F6398B"/>
    <w:rsid w:val="00F639DD"/>
    <w:rsid w:val="00F63A31"/>
    <w:rsid w:val="00F63B1E"/>
    <w:rsid w:val="00F63CB0"/>
    <w:rsid w:val="00F63D83"/>
    <w:rsid w:val="00F63DD7"/>
    <w:rsid w:val="00F63EB3"/>
    <w:rsid w:val="00F63F33"/>
    <w:rsid w:val="00F63F89"/>
    <w:rsid w:val="00F63FD3"/>
    <w:rsid w:val="00F64083"/>
    <w:rsid w:val="00F64095"/>
    <w:rsid w:val="00F6412D"/>
    <w:rsid w:val="00F64203"/>
    <w:rsid w:val="00F6423F"/>
    <w:rsid w:val="00F642A5"/>
    <w:rsid w:val="00F6434F"/>
    <w:rsid w:val="00F64365"/>
    <w:rsid w:val="00F64374"/>
    <w:rsid w:val="00F643D6"/>
    <w:rsid w:val="00F6443A"/>
    <w:rsid w:val="00F64484"/>
    <w:rsid w:val="00F644FB"/>
    <w:rsid w:val="00F64546"/>
    <w:rsid w:val="00F64644"/>
    <w:rsid w:val="00F6470B"/>
    <w:rsid w:val="00F64724"/>
    <w:rsid w:val="00F647D4"/>
    <w:rsid w:val="00F647E1"/>
    <w:rsid w:val="00F647E2"/>
    <w:rsid w:val="00F6480E"/>
    <w:rsid w:val="00F6484F"/>
    <w:rsid w:val="00F6486F"/>
    <w:rsid w:val="00F648E3"/>
    <w:rsid w:val="00F648F9"/>
    <w:rsid w:val="00F6490C"/>
    <w:rsid w:val="00F649F4"/>
    <w:rsid w:val="00F64A30"/>
    <w:rsid w:val="00F64ABC"/>
    <w:rsid w:val="00F64ACD"/>
    <w:rsid w:val="00F64ADE"/>
    <w:rsid w:val="00F64C4C"/>
    <w:rsid w:val="00F64C89"/>
    <w:rsid w:val="00F64C9E"/>
    <w:rsid w:val="00F64D09"/>
    <w:rsid w:val="00F64D45"/>
    <w:rsid w:val="00F64D5D"/>
    <w:rsid w:val="00F64D79"/>
    <w:rsid w:val="00F64D89"/>
    <w:rsid w:val="00F64DB0"/>
    <w:rsid w:val="00F64DD3"/>
    <w:rsid w:val="00F64DD4"/>
    <w:rsid w:val="00F64E40"/>
    <w:rsid w:val="00F64EAB"/>
    <w:rsid w:val="00F64EB9"/>
    <w:rsid w:val="00F64F20"/>
    <w:rsid w:val="00F64F4B"/>
    <w:rsid w:val="00F65055"/>
    <w:rsid w:val="00F6506D"/>
    <w:rsid w:val="00F65129"/>
    <w:rsid w:val="00F65160"/>
    <w:rsid w:val="00F65161"/>
    <w:rsid w:val="00F651A7"/>
    <w:rsid w:val="00F65210"/>
    <w:rsid w:val="00F65225"/>
    <w:rsid w:val="00F65238"/>
    <w:rsid w:val="00F652CB"/>
    <w:rsid w:val="00F65348"/>
    <w:rsid w:val="00F6535E"/>
    <w:rsid w:val="00F65389"/>
    <w:rsid w:val="00F653BC"/>
    <w:rsid w:val="00F653C3"/>
    <w:rsid w:val="00F654AA"/>
    <w:rsid w:val="00F65517"/>
    <w:rsid w:val="00F6558E"/>
    <w:rsid w:val="00F655E5"/>
    <w:rsid w:val="00F655F9"/>
    <w:rsid w:val="00F656A9"/>
    <w:rsid w:val="00F6572C"/>
    <w:rsid w:val="00F6577C"/>
    <w:rsid w:val="00F65788"/>
    <w:rsid w:val="00F6585B"/>
    <w:rsid w:val="00F6589D"/>
    <w:rsid w:val="00F658C2"/>
    <w:rsid w:val="00F6596A"/>
    <w:rsid w:val="00F65A2D"/>
    <w:rsid w:val="00F65A60"/>
    <w:rsid w:val="00F65ADE"/>
    <w:rsid w:val="00F65B0C"/>
    <w:rsid w:val="00F65C83"/>
    <w:rsid w:val="00F65C90"/>
    <w:rsid w:val="00F65CC9"/>
    <w:rsid w:val="00F65CCD"/>
    <w:rsid w:val="00F65D0F"/>
    <w:rsid w:val="00F65D9C"/>
    <w:rsid w:val="00F65ECE"/>
    <w:rsid w:val="00F65EF0"/>
    <w:rsid w:val="00F65FAB"/>
    <w:rsid w:val="00F65FBD"/>
    <w:rsid w:val="00F6600C"/>
    <w:rsid w:val="00F6601F"/>
    <w:rsid w:val="00F66216"/>
    <w:rsid w:val="00F66222"/>
    <w:rsid w:val="00F6624E"/>
    <w:rsid w:val="00F66354"/>
    <w:rsid w:val="00F66401"/>
    <w:rsid w:val="00F66500"/>
    <w:rsid w:val="00F665EF"/>
    <w:rsid w:val="00F66640"/>
    <w:rsid w:val="00F666AD"/>
    <w:rsid w:val="00F666C5"/>
    <w:rsid w:val="00F667BD"/>
    <w:rsid w:val="00F667E5"/>
    <w:rsid w:val="00F66835"/>
    <w:rsid w:val="00F668DB"/>
    <w:rsid w:val="00F668F5"/>
    <w:rsid w:val="00F669BC"/>
    <w:rsid w:val="00F669C9"/>
    <w:rsid w:val="00F66A00"/>
    <w:rsid w:val="00F66D00"/>
    <w:rsid w:val="00F66D5E"/>
    <w:rsid w:val="00F66D96"/>
    <w:rsid w:val="00F66E5D"/>
    <w:rsid w:val="00F66F0E"/>
    <w:rsid w:val="00F66FC2"/>
    <w:rsid w:val="00F67103"/>
    <w:rsid w:val="00F67115"/>
    <w:rsid w:val="00F67265"/>
    <w:rsid w:val="00F672B3"/>
    <w:rsid w:val="00F67426"/>
    <w:rsid w:val="00F6744B"/>
    <w:rsid w:val="00F674E8"/>
    <w:rsid w:val="00F674F8"/>
    <w:rsid w:val="00F67602"/>
    <w:rsid w:val="00F67706"/>
    <w:rsid w:val="00F677B0"/>
    <w:rsid w:val="00F6790A"/>
    <w:rsid w:val="00F67A0A"/>
    <w:rsid w:val="00F67AFD"/>
    <w:rsid w:val="00F67B02"/>
    <w:rsid w:val="00F67B83"/>
    <w:rsid w:val="00F67B94"/>
    <w:rsid w:val="00F67BAD"/>
    <w:rsid w:val="00F67C5D"/>
    <w:rsid w:val="00F67C64"/>
    <w:rsid w:val="00F67C65"/>
    <w:rsid w:val="00F67DF1"/>
    <w:rsid w:val="00F67DF5"/>
    <w:rsid w:val="00F70060"/>
    <w:rsid w:val="00F7009E"/>
    <w:rsid w:val="00F70118"/>
    <w:rsid w:val="00F7013C"/>
    <w:rsid w:val="00F701D6"/>
    <w:rsid w:val="00F7025D"/>
    <w:rsid w:val="00F7029E"/>
    <w:rsid w:val="00F702EE"/>
    <w:rsid w:val="00F7033C"/>
    <w:rsid w:val="00F70382"/>
    <w:rsid w:val="00F703DD"/>
    <w:rsid w:val="00F70538"/>
    <w:rsid w:val="00F70552"/>
    <w:rsid w:val="00F70585"/>
    <w:rsid w:val="00F70636"/>
    <w:rsid w:val="00F706D2"/>
    <w:rsid w:val="00F70837"/>
    <w:rsid w:val="00F70892"/>
    <w:rsid w:val="00F708AE"/>
    <w:rsid w:val="00F7090A"/>
    <w:rsid w:val="00F709BB"/>
    <w:rsid w:val="00F70A04"/>
    <w:rsid w:val="00F70ACE"/>
    <w:rsid w:val="00F70B32"/>
    <w:rsid w:val="00F70B4D"/>
    <w:rsid w:val="00F70B56"/>
    <w:rsid w:val="00F70B65"/>
    <w:rsid w:val="00F70C40"/>
    <w:rsid w:val="00F70CC3"/>
    <w:rsid w:val="00F70CE3"/>
    <w:rsid w:val="00F70CE9"/>
    <w:rsid w:val="00F70CF6"/>
    <w:rsid w:val="00F70D0F"/>
    <w:rsid w:val="00F70D18"/>
    <w:rsid w:val="00F70DC7"/>
    <w:rsid w:val="00F70E26"/>
    <w:rsid w:val="00F70E56"/>
    <w:rsid w:val="00F70EA1"/>
    <w:rsid w:val="00F70EBF"/>
    <w:rsid w:val="00F70EDB"/>
    <w:rsid w:val="00F710BD"/>
    <w:rsid w:val="00F71125"/>
    <w:rsid w:val="00F71130"/>
    <w:rsid w:val="00F711B9"/>
    <w:rsid w:val="00F712C9"/>
    <w:rsid w:val="00F7130D"/>
    <w:rsid w:val="00F7140A"/>
    <w:rsid w:val="00F71420"/>
    <w:rsid w:val="00F71434"/>
    <w:rsid w:val="00F71438"/>
    <w:rsid w:val="00F71544"/>
    <w:rsid w:val="00F7154A"/>
    <w:rsid w:val="00F71559"/>
    <w:rsid w:val="00F715E7"/>
    <w:rsid w:val="00F7160A"/>
    <w:rsid w:val="00F716B4"/>
    <w:rsid w:val="00F716BC"/>
    <w:rsid w:val="00F716DD"/>
    <w:rsid w:val="00F71750"/>
    <w:rsid w:val="00F717A5"/>
    <w:rsid w:val="00F7182D"/>
    <w:rsid w:val="00F71898"/>
    <w:rsid w:val="00F718FC"/>
    <w:rsid w:val="00F71945"/>
    <w:rsid w:val="00F719C6"/>
    <w:rsid w:val="00F71A50"/>
    <w:rsid w:val="00F71B3D"/>
    <w:rsid w:val="00F71B72"/>
    <w:rsid w:val="00F71CB9"/>
    <w:rsid w:val="00F71CC2"/>
    <w:rsid w:val="00F71CF1"/>
    <w:rsid w:val="00F71D07"/>
    <w:rsid w:val="00F71D0C"/>
    <w:rsid w:val="00F71D1B"/>
    <w:rsid w:val="00F71DBF"/>
    <w:rsid w:val="00F71E14"/>
    <w:rsid w:val="00F71E62"/>
    <w:rsid w:val="00F71EB8"/>
    <w:rsid w:val="00F72010"/>
    <w:rsid w:val="00F72085"/>
    <w:rsid w:val="00F720E5"/>
    <w:rsid w:val="00F7210A"/>
    <w:rsid w:val="00F72134"/>
    <w:rsid w:val="00F721C4"/>
    <w:rsid w:val="00F721E2"/>
    <w:rsid w:val="00F721F1"/>
    <w:rsid w:val="00F72210"/>
    <w:rsid w:val="00F722B9"/>
    <w:rsid w:val="00F722C0"/>
    <w:rsid w:val="00F722DC"/>
    <w:rsid w:val="00F722DF"/>
    <w:rsid w:val="00F7232F"/>
    <w:rsid w:val="00F72392"/>
    <w:rsid w:val="00F723D8"/>
    <w:rsid w:val="00F72408"/>
    <w:rsid w:val="00F724D0"/>
    <w:rsid w:val="00F72543"/>
    <w:rsid w:val="00F7254B"/>
    <w:rsid w:val="00F72709"/>
    <w:rsid w:val="00F72765"/>
    <w:rsid w:val="00F727DE"/>
    <w:rsid w:val="00F727F3"/>
    <w:rsid w:val="00F72A54"/>
    <w:rsid w:val="00F72B2B"/>
    <w:rsid w:val="00F72B3D"/>
    <w:rsid w:val="00F72C26"/>
    <w:rsid w:val="00F72CB2"/>
    <w:rsid w:val="00F72E55"/>
    <w:rsid w:val="00F72E87"/>
    <w:rsid w:val="00F72EA6"/>
    <w:rsid w:val="00F72EDA"/>
    <w:rsid w:val="00F72F76"/>
    <w:rsid w:val="00F73017"/>
    <w:rsid w:val="00F731DE"/>
    <w:rsid w:val="00F7336E"/>
    <w:rsid w:val="00F7344B"/>
    <w:rsid w:val="00F7347C"/>
    <w:rsid w:val="00F735C9"/>
    <w:rsid w:val="00F735D4"/>
    <w:rsid w:val="00F73752"/>
    <w:rsid w:val="00F7376A"/>
    <w:rsid w:val="00F739C6"/>
    <w:rsid w:val="00F73A74"/>
    <w:rsid w:val="00F73AA0"/>
    <w:rsid w:val="00F73ADF"/>
    <w:rsid w:val="00F73AF4"/>
    <w:rsid w:val="00F73B8D"/>
    <w:rsid w:val="00F73BA6"/>
    <w:rsid w:val="00F73BD1"/>
    <w:rsid w:val="00F73CD8"/>
    <w:rsid w:val="00F73D15"/>
    <w:rsid w:val="00F73D71"/>
    <w:rsid w:val="00F73D87"/>
    <w:rsid w:val="00F73D96"/>
    <w:rsid w:val="00F73DB1"/>
    <w:rsid w:val="00F73E2B"/>
    <w:rsid w:val="00F74101"/>
    <w:rsid w:val="00F74132"/>
    <w:rsid w:val="00F7414D"/>
    <w:rsid w:val="00F7418C"/>
    <w:rsid w:val="00F741DE"/>
    <w:rsid w:val="00F74206"/>
    <w:rsid w:val="00F74208"/>
    <w:rsid w:val="00F7420F"/>
    <w:rsid w:val="00F7433A"/>
    <w:rsid w:val="00F74348"/>
    <w:rsid w:val="00F74405"/>
    <w:rsid w:val="00F74448"/>
    <w:rsid w:val="00F7445E"/>
    <w:rsid w:val="00F744F6"/>
    <w:rsid w:val="00F7451E"/>
    <w:rsid w:val="00F74584"/>
    <w:rsid w:val="00F745A5"/>
    <w:rsid w:val="00F746E4"/>
    <w:rsid w:val="00F746E6"/>
    <w:rsid w:val="00F7470C"/>
    <w:rsid w:val="00F74745"/>
    <w:rsid w:val="00F74751"/>
    <w:rsid w:val="00F748AE"/>
    <w:rsid w:val="00F7492D"/>
    <w:rsid w:val="00F7498C"/>
    <w:rsid w:val="00F74A28"/>
    <w:rsid w:val="00F74ADD"/>
    <w:rsid w:val="00F74C24"/>
    <w:rsid w:val="00F74C8B"/>
    <w:rsid w:val="00F74D48"/>
    <w:rsid w:val="00F74DF2"/>
    <w:rsid w:val="00F74E82"/>
    <w:rsid w:val="00F74E9A"/>
    <w:rsid w:val="00F74F4C"/>
    <w:rsid w:val="00F74FBC"/>
    <w:rsid w:val="00F75078"/>
    <w:rsid w:val="00F750DD"/>
    <w:rsid w:val="00F750EC"/>
    <w:rsid w:val="00F751D4"/>
    <w:rsid w:val="00F751FE"/>
    <w:rsid w:val="00F7529E"/>
    <w:rsid w:val="00F752DD"/>
    <w:rsid w:val="00F7534C"/>
    <w:rsid w:val="00F753C4"/>
    <w:rsid w:val="00F753E2"/>
    <w:rsid w:val="00F75458"/>
    <w:rsid w:val="00F755B1"/>
    <w:rsid w:val="00F75633"/>
    <w:rsid w:val="00F7567E"/>
    <w:rsid w:val="00F75681"/>
    <w:rsid w:val="00F75716"/>
    <w:rsid w:val="00F75885"/>
    <w:rsid w:val="00F758EC"/>
    <w:rsid w:val="00F759F4"/>
    <w:rsid w:val="00F759FA"/>
    <w:rsid w:val="00F75A16"/>
    <w:rsid w:val="00F75A21"/>
    <w:rsid w:val="00F75A38"/>
    <w:rsid w:val="00F75A4E"/>
    <w:rsid w:val="00F75A5B"/>
    <w:rsid w:val="00F75B20"/>
    <w:rsid w:val="00F75D05"/>
    <w:rsid w:val="00F75D33"/>
    <w:rsid w:val="00F75F31"/>
    <w:rsid w:val="00F75F48"/>
    <w:rsid w:val="00F75F5D"/>
    <w:rsid w:val="00F76060"/>
    <w:rsid w:val="00F7607F"/>
    <w:rsid w:val="00F760A7"/>
    <w:rsid w:val="00F760FB"/>
    <w:rsid w:val="00F76101"/>
    <w:rsid w:val="00F76132"/>
    <w:rsid w:val="00F76149"/>
    <w:rsid w:val="00F7614F"/>
    <w:rsid w:val="00F762B8"/>
    <w:rsid w:val="00F76318"/>
    <w:rsid w:val="00F76323"/>
    <w:rsid w:val="00F76339"/>
    <w:rsid w:val="00F764BE"/>
    <w:rsid w:val="00F764E7"/>
    <w:rsid w:val="00F765E5"/>
    <w:rsid w:val="00F76771"/>
    <w:rsid w:val="00F767DF"/>
    <w:rsid w:val="00F76820"/>
    <w:rsid w:val="00F7683F"/>
    <w:rsid w:val="00F768BF"/>
    <w:rsid w:val="00F76926"/>
    <w:rsid w:val="00F769C1"/>
    <w:rsid w:val="00F769D5"/>
    <w:rsid w:val="00F76A50"/>
    <w:rsid w:val="00F76B67"/>
    <w:rsid w:val="00F76BA6"/>
    <w:rsid w:val="00F76C53"/>
    <w:rsid w:val="00F76C5C"/>
    <w:rsid w:val="00F76C88"/>
    <w:rsid w:val="00F76CAF"/>
    <w:rsid w:val="00F76D04"/>
    <w:rsid w:val="00F76D1B"/>
    <w:rsid w:val="00F76DDB"/>
    <w:rsid w:val="00F76E23"/>
    <w:rsid w:val="00F76E3D"/>
    <w:rsid w:val="00F76E7C"/>
    <w:rsid w:val="00F76EC7"/>
    <w:rsid w:val="00F76ECC"/>
    <w:rsid w:val="00F76F87"/>
    <w:rsid w:val="00F76F8C"/>
    <w:rsid w:val="00F76FD0"/>
    <w:rsid w:val="00F7700F"/>
    <w:rsid w:val="00F77038"/>
    <w:rsid w:val="00F77045"/>
    <w:rsid w:val="00F77085"/>
    <w:rsid w:val="00F7710C"/>
    <w:rsid w:val="00F77124"/>
    <w:rsid w:val="00F771C8"/>
    <w:rsid w:val="00F771E8"/>
    <w:rsid w:val="00F77268"/>
    <w:rsid w:val="00F77287"/>
    <w:rsid w:val="00F773FA"/>
    <w:rsid w:val="00F773FD"/>
    <w:rsid w:val="00F77416"/>
    <w:rsid w:val="00F7746B"/>
    <w:rsid w:val="00F77583"/>
    <w:rsid w:val="00F7762B"/>
    <w:rsid w:val="00F77659"/>
    <w:rsid w:val="00F776E0"/>
    <w:rsid w:val="00F77807"/>
    <w:rsid w:val="00F77847"/>
    <w:rsid w:val="00F778FA"/>
    <w:rsid w:val="00F7792C"/>
    <w:rsid w:val="00F77948"/>
    <w:rsid w:val="00F77957"/>
    <w:rsid w:val="00F77958"/>
    <w:rsid w:val="00F779A7"/>
    <w:rsid w:val="00F779D4"/>
    <w:rsid w:val="00F779E7"/>
    <w:rsid w:val="00F77A8B"/>
    <w:rsid w:val="00F77A93"/>
    <w:rsid w:val="00F77B0B"/>
    <w:rsid w:val="00F77B6E"/>
    <w:rsid w:val="00F77B7F"/>
    <w:rsid w:val="00F77BFF"/>
    <w:rsid w:val="00F77C2E"/>
    <w:rsid w:val="00F77D24"/>
    <w:rsid w:val="00F77E5E"/>
    <w:rsid w:val="00F77EF9"/>
    <w:rsid w:val="00F77FA6"/>
    <w:rsid w:val="00F80038"/>
    <w:rsid w:val="00F800E2"/>
    <w:rsid w:val="00F80105"/>
    <w:rsid w:val="00F80181"/>
    <w:rsid w:val="00F801A1"/>
    <w:rsid w:val="00F801C2"/>
    <w:rsid w:val="00F801DC"/>
    <w:rsid w:val="00F80225"/>
    <w:rsid w:val="00F80246"/>
    <w:rsid w:val="00F802DB"/>
    <w:rsid w:val="00F802E2"/>
    <w:rsid w:val="00F80354"/>
    <w:rsid w:val="00F80471"/>
    <w:rsid w:val="00F804B0"/>
    <w:rsid w:val="00F804C3"/>
    <w:rsid w:val="00F804E1"/>
    <w:rsid w:val="00F8052D"/>
    <w:rsid w:val="00F8058F"/>
    <w:rsid w:val="00F80673"/>
    <w:rsid w:val="00F80698"/>
    <w:rsid w:val="00F807C2"/>
    <w:rsid w:val="00F80866"/>
    <w:rsid w:val="00F80929"/>
    <w:rsid w:val="00F80944"/>
    <w:rsid w:val="00F8095A"/>
    <w:rsid w:val="00F809D5"/>
    <w:rsid w:val="00F80A22"/>
    <w:rsid w:val="00F80A53"/>
    <w:rsid w:val="00F80A60"/>
    <w:rsid w:val="00F80A67"/>
    <w:rsid w:val="00F80B23"/>
    <w:rsid w:val="00F80C6D"/>
    <w:rsid w:val="00F80CB5"/>
    <w:rsid w:val="00F80D47"/>
    <w:rsid w:val="00F80E9F"/>
    <w:rsid w:val="00F80EC0"/>
    <w:rsid w:val="00F81120"/>
    <w:rsid w:val="00F81173"/>
    <w:rsid w:val="00F8127D"/>
    <w:rsid w:val="00F81297"/>
    <w:rsid w:val="00F81325"/>
    <w:rsid w:val="00F813A2"/>
    <w:rsid w:val="00F8143F"/>
    <w:rsid w:val="00F81510"/>
    <w:rsid w:val="00F81559"/>
    <w:rsid w:val="00F816A3"/>
    <w:rsid w:val="00F816C0"/>
    <w:rsid w:val="00F81789"/>
    <w:rsid w:val="00F8180A"/>
    <w:rsid w:val="00F8188F"/>
    <w:rsid w:val="00F818D9"/>
    <w:rsid w:val="00F81984"/>
    <w:rsid w:val="00F819F6"/>
    <w:rsid w:val="00F81A10"/>
    <w:rsid w:val="00F81ABD"/>
    <w:rsid w:val="00F81BBD"/>
    <w:rsid w:val="00F81BC7"/>
    <w:rsid w:val="00F81C19"/>
    <w:rsid w:val="00F81C40"/>
    <w:rsid w:val="00F81C9E"/>
    <w:rsid w:val="00F81D80"/>
    <w:rsid w:val="00F81D9D"/>
    <w:rsid w:val="00F81E61"/>
    <w:rsid w:val="00F81E67"/>
    <w:rsid w:val="00F81F1E"/>
    <w:rsid w:val="00F81FE7"/>
    <w:rsid w:val="00F82163"/>
    <w:rsid w:val="00F821CF"/>
    <w:rsid w:val="00F82269"/>
    <w:rsid w:val="00F82290"/>
    <w:rsid w:val="00F822BA"/>
    <w:rsid w:val="00F822E0"/>
    <w:rsid w:val="00F82332"/>
    <w:rsid w:val="00F824B8"/>
    <w:rsid w:val="00F824E8"/>
    <w:rsid w:val="00F82586"/>
    <w:rsid w:val="00F825AD"/>
    <w:rsid w:val="00F825C8"/>
    <w:rsid w:val="00F82617"/>
    <w:rsid w:val="00F826DD"/>
    <w:rsid w:val="00F828B5"/>
    <w:rsid w:val="00F82A05"/>
    <w:rsid w:val="00F82A49"/>
    <w:rsid w:val="00F82A91"/>
    <w:rsid w:val="00F82A98"/>
    <w:rsid w:val="00F82B28"/>
    <w:rsid w:val="00F82B3A"/>
    <w:rsid w:val="00F82B96"/>
    <w:rsid w:val="00F82BC3"/>
    <w:rsid w:val="00F82C05"/>
    <w:rsid w:val="00F82CF7"/>
    <w:rsid w:val="00F82D5C"/>
    <w:rsid w:val="00F82E41"/>
    <w:rsid w:val="00F82F0A"/>
    <w:rsid w:val="00F82F1D"/>
    <w:rsid w:val="00F82F25"/>
    <w:rsid w:val="00F82F2A"/>
    <w:rsid w:val="00F82F2D"/>
    <w:rsid w:val="00F82F65"/>
    <w:rsid w:val="00F83063"/>
    <w:rsid w:val="00F83071"/>
    <w:rsid w:val="00F8307A"/>
    <w:rsid w:val="00F8310A"/>
    <w:rsid w:val="00F834DC"/>
    <w:rsid w:val="00F8354C"/>
    <w:rsid w:val="00F83786"/>
    <w:rsid w:val="00F838A9"/>
    <w:rsid w:val="00F8396D"/>
    <w:rsid w:val="00F839CE"/>
    <w:rsid w:val="00F83B3D"/>
    <w:rsid w:val="00F83BAD"/>
    <w:rsid w:val="00F83C35"/>
    <w:rsid w:val="00F83C79"/>
    <w:rsid w:val="00F83E06"/>
    <w:rsid w:val="00F83E0D"/>
    <w:rsid w:val="00F83E13"/>
    <w:rsid w:val="00F83E67"/>
    <w:rsid w:val="00F83E80"/>
    <w:rsid w:val="00F83F5F"/>
    <w:rsid w:val="00F83F6C"/>
    <w:rsid w:val="00F83F96"/>
    <w:rsid w:val="00F84063"/>
    <w:rsid w:val="00F8406C"/>
    <w:rsid w:val="00F8414A"/>
    <w:rsid w:val="00F841CC"/>
    <w:rsid w:val="00F84254"/>
    <w:rsid w:val="00F842B0"/>
    <w:rsid w:val="00F84480"/>
    <w:rsid w:val="00F844B3"/>
    <w:rsid w:val="00F844E8"/>
    <w:rsid w:val="00F84544"/>
    <w:rsid w:val="00F845DB"/>
    <w:rsid w:val="00F845FF"/>
    <w:rsid w:val="00F84614"/>
    <w:rsid w:val="00F84620"/>
    <w:rsid w:val="00F846D0"/>
    <w:rsid w:val="00F84712"/>
    <w:rsid w:val="00F84785"/>
    <w:rsid w:val="00F847C6"/>
    <w:rsid w:val="00F847D7"/>
    <w:rsid w:val="00F847F1"/>
    <w:rsid w:val="00F84889"/>
    <w:rsid w:val="00F84913"/>
    <w:rsid w:val="00F84945"/>
    <w:rsid w:val="00F84998"/>
    <w:rsid w:val="00F849C3"/>
    <w:rsid w:val="00F84AC0"/>
    <w:rsid w:val="00F84ADD"/>
    <w:rsid w:val="00F84B7A"/>
    <w:rsid w:val="00F84B7E"/>
    <w:rsid w:val="00F84BB5"/>
    <w:rsid w:val="00F84CC1"/>
    <w:rsid w:val="00F84D31"/>
    <w:rsid w:val="00F84D39"/>
    <w:rsid w:val="00F84D53"/>
    <w:rsid w:val="00F84D85"/>
    <w:rsid w:val="00F84E08"/>
    <w:rsid w:val="00F84E17"/>
    <w:rsid w:val="00F84EAE"/>
    <w:rsid w:val="00F84FB6"/>
    <w:rsid w:val="00F84FBF"/>
    <w:rsid w:val="00F85006"/>
    <w:rsid w:val="00F85036"/>
    <w:rsid w:val="00F85057"/>
    <w:rsid w:val="00F850B1"/>
    <w:rsid w:val="00F85157"/>
    <w:rsid w:val="00F85171"/>
    <w:rsid w:val="00F8518F"/>
    <w:rsid w:val="00F851A0"/>
    <w:rsid w:val="00F8522C"/>
    <w:rsid w:val="00F85288"/>
    <w:rsid w:val="00F852D1"/>
    <w:rsid w:val="00F85307"/>
    <w:rsid w:val="00F85384"/>
    <w:rsid w:val="00F8538D"/>
    <w:rsid w:val="00F85435"/>
    <w:rsid w:val="00F85449"/>
    <w:rsid w:val="00F85527"/>
    <w:rsid w:val="00F8553F"/>
    <w:rsid w:val="00F855C6"/>
    <w:rsid w:val="00F855F5"/>
    <w:rsid w:val="00F85672"/>
    <w:rsid w:val="00F85690"/>
    <w:rsid w:val="00F856C7"/>
    <w:rsid w:val="00F85758"/>
    <w:rsid w:val="00F857F0"/>
    <w:rsid w:val="00F857FE"/>
    <w:rsid w:val="00F85892"/>
    <w:rsid w:val="00F85946"/>
    <w:rsid w:val="00F8597B"/>
    <w:rsid w:val="00F8599A"/>
    <w:rsid w:val="00F85A4F"/>
    <w:rsid w:val="00F85A6C"/>
    <w:rsid w:val="00F85B64"/>
    <w:rsid w:val="00F85BE8"/>
    <w:rsid w:val="00F85C45"/>
    <w:rsid w:val="00F85D10"/>
    <w:rsid w:val="00F85DF6"/>
    <w:rsid w:val="00F85E47"/>
    <w:rsid w:val="00F85EAB"/>
    <w:rsid w:val="00F85F00"/>
    <w:rsid w:val="00F85F3F"/>
    <w:rsid w:val="00F85F65"/>
    <w:rsid w:val="00F85FFB"/>
    <w:rsid w:val="00F8605C"/>
    <w:rsid w:val="00F86067"/>
    <w:rsid w:val="00F86090"/>
    <w:rsid w:val="00F861EE"/>
    <w:rsid w:val="00F86208"/>
    <w:rsid w:val="00F8621B"/>
    <w:rsid w:val="00F862B5"/>
    <w:rsid w:val="00F86327"/>
    <w:rsid w:val="00F863D0"/>
    <w:rsid w:val="00F864C2"/>
    <w:rsid w:val="00F865EA"/>
    <w:rsid w:val="00F8666A"/>
    <w:rsid w:val="00F8670D"/>
    <w:rsid w:val="00F868AA"/>
    <w:rsid w:val="00F86903"/>
    <w:rsid w:val="00F86921"/>
    <w:rsid w:val="00F8692C"/>
    <w:rsid w:val="00F8692D"/>
    <w:rsid w:val="00F8694C"/>
    <w:rsid w:val="00F86A00"/>
    <w:rsid w:val="00F86A3F"/>
    <w:rsid w:val="00F86A41"/>
    <w:rsid w:val="00F86AFA"/>
    <w:rsid w:val="00F86B29"/>
    <w:rsid w:val="00F86B79"/>
    <w:rsid w:val="00F86CC7"/>
    <w:rsid w:val="00F86DA0"/>
    <w:rsid w:val="00F86DB2"/>
    <w:rsid w:val="00F86F13"/>
    <w:rsid w:val="00F86F6B"/>
    <w:rsid w:val="00F86FAF"/>
    <w:rsid w:val="00F87030"/>
    <w:rsid w:val="00F87055"/>
    <w:rsid w:val="00F87096"/>
    <w:rsid w:val="00F870AC"/>
    <w:rsid w:val="00F87179"/>
    <w:rsid w:val="00F871AB"/>
    <w:rsid w:val="00F87238"/>
    <w:rsid w:val="00F872BC"/>
    <w:rsid w:val="00F87340"/>
    <w:rsid w:val="00F873CD"/>
    <w:rsid w:val="00F8747A"/>
    <w:rsid w:val="00F87590"/>
    <w:rsid w:val="00F875C7"/>
    <w:rsid w:val="00F87618"/>
    <w:rsid w:val="00F87635"/>
    <w:rsid w:val="00F8765B"/>
    <w:rsid w:val="00F8778A"/>
    <w:rsid w:val="00F877C9"/>
    <w:rsid w:val="00F87830"/>
    <w:rsid w:val="00F87859"/>
    <w:rsid w:val="00F87874"/>
    <w:rsid w:val="00F87948"/>
    <w:rsid w:val="00F879C3"/>
    <w:rsid w:val="00F879E2"/>
    <w:rsid w:val="00F87A43"/>
    <w:rsid w:val="00F87ADB"/>
    <w:rsid w:val="00F87B00"/>
    <w:rsid w:val="00F87B2C"/>
    <w:rsid w:val="00F87B40"/>
    <w:rsid w:val="00F87B88"/>
    <w:rsid w:val="00F87BDA"/>
    <w:rsid w:val="00F87CA5"/>
    <w:rsid w:val="00F87D87"/>
    <w:rsid w:val="00F87D9D"/>
    <w:rsid w:val="00F87DBB"/>
    <w:rsid w:val="00F87DBE"/>
    <w:rsid w:val="00F87E13"/>
    <w:rsid w:val="00F87F55"/>
    <w:rsid w:val="00F87F5B"/>
    <w:rsid w:val="00F87F69"/>
    <w:rsid w:val="00F87F99"/>
    <w:rsid w:val="00F87FA9"/>
    <w:rsid w:val="00F90088"/>
    <w:rsid w:val="00F900AE"/>
    <w:rsid w:val="00F9024E"/>
    <w:rsid w:val="00F90270"/>
    <w:rsid w:val="00F905EB"/>
    <w:rsid w:val="00F905EC"/>
    <w:rsid w:val="00F9065E"/>
    <w:rsid w:val="00F90686"/>
    <w:rsid w:val="00F90704"/>
    <w:rsid w:val="00F90773"/>
    <w:rsid w:val="00F90794"/>
    <w:rsid w:val="00F907F1"/>
    <w:rsid w:val="00F9080C"/>
    <w:rsid w:val="00F9082B"/>
    <w:rsid w:val="00F9086E"/>
    <w:rsid w:val="00F90944"/>
    <w:rsid w:val="00F909FD"/>
    <w:rsid w:val="00F90ADE"/>
    <w:rsid w:val="00F90B6E"/>
    <w:rsid w:val="00F90BB7"/>
    <w:rsid w:val="00F90C6E"/>
    <w:rsid w:val="00F90C90"/>
    <w:rsid w:val="00F90CBC"/>
    <w:rsid w:val="00F90D3C"/>
    <w:rsid w:val="00F90D6C"/>
    <w:rsid w:val="00F90E6E"/>
    <w:rsid w:val="00F90EF8"/>
    <w:rsid w:val="00F90F81"/>
    <w:rsid w:val="00F90F9F"/>
    <w:rsid w:val="00F91061"/>
    <w:rsid w:val="00F910C9"/>
    <w:rsid w:val="00F910D8"/>
    <w:rsid w:val="00F910F1"/>
    <w:rsid w:val="00F9119D"/>
    <w:rsid w:val="00F912E1"/>
    <w:rsid w:val="00F912F2"/>
    <w:rsid w:val="00F91368"/>
    <w:rsid w:val="00F913B5"/>
    <w:rsid w:val="00F913DE"/>
    <w:rsid w:val="00F9143E"/>
    <w:rsid w:val="00F9148F"/>
    <w:rsid w:val="00F91562"/>
    <w:rsid w:val="00F915A2"/>
    <w:rsid w:val="00F915D7"/>
    <w:rsid w:val="00F915EF"/>
    <w:rsid w:val="00F91632"/>
    <w:rsid w:val="00F91672"/>
    <w:rsid w:val="00F916B3"/>
    <w:rsid w:val="00F9179F"/>
    <w:rsid w:val="00F9184F"/>
    <w:rsid w:val="00F9185E"/>
    <w:rsid w:val="00F91954"/>
    <w:rsid w:val="00F919B9"/>
    <w:rsid w:val="00F919EB"/>
    <w:rsid w:val="00F91AB0"/>
    <w:rsid w:val="00F91ABB"/>
    <w:rsid w:val="00F91B6C"/>
    <w:rsid w:val="00F91BC4"/>
    <w:rsid w:val="00F91C8E"/>
    <w:rsid w:val="00F91D97"/>
    <w:rsid w:val="00F91EC6"/>
    <w:rsid w:val="00F91EC7"/>
    <w:rsid w:val="00F91ED1"/>
    <w:rsid w:val="00F91F0F"/>
    <w:rsid w:val="00F91F15"/>
    <w:rsid w:val="00F91FFD"/>
    <w:rsid w:val="00F92119"/>
    <w:rsid w:val="00F9212B"/>
    <w:rsid w:val="00F9214B"/>
    <w:rsid w:val="00F921A3"/>
    <w:rsid w:val="00F922EF"/>
    <w:rsid w:val="00F92375"/>
    <w:rsid w:val="00F9240C"/>
    <w:rsid w:val="00F925BE"/>
    <w:rsid w:val="00F925F8"/>
    <w:rsid w:val="00F925FB"/>
    <w:rsid w:val="00F92600"/>
    <w:rsid w:val="00F92630"/>
    <w:rsid w:val="00F926F8"/>
    <w:rsid w:val="00F92723"/>
    <w:rsid w:val="00F92731"/>
    <w:rsid w:val="00F92747"/>
    <w:rsid w:val="00F9290E"/>
    <w:rsid w:val="00F9297E"/>
    <w:rsid w:val="00F929F3"/>
    <w:rsid w:val="00F929FC"/>
    <w:rsid w:val="00F92A7D"/>
    <w:rsid w:val="00F92AD7"/>
    <w:rsid w:val="00F92B0C"/>
    <w:rsid w:val="00F92C76"/>
    <w:rsid w:val="00F92C93"/>
    <w:rsid w:val="00F92D3C"/>
    <w:rsid w:val="00F92DFD"/>
    <w:rsid w:val="00F92E21"/>
    <w:rsid w:val="00F92E54"/>
    <w:rsid w:val="00F93161"/>
    <w:rsid w:val="00F93196"/>
    <w:rsid w:val="00F931F8"/>
    <w:rsid w:val="00F93209"/>
    <w:rsid w:val="00F932E3"/>
    <w:rsid w:val="00F932F2"/>
    <w:rsid w:val="00F93332"/>
    <w:rsid w:val="00F936B7"/>
    <w:rsid w:val="00F93712"/>
    <w:rsid w:val="00F9378C"/>
    <w:rsid w:val="00F937A1"/>
    <w:rsid w:val="00F9380E"/>
    <w:rsid w:val="00F93865"/>
    <w:rsid w:val="00F9392D"/>
    <w:rsid w:val="00F93956"/>
    <w:rsid w:val="00F9396B"/>
    <w:rsid w:val="00F939E6"/>
    <w:rsid w:val="00F93A2E"/>
    <w:rsid w:val="00F93A89"/>
    <w:rsid w:val="00F93ADA"/>
    <w:rsid w:val="00F93AFA"/>
    <w:rsid w:val="00F93B38"/>
    <w:rsid w:val="00F93B5F"/>
    <w:rsid w:val="00F93C46"/>
    <w:rsid w:val="00F93C63"/>
    <w:rsid w:val="00F93CBB"/>
    <w:rsid w:val="00F93CE5"/>
    <w:rsid w:val="00F93CF8"/>
    <w:rsid w:val="00F93D58"/>
    <w:rsid w:val="00F93DF0"/>
    <w:rsid w:val="00F93E24"/>
    <w:rsid w:val="00F93EB6"/>
    <w:rsid w:val="00F93F29"/>
    <w:rsid w:val="00F93F4F"/>
    <w:rsid w:val="00F9411D"/>
    <w:rsid w:val="00F94159"/>
    <w:rsid w:val="00F94180"/>
    <w:rsid w:val="00F942A8"/>
    <w:rsid w:val="00F942DC"/>
    <w:rsid w:val="00F943AA"/>
    <w:rsid w:val="00F944A3"/>
    <w:rsid w:val="00F94525"/>
    <w:rsid w:val="00F94541"/>
    <w:rsid w:val="00F945AB"/>
    <w:rsid w:val="00F94600"/>
    <w:rsid w:val="00F94799"/>
    <w:rsid w:val="00F947B9"/>
    <w:rsid w:val="00F947D8"/>
    <w:rsid w:val="00F9489E"/>
    <w:rsid w:val="00F94930"/>
    <w:rsid w:val="00F94987"/>
    <w:rsid w:val="00F949CA"/>
    <w:rsid w:val="00F949F9"/>
    <w:rsid w:val="00F94A4D"/>
    <w:rsid w:val="00F94A78"/>
    <w:rsid w:val="00F94A8B"/>
    <w:rsid w:val="00F94B21"/>
    <w:rsid w:val="00F94B28"/>
    <w:rsid w:val="00F94B50"/>
    <w:rsid w:val="00F94BD4"/>
    <w:rsid w:val="00F94BFC"/>
    <w:rsid w:val="00F94C18"/>
    <w:rsid w:val="00F94C51"/>
    <w:rsid w:val="00F94CC7"/>
    <w:rsid w:val="00F94CD4"/>
    <w:rsid w:val="00F94CD7"/>
    <w:rsid w:val="00F94DA2"/>
    <w:rsid w:val="00F94E33"/>
    <w:rsid w:val="00F94F7F"/>
    <w:rsid w:val="00F94FDD"/>
    <w:rsid w:val="00F95096"/>
    <w:rsid w:val="00F95438"/>
    <w:rsid w:val="00F95464"/>
    <w:rsid w:val="00F954B1"/>
    <w:rsid w:val="00F95524"/>
    <w:rsid w:val="00F95568"/>
    <w:rsid w:val="00F955B1"/>
    <w:rsid w:val="00F956E1"/>
    <w:rsid w:val="00F9573B"/>
    <w:rsid w:val="00F9575F"/>
    <w:rsid w:val="00F957E4"/>
    <w:rsid w:val="00F95803"/>
    <w:rsid w:val="00F958E8"/>
    <w:rsid w:val="00F958FD"/>
    <w:rsid w:val="00F9593A"/>
    <w:rsid w:val="00F95959"/>
    <w:rsid w:val="00F9596A"/>
    <w:rsid w:val="00F959BB"/>
    <w:rsid w:val="00F959EF"/>
    <w:rsid w:val="00F95AA4"/>
    <w:rsid w:val="00F95AD6"/>
    <w:rsid w:val="00F95ADE"/>
    <w:rsid w:val="00F95AE1"/>
    <w:rsid w:val="00F95AF0"/>
    <w:rsid w:val="00F95B80"/>
    <w:rsid w:val="00F95B95"/>
    <w:rsid w:val="00F95C9D"/>
    <w:rsid w:val="00F95D1C"/>
    <w:rsid w:val="00F95D94"/>
    <w:rsid w:val="00F95DBC"/>
    <w:rsid w:val="00F95E0F"/>
    <w:rsid w:val="00F95E20"/>
    <w:rsid w:val="00F95EE8"/>
    <w:rsid w:val="00F95F1C"/>
    <w:rsid w:val="00F95F2D"/>
    <w:rsid w:val="00F95F6C"/>
    <w:rsid w:val="00F95F7B"/>
    <w:rsid w:val="00F96007"/>
    <w:rsid w:val="00F96072"/>
    <w:rsid w:val="00F960D8"/>
    <w:rsid w:val="00F96192"/>
    <w:rsid w:val="00F961C9"/>
    <w:rsid w:val="00F961FE"/>
    <w:rsid w:val="00F96271"/>
    <w:rsid w:val="00F96307"/>
    <w:rsid w:val="00F96357"/>
    <w:rsid w:val="00F963CC"/>
    <w:rsid w:val="00F96535"/>
    <w:rsid w:val="00F96538"/>
    <w:rsid w:val="00F965D0"/>
    <w:rsid w:val="00F966B8"/>
    <w:rsid w:val="00F966D3"/>
    <w:rsid w:val="00F96719"/>
    <w:rsid w:val="00F96724"/>
    <w:rsid w:val="00F96728"/>
    <w:rsid w:val="00F96771"/>
    <w:rsid w:val="00F96797"/>
    <w:rsid w:val="00F967DB"/>
    <w:rsid w:val="00F96901"/>
    <w:rsid w:val="00F9697D"/>
    <w:rsid w:val="00F96A9D"/>
    <w:rsid w:val="00F96B4F"/>
    <w:rsid w:val="00F96D04"/>
    <w:rsid w:val="00F96DB8"/>
    <w:rsid w:val="00F96E36"/>
    <w:rsid w:val="00F96E93"/>
    <w:rsid w:val="00F96E94"/>
    <w:rsid w:val="00F96EDC"/>
    <w:rsid w:val="00F96EEF"/>
    <w:rsid w:val="00F96F3E"/>
    <w:rsid w:val="00F9700D"/>
    <w:rsid w:val="00F9708B"/>
    <w:rsid w:val="00F971CC"/>
    <w:rsid w:val="00F9721C"/>
    <w:rsid w:val="00F972B7"/>
    <w:rsid w:val="00F972DB"/>
    <w:rsid w:val="00F97398"/>
    <w:rsid w:val="00F973CC"/>
    <w:rsid w:val="00F97456"/>
    <w:rsid w:val="00F974B7"/>
    <w:rsid w:val="00F974D1"/>
    <w:rsid w:val="00F97615"/>
    <w:rsid w:val="00F9763E"/>
    <w:rsid w:val="00F976A8"/>
    <w:rsid w:val="00F9782B"/>
    <w:rsid w:val="00F978D0"/>
    <w:rsid w:val="00F978DD"/>
    <w:rsid w:val="00F97946"/>
    <w:rsid w:val="00F97A05"/>
    <w:rsid w:val="00F97A14"/>
    <w:rsid w:val="00F97A38"/>
    <w:rsid w:val="00F97BF0"/>
    <w:rsid w:val="00F97CA0"/>
    <w:rsid w:val="00F97D66"/>
    <w:rsid w:val="00F97DF1"/>
    <w:rsid w:val="00F97E0C"/>
    <w:rsid w:val="00F97EFB"/>
    <w:rsid w:val="00F97F02"/>
    <w:rsid w:val="00F97F83"/>
    <w:rsid w:val="00F97F8C"/>
    <w:rsid w:val="00F97F96"/>
    <w:rsid w:val="00F97FBB"/>
    <w:rsid w:val="00F97FF1"/>
    <w:rsid w:val="00F97FF2"/>
    <w:rsid w:val="00FA0038"/>
    <w:rsid w:val="00FA007C"/>
    <w:rsid w:val="00FA00B6"/>
    <w:rsid w:val="00FA00C7"/>
    <w:rsid w:val="00FA0192"/>
    <w:rsid w:val="00FA01F8"/>
    <w:rsid w:val="00FA0230"/>
    <w:rsid w:val="00FA023D"/>
    <w:rsid w:val="00FA02EB"/>
    <w:rsid w:val="00FA030F"/>
    <w:rsid w:val="00FA033C"/>
    <w:rsid w:val="00FA03E1"/>
    <w:rsid w:val="00FA0422"/>
    <w:rsid w:val="00FA0441"/>
    <w:rsid w:val="00FA0442"/>
    <w:rsid w:val="00FA0447"/>
    <w:rsid w:val="00FA0449"/>
    <w:rsid w:val="00FA0455"/>
    <w:rsid w:val="00FA0495"/>
    <w:rsid w:val="00FA0565"/>
    <w:rsid w:val="00FA056D"/>
    <w:rsid w:val="00FA057A"/>
    <w:rsid w:val="00FA0592"/>
    <w:rsid w:val="00FA05B6"/>
    <w:rsid w:val="00FA076C"/>
    <w:rsid w:val="00FA0833"/>
    <w:rsid w:val="00FA0867"/>
    <w:rsid w:val="00FA08E6"/>
    <w:rsid w:val="00FA09C8"/>
    <w:rsid w:val="00FA0A7D"/>
    <w:rsid w:val="00FA0A97"/>
    <w:rsid w:val="00FA0AAF"/>
    <w:rsid w:val="00FA0ADE"/>
    <w:rsid w:val="00FA0C56"/>
    <w:rsid w:val="00FA0DF5"/>
    <w:rsid w:val="00FA0E00"/>
    <w:rsid w:val="00FA0EA5"/>
    <w:rsid w:val="00FA0F96"/>
    <w:rsid w:val="00FA0FA6"/>
    <w:rsid w:val="00FA0FB6"/>
    <w:rsid w:val="00FA1044"/>
    <w:rsid w:val="00FA10DF"/>
    <w:rsid w:val="00FA10FA"/>
    <w:rsid w:val="00FA1119"/>
    <w:rsid w:val="00FA112B"/>
    <w:rsid w:val="00FA1152"/>
    <w:rsid w:val="00FA11DF"/>
    <w:rsid w:val="00FA1242"/>
    <w:rsid w:val="00FA12DF"/>
    <w:rsid w:val="00FA1375"/>
    <w:rsid w:val="00FA1392"/>
    <w:rsid w:val="00FA1443"/>
    <w:rsid w:val="00FA1486"/>
    <w:rsid w:val="00FA148B"/>
    <w:rsid w:val="00FA14F9"/>
    <w:rsid w:val="00FA1523"/>
    <w:rsid w:val="00FA1527"/>
    <w:rsid w:val="00FA15C8"/>
    <w:rsid w:val="00FA160F"/>
    <w:rsid w:val="00FA17A8"/>
    <w:rsid w:val="00FA1986"/>
    <w:rsid w:val="00FA19D1"/>
    <w:rsid w:val="00FA1A9F"/>
    <w:rsid w:val="00FA1AF3"/>
    <w:rsid w:val="00FA1B5D"/>
    <w:rsid w:val="00FA1B96"/>
    <w:rsid w:val="00FA1BA7"/>
    <w:rsid w:val="00FA1BB9"/>
    <w:rsid w:val="00FA1BF3"/>
    <w:rsid w:val="00FA1C06"/>
    <w:rsid w:val="00FA1C0B"/>
    <w:rsid w:val="00FA1C68"/>
    <w:rsid w:val="00FA1C91"/>
    <w:rsid w:val="00FA1C94"/>
    <w:rsid w:val="00FA1D69"/>
    <w:rsid w:val="00FA1DCE"/>
    <w:rsid w:val="00FA1E74"/>
    <w:rsid w:val="00FA1F22"/>
    <w:rsid w:val="00FA1F3B"/>
    <w:rsid w:val="00FA1FDC"/>
    <w:rsid w:val="00FA1FE0"/>
    <w:rsid w:val="00FA205D"/>
    <w:rsid w:val="00FA208E"/>
    <w:rsid w:val="00FA2098"/>
    <w:rsid w:val="00FA20F2"/>
    <w:rsid w:val="00FA2111"/>
    <w:rsid w:val="00FA214B"/>
    <w:rsid w:val="00FA214C"/>
    <w:rsid w:val="00FA2206"/>
    <w:rsid w:val="00FA2238"/>
    <w:rsid w:val="00FA2241"/>
    <w:rsid w:val="00FA2275"/>
    <w:rsid w:val="00FA2366"/>
    <w:rsid w:val="00FA23FD"/>
    <w:rsid w:val="00FA2473"/>
    <w:rsid w:val="00FA24AA"/>
    <w:rsid w:val="00FA24C5"/>
    <w:rsid w:val="00FA24E6"/>
    <w:rsid w:val="00FA2560"/>
    <w:rsid w:val="00FA25A1"/>
    <w:rsid w:val="00FA2662"/>
    <w:rsid w:val="00FA2788"/>
    <w:rsid w:val="00FA28B8"/>
    <w:rsid w:val="00FA28D6"/>
    <w:rsid w:val="00FA28DC"/>
    <w:rsid w:val="00FA2945"/>
    <w:rsid w:val="00FA29C9"/>
    <w:rsid w:val="00FA2A0E"/>
    <w:rsid w:val="00FA2A7E"/>
    <w:rsid w:val="00FA2D17"/>
    <w:rsid w:val="00FA2D4F"/>
    <w:rsid w:val="00FA2E1B"/>
    <w:rsid w:val="00FA2F01"/>
    <w:rsid w:val="00FA2F0F"/>
    <w:rsid w:val="00FA2FAF"/>
    <w:rsid w:val="00FA2FFE"/>
    <w:rsid w:val="00FA301A"/>
    <w:rsid w:val="00FA308C"/>
    <w:rsid w:val="00FA309A"/>
    <w:rsid w:val="00FA30F5"/>
    <w:rsid w:val="00FA30FF"/>
    <w:rsid w:val="00FA31A0"/>
    <w:rsid w:val="00FA31DE"/>
    <w:rsid w:val="00FA327C"/>
    <w:rsid w:val="00FA32A6"/>
    <w:rsid w:val="00FA32C2"/>
    <w:rsid w:val="00FA3306"/>
    <w:rsid w:val="00FA33C3"/>
    <w:rsid w:val="00FA33EC"/>
    <w:rsid w:val="00FA34C0"/>
    <w:rsid w:val="00FA34D5"/>
    <w:rsid w:val="00FA352A"/>
    <w:rsid w:val="00FA363E"/>
    <w:rsid w:val="00FA369A"/>
    <w:rsid w:val="00FA36F7"/>
    <w:rsid w:val="00FA3775"/>
    <w:rsid w:val="00FA3797"/>
    <w:rsid w:val="00FA3799"/>
    <w:rsid w:val="00FA383F"/>
    <w:rsid w:val="00FA3882"/>
    <w:rsid w:val="00FA38BC"/>
    <w:rsid w:val="00FA39AF"/>
    <w:rsid w:val="00FA3B60"/>
    <w:rsid w:val="00FA3C53"/>
    <w:rsid w:val="00FA3D0F"/>
    <w:rsid w:val="00FA3D27"/>
    <w:rsid w:val="00FA3DAC"/>
    <w:rsid w:val="00FA3E42"/>
    <w:rsid w:val="00FA3EFC"/>
    <w:rsid w:val="00FA3F83"/>
    <w:rsid w:val="00FA3F8C"/>
    <w:rsid w:val="00FA4046"/>
    <w:rsid w:val="00FA417F"/>
    <w:rsid w:val="00FA41DA"/>
    <w:rsid w:val="00FA4211"/>
    <w:rsid w:val="00FA4284"/>
    <w:rsid w:val="00FA4386"/>
    <w:rsid w:val="00FA43C0"/>
    <w:rsid w:val="00FA43ED"/>
    <w:rsid w:val="00FA45D5"/>
    <w:rsid w:val="00FA45E5"/>
    <w:rsid w:val="00FA4690"/>
    <w:rsid w:val="00FA4691"/>
    <w:rsid w:val="00FA46D6"/>
    <w:rsid w:val="00FA4767"/>
    <w:rsid w:val="00FA48B1"/>
    <w:rsid w:val="00FA48E5"/>
    <w:rsid w:val="00FA4913"/>
    <w:rsid w:val="00FA4926"/>
    <w:rsid w:val="00FA495B"/>
    <w:rsid w:val="00FA4978"/>
    <w:rsid w:val="00FA4A1A"/>
    <w:rsid w:val="00FA4B13"/>
    <w:rsid w:val="00FA4B1E"/>
    <w:rsid w:val="00FA4B28"/>
    <w:rsid w:val="00FA4B4C"/>
    <w:rsid w:val="00FA4C18"/>
    <w:rsid w:val="00FA4D06"/>
    <w:rsid w:val="00FA4D88"/>
    <w:rsid w:val="00FA4F2E"/>
    <w:rsid w:val="00FA4F6D"/>
    <w:rsid w:val="00FA4FD5"/>
    <w:rsid w:val="00FA5024"/>
    <w:rsid w:val="00FA502E"/>
    <w:rsid w:val="00FA50C9"/>
    <w:rsid w:val="00FA50E4"/>
    <w:rsid w:val="00FA51F6"/>
    <w:rsid w:val="00FA5217"/>
    <w:rsid w:val="00FA5231"/>
    <w:rsid w:val="00FA5272"/>
    <w:rsid w:val="00FA52B2"/>
    <w:rsid w:val="00FA52DF"/>
    <w:rsid w:val="00FA5304"/>
    <w:rsid w:val="00FA530F"/>
    <w:rsid w:val="00FA5347"/>
    <w:rsid w:val="00FA536A"/>
    <w:rsid w:val="00FA5460"/>
    <w:rsid w:val="00FA5509"/>
    <w:rsid w:val="00FA5527"/>
    <w:rsid w:val="00FA5577"/>
    <w:rsid w:val="00FA557C"/>
    <w:rsid w:val="00FA563B"/>
    <w:rsid w:val="00FA5685"/>
    <w:rsid w:val="00FA5695"/>
    <w:rsid w:val="00FA569F"/>
    <w:rsid w:val="00FA5761"/>
    <w:rsid w:val="00FA577F"/>
    <w:rsid w:val="00FA57A5"/>
    <w:rsid w:val="00FA588F"/>
    <w:rsid w:val="00FA58E9"/>
    <w:rsid w:val="00FA5962"/>
    <w:rsid w:val="00FA596B"/>
    <w:rsid w:val="00FA59D5"/>
    <w:rsid w:val="00FA5A08"/>
    <w:rsid w:val="00FA5A6C"/>
    <w:rsid w:val="00FA5B86"/>
    <w:rsid w:val="00FA5C31"/>
    <w:rsid w:val="00FA5C5B"/>
    <w:rsid w:val="00FA5C8C"/>
    <w:rsid w:val="00FA5DBB"/>
    <w:rsid w:val="00FA5DF2"/>
    <w:rsid w:val="00FA5E77"/>
    <w:rsid w:val="00FA6090"/>
    <w:rsid w:val="00FA6251"/>
    <w:rsid w:val="00FA630E"/>
    <w:rsid w:val="00FA6345"/>
    <w:rsid w:val="00FA638D"/>
    <w:rsid w:val="00FA6458"/>
    <w:rsid w:val="00FA650E"/>
    <w:rsid w:val="00FA6537"/>
    <w:rsid w:val="00FA65CB"/>
    <w:rsid w:val="00FA65D9"/>
    <w:rsid w:val="00FA66C7"/>
    <w:rsid w:val="00FA6704"/>
    <w:rsid w:val="00FA67D3"/>
    <w:rsid w:val="00FA67E8"/>
    <w:rsid w:val="00FA6849"/>
    <w:rsid w:val="00FA690E"/>
    <w:rsid w:val="00FA6938"/>
    <w:rsid w:val="00FA6A19"/>
    <w:rsid w:val="00FA6A1A"/>
    <w:rsid w:val="00FA6B31"/>
    <w:rsid w:val="00FA6B51"/>
    <w:rsid w:val="00FA6B64"/>
    <w:rsid w:val="00FA6C64"/>
    <w:rsid w:val="00FA6CD7"/>
    <w:rsid w:val="00FA6CE0"/>
    <w:rsid w:val="00FA6D92"/>
    <w:rsid w:val="00FA6F5E"/>
    <w:rsid w:val="00FA6FD2"/>
    <w:rsid w:val="00FA6FDD"/>
    <w:rsid w:val="00FA73D8"/>
    <w:rsid w:val="00FA7450"/>
    <w:rsid w:val="00FA76A8"/>
    <w:rsid w:val="00FA76D9"/>
    <w:rsid w:val="00FA785E"/>
    <w:rsid w:val="00FA78EB"/>
    <w:rsid w:val="00FA7926"/>
    <w:rsid w:val="00FA7945"/>
    <w:rsid w:val="00FA794F"/>
    <w:rsid w:val="00FA796B"/>
    <w:rsid w:val="00FA7A3F"/>
    <w:rsid w:val="00FA7B47"/>
    <w:rsid w:val="00FA7B81"/>
    <w:rsid w:val="00FA7B88"/>
    <w:rsid w:val="00FA7C7B"/>
    <w:rsid w:val="00FA7CB1"/>
    <w:rsid w:val="00FA7D2D"/>
    <w:rsid w:val="00FA7DE2"/>
    <w:rsid w:val="00FA7E37"/>
    <w:rsid w:val="00FA7E56"/>
    <w:rsid w:val="00FA7E90"/>
    <w:rsid w:val="00FA7EF2"/>
    <w:rsid w:val="00FA7F99"/>
    <w:rsid w:val="00FA7FD5"/>
    <w:rsid w:val="00FA7FF2"/>
    <w:rsid w:val="00FAEE3A"/>
    <w:rsid w:val="00FB0024"/>
    <w:rsid w:val="00FB0037"/>
    <w:rsid w:val="00FB007F"/>
    <w:rsid w:val="00FB008B"/>
    <w:rsid w:val="00FB0092"/>
    <w:rsid w:val="00FB01CB"/>
    <w:rsid w:val="00FB0219"/>
    <w:rsid w:val="00FB0230"/>
    <w:rsid w:val="00FB0234"/>
    <w:rsid w:val="00FB0324"/>
    <w:rsid w:val="00FB037A"/>
    <w:rsid w:val="00FB0487"/>
    <w:rsid w:val="00FB0497"/>
    <w:rsid w:val="00FB05AB"/>
    <w:rsid w:val="00FB05C8"/>
    <w:rsid w:val="00FB05E2"/>
    <w:rsid w:val="00FB05EC"/>
    <w:rsid w:val="00FB0679"/>
    <w:rsid w:val="00FB069A"/>
    <w:rsid w:val="00FB0705"/>
    <w:rsid w:val="00FB0736"/>
    <w:rsid w:val="00FB0744"/>
    <w:rsid w:val="00FB0750"/>
    <w:rsid w:val="00FB076C"/>
    <w:rsid w:val="00FB07F1"/>
    <w:rsid w:val="00FB088A"/>
    <w:rsid w:val="00FB0892"/>
    <w:rsid w:val="00FB089C"/>
    <w:rsid w:val="00FB0B96"/>
    <w:rsid w:val="00FB0BA2"/>
    <w:rsid w:val="00FB0BE9"/>
    <w:rsid w:val="00FB0C30"/>
    <w:rsid w:val="00FB0C56"/>
    <w:rsid w:val="00FB0C64"/>
    <w:rsid w:val="00FB0D4F"/>
    <w:rsid w:val="00FB0E89"/>
    <w:rsid w:val="00FB102C"/>
    <w:rsid w:val="00FB10F7"/>
    <w:rsid w:val="00FB11B0"/>
    <w:rsid w:val="00FB1319"/>
    <w:rsid w:val="00FB13CB"/>
    <w:rsid w:val="00FB13E4"/>
    <w:rsid w:val="00FB156D"/>
    <w:rsid w:val="00FB1574"/>
    <w:rsid w:val="00FB15B9"/>
    <w:rsid w:val="00FB15C5"/>
    <w:rsid w:val="00FB161C"/>
    <w:rsid w:val="00FB1638"/>
    <w:rsid w:val="00FB16B9"/>
    <w:rsid w:val="00FB16E6"/>
    <w:rsid w:val="00FB1820"/>
    <w:rsid w:val="00FB185E"/>
    <w:rsid w:val="00FB1916"/>
    <w:rsid w:val="00FB193E"/>
    <w:rsid w:val="00FB197A"/>
    <w:rsid w:val="00FB19AD"/>
    <w:rsid w:val="00FB1A5D"/>
    <w:rsid w:val="00FB1A9C"/>
    <w:rsid w:val="00FB1AE5"/>
    <w:rsid w:val="00FB1B14"/>
    <w:rsid w:val="00FB1C31"/>
    <w:rsid w:val="00FB1C8F"/>
    <w:rsid w:val="00FB1CFA"/>
    <w:rsid w:val="00FB1D04"/>
    <w:rsid w:val="00FB1D24"/>
    <w:rsid w:val="00FB1D3A"/>
    <w:rsid w:val="00FB1D4A"/>
    <w:rsid w:val="00FB1DA7"/>
    <w:rsid w:val="00FB1DF9"/>
    <w:rsid w:val="00FB1E49"/>
    <w:rsid w:val="00FB1E57"/>
    <w:rsid w:val="00FB1F50"/>
    <w:rsid w:val="00FB1F60"/>
    <w:rsid w:val="00FB1F7F"/>
    <w:rsid w:val="00FB20C3"/>
    <w:rsid w:val="00FB20F0"/>
    <w:rsid w:val="00FB2241"/>
    <w:rsid w:val="00FB226B"/>
    <w:rsid w:val="00FB22C8"/>
    <w:rsid w:val="00FB2327"/>
    <w:rsid w:val="00FB246D"/>
    <w:rsid w:val="00FB2577"/>
    <w:rsid w:val="00FB2651"/>
    <w:rsid w:val="00FB2778"/>
    <w:rsid w:val="00FB2796"/>
    <w:rsid w:val="00FB296F"/>
    <w:rsid w:val="00FB29AA"/>
    <w:rsid w:val="00FB29DF"/>
    <w:rsid w:val="00FB2A4A"/>
    <w:rsid w:val="00FB2A73"/>
    <w:rsid w:val="00FB2A85"/>
    <w:rsid w:val="00FB2ACD"/>
    <w:rsid w:val="00FB2C03"/>
    <w:rsid w:val="00FB2C07"/>
    <w:rsid w:val="00FB2C48"/>
    <w:rsid w:val="00FB2CE7"/>
    <w:rsid w:val="00FB2CEE"/>
    <w:rsid w:val="00FB2D9B"/>
    <w:rsid w:val="00FB2DF6"/>
    <w:rsid w:val="00FB2E75"/>
    <w:rsid w:val="00FB2E8D"/>
    <w:rsid w:val="00FB2EB9"/>
    <w:rsid w:val="00FB300A"/>
    <w:rsid w:val="00FB308C"/>
    <w:rsid w:val="00FB30CB"/>
    <w:rsid w:val="00FB30EC"/>
    <w:rsid w:val="00FB3193"/>
    <w:rsid w:val="00FB3213"/>
    <w:rsid w:val="00FB3278"/>
    <w:rsid w:val="00FB3281"/>
    <w:rsid w:val="00FB3403"/>
    <w:rsid w:val="00FB34B4"/>
    <w:rsid w:val="00FB3574"/>
    <w:rsid w:val="00FB35F3"/>
    <w:rsid w:val="00FB3643"/>
    <w:rsid w:val="00FB37B9"/>
    <w:rsid w:val="00FB3821"/>
    <w:rsid w:val="00FB3867"/>
    <w:rsid w:val="00FB3935"/>
    <w:rsid w:val="00FB3A1F"/>
    <w:rsid w:val="00FB3A39"/>
    <w:rsid w:val="00FB3ACF"/>
    <w:rsid w:val="00FB3B50"/>
    <w:rsid w:val="00FB3B9E"/>
    <w:rsid w:val="00FB3DAD"/>
    <w:rsid w:val="00FB3EF4"/>
    <w:rsid w:val="00FB3FFE"/>
    <w:rsid w:val="00FB4027"/>
    <w:rsid w:val="00FB404B"/>
    <w:rsid w:val="00FB4097"/>
    <w:rsid w:val="00FB40AD"/>
    <w:rsid w:val="00FB4112"/>
    <w:rsid w:val="00FB424B"/>
    <w:rsid w:val="00FB424C"/>
    <w:rsid w:val="00FB4265"/>
    <w:rsid w:val="00FB42BA"/>
    <w:rsid w:val="00FB433B"/>
    <w:rsid w:val="00FB452F"/>
    <w:rsid w:val="00FB45DC"/>
    <w:rsid w:val="00FB4608"/>
    <w:rsid w:val="00FB46D2"/>
    <w:rsid w:val="00FB4723"/>
    <w:rsid w:val="00FB4737"/>
    <w:rsid w:val="00FB478A"/>
    <w:rsid w:val="00FB47A0"/>
    <w:rsid w:val="00FB485C"/>
    <w:rsid w:val="00FB48B0"/>
    <w:rsid w:val="00FB492D"/>
    <w:rsid w:val="00FB498A"/>
    <w:rsid w:val="00FB49B8"/>
    <w:rsid w:val="00FB49BD"/>
    <w:rsid w:val="00FB4A0E"/>
    <w:rsid w:val="00FB4A58"/>
    <w:rsid w:val="00FB4AC0"/>
    <w:rsid w:val="00FB4AEA"/>
    <w:rsid w:val="00FB4B92"/>
    <w:rsid w:val="00FB4B95"/>
    <w:rsid w:val="00FB4C84"/>
    <w:rsid w:val="00FB4D4B"/>
    <w:rsid w:val="00FB4DC2"/>
    <w:rsid w:val="00FB4E80"/>
    <w:rsid w:val="00FB4ED4"/>
    <w:rsid w:val="00FB4F65"/>
    <w:rsid w:val="00FB4FBC"/>
    <w:rsid w:val="00FB501E"/>
    <w:rsid w:val="00FB5035"/>
    <w:rsid w:val="00FB5079"/>
    <w:rsid w:val="00FB50CA"/>
    <w:rsid w:val="00FB510C"/>
    <w:rsid w:val="00FB5120"/>
    <w:rsid w:val="00FB51FF"/>
    <w:rsid w:val="00FB5257"/>
    <w:rsid w:val="00FB52C4"/>
    <w:rsid w:val="00FB53A2"/>
    <w:rsid w:val="00FB5493"/>
    <w:rsid w:val="00FB54A6"/>
    <w:rsid w:val="00FB55DE"/>
    <w:rsid w:val="00FB55F6"/>
    <w:rsid w:val="00FB5693"/>
    <w:rsid w:val="00FB572D"/>
    <w:rsid w:val="00FB57A4"/>
    <w:rsid w:val="00FB57C9"/>
    <w:rsid w:val="00FB5803"/>
    <w:rsid w:val="00FB5884"/>
    <w:rsid w:val="00FB58BC"/>
    <w:rsid w:val="00FB5939"/>
    <w:rsid w:val="00FB5992"/>
    <w:rsid w:val="00FB59F5"/>
    <w:rsid w:val="00FB5A15"/>
    <w:rsid w:val="00FB5A24"/>
    <w:rsid w:val="00FB5AB1"/>
    <w:rsid w:val="00FB5AC4"/>
    <w:rsid w:val="00FB5AD3"/>
    <w:rsid w:val="00FB5B23"/>
    <w:rsid w:val="00FB5CF5"/>
    <w:rsid w:val="00FB5CFC"/>
    <w:rsid w:val="00FB5DE4"/>
    <w:rsid w:val="00FB5E4F"/>
    <w:rsid w:val="00FB5F56"/>
    <w:rsid w:val="00FB5F65"/>
    <w:rsid w:val="00FB6039"/>
    <w:rsid w:val="00FB61B8"/>
    <w:rsid w:val="00FB61E5"/>
    <w:rsid w:val="00FB6267"/>
    <w:rsid w:val="00FB62E0"/>
    <w:rsid w:val="00FB6348"/>
    <w:rsid w:val="00FB6395"/>
    <w:rsid w:val="00FB6405"/>
    <w:rsid w:val="00FB6495"/>
    <w:rsid w:val="00FB6498"/>
    <w:rsid w:val="00FB650C"/>
    <w:rsid w:val="00FB652E"/>
    <w:rsid w:val="00FB654D"/>
    <w:rsid w:val="00FB6560"/>
    <w:rsid w:val="00FB6666"/>
    <w:rsid w:val="00FB66A9"/>
    <w:rsid w:val="00FB6708"/>
    <w:rsid w:val="00FB6792"/>
    <w:rsid w:val="00FB6821"/>
    <w:rsid w:val="00FB6969"/>
    <w:rsid w:val="00FB6A3D"/>
    <w:rsid w:val="00FB6ABB"/>
    <w:rsid w:val="00FB6ABF"/>
    <w:rsid w:val="00FB6B15"/>
    <w:rsid w:val="00FB6B3F"/>
    <w:rsid w:val="00FB6B78"/>
    <w:rsid w:val="00FB6BDC"/>
    <w:rsid w:val="00FB6CBF"/>
    <w:rsid w:val="00FB6CD7"/>
    <w:rsid w:val="00FB6EA9"/>
    <w:rsid w:val="00FB6EAB"/>
    <w:rsid w:val="00FB6F15"/>
    <w:rsid w:val="00FB70D1"/>
    <w:rsid w:val="00FB7177"/>
    <w:rsid w:val="00FB7254"/>
    <w:rsid w:val="00FB7261"/>
    <w:rsid w:val="00FB72D8"/>
    <w:rsid w:val="00FB739E"/>
    <w:rsid w:val="00FB7450"/>
    <w:rsid w:val="00FB746D"/>
    <w:rsid w:val="00FB746F"/>
    <w:rsid w:val="00FB7626"/>
    <w:rsid w:val="00FB76C8"/>
    <w:rsid w:val="00FB77A9"/>
    <w:rsid w:val="00FB77E2"/>
    <w:rsid w:val="00FB7844"/>
    <w:rsid w:val="00FB78FB"/>
    <w:rsid w:val="00FB7965"/>
    <w:rsid w:val="00FB7A3C"/>
    <w:rsid w:val="00FB7B42"/>
    <w:rsid w:val="00FB7BED"/>
    <w:rsid w:val="00FB7BF5"/>
    <w:rsid w:val="00FB7CCD"/>
    <w:rsid w:val="00FB7ED1"/>
    <w:rsid w:val="00FB7EF2"/>
    <w:rsid w:val="00FC0012"/>
    <w:rsid w:val="00FC00C3"/>
    <w:rsid w:val="00FC0247"/>
    <w:rsid w:val="00FC03B3"/>
    <w:rsid w:val="00FC03BF"/>
    <w:rsid w:val="00FC0458"/>
    <w:rsid w:val="00FC04A8"/>
    <w:rsid w:val="00FC0515"/>
    <w:rsid w:val="00FC05B8"/>
    <w:rsid w:val="00FC05E1"/>
    <w:rsid w:val="00FC05E5"/>
    <w:rsid w:val="00FC0616"/>
    <w:rsid w:val="00FC0628"/>
    <w:rsid w:val="00FC0717"/>
    <w:rsid w:val="00FC073F"/>
    <w:rsid w:val="00FC0981"/>
    <w:rsid w:val="00FC09D0"/>
    <w:rsid w:val="00FC0A07"/>
    <w:rsid w:val="00FC0A59"/>
    <w:rsid w:val="00FC0AFB"/>
    <w:rsid w:val="00FC0B07"/>
    <w:rsid w:val="00FC0B1C"/>
    <w:rsid w:val="00FC0B9A"/>
    <w:rsid w:val="00FC0B9C"/>
    <w:rsid w:val="00FC0D27"/>
    <w:rsid w:val="00FC0D8D"/>
    <w:rsid w:val="00FC0DA6"/>
    <w:rsid w:val="00FC0DE0"/>
    <w:rsid w:val="00FC0EF8"/>
    <w:rsid w:val="00FC1005"/>
    <w:rsid w:val="00FC1015"/>
    <w:rsid w:val="00FC107B"/>
    <w:rsid w:val="00FC108F"/>
    <w:rsid w:val="00FC109B"/>
    <w:rsid w:val="00FC10D3"/>
    <w:rsid w:val="00FC1135"/>
    <w:rsid w:val="00FC1157"/>
    <w:rsid w:val="00FC119D"/>
    <w:rsid w:val="00FC11BD"/>
    <w:rsid w:val="00FC11E6"/>
    <w:rsid w:val="00FC1240"/>
    <w:rsid w:val="00FC130A"/>
    <w:rsid w:val="00FC1405"/>
    <w:rsid w:val="00FC1469"/>
    <w:rsid w:val="00FC1480"/>
    <w:rsid w:val="00FC1488"/>
    <w:rsid w:val="00FC14A3"/>
    <w:rsid w:val="00FC14DF"/>
    <w:rsid w:val="00FC1523"/>
    <w:rsid w:val="00FC1535"/>
    <w:rsid w:val="00FC1576"/>
    <w:rsid w:val="00FC15E2"/>
    <w:rsid w:val="00FC1606"/>
    <w:rsid w:val="00FC167C"/>
    <w:rsid w:val="00FC16A6"/>
    <w:rsid w:val="00FC16A7"/>
    <w:rsid w:val="00FC1781"/>
    <w:rsid w:val="00FC183E"/>
    <w:rsid w:val="00FC18F0"/>
    <w:rsid w:val="00FC1904"/>
    <w:rsid w:val="00FC195E"/>
    <w:rsid w:val="00FC1A1E"/>
    <w:rsid w:val="00FC1A9C"/>
    <w:rsid w:val="00FC1AA4"/>
    <w:rsid w:val="00FC1AE5"/>
    <w:rsid w:val="00FC1B2F"/>
    <w:rsid w:val="00FC1B75"/>
    <w:rsid w:val="00FC1C10"/>
    <w:rsid w:val="00FC1CF9"/>
    <w:rsid w:val="00FC1D2C"/>
    <w:rsid w:val="00FC1D43"/>
    <w:rsid w:val="00FC1DCE"/>
    <w:rsid w:val="00FC1E88"/>
    <w:rsid w:val="00FC1FB5"/>
    <w:rsid w:val="00FC2084"/>
    <w:rsid w:val="00FC2136"/>
    <w:rsid w:val="00FC21C2"/>
    <w:rsid w:val="00FC21FE"/>
    <w:rsid w:val="00FC238D"/>
    <w:rsid w:val="00FC248D"/>
    <w:rsid w:val="00FC2549"/>
    <w:rsid w:val="00FC25E6"/>
    <w:rsid w:val="00FC25F8"/>
    <w:rsid w:val="00FC26B4"/>
    <w:rsid w:val="00FC2718"/>
    <w:rsid w:val="00FC2749"/>
    <w:rsid w:val="00FC2791"/>
    <w:rsid w:val="00FC28BE"/>
    <w:rsid w:val="00FC28C7"/>
    <w:rsid w:val="00FC29B5"/>
    <w:rsid w:val="00FC29CB"/>
    <w:rsid w:val="00FC29DF"/>
    <w:rsid w:val="00FC29E1"/>
    <w:rsid w:val="00FC2A51"/>
    <w:rsid w:val="00FC2B03"/>
    <w:rsid w:val="00FC2B07"/>
    <w:rsid w:val="00FC2B30"/>
    <w:rsid w:val="00FC2B3E"/>
    <w:rsid w:val="00FC2B87"/>
    <w:rsid w:val="00FC2B89"/>
    <w:rsid w:val="00FC2C1C"/>
    <w:rsid w:val="00FC2C55"/>
    <w:rsid w:val="00FC2C59"/>
    <w:rsid w:val="00FC2C79"/>
    <w:rsid w:val="00FC2DE6"/>
    <w:rsid w:val="00FC2E14"/>
    <w:rsid w:val="00FC2EE7"/>
    <w:rsid w:val="00FC2F7A"/>
    <w:rsid w:val="00FC3001"/>
    <w:rsid w:val="00FC3019"/>
    <w:rsid w:val="00FC3086"/>
    <w:rsid w:val="00FC30AD"/>
    <w:rsid w:val="00FC318B"/>
    <w:rsid w:val="00FC323F"/>
    <w:rsid w:val="00FC344C"/>
    <w:rsid w:val="00FC3552"/>
    <w:rsid w:val="00FC35B5"/>
    <w:rsid w:val="00FC3625"/>
    <w:rsid w:val="00FC362B"/>
    <w:rsid w:val="00FC378D"/>
    <w:rsid w:val="00FC386A"/>
    <w:rsid w:val="00FC38E5"/>
    <w:rsid w:val="00FC38F8"/>
    <w:rsid w:val="00FC3968"/>
    <w:rsid w:val="00FC39DF"/>
    <w:rsid w:val="00FC3A4A"/>
    <w:rsid w:val="00FC3A55"/>
    <w:rsid w:val="00FC3C5B"/>
    <w:rsid w:val="00FC3C70"/>
    <w:rsid w:val="00FC3CDA"/>
    <w:rsid w:val="00FC3D23"/>
    <w:rsid w:val="00FC3D65"/>
    <w:rsid w:val="00FC3D84"/>
    <w:rsid w:val="00FC3DDE"/>
    <w:rsid w:val="00FC3DFE"/>
    <w:rsid w:val="00FC3EA4"/>
    <w:rsid w:val="00FC3EB8"/>
    <w:rsid w:val="00FC3EC1"/>
    <w:rsid w:val="00FC3F58"/>
    <w:rsid w:val="00FC3F98"/>
    <w:rsid w:val="00FC3FF3"/>
    <w:rsid w:val="00FC4006"/>
    <w:rsid w:val="00FC4185"/>
    <w:rsid w:val="00FC4187"/>
    <w:rsid w:val="00FC41AE"/>
    <w:rsid w:val="00FC423E"/>
    <w:rsid w:val="00FC424E"/>
    <w:rsid w:val="00FC427E"/>
    <w:rsid w:val="00FC432B"/>
    <w:rsid w:val="00FC437C"/>
    <w:rsid w:val="00FC43CF"/>
    <w:rsid w:val="00FC4415"/>
    <w:rsid w:val="00FC4475"/>
    <w:rsid w:val="00FC4484"/>
    <w:rsid w:val="00FC44BC"/>
    <w:rsid w:val="00FC45C4"/>
    <w:rsid w:val="00FC4627"/>
    <w:rsid w:val="00FC469A"/>
    <w:rsid w:val="00FC46B6"/>
    <w:rsid w:val="00FC473E"/>
    <w:rsid w:val="00FC4794"/>
    <w:rsid w:val="00FC4845"/>
    <w:rsid w:val="00FC48AE"/>
    <w:rsid w:val="00FC498E"/>
    <w:rsid w:val="00FC49AA"/>
    <w:rsid w:val="00FC49C9"/>
    <w:rsid w:val="00FC4A97"/>
    <w:rsid w:val="00FC4AB4"/>
    <w:rsid w:val="00FC4B54"/>
    <w:rsid w:val="00FC4BB9"/>
    <w:rsid w:val="00FC4BFC"/>
    <w:rsid w:val="00FC4C10"/>
    <w:rsid w:val="00FC4C24"/>
    <w:rsid w:val="00FC4C84"/>
    <w:rsid w:val="00FC4CD5"/>
    <w:rsid w:val="00FC4D6A"/>
    <w:rsid w:val="00FC4D7E"/>
    <w:rsid w:val="00FC4DD0"/>
    <w:rsid w:val="00FC4DDD"/>
    <w:rsid w:val="00FC4E36"/>
    <w:rsid w:val="00FC4F19"/>
    <w:rsid w:val="00FC4FB8"/>
    <w:rsid w:val="00FC4FD8"/>
    <w:rsid w:val="00FC4FEF"/>
    <w:rsid w:val="00FC505D"/>
    <w:rsid w:val="00FC5065"/>
    <w:rsid w:val="00FC5077"/>
    <w:rsid w:val="00FC50EC"/>
    <w:rsid w:val="00FC51E2"/>
    <w:rsid w:val="00FC526F"/>
    <w:rsid w:val="00FC52C0"/>
    <w:rsid w:val="00FC53B7"/>
    <w:rsid w:val="00FC53C5"/>
    <w:rsid w:val="00FC53C9"/>
    <w:rsid w:val="00FC53D9"/>
    <w:rsid w:val="00FC53FB"/>
    <w:rsid w:val="00FC54C1"/>
    <w:rsid w:val="00FC551B"/>
    <w:rsid w:val="00FC553D"/>
    <w:rsid w:val="00FC5549"/>
    <w:rsid w:val="00FC554E"/>
    <w:rsid w:val="00FC55D7"/>
    <w:rsid w:val="00FC5673"/>
    <w:rsid w:val="00FC56F5"/>
    <w:rsid w:val="00FC570C"/>
    <w:rsid w:val="00FC57CF"/>
    <w:rsid w:val="00FC5822"/>
    <w:rsid w:val="00FC5831"/>
    <w:rsid w:val="00FC58F2"/>
    <w:rsid w:val="00FC5A2B"/>
    <w:rsid w:val="00FC5A4C"/>
    <w:rsid w:val="00FC5A56"/>
    <w:rsid w:val="00FC5AE5"/>
    <w:rsid w:val="00FC5B46"/>
    <w:rsid w:val="00FC5C60"/>
    <w:rsid w:val="00FC5D60"/>
    <w:rsid w:val="00FC5DA0"/>
    <w:rsid w:val="00FC5E10"/>
    <w:rsid w:val="00FC5F3F"/>
    <w:rsid w:val="00FC608E"/>
    <w:rsid w:val="00FC60AD"/>
    <w:rsid w:val="00FC60EA"/>
    <w:rsid w:val="00FC61B0"/>
    <w:rsid w:val="00FC6222"/>
    <w:rsid w:val="00FC6250"/>
    <w:rsid w:val="00FC6299"/>
    <w:rsid w:val="00FC63B9"/>
    <w:rsid w:val="00FC63BE"/>
    <w:rsid w:val="00FC63D4"/>
    <w:rsid w:val="00FC63F0"/>
    <w:rsid w:val="00FC66BF"/>
    <w:rsid w:val="00FC67AE"/>
    <w:rsid w:val="00FC6904"/>
    <w:rsid w:val="00FC6940"/>
    <w:rsid w:val="00FC6A53"/>
    <w:rsid w:val="00FC6A60"/>
    <w:rsid w:val="00FC6AFC"/>
    <w:rsid w:val="00FC6B4B"/>
    <w:rsid w:val="00FC6B6A"/>
    <w:rsid w:val="00FC6C07"/>
    <w:rsid w:val="00FC6CE7"/>
    <w:rsid w:val="00FC6D99"/>
    <w:rsid w:val="00FC6DB9"/>
    <w:rsid w:val="00FC6E78"/>
    <w:rsid w:val="00FC6E97"/>
    <w:rsid w:val="00FC6ED2"/>
    <w:rsid w:val="00FC6F4D"/>
    <w:rsid w:val="00FC700A"/>
    <w:rsid w:val="00FC703B"/>
    <w:rsid w:val="00FC70DC"/>
    <w:rsid w:val="00FC70ED"/>
    <w:rsid w:val="00FC71C4"/>
    <w:rsid w:val="00FC7207"/>
    <w:rsid w:val="00FC73F4"/>
    <w:rsid w:val="00FC7552"/>
    <w:rsid w:val="00FC761A"/>
    <w:rsid w:val="00FC7720"/>
    <w:rsid w:val="00FC77B9"/>
    <w:rsid w:val="00FC7804"/>
    <w:rsid w:val="00FC7854"/>
    <w:rsid w:val="00FC785C"/>
    <w:rsid w:val="00FC78FC"/>
    <w:rsid w:val="00FC7909"/>
    <w:rsid w:val="00FC792B"/>
    <w:rsid w:val="00FC79B7"/>
    <w:rsid w:val="00FC79BA"/>
    <w:rsid w:val="00FC7A1A"/>
    <w:rsid w:val="00FC7A67"/>
    <w:rsid w:val="00FC7B1D"/>
    <w:rsid w:val="00FC7C3A"/>
    <w:rsid w:val="00FC7CD4"/>
    <w:rsid w:val="00FC7CD7"/>
    <w:rsid w:val="00FC7CDA"/>
    <w:rsid w:val="00FC7DC4"/>
    <w:rsid w:val="00FC7E22"/>
    <w:rsid w:val="00FC7E3E"/>
    <w:rsid w:val="00FC7E68"/>
    <w:rsid w:val="00FC7E87"/>
    <w:rsid w:val="00FC7EF5"/>
    <w:rsid w:val="00FC7FAB"/>
    <w:rsid w:val="00FD0193"/>
    <w:rsid w:val="00FD02B1"/>
    <w:rsid w:val="00FD0327"/>
    <w:rsid w:val="00FD040A"/>
    <w:rsid w:val="00FD0424"/>
    <w:rsid w:val="00FD0459"/>
    <w:rsid w:val="00FD05D0"/>
    <w:rsid w:val="00FD0636"/>
    <w:rsid w:val="00FD063B"/>
    <w:rsid w:val="00FD067D"/>
    <w:rsid w:val="00FD069B"/>
    <w:rsid w:val="00FD07A2"/>
    <w:rsid w:val="00FD098D"/>
    <w:rsid w:val="00FD09BC"/>
    <w:rsid w:val="00FD0A68"/>
    <w:rsid w:val="00FD0B0D"/>
    <w:rsid w:val="00FD0C17"/>
    <w:rsid w:val="00FD0C40"/>
    <w:rsid w:val="00FD0C79"/>
    <w:rsid w:val="00FD0CAF"/>
    <w:rsid w:val="00FD0CC9"/>
    <w:rsid w:val="00FD0E3D"/>
    <w:rsid w:val="00FD0E3F"/>
    <w:rsid w:val="00FD0E82"/>
    <w:rsid w:val="00FD0E99"/>
    <w:rsid w:val="00FD0F4B"/>
    <w:rsid w:val="00FD104A"/>
    <w:rsid w:val="00FD1102"/>
    <w:rsid w:val="00FD117C"/>
    <w:rsid w:val="00FD11B8"/>
    <w:rsid w:val="00FD120E"/>
    <w:rsid w:val="00FD141F"/>
    <w:rsid w:val="00FD146F"/>
    <w:rsid w:val="00FD14A2"/>
    <w:rsid w:val="00FD1559"/>
    <w:rsid w:val="00FD1590"/>
    <w:rsid w:val="00FD15EF"/>
    <w:rsid w:val="00FD1660"/>
    <w:rsid w:val="00FD16A7"/>
    <w:rsid w:val="00FD1728"/>
    <w:rsid w:val="00FD1742"/>
    <w:rsid w:val="00FD190D"/>
    <w:rsid w:val="00FD19B9"/>
    <w:rsid w:val="00FD1B50"/>
    <w:rsid w:val="00FD1C16"/>
    <w:rsid w:val="00FD1C21"/>
    <w:rsid w:val="00FD1C34"/>
    <w:rsid w:val="00FD1CBF"/>
    <w:rsid w:val="00FD1D06"/>
    <w:rsid w:val="00FD1D60"/>
    <w:rsid w:val="00FD1DBF"/>
    <w:rsid w:val="00FD1DD3"/>
    <w:rsid w:val="00FD1E11"/>
    <w:rsid w:val="00FD1E19"/>
    <w:rsid w:val="00FD1E20"/>
    <w:rsid w:val="00FD1E2D"/>
    <w:rsid w:val="00FD200C"/>
    <w:rsid w:val="00FD2026"/>
    <w:rsid w:val="00FD2047"/>
    <w:rsid w:val="00FD212B"/>
    <w:rsid w:val="00FD214B"/>
    <w:rsid w:val="00FD2154"/>
    <w:rsid w:val="00FD21D7"/>
    <w:rsid w:val="00FD2281"/>
    <w:rsid w:val="00FD22C5"/>
    <w:rsid w:val="00FD23AB"/>
    <w:rsid w:val="00FD24A1"/>
    <w:rsid w:val="00FD2552"/>
    <w:rsid w:val="00FD269D"/>
    <w:rsid w:val="00FD26A6"/>
    <w:rsid w:val="00FD26AC"/>
    <w:rsid w:val="00FD26C3"/>
    <w:rsid w:val="00FD271F"/>
    <w:rsid w:val="00FD2756"/>
    <w:rsid w:val="00FD2840"/>
    <w:rsid w:val="00FD286E"/>
    <w:rsid w:val="00FD28E2"/>
    <w:rsid w:val="00FD2985"/>
    <w:rsid w:val="00FD29FF"/>
    <w:rsid w:val="00FD2A16"/>
    <w:rsid w:val="00FD2A21"/>
    <w:rsid w:val="00FD2A59"/>
    <w:rsid w:val="00FD2AC5"/>
    <w:rsid w:val="00FD2B14"/>
    <w:rsid w:val="00FD2B47"/>
    <w:rsid w:val="00FD2C20"/>
    <w:rsid w:val="00FD2C82"/>
    <w:rsid w:val="00FD2C8A"/>
    <w:rsid w:val="00FD2C8D"/>
    <w:rsid w:val="00FD2DBD"/>
    <w:rsid w:val="00FD2E90"/>
    <w:rsid w:val="00FD2F01"/>
    <w:rsid w:val="00FD2F21"/>
    <w:rsid w:val="00FD2FDB"/>
    <w:rsid w:val="00FD30AB"/>
    <w:rsid w:val="00FD30FE"/>
    <w:rsid w:val="00FD3243"/>
    <w:rsid w:val="00FD325A"/>
    <w:rsid w:val="00FD3374"/>
    <w:rsid w:val="00FD342D"/>
    <w:rsid w:val="00FD3557"/>
    <w:rsid w:val="00FD3699"/>
    <w:rsid w:val="00FD369A"/>
    <w:rsid w:val="00FD3930"/>
    <w:rsid w:val="00FD394D"/>
    <w:rsid w:val="00FD3A2F"/>
    <w:rsid w:val="00FD3AB9"/>
    <w:rsid w:val="00FD3AEB"/>
    <w:rsid w:val="00FD3B21"/>
    <w:rsid w:val="00FD3CB3"/>
    <w:rsid w:val="00FD3CD8"/>
    <w:rsid w:val="00FD3CF5"/>
    <w:rsid w:val="00FD3D2A"/>
    <w:rsid w:val="00FD3D2B"/>
    <w:rsid w:val="00FD3D44"/>
    <w:rsid w:val="00FD3E2C"/>
    <w:rsid w:val="00FD3E83"/>
    <w:rsid w:val="00FD3EF1"/>
    <w:rsid w:val="00FD3F19"/>
    <w:rsid w:val="00FD4060"/>
    <w:rsid w:val="00FD4069"/>
    <w:rsid w:val="00FD4082"/>
    <w:rsid w:val="00FD41FB"/>
    <w:rsid w:val="00FD426B"/>
    <w:rsid w:val="00FD42FD"/>
    <w:rsid w:val="00FD4365"/>
    <w:rsid w:val="00FD436A"/>
    <w:rsid w:val="00FD43DA"/>
    <w:rsid w:val="00FD44EC"/>
    <w:rsid w:val="00FD4544"/>
    <w:rsid w:val="00FD4590"/>
    <w:rsid w:val="00FD45BE"/>
    <w:rsid w:val="00FD467D"/>
    <w:rsid w:val="00FD4698"/>
    <w:rsid w:val="00FD469F"/>
    <w:rsid w:val="00FD47D9"/>
    <w:rsid w:val="00FD494E"/>
    <w:rsid w:val="00FD49EE"/>
    <w:rsid w:val="00FD4A66"/>
    <w:rsid w:val="00FD4A6F"/>
    <w:rsid w:val="00FD4B76"/>
    <w:rsid w:val="00FD4BC6"/>
    <w:rsid w:val="00FD4C23"/>
    <w:rsid w:val="00FD4C96"/>
    <w:rsid w:val="00FD4CF8"/>
    <w:rsid w:val="00FD4D0F"/>
    <w:rsid w:val="00FD4D12"/>
    <w:rsid w:val="00FD4DD7"/>
    <w:rsid w:val="00FD4E65"/>
    <w:rsid w:val="00FD4F62"/>
    <w:rsid w:val="00FD4FB2"/>
    <w:rsid w:val="00FD4FC5"/>
    <w:rsid w:val="00FD4FC9"/>
    <w:rsid w:val="00FD4FD9"/>
    <w:rsid w:val="00FD513A"/>
    <w:rsid w:val="00FD5173"/>
    <w:rsid w:val="00FD5215"/>
    <w:rsid w:val="00FD525E"/>
    <w:rsid w:val="00FD52E2"/>
    <w:rsid w:val="00FD5310"/>
    <w:rsid w:val="00FD5391"/>
    <w:rsid w:val="00FD53DC"/>
    <w:rsid w:val="00FD54AD"/>
    <w:rsid w:val="00FD5500"/>
    <w:rsid w:val="00FD552F"/>
    <w:rsid w:val="00FD55A1"/>
    <w:rsid w:val="00FD55D8"/>
    <w:rsid w:val="00FD572D"/>
    <w:rsid w:val="00FD576C"/>
    <w:rsid w:val="00FD5841"/>
    <w:rsid w:val="00FD590C"/>
    <w:rsid w:val="00FD5946"/>
    <w:rsid w:val="00FD59AA"/>
    <w:rsid w:val="00FD5A67"/>
    <w:rsid w:val="00FD5AF5"/>
    <w:rsid w:val="00FD5BA9"/>
    <w:rsid w:val="00FD5C76"/>
    <w:rsid w:val="00FD5CAD"/>
    <w:rsid w:val="00FD5E37"/>
    <w:rsid w:val="00FD5FEF"/>
    <w:rsid w:val="00FD6023"/>
    <w:rsid w:val="00FD607D"/>
    <w:rsid w:val="00FD6175"/>
    <w:rsid w:val="00FD61F7"/>
    <w:rsid w:val="00FD6225"/>
    <w:rsid w:val="00FD622C"/>
    <w:rsid w:val="00FD62CA"/>
    <w:rsid w:val="00FD62EE"/>
    <w:rsid w:val="00FD6315"/>
    <w:rsid w:val="00FD6316"/>
    <w:rsid w:val="00FD6385"/>
    <w:rsid w:val="00FD63DC"/>
    <w:rsid w:val="00FD64D2"/>
    <w:rsid w:val="00FD6502"/>
    <w:rsid w:val="00FD6511"/>
    <w:rsid w:val="00FD65A8"/>
    <w:rsid w:val="00FD67DD"/>
    <w:rsid w:val="00FD6868"/>
    <w:rsid w:val="00FD68E2"/>
    <w:rsid w:val="00FD6925"/>
    <w:rsid w:val="00FD69D8"/>
    <w:rsid w:val="00FD6A05"/>
    <w:rsid w:val="00FD6A78"/>
    <w:rsid w:val="00FD6AD8"/>
    <w:rsid w:val="00FD6B11"/>
    <w:rsid w:val="00FD6BC2"/>
    <w:rsid w:val="00FD6CE7"/>
    <w:rsid w:val="00FD6D82"/>
    <w:rsid w:val="00FD6DD0"/>
    <w:rsid w:val="00FD6DF8"/>
    <w:rsid w:val="00FD6EDD"/>
    <w:rsid w:val="00FD6EE1"/>
    <w:rsid w:val="00FD6F53"/>
    <w:rsid w:val="00FD705C"/>
    <w:rsid w:val="00FD70CF"/>
    <w:rsid w:val="00FD711C"/>
    <w:rsid w:val="00FD7130"/>
    <w:rsid w:val="00FD7134"/>
    <w:rsid w:val="00FD7162"/>
    <w:rsid w:val="00FD716E"/>
    <w:rsid w:val="00FD719B"/>
    <w:rsid w:val="00FD721D"/>
    <w:rsid w:val="00FD7254"/>
    <w:rsid w:val="00FD7311"/>
    <w:rsid w:val="00FD7449"/>
    <w:rsid w:val="00FD7582"/>
    <w:rsid w:val="00FD7621"/>
    <w:rsid w:val="00FD7656"/>
    <w:rsid w:val="00FD765A"/>
    <w:rsid w:val="00FD7678"/>
    <w:rsid w:val="00FD769E"/>
    <w:rsid w:val="00FD76C6"/>
    <w:rsid w:val="00FD76D8"/>
    <w:rsid w:val="00FD76F8"/>
    <w:rsid w:val="00FD770E"/>
    <w:rsid w:val="00FD7736"/>
    <w:rsid w:val="00FD778A"/>
    <w:rsid w:val="00FD77C5"/>
    <w:rsid w:val="00FD7838"/>
    <w:rsid w:val="00FD78A5"/>
    <w:rsid w:val="00FD78AD"/>
    <w:rsid w:val="00FD796C"/>
    <w:rsid w:val="00FD7B22"/>
    <w:rsid w:val="00FD7B64"/>
    <w:rsid w:val="00FD7BD8"/>
    <w:rsid w:val="00FD7BF2"/>
    <w:rsid w:val="00FD7C00"/>
    <w:rsid w:val="00FD7C3B"/>
    <w:rsid w:val="00FD7C7D"/>
    <w:rsid w:val="00FD7CA4"/>
    <w:rsid w:val="00FD7D93"/>
    <w:rsid w:val="00FD7E0B"/>
    <w:rsid w:val="00FD7E4F"/>
    <w:rsid w:val="00FE0062"/>
    <w:rsid w:val="00FE00CB"/>
    <w:rsid w:val="00FE0136"/>
    <w:rsid w:val="00FE02B7"/>
    <w:rsid w:val="00FE02DA"/>
    <w:rsid w:val="00FE02E8"/>
    <w:rsid w:val="00FE0358"/>
    <w:rsid w:val="00FE03CD"/>
    <w:rsid w:val="00FE0471"/>
    <w:rsid w:val="00FE047C"/>
    <w:rsid w:val="00FE049A"/>
    <w:rsid w:val="00FE04A2"/>
    <w:rsid w:val="00FE05B3"/>
    <w:rsid w:val="00FE0630"/>
    <w:rsid w:val="00FE078F"/>
    <w:rsid w:val="00FE0822"/>
    <w:rsid w:val="00FE082B"/>
    <w:rsid w:val="00FE0973"/>
    <w:rsid w:val="00FE09C7"/>
    <w:rsid w:val="00FE0A49"/>
    <w:rsid w:val="00FE0A5F"/>
    <w:rsid w:val="00FE0AFA"/>
    <w:rsid w:val="00FE0B28"/>
    <w:rsid w:val="00FE0B91"/>
    <w:rsid w:val="00FE0B94"/>
    <w:rsid w:val="00FE0BCA"/>
    <w:rsid w:val="00FE0BCB"/>
    <w:rsid w:val="00FE0D77"/>
    <w:rsid w:val="00FE0D92"/>
    <w:rsid w:val="00FE0DDD"/>
    <w:rsid w:val="00FE0E00"/>
    <w:rsid w:val="00FE0E51"/>
    <w:rsid w:val="00FE0F67"/>
    <w:rsid w:val="00FE0FC3"/>
    <w:rsid w:val="00FE12C4"/>
    <w:rsid w:val="00FE131A"/>
    <w:rsid w:val="00FE1326"/>
    <w:rsid w:val="00FE1354"/>
    <w:rsid w:val="00FE1372"/>
    <w:rsid w:val="00FE1438"/>
    <w:rsid w:val="00FE14DD"/>
    <w:rsid w:val="00FE14F1"/>
    <w:rsid w:val="00FE1552"/>
    <w:rsid w:val="00FE1671"/>
    <w:rsid w:val="00FE1688"/>
    <w:rsid w:val="00FE16A6"/>
    <w:rsid w:val="00FE1730"/>
    <w:rsid w:val="00FE1777"/>
    <w:rsid w:val="00FE18AD"/>
    <w:rsid w:val="00FE18C3"/>
    <w:rsid w:val="00FE194B"/>
    <w:rsid w:val="00FE197C"/>
    <w:rsid w:val="00FE1997"/>
    <w:rsid w:val="00FE1A12"/>
    <w:rsid w:val="00FE1A40"/>
    <w:rsid w:val="00FE1A84"/>
    <w:rsid w:val="00FE1C3A"/>
    <w:rsid w:val="00FE1C99"/>
    <w:rsid w:val="00FE1CB3"/>
    <w:rsid w:val="00FE1D09"/>
    <w:rsid w:val="00FE1D12"/>
    <w:rsid w:val="00FE1ECA"/>
    <w:rsid w:val="00FE1EE6"/>
    <w:rsid w:val="00FE1F85"/>
    <w:rsid w:val="00FE206F"/>
    <w:rsid w:val="00FE2074"/>
    <w:rsid w:val="00FE21F5"/>
    <w:rsid w:val="00FE23A4"/>
    <w:rsid w:val="00FE247E"/>
    <w:rsid w:val="00FE247F"/>
    <w:rsid w:val="00FE24C3"/>
    <w:rsid w:val="00FE24F6"/>
    <w:rsid w:val="00FE2519"/>
    <w:rsid w:val="00FE25E9"/>
    <w:rsid w:val="00FE267D"/>
    <w:rsid w:val="00FE26B0"/>
    <w:rsid w:val="00FE26E8"/>
    <w:rsid w:val="00FE275E"/>
    <w:rsid w:val="00FE2769"/>
    <w:rsid w:val="00FE279A"/>
    <w:rsid w:val="00FE27F6"/>
    <w:rsid w:val="00FE286B"/>
    <w:rsid w:val="00FE297A"/>
    <w:rsid w:val="00FE29F3"/>
    <w:rsid w:val="00FE2ABE"/>
    <w:rsid w:val="00FE2AD8"/>
    <w:rsid w:val="00FE2BAF"/>
    <w:rsid w:val="00FE2D69"/>
    <w:rsid w:val="00FE2D72"/>
    <w:rsid w:val="00FE2D7D"/>
    <w:rsid w:val="00FE2DCB"/>
    <w:rsid w:val="00FE2EA7"/>
    <w:rsid w:val="00FE2ED7"/>
    <w:rsid w:val="00FE2F65"/>
    <w:rsid w:val="00FE2FB3"/>
    <w:rsid w:val="00FE300A"/>
    <w:rsid w:val="00FE3024"/>
    <w:rsid w:val="00FE3070"/>
    <w:rsid w:val="00FE30A2"/>
    <w:rsid w:val="00FE3136"/>
    <w:rsid w:val="00FE3264"/>
    <w:rsid w:val="00FE33D3"/>
    <w:rsid w:val="00FE33F6"/>
    <w:rsid w:val="00FE343A"/>
    <w:rsid w:val="00FE3519"/>
    <w:rsid w:val="00FE35C6"/>
    <w:rsid w:val="00FE373D"/>
    <w:rsid w:val="00FE3763"/>
    <w:rsid w:val="00FE3839"/>
    <w:rsid w:val="00FE3842"/>
    <w:rsid w:val="00FE387C"/>
    <w:rsid w:val="00FE38D4"/>
    <w:rsid w:val="00FE390D"/>
    <w:rsid w:val="00FE3931"/>
    <w:rsid w:val="00FE3946"/>
    <w:rsid w:val="00FE3A6F"/>
    <w:rsid w:val="00FE3D58"/>
    <w:rsid w:val="00FE3E34"/>
    <w:rsid w:val="00FE3E60"/>
    <w:rsid w:val="00FE3EFB"/>
    <w:rsid w:val="00FE3F7D"/>
    <w:rsid w:val="00FE3FB1"/>
    <w:rsid w:val="00FE403E"/>
    <w:rsid w:val="00FE4125"/>
    <w:rsid w:val="00FE417B"/>
    <w:rsid w:val="00FE41D2"/>
    <w:rsid w:val="00FE4433"/>
    <w:rsid w:val="00FE448F"/>
    <w:rsid w:val="00FE45BA"/>
    <w:rsid w:val="00FE471B"/>
    <w:rsid w:val="00FE4731"/>
    <w:rsid w:val="00FE47E1"/>
    <w:rsid w:val="00FE47ED"/>
    <w:rsid w:val="00FE4990"/>
    <w:rsid w:val="00FE49B6"/>
    <w:rsid w:val="00FE4ABF"/>
    <w:rsid w:val="00FE4B06"/>
    <w:rsid w:val="00FE4C1C"/>
    <w:rsid w:val="00FE4CF7"/>
    <w:rsid w:val="00FE4E43"/>
    <w:rsid w:val="00FE4E72"/>
    <w:rsid w:val="00FE4ED9"/>
    <w:rsid w:val="00FE4F05"/>
    <w:rsid w:val="00FE4F12"/>
    <w:rsid w:val="00FE4F5E"/>
    <w:rsid w:val="00FE4FD6"/>
    <w:rsid w:val="00FE501B"/>
    <w:rsid w:val="00FE50D4"/>
    <w:rsid w:val="00FE512F"/>
    <w:rsid w:val="00FE5179"/>
    <w:rsid w:val="00FE51B8"/>
    <w:rsid w:val="00FE52F5"/>
    <w:rsid w:val="00FE530A"/>
    <w:rsid w:val="00FE534A"/>
    <w:rsid w:val="00FE53A9"/>
    <w:rsid w:val="00FE55E5"/>
    <w:rsid w:val="00FE55FE"/>
    <w:rsid w:val="00FE583D"/>
    <w:rsid w:val="00FE58F0"/>
    <w:rsid w:val="00FE59B1"/>
    <w:rsid w:val="00FE5AC8"/>
    <w:rsid w:val="00FE5AD1"/>
    <w:rsid w:val="00FE5AE2"/>
    <w:rsid w:val="00FE5CBD"/>
    <w:rsid w:val="00FE5D1E"/>
    <w:rsid w:val="00FE5D30"/>
    <w:rsid w:val="00FE5E01"/>
    <w:rsid w:val="00FE5E18"/>
    <w:rsid w:val="00FE5E5C"/>
    <w:rsid w:val="00FE5EA3"/>
    <w:rsid w:val="00FE5EE9"/>
    <w:rsid w:val="00FE5F1B"/>
    <w:rsid w:val="00FE5F30"/>
    <w:rsid w:val="00FE5F40"/>
    <w:rsid w:val="00FE5F6D"/>
    <w:rsid w:val="00FE5F8B"/>
    <w:rsid w:val="00FE6031"/>
    <w:rsid w:val="00FE6042"/>
    <w:rsid w:val="00FE607D"/>
    <w:rsid w:val="00FE6270"/>
    <w:rsid w:val="00FE6329"/>
    <w:rsid w:val="00FE6391"/>
    <w:rsid w:val="00FE6411"/>
    <w:rsid w:val="00FE6465"/>
    <w:rsid w:val="00FE64F8"/>
    <w:rsid w:val="00FE6554"/>
    <w:rsid w:val="00FE657D"/>
    <w:rsid w:val="00FE65D6"/>
    <w:rsid w:val="00FE662A"/>
    <w:rsid w:val="00FE663C"/>
    <w:rsid w:val="00FE6651"/>
    <w:rsid w:val="00FE66E1"/>
    <w:rsid w:val="00FE677C"/>
    <w:rsid w:val="00FE67AA"/>
    <w:rsid w:val="00FE67B3"/>
    <w:rsid w:val="00FE685A"/>
    <w:rsid w:val="00FE6888"/>
    <w:rsid w:val="00FE68CF"/>
    <w:rsid w:val="00FE690D"/>
    <w:rsid w:val="00FE6995"/>
    <w:rsid w:val="00FE69B7"/>
    <w:rsid w:val="00FE6B37"/>
    <w:rsid w:val="00FE6BE5"/>
    <w:rsid w:val="00FE6C57"/>
    <w:rsid w:val="00FE6C6F"/>
    <w:rsid w:val="00FE6C8D"/>
    <w:rsid w:val="00FE6CF0"/>
    <w:rsid w:val="00FE6D3A"/>
    <w:rsid w:val="00FE6D9B"/>
    <w:rsid w:val="00FE6D9D"/>
    <w:rsid w:val="00FE6DC6"/>
    <w:rsid w:val="00FE6E08"/>
    <w:rsid w:val="00FE6E34"/>
    <w:rsid w:val="00FE6EFA"/>
    <w:rsid w:val="00FE6F06"/>
    <w:rsid w:val="00FE6FE1"/>
    <w:rsid w:val="00FE70DE"/>
    <w:rsid w:val="00FE714A"/>
    <w:rsid w:val="00FE7167"/>
    <w:rsid w:val="00FE725F"/>
    <w:rsid w:val="00FE726A"/>
    <w:rsid w:val="00FE740A"/>
    <w:rsid w:val="00FE74DF"/>
    <w:rsid w:val="00FE7521"/>
    <w:rsid w:val="00FE7643"/>
    <w:rsid w:val="00FE7665"/>
    <w:rsid w:val="00FE76F9"/>
    <w:rsid w:val="00FE7723"/>
    <w:rsid w:val="00FE786D"/>
    <w:rsid w:val="00FE7A0C"/>
    <w:rsid w:val="00FE7A4F"/>
    <w:rsid w:val="00FE7B1E"/>
    <w:rsid w:val="00FE7B4B"/>
    <w:rsid w:val="00FE7BA2"/>
    <w:rsid w:val="00FE7C70"/>
    <w:rsid w:val="00FE7CAF"/>
    <w:rsid w:val="00FE7CC3"/>
    <w:rsid w:val="00FE7D8C"/>
    <w:rsid w:val="00FE7E07"/>
    <w:rsid w:val="00FE7E88"/>
    <w:rsid w:val="00FE7EA5"/>
    <w:rsid w:val="00FE7EB6"/>
    <w:rsid w:val="00FE7F0B"/>
    <w:rsid w:val="00FE7F17"/>
    <w:rsid w:val="00FE7F2A"/>
    <w:rsid w:val="00FE7F7A"/>
    <w:rsid w:val="00FE7FFC"/>
    <w:rsid w:val="00FF0019"/>
    <w:rsid w:val="00FF008D"/>
    <w:rsid w:val="00FF011E"/>
    <w:rsid w:val="00FF029E"/>
    <w:rsid w:val="00FF02A3"/>
    <w:rsid w:val="00FF02B3"/>
    <w:rsid w:val="00FF0383"/>
    <w:rsid w:val="00FF043F"/>
    <w:rsid w:val="00FF048A"/>
    <w:rsid w:val="00FF053A"/>
    <w:rsid w:val="00FF0557"/>
    <w:rsid w:val="00FF056D"/>
    <w:rsid w:val="00FF0588"/>
    <w:rsid w:val="00FF05BE"/>
    <w:rsid w:val="00FF0616"/>
    <w:rsid w:val="00FF0630"/>
    <w:rsid w:val="00FF063F"/>
    <w:rsid w:val="00FF06D9"/>
    <w:rsid w:val="00FF0747"/>
    <w:rsid w:val="00FF07CE"/>
    <w:rsid w:val="00FF082F"/>
    <w:rsid w:val="00FF092B"/>
    <w:rsid w:val="00FF0954"/>
    <w:rsid w:val="00FF0984"/>
    <w:rsid w:val="00FF0AE9"/>
    <w:rsid w:val="00FF0B34"/>
    <w:rsid w:val="00FF0C91"/>
    <w:rsid w:val="00FF0CFA"/>
    <w:rsid w:val="00FF0D2A"/>
    <w:rsid w:val="00FF0E63"/>
    <w:rsid w:val="00FF0EA5"/>
    <w:rsid w:val="00FF0EC2"/>
    <w:rsid w:val="00FF0EF1"/>
    <w:rsid w:val="00FF0F41"/>
    <w:rsid w:val="00FF0FE2"/>
    <w:rsid w:val="00FF105F"/>
    <w:rsid w:val="00FF10B4"/>
    <w:rsid w:val="00FF11CF"/>
    <w:rsid w:val="00FF1227"/>
    <w:rsid w:val="00FF12D4"/>
    <w:rsid w:val="00FF1319"/>
    <w:rsid w:val="00FF1347"/>
    <w:rsid w:val="00FF1369"/>
    <w:rsid w:val="00FF13E7"/>
    <w:rsid w:val="00FF1409"/>
    <w:rsid w:val="00FF1421"/>
    <w:rsid w:val="00FF1554"/>
    <w:rsid w:val="00FF15E6"/>
    <w:rsid w:val="00FF161D"/>
    <w:rsid w:val="00FF16C7"/>
    <w:rsid w:val="00FF191B"/>
    <w:rsid w:val="00FF194D"/>
    <w:rsid w:val="00FF194F"/>
    <w:rsid w:val="00FF197B"/>
    <w:rsid w:val="00FF1995"/>
    <w:rsid w:val="00FF19D6"/>
    <w:rsid w:val="00FF19F0"/>
    <w:rsid w:val="00FF1A4F"/>
    <w:rsid w:val="00FF1ABC"/>
    <w:rsid w:val="00FF1B2C"/>
    <w:rsid w:val="00FF1B46"/>
    <w:rsid w:val="00FF1B58"/>
    <w:rsid w:val="00FF1BB3"/>
    <w:rsid w:val="00FF1C5D"/>
    <w:rsid w:val="00FF1CCC"/>
    <w:rsid w:val="00FF1CE2"/>
    <w:rsid w:val="00FF1D66"/>
    <w:rsid w:val="00FF1DC4"/>
    <w:rsid w:val="00FF1F27"/>
    <w:rsid w:val="00FF1F33"/>
    <w:rsid w:val="00FF1F3A"/>
    <w:rsid w:val="00FF1F60"/>
    <w:rsid w:val="00FF2048"/>
    <w:rsid w:val="00FF20F0"/>
    <w:rsid w:val="00FF2101"/>
    <w:rsid w:val="00FF2172"/>
    <w:rsid w:val="00FF22A0"/>
    <w:rsid w:val="00FF22CF"/>
    <w:rsid w:val="00FF2381"/>
    <w:rsid w:val="00FF23E0"/>
    <w:rsid w:val="00FF2439"/>
    <w:rsid w:val="00FF24F7"/>
    <w:rsid w:val="00FF25FA"/>
    <w:rsid w:val="00FF2604"/>
    <w:rsid w:val="00FF260B"/>
    <w:rsid w:val="00FF261F"/>
    <w:rsid w:val="00FF2662"/>
    <w:rsid w:val="00FF2742"/>
    <w:rsid w:val="00FF2786"/>
    <w:rsid w:val="00FF2801"/>
    <w:rsid w:val="00FF283B"/>
    <w:rsid w:val="00FF292B"/>
    <w:rsid w:val="00FF2ADD"/>
    <w:rsid w:val="00FF2B56"/>
    <w:rsid w:val="00FF2B8D"/>
    <w:rsid w:val="00FF2B91"/>
    <w:rsid w:val="00FF2BF1"/>
    <w:rsid w:val="00FF2BF2"/>
    <w:rsid w:val="00FF2C4B"/>
    <w:rsid w:val="00FF2C91"/>
    <w:rsid w:val="00FF2C94"/>
    <w:rsid w:val="00FF2CE9"/>
    <w:rsid w:val="00FF2D41"/>
    <w:rsid w:val="00FF2DEF"/>
    <w:rsid w:val="00FF2EBD"/>
    <w:rsid w:val="00FF2EDA"/>
    <w:rsid w:val="00FF2EDC"/>
    <w:rsid w:val="00FF2F50"/>
    <w:rsid w:val="00FF302E"/>
    <w:rsid w:val="00FF310F"/>
    <w:rsid w:val="00FF3118"/>
    <w:rsid w:val="00FF3125"/>
    <w:rsid w:val="00FF316C"/>
    <w:rsid w:val="00FF31C1"/>
    <w:rsid w:val="00FF32AC"/>
    <w:rsid w:val="00FF32C3"/>
    <w:rsid w:val="00FF3360"/>
    <w:rsid w:val="00FF3397"/>
    <w:rsid w:val="00FF34BC"/>
    <w:rsid w:val="00FF360D"/>
    <w:rsid w:val="00FF3682"/>
    <w:rsid w:val="00FF36A4"/>
    <w:rsid w:val="00FF37D8"/>
    <w:rsid w:val="00FF3834"/>
    <w:rsid w:val="00FF383B"/>
    <w:rsid w:val="00FF3864"/>
    <w:rsid w:val="00FF38C5"/>
    <w:rsid w:val="00FF3BC8"/>
    <w:rsid w:val="00FF3C29"/>
    <w:rsid w:val="00FF3CBE"/>
    <w:rsid w:val="00FF3D72"/>
    <w:rsid w:val="00FF3D8C"/>
    <w:rsid w:val="00FF3E02"/>
    <w:rsid w:val="00FF3E4D"/>
    <w:rsid w:val="00FF3E75"/>
    <w:rsid w:val="00FF3F63"/>
    <w:rsid w:val="00FF405A"/>
    <w:rsid w:val="00FF40A2"/>
    <w:rsid w:val="00FF4155"/>
    <w:rsid w:val="00FF41B1"/>
    <w:rsid w:val="00FF436D"/>
    <w:rsid w:val="00FF4380"/>
    <w:rsid w:val="00FF442B"/>
    <w:rsid w:val="00FF458D"/>
    <w:rsid w:val="00FF464C"/>
    <w:rsid w:val="00FF464F"/>
    <w:rsid w:val="00FF4678"/>
    <w:rsid w:val="00FF474E"/>
    <w:rsid w:val="00FF47D3"/>
    <w:rsid w:val="00FF487E"/>
    <w:rsid w:val="00FF490C"/>
    <w:rsid w:val="00FF491A"/>
    <w:rsid w:val="00FF4998"/>
    <w:rsid w:val="00FF49D3"/>
    <w:rsid w:val="00FF49D5"/>
    <w:rsid w:val="00FF4AB0"/>
    <w:rsid w:val="00FF4B44"/>
    <w:rsid w:val="00FF4C5B"/>
    <w:rsid w:val="00FF4C76"/>
    <w:rsid w:val="00FF4CD7"/>
    <w:rsid w:val="00FF4CFC"/>
    <w:rsid w:val="00FF4E63"/>
    <w:rsid w:val="00FF4E66"/>
    <w:rsid w:val="00FF4E7D"/>
    <w:rsid w:val="00FF4EA1"/>
    <w:rsid w:val="00FF4F0F"/>
    <w:rsid w:val="00FF4FE2"/>
    <w:rsid w:val="00FF50A8"/>
    <w:rsid w:val="00FF51A7"/>
    <w:rsid w:val="00FF51D0"/>
    <w:rsid w:val="00FF52A2"/>
    <w:rsid w:val="00FF53AB"/>
    <w:rsid w:val="00FF54F8"/>
    <w:rsid w:val="00FF550B"/>
    <w:rsid w:val="00FF5557"/>
    <w:rsid w:val="00FF55AF"/>
    <w:rsid w:val="00FF5665"/>
    <w:rsid w:val="00FF569D"/>
    <w:rsid w:val="00FF578B"/>
    <w:rsid w:val="00FF57C1"/>
    <w:rsid w:val="00FF584C"/>
    <w:rsid w:val="00FF593B"/>
    <w:rsid w:val="00FF5960"/>
    <w:rsid w:val="00FF5977"/>
    <w:rsid w:val="00FF5AB6"/>
    <w:rsid w:val="00FF5AD2"/>
    <w:rsid w:val="00FF5AE1"/>
    <w:rsid w:val="00FF5AFD"/>
    <w:rsid w:val="00FF5BB1"/>
    <w:rsid w:val="00FF5BCE"/>
    <w:rsid w:val="00FF5C9C"/>
    <w:rsid w:val="00FF5CA3"/>
    <w:rsid w:val="00FF5DC2"/>
    <w:rsid w:val="00FF5DFB"/>
    <w:rsid w:val="00FF5E03"/>
    <w:rsid w:val="00FF5F0C"/>
    <w:rsid w:val="00FF5F58"/>
    <w:rsid w:val="00FF5F7F"/>
    <w:rsid w:val="00FF6013"/>
    <w:rsid w:val="00FF6024"/>
    <w:rsid w:val="00FF60DC"/>
    <w:rsid w:val="00FF612E"/>
    <w:rsid w:val="00FF614D"/>
    <w:rsid w:val="00FF616B"/>
    <w:rsid w:val="00FF61C7"/>
    <w:rsid w:val="00FF6238"/>
    <w:rsid w:val="00FF626A"/>
    <w:rsid w:val="00FF62E8"/>
    <w:rsid w:val="00FF6301"/>
    <w:rsid w:val="00FF6385"/>
    <w:rsid w:val="00FF63F2"/>
    <w:rsid w:val="00FF6473"/>
    <w:rsid w:val="00FF65EA"/>
    <w:rsid w:val="00FF660E"/>
    <w:rsid w:val="00FF6719"/>
    <w:rsid w:val="00FF672D"/>
    <w:rsid w:val="00FF6883"/>
    <w:rsid w:val="00FF68E7"/>
    <w:rsid w:val="00FF68F3"/>
    <w:rsid w:val="00FF6949"/>
    <w:rsid w:val="00FF6965"/>
    <w:rsid w:val="00FF6966"/>
    <w:rsid w:val="00FF69C7"/>
    <w:rsid w:val="00FF6A71"/>
    <w:rsid w:val="00FF6A77"/>
    <w:rsid w:val="00FF6A89"/>
    <w:rsid w:val="00FF6AF7"/>
    <w:rsid w:val="00FF6B83"/>
    <w:rsid w:val="00FF6BE3"/>
    <w:rsid w:val="00FF6C49"/>
    <w:rsid w:val="00FF6C4C"/>
    <w:rsid w:val="00FF6C83"/>
    <w:rsid w:val="00FF6CC5"/>
    <w:rsid w:val="00FF6E01"/>
    <w:rsid w:val="00FF70B5"/>
    <w:rsid w:val="00FF712B"/>
    <w:rsid w:val="00FF7156"/>
    <w:rsid w:val="00FF721E"/>
    <w:rsid w:val="00FF72C9"/>
    <w:rsid w:val="00FF7450"/>
    <w:rsid w:val="00FF7468"/>
    <w:rsid w:val="00FF7621"/>
    <w:rsid w:val="00FF7659"/>
    <w:rsid w:val="00FF7661"/>
    <w:rsid w:val="00FF7691"/>
    <w:rsid w:val="00FF769C"/>
    <w:rsid w:val="00FF76F9"/>
    <w:rsid w:val="00FF779D"/>
    <w:rsid w:val="00FF77D0"/>
    <w:rsid w:val="00FF77FA"/>
    <w:rsid w:val="00FF78B4"/>
    <w:rsid w:val="00FF79A0"/>
    <w:rsid w:val="00FF79A7"/>
    <w:rsid w:val="00FF7A54"/>
    <w:rsid w:val="00FF7B28"/>
    <w:rsid w:val="00FF7C47"/>
    <w:rsid w:val="00FF7C58"/>
    <w:rsid w:val="00FF7CDD"/>
    <w:rsid w:val="00FF7D7B"/>
    <w:rsid w:val="00FF7D9D"/>
    <w:rsid w:val="00FF7DC7"/>
    <w:rsid w:val="00FF7E53"/>
    <w:rsid w:val="00FF7F9E"/>
    <w:rsid w:val="00FF7FB7"/>
    <w:rsid w:val="0106D735"/>
    <w:rsid w:val="010FE9DE"/>
    <w:rsid w:val="0110FBE5"/>
    <w:rsid w:val="0119C0C1"/>
    <w:rsid w:val="011A91B9"/>
    <w:rsid w:val="0123151C"/>
    <w:rsid w:val="012A4901"/>
    <w:rsid w:val="0138BE93"/>
    <w:rsid w:val="013C23D6"/>
    <w:rsid w:val="01405EAB"/>
    <w:rsid w:val="01495FC3"/>
    <w:rsid w:val="014962E4"/>
    <w:rsid w:val="0151453A"/>
    <w:rsid w:val="01539721"/>
    <w:rsid w:val="01597B0B"/>
    <w:rsid w:val="015C5465"/>
    <w:rsid w:val="016003FA"/>
    <w:rsid w:val="01657C9A"/>
    <w:rsid w:val="0165DE92"/>
    <w:rsid w:val="01799A01"/>
    <w:rsid w:val="0184BF45"/>
    <w:rsid w:val="018A11BA"/>
    <w:rsid w:val="018D1865"/>
    <w:rsid w:val="0193653B"/>
    <w:rsid w:val="01A2FB5D"/>
    <w:rsid w:val="01A3BED9"/>
    <w:rsid w:val="01A5177C"/>
    <w:rsid w:val="01A912CB"/>
    <w:rsid w:val="01C5F4A7"/>
    <w:rsid w:val="01D34A10"/>
    <w:rsid w:val="01D58862"/>
    <w:rsid w:val="01E8F367"/>
    <w:rsid w:val="01EAFF64"/>
    <w:rsid w:val="01F6E858"/>
    <w:rsid w:val="01F76F53"/>
    <w:rsid w:val="0205EEDB"/>
    <w:rsid w:val="02065163"/>
    <w:rsid w:val="0209FF6C"/>
    <w:rsid w:val="02121BA4"/>
    <w:rsid w:val="02172C5B"/>
    <w:rsid w:val="0217BA74"/>
    <w:rsid w:val="02183228"/>
    <w:rsid w:val="021CBE76"/>
    <w:rsid w:val="021F1081"/>
    <w:rsid w:val="02201A51"/>
    <w:rsid w:val="0221A627"/>
    <w:rsid w:val="02247395"/>
    <w:rsid w:val="02309BE9"/>
    <w:rsid w:val="0230A1C5"/>
    <w:rsid w:val="02336790"/>
    <w:rsid w:val="023DC51B"/>
    <w:rsid w:val="0241D38E"/>
    <w:rsid w:val="0241F619"/>
    <w:rsid w:val="024ECABF"/>
    <w:rsid w:val="024ED518"/>
    <w:rsid w:val="02579E83"/>
    <w:rsid w:val="0266B527"/>
    <w:rsid w:val="026910BA"/>
    <w:rsid w:val="026E10A1"/>
    <w:rsid w:val="02787716"/>
    <w:rsid w:val="0279DB46"/>
    <w:rsid w:val="027EB645"/>
    <w:rsid w:val="027EFE58"/>
    <w:rsid w:val="02876676"/>
    <w:rsid w:val="028C29E4"/>
    <w:rsid w:val="02962E58"/>
    <w:rsid w:val="02A42903"/>
    <w:rsid w:val="02A94031"/>
    <w:rsid w:val="02A951E8"/>
    <w:rsid w:val="02ABFFA8"/>
    <w:rsid w:val="02B88C86"/>
    <w:rsid w:val="02BB1BCE"/>
    <w:rsid w:val="02DE956E"/>
    <w:rsid w:val="02E2EBCA"/>
    <w:rsid w:val="02EEC844"/>
    <w:rsid w:val="02F244F7"/>
    <w:rsid w:val="02F90296"/>
    <w:rsid w:val="02FB4D5F"/>
    <w:rsid w:val="03054AD0"/>
    <w:rsid w:val="031593A0"/>
    <w:rsid w:val="031D4068"/>
    <w:rsid w:val="031F7347"/>
    <w:rsid w:val="03277063"/>
    <w:rsid w:val="03372D0B"/>
    <w:rsid w:val="034B0001"/>
    <w:rsid w:val="035013CE"/>
    <w:rsid w:val="03592C4E"/>
    <w:rsid w:val="035C64D7"/>
    <w:rsid w:val="037F2B0E"/>
    <w:rsid w:val="0394FE8C"/>
    <w:rsid w:val="03955EB1"/>
    <w:rsid w:val="03964E83"/>
    <w:rsid w:val="039CB02B"/>
    <w:rsid w:val="039F51C6"/>
    <w:rsid w:val="03A4D977"/>
    <w:rsid w:val="03AC5319"/>
    <w:rsid w:val="03B481E4"/>
    <w:rsid w:val="03B9AD2D"/>
    <w:rsid w:val="03BDD7EF"/>
    <w:rsid w:val="03C311D7"/>
    <w:rsid w:val="03C39115"/>
    <w:rsid w:val="03C4D2B6"/>
    <w:rsid w:val="03C6D7C3"/>
    <w:rsid w:val="03CFFF30"/>
    <w:rsid w:val="03D96082"/>
    <w:rsid w:val="03DBB9BC"/>
    <w:rsid w:val="03DD5241"/>
    <w:rsid w:val="03F3C173"/>
    <w:rsid w:val="03F4BACD"/>
    <w:rsid w:val="03FBB9CE"/>
    <w:rsid w:val="03FEC612"/>
    <w:rsid w:val="04054EBF"/>
    <w:rsid w:val="04075C94"/>
    <w:rsid w:val="0416AD28"/>
    <w:rsid w:val="0417C656"/>
    <w:rsid w:val="04340BE2"/>
    <w:rsid w:val="0442CA6A"/>
    <w:rsid w:val="044489D7"/>
    <w:rsid w:val="045D9BB1"/>
    <w:rsid w:val="04653F0D"/>
    <w:rsid w:val="046DDD8F"/>
    <w:rsid w:val="0471D091"/>
    <w:rsid w:val="04891143"/>
    <w:rsid w:val="048F39F3"/>
    <w:rsid w:val="049867FE"/>
    <w:rsid w:val="049DAFB5"/>
    <w:rsid w:val="04B4ACCD"/>
    <w:rsid w:val="04B87A8A"/>
    <w:rsid w:val="04CC5972"/>
    <w:rsid w:val="04DFF5B4"/>
    <w:rsid w:val="04E663B7"/>
    <w:rsid w:val="04E8D2C8"/>
    <w:rsid w:val="04EE16EA"/>
    <w:rsid w:val="04FB7687"/>
    <w:rsid w:val="04FCC9F3"/>
    <w:rsid w:val="05056765"/>
    <w:rsid w:val="0511A485"/>
    <w:rsid w:val="0519A3A4"/>
    <w:rsid w:val="051DF4F7"/>
    <w:rsid w:val="05252C64"/>
    <w:rsid w:val="052DF106"/>
    <w:rsid w:val="0542927E"/>
    <w:rsid w:val="054383DE"/>
    <w:rsid w:val="0547C829"/>
    <w:rsid w:val="05571E90"/>
    <w:rsid w:val="055983D9"/>
    <w:rsid w:val="055E3C5B"/>
    <w:rsid w:val="0567A0DE"/>
    <w:rsid w:val="0567C277"/>
    <w:rsid w:val="056AA7A5"/>
    <w:rsid w:val="056D4007"/>
    <w:rsid w:val="058BC1C3"/>
    <w:rsid w:val="058D4449"/>
    <w:rsid w:val="059F2FD1"/>
    <w:rsid w:val="05A11B1B"/>
    <w:rsid w:val="05A41496"/>
    <w:rsid w:val="05A8565D"/>
    <w:rsid w:val="05AA7727"/>
    <w:rsid w:val="05AD0242"/>
    <w:rsid w:val="05ADF03A"/>
    <w:rsid w:val="05B9C450"/>
    <w:rsid w:val="05BA31CE"/>
    <w:rsid w:val="05BC170E"/>
    <w:rsid w:val="05C6ECBA"/>
    <w:rsid w:val="05CD8AEC"/>
    <w:rsid w:val="05DE5199"/>
    <w:rsid w:val="05DE6A43"/>
    <w:rsid w:val="05E560C4"/>
    <w:rsid w:val="05FA36A6"/>
    <w:rsid w:val="060B30A1"/>
    <w:rsid w:val="0616C290"/>
    <w:rsid w:val="0617CFDE"/>
    <w:rsid w:val="06203DB4"/>
    <w:rsid w:val="06222418"/>
    <w:rsid w:val="0624F877"/>
    <w:rsid w:val="06268C3A"/>
    <w:rsid w:val="06273042"/>
    <w:rsid w:val="062AB47A"/>
    <w:rsid w:val="06306BF7"/>
    <w:rsid w:val="0639444E"/>
    <w:rsid w:val="063B278B"/>
    <w:rsid w:val="064829E4"/>
    <w:rsid w:val="06525241"/>
    <w:rsid w:val="06593C9C"/>
    <w:rsid w:val="065A1743"/>
    <w:rsid w:val="065A96A2"/>
    <w:rsid w:val="066E60FA"/>
    <w:rsid w:val="0678ADE7"/>
    <w:rsid w:val="067CCC15"/>
    <w:rsid w:val="067D5275"/>
    <w:rsid w:val="068128E2"/>
    <w:rsid w:val="0687507C"/>
    <w:rsid w:val="068F9AE8"/>
    <w:rsid w:val="0695C166"/>
    <w:rsid w:val="06A5958A"/>
    <w:rsid w:val="06BAA054"/>
    <w:rsid w:val="06C08AD0"/>
    <w:rsid w:val="06C92D72"/>
    <w:rsid w:val="06D6B2B9"/>
    <w:rsid w:val="06DF732B"/>
    <w:rsid w:val="06E0DAB1"/>
    <w:rsid w:val="06E1085C"/>
    <w:rsid w:val="06E36476"/>
    <w:rsid w:val="06ED2743"/>
    <w:rsid w:val="06FB76DF"/>
    <w:rsid w:val="06FD5BD3"/>
    <w:rsid w:val="07012B18"/>
    <w:rsid w:val="0704AD84"/>
    <w:rsid w:val="07050F42"/>
    <w:rsid w:val="070E0C58"/>
    <w:rsid w:val="07102DE9"/>
    <w:rsid w:val="071D2C28"/>
    <w:rsid w:val="0720C23E"/>
    <w:rsid w:val="0720CF77"/>
    <w:rsid w:val="072DE444"/>
    <w:rsid w:val="072FABEA"/>
    <w:rsid w:val="0732FC04"/>
    <w:rsid w:val="0735393E"/>
    <w:rsid w:val="07435A22"/>
    <w:rsid w:val="07455F62"/>
    <w:rsid w:val="0751DDD3"/>
    <w:rsid w:val="0758FFB9"/>
    <w:rsid w:val="0760EEB1"/>
    <w:rsid w:val="0767CFBD"/>
    <w:rsid w:val="076DF067"/>
    <w:rsid w:val="0777FAE4"/>
    <w:rsid w:val="0779C559"/>
    <w:rsid w:val="077C430D"/>
    <w:rsid w:val="07805F20"/>
    <w:rsid w:val="079337A0"/>
    <w:rsid w:val="07951BB9"/>
    <w:rsid w:val="07A04C65"/>
    <w:rsid w:val="07A4B92C"/>
    <w:rsid w:val="07AD5144"/>
    <w:rsid w:val="07AFF58E"/>
    <w:rsid w:val="07B15CC2"/>
    <w:rsid w:val="07B9E911"/>
    <w:rsid w:val="07BD1019"/>
    <w:rsid w:val="07C9CCF6"/>
    <w:rsid w:val="07D531A2"/>
    <w:rsid w:val="07D785D0"/>
    <w:rsid w:val="07ED4482"/>
    <w:rsid w:val="07EED8FD"/>
    <w:rsid w:val="07F2913E"/>
    <w:rsid w:val="07FEB309"/>
    <w:rsid w:val="08097611"/>
    <w:rsid w:val="0810DBC4"/>
    <w:rsid w:val="081BD649"/>
    <w:rsid w:val="082294E1"/>
    <w:rsid w:val="08436DA7"/>
    <w:rsid w:val="0843D3CE"/>
    <w:rsid w:val="085BB024"/>
    <w:rsid w:val="085BC43E"/>
    <w:rsid w:val="0868A03C"/>
    <w:rsid w:val="087495C0"/>
    <w:rsid w:val="087AF80D"/>
    <w:rsid w:val="087D9F5B"/>
    <w:rsid w:val="08867DE7"/>
    <w:rsid w:val="08879247"/>
    <w:rsid w:val="088A58B0"/>
    <w:rsid w:val="08956D51"/>
    <w:rsid w:val="08A0AE53"/>
    <w:rsid w:val="08BA0A91"/>
    <w:rsid w:val="08C58080"/>
    <w:rsid w:val="08CE6BC3"/>
    <w:rsid w:val="08CF182D"/>
    <w:rsid w:val="08D45450"/>
    <w:rsid w:val="08D673AE"/>
    <w:rsid w:val="08D88BC7"/>
    <w:rsid w:val="08E020DB"/>
    <w:rsid w:val="08E04578"/>
    <w:rsid w:val="08F957BF"/>
    <w:rsid w:val="08FAC8CE"/>
    <w:rsid w:val="09005A09"/>
    <w:rsid w:val="090F7835"/>
    <w:rsid w:val="09110DAD"/>
    <w:rsid w:val="0915BC44"/>
    <w:rsid w:val="0919E1DF"/>
    <w:rsid w:val="091E3421"/>
    <w:rsid w:val="0939592B"/>
    <w:rsid w:val="093E17AD"/>
    <w:rsid w:val="0942E734"/>
    <w:rsid w:val="0964050A"/>
    <w:rsid w:val="0966DAB7"/>
    <w:rsid w:val="0966DC0F"/>
    <w:rsid w:val="096BE568"/>
    <w:rsid w:val="09725F55"/>
    <w:rsid w:val="0975BF4A"/>
    <w:rsid w:val="0978AB0D"/>
    <w:rsid w:val="0998895F"/>
    <w:rsid w:val="09AF3745"/>
    <w:rsid w:val="09B15B47"/>
    <w:rsid w:val="09BDB50E"/>
    <w:rsid w:val="09C1D9B1"/>
    <w:rsid w:val="09D43346"/>
    <w:rsid w:val="09F2E94B"/>
    <w:rsid w:val="09FFBE28"/>
    <w:rsid w:val="0A1733AD"/>
    <w:rsid w:val="0A1DFCA2"/>
    <w:rsid w:val="0A252CE7"/>
    <w:rsid w:val="0A30D12C"/>
    <w:rsid w:val="0A43E4A3"/>
    <w:rsid w:val="0A4C1F39"/>
    <w:rsid w:val="0A4F10F4"/>
    <w:rsid w:val="0A5802C7"/>
    <w:rsid w:val="0A6257EB"/>
    <w:rsid w:val="0A629185"/>
    <w:rsid w:val="0A77E82C"/>
    <w:rsid w:val="0A79D6EF"/>
    <w:rsid w:val="0A7E1D38"/>
    <w:rsid w:val="0A84D7B7"/>
    <w:rsid w:val="0A8A74DA"/>
    <w:rsid w:val="0A8BDDC4"/>
    <w:rsid w:val="0A9701EE"/>
    <w:rsid w:val="0A985848"/>
    <w:rsid w:val="0A99B970"/>
    <w:rsid w:val="0AB0B7DD"/>
    <w:rsid w:val="0ABF1B48"/>
    <w:rsid w:val="0AC44496"/>
    <w:rsid w:val="0AC45985"/>
    <w:rsid w:val="0AC8694A"/>
    <w:rsid w:val="0AD33A12"/>
    <w:rsid w:val="0ADBB89A"/>
    <w:rsid w:val="0AE93130"/>
    <w:rsid w:val="0AED7641"/>
    <w:rsid w:val="0AF12BEE"/>
    <w:rsid w:val="0AF227D2"/>
    <w:rsid w:val="0B12418D"/>
    <w:rsid w:val="0B126FD6"/>
    <w:rsid w:val="0B19C476"/>
    <w:rsid w:val="0B34B03C"/>
    <w:rsid w:val="0B392E23"/>
    <w:rsid w:val="0B3D3A78"/>
    <w:rsid w:val="0B3D5AD0"/>
    <w:rsid w:val="0B3E9E18"/>
    <w:rsid w:val="0B4F9D16"/>
    <w:rsid w:val="0B54D96E"/>
    <w:rsid w:val="0B6494BF"/>
    <w:rsid w:val="0B679FE4"/>
    <w:rsid w:val="0B6EB98E"/>
    <w:rsid w:val="0B7B019B"/>
    <w:rsid w:val="0B7F0987"/>
    <w:rsid w:val="0B8BCEE4"/>
    <w:rsid w:val="0B92566C"/>
    <w:rsid w:val="0BA40B33"/>
    <w:rsid w:val="0BA878C9"/>
    <w:rsid w:val="0BA87A5A"/>
    <w:rsid w:val="0BB21727"/>
    <w:rsid w:val="0BB86AA1"/>
    <w:rsid w:val="0BC75275"/>
    <w:rsid w:val="0BDF489C"/>
    <w:rsid w:val="0BF257D8"/>
    <w:rsid w:val="0BF55366"/>
    <w:rsid w:val="0BF6C024"/>
    <w:rsid w:val="0BFE6614"/>
    <w:rsid w:val="0BFFB62E"/>
    <w:rsid w:val="0C00650E"/>
    <w:rsid w:val="0C010444"/>
    <w:rsid w:val="0C09A5B2"/>
    <w:rsid w:val="0C0D2B1B"/>
    <w:rsid w:val="0C37437C"/>
    <w:rsid w:val="0C45BEEA"/>
    <w:rsid w:val="0C4BA39A"/>
    <w:rsid w:val="0C5134A4"/>
    <w:rsid w:val="0C67CCF0"/>
    <w:rsid w:val="0C797697"/>
    <w:rsid w:val="0C7C493C"/>
    <w:rsid w:val="0C7E4979"/>
    <w:rsid w:val="0C90974A"/>
    <w:rsid w:val="0C9958A6"/>
    <w:rsid w:val="0C9EC15D"/>
    <w:rsid w:val="0CA80BAD"/>
    <w:rsid w:val="0CB617CF"/>
    <w:rsid w:val="0CBBE552"/>
    <w:rsid w:val="0CBCAD40"/>
    <w:rsid w:val="0CC517F2"/>
    <w:rsid w:val="0CC7F024"/>
    <w:rsid w:val="0CCBDCCA"/>
    <w:rsid w:val="0CD1A789"/>
    <w:rsid w:val="0CD36CBD"/>
    <w:rsid w:val="0CDE3D4C"/>
    <w:rsid w:val="0CEA5A30"/>
    <w:rsid w:val="0CF29BC0"/>
    <w:rsid w:val="0CFA7619"/>
    <w:rsid w:val="0D0A395A"/>
    <w:rsid w:val="0D1D10E1"/>
    <w:rsid w:val="0D22AE39"/>
    <w:rsid w:val="0D232B21"/>
    <w:rsid w:val="0D23CF43"/>
    <w:rsid w:val="0D258D13"/>
    <w:rsid w:val="0D2BAD59"/>
    <w:rsid w:val="0D3208A7"/>
    <w:rsid w:val="0D378EB9"/>
    <w:rsid w:val="0D418A89"/>
    <w:rsid w:val="0D43628E"/>
    <w:rsid w:val="0D5194D6"/>
    <w:rsid w:val="0D526182"/>
    <w:rsid w:val="0D554A60"/>
    <w:rsid w:val="0D581D26"/>
    <w:rsid w:val="0D59C5E3"/>
    <w:rsid w:val="0D59D8C0"/>
    <w:rsid w:val="0D6FD909"/>
    <w:rsid w:val="0D7896E9"/>
    <w:rsid w:val="0D8746BF"/>
    <w:rsid w:val="0D97061B"/>
    <w:rsid w:val="0DA9B14E"/>
    <w:rsid w:val="0DB52181"/>
    <w:rsid w:val="0DB86F10"/>
    <w:rsid w:val="0DC628AB"/>
    <w:rsid w:val="0DD0F2B2"/>
    <w:rsid w:val="0DD841B2"/>
    <w:rsid w:val="0DF3F4FD"/>
    <w:rsid w:val="0DF4CC52"/>
    <w:rsid w:val="0E077359"/>
    <w:rsid w:val="0E07EE87"/>
    <w:rsid w:val="0E1367E9"/>
    <w:rsid w:val="0E155026"/>
    <w:rsid w:val="0E15E977"/>
    <w:rsid w:val="0E1AF6DD"/>
    <w:rsid w:val="0E3EE980"/>
    <w:rsid w:val="0E42608F"/>
    <w:rsid w:val="0E46B5EB"/>
    <w:rsid w:val="0E4E630A"/>
    <w:rsid w:val="0E58F08D"/>
    <w:rsid w:val="0E61BB51"/>
    <w:rsid w:val="0E686064"/>
    <w:rsid w:val="0E6A9D22"/>
    <w:rsid w:val="0E6CC00B"/>
    <w:rsid w:val="0E6D17D7"/>
    <w:rsid w:val="0E773DD6"/>
    <w:rsid w:val="0E86AA3B"/>
    <w:rsid w:val="0E875F66"/>
    <w:rsid w:val="0E891E6A"/>
    <w:rsid w:val="0E8C5638"/>
    <w:rsid w:val="0E9C4A25"/>
    <w:rsid w:val="0EA1118E"/>
    <w:rsid w:val="0EBB3E6F"/>
    <w:rsid w:val="0EC69CDC"/>
    <w:rsid w:val="0ECEB3D9"/>
    <w:rsid w:val="0ED4FCCD"/>
    <w:rsid w:val="0ED81AAC"/>
    <w:rsid w:val="0EE12157"/>
    <w:rsid w:val="0EF1D448"/>
    <w:rsid w:val="0F03C706"/>
    <w:rsid w:val="0F0C6820"/>
    <w:rsid w:val="0F13A4C0"/>
    <w:rsid w:val="0F16635C"/>
    <w:rsid w:val="0F3893CB"/>
    <w:rsid w:val="0F3E6E42"/>
    <w:rsid w:val="0F3E98E7"/>
    <w:rsid w:val="0F432D1E"/>
    <w:rsid w:val="0F53CFB8"/>
    <w:rsid w:val="0F67856F"/>
    <w:rsid w:val="0F6B8E6B"/>
    <w:rsid w:val="0F725FF7"/>
    <w:rsid w:val="0F7B0245"/>
    <w:rsid w:val="0F83EEDA"/>
    <w:rsid w:val="0F89B9AB"/>
    <w:rsid w:val="0F8A2207"/>
    <w:rsid w:val="0F8A6CD9"/>
    <w:rsid w:val="0F94A687"/>
    <w:rsid w:val="0F99EE38"/>
    <w:rsid w:val="0F9F58D6"/>
    <w:rsid w:val="0FA04CF1"/>
    <w:rsid w:val="0FA2DBA8"/>
    <w:rsid w:val="0FABC187"/>
    <w:rsid w:val="0FB21BE6"/>
    <w:rsid w:val="0FB388BC"/>
    <w:rsid w:val="0FB75EC9"/>
    <w:rsid w:val="0FBE15C2"/>
    <w:rsid w:val="0FBE1D9C"/>
    <w:rsid w:val="0FC1E2DE"/>
    <w:rsid w:val="0FCFDE4E"/>
    <w:rsid w:val="0FE471DC"/>
    <w:rsid w:val="0FE630B9"/>
    <w:rsid w:val="0FE9FEB6"/>
    <w:rsid w:val="0FEFC8F5"/>
    <w:rsid w:val="1009C7CF"/>
    <w:rsid w:val="100F5B32"/>
    <w:rsid w:val="101C8A9B"/>
    <w:rsid w:val="10299CE6"/>
    <w:rsid w:val="103A5E47"/>
    <w:rsid w:val="10418817"/>
    <w:rsid w:val="1041BEE8"/>
    <w:rsid w:val="104C4656"/>
    <w:rsid w:val="104C4880"/>
    <w:rsid w:val="105F57E4"/>
    <w:rsid w:val="1060FED1"/>
    <w:rsid w:val="1066C766"/>
    <w:rsid w:val="1071A53F"/>
    <w:rsid w:val="1072BAD5"/>
    <w:rsid w:val="107383A8"/>
    <w:rsid w:val="1077B431"/>
    <w:rsid w:val="107DDD89"/>
    <w:rsid w:val="107F5919"/>
    <w:rsid w:val="1089DFD4"/>
    <w:rsid w:val="108B3C3B"/>
    <w:rsid w:val="1091BC2D"/>
    <w:rsid w:val="1095010B"/>
    <w:rsid w:val="1095F575"/>
    <w:rsid w:val="1096F8D4"/>
    <w:rsid w:val="10A94052"/>
    <w:rsid w:val="10A96A1F"/>
    <w:rsid w:val="10AF9244"/>
    <w:rsid w:val="10B40661"/>
    <w:rsid w:val="10C162BC"/>
    <w:rsid w:val="10C6D649"/>
    <w:rsid w:val="10D0C225"/>
    <w:rsid w:val="10D4648F"/>
    <w:rsid w:val="10E5364B"/>
    <w:rsid w:val="10F93F81"/>
    <w:rsid w:val="110066BD"/>
    <w:rsid w:val="110824BC"/>
    <w:rsid w:val="110F4B1D"/>
    <w:rsid w:val="1110BE6B"/>
    <w:rsid w:val="114E0752"/>
    <w:rsid w:val="115899C8"/>
    <w:rsid w:val="115D3544"/>
    <w:rsid w:val="116A3E4D"/>
    <w:rsid w:val="116D43DA"/>
    <w:rsid w:val="117130CE"/>
    <w:rsid w:val="1178C9AE"/>
    <w:rsid w:val="117D9E0E"/>
    <w:rsid w:val="118FE9F4"/>
    <w:rsid w:val="118FFC19"/>
    <w:rsid w:val="119427B1"/>
    <w:rsid w:val="119AA717"/>
    <w:rsid w:val="119C72BE"/>
    <w:rsid w:val="119F30FB"/>
    <w:rsid w:val="11A1AB4F"/>
    <w:rsid w:val="11A2A513"/>
    <w:rsid w:val="11A2BEB6"/>
    <w:rsid w:val="11A40CCE"/>
    <w:rsid w:val="11ABB302"/>
    <w:rsid w:val="11B2F968"/>
    <w:rsid w:val="11BE5DD8"/>
    <w:rsid w:val="11C62440"/>
    <w:rsid w:val="11CB2081"/>
    <w:rsid w:val="11CC77FE"/>
    <w:rsid w:val="11CF8EEB"/>
    <w:rsid w:val="11D4FCB1"/>
    <w:rsid w:val="11DAFF11"/>
    <w:rsid w:val="11E32621"/>
    <w:rsid w:val="11EC2F57"/>
    <w:rsid w:val="11ED60FE"/>
    <w:rsid w:val="11F6A9E7"/>
    <w:rsid w:val="11F70AEA"/>
    <w:rsid w:val="11FC5354"/>
    <w:rsid w:val="12047AF3"/>
    <w:rsid w:val="120E7894"/>
    <w:rsid w:val="121F043A"/>
    <w:rsid w:val="12240558"/>
    <w:rsid w:val="122A47E6"/>
    <w:rsid w:val="1237CC22"/>
    <w:rsid w:val="123C80CF"/>
    <w:rsid w:val="124383F0"/>
    <w:rsid w:val="12561051"/>
    <w:rsid w:val="126D3FA6"/>
    <w:rsid w:val="1279960F"/>
    <w:rsid w:val="127A2DEC"/>
    <w:rsid w:val="127CA935"/>
    <w:rsid w:val="1287D5CD"/>
    <w:rsid w:val="1294205E"/>
    <w:rsid w:val="129AB555"/>
    <w:rsid w:val="12A3255F"/>
    <w:rsid w:val="12B1C158"/>
    <w:rsid w:val="12B692EA"/>
    <w:rsid w:val="12BE3317"/>
    <w:rsid w:val="12C04A0E"/>
    <w:rsid w:val="12C81FB6"/>
    <w:rsid w:val="12D461D7"/>
    <w:rsid w:val="12E029E1"/>
    <w:rsid w:val="12E1717D"/>
    <w:rsid w:val="12E1A39F"/>
    <w:rsid w:val="12E30DCE"/>
    <w:rsid w:val="12E8CF21"/>
    <w:rsid w:val="12E92671"/>
    <w:rsid w:val="12F28DE7"/>
    <w:rsid w:val="12F52B0A"/>
    <w:rsid w:val="12FE8EEC"/>
    <w:rsid w:val="1304F150"/>
    <w:rsid w:val="1309C334"/>
    <w:rsid w:val="130EFC6C"/>
    <w:rsid w:val="1334EE70"/>
    <w:rsid w:val="13360518"/>
    <w:rsid w:val="134E8DEE"/>
    <w:rsid w:val="134EE717"/>
    <w:rsid w:val="1353BBBA"/>
    <w:rsid w:val="135BC905"/>
    <w:rsid w:val="13622E02"/>
    <w:rsid w:val="1363A480"/>
    <w:rsid w:val="1368E76F"/>
    <w:rsid w:val="136E0893"/>
    <w:rsid w:val="1376530C"/>
    <w:rsid w:val="137FA076"/>
    <w:rsid w:val="13831FE6"/>
    <w:rsid w:val="1388D849"/>
    <w:rsid w:val="13920873"/>
    <w:rsid w:val="13993499"/>
    <w:rsid w:val="139AAF5E"/>
    <w:rsid w:val="139D9D29"/>
    <w:rsid w:val="13A19681"/>
    <w:rsid w:val="13AC3067"/>
    <w:rsid w:val="13B840F0"/>
    <w:rsid w:val="13B8D9C7"/>
    <w:rsid w:val="13BA27A7"/>
    <w:rsid w:val="13BBD757"/>
    <w:rsid w:val="13D75D70"/>
    <w:rsid w:val="13DB97A8"/>
    <w:rsid w:val="13DF6D0C"/>
    <w:rsid w:val="13E21529"/>
    <w:rsid w:val="13E5C44B"/>
    <w:rsid w:val="13EA93E1"/>
    <w:rsid w:val="13FB1D4E"/>
    <w:rsid w:val="13FD2C2C"/>
    <w:rsid w:val="14032EB1"/>
    <w:rsid w:val="1405F204"/>
    <w:rsid w:val="140929CE"/>
    <w:rsid w:val="140F6689"/>
    <w:rsid w:val="1421C440"/>
    <w:rsid w:val="144FA80E"/>
    <w:rsid w:val="1450B912"/>
    <w:rsid w:val="145245A3"/>
    <w:rsid w:val="1458F839"/>
    <w:rsid w:val="14602E29"/>
    <w:rsid w:val="146762D6"/>
    <w:rsid w:val="1469693D"/>
    <w:rsid w:val="146DFA5F"/>
    <w:rsid w:val="1475C533"/>
    <w:rsid w:val="147DFA02"/>
    <w:rsid w:val="148453FE"/>
    <w:rsid w:val="1484C3D5"/>
    <w:rsid w:val="1488D1C9"/>
    <w:rsid w:val="149AC444"/>
    <w:rsid w:val="14AE48D8"/>
    <w:rsid w:val="14B0BC04"/>
    <w:rsid w:val="14B0D37F"/>
    <w:rsid w:val="14BA5FF9"/>
    <w:rsid w:val="14BC1FF5"/>
    <w:rsid w:val="14BDC749"/>
    <w:rsid w:val="14BEFCCB"/>
    <w:rsid w:val="14BF2BD4"/>
    <w:rsid w:val="14C24B37"/>
    <w:rsid w:val="14C2F965"/>
    <w:rsid w:val="14C993FB"/>
    <w:rsid w:val="14DCD7C1"/>
    <w:rsid w:val="14E77358"/>
    <w:rsid w:val="14EFA372"/>
    <w:rsid w:val="14F1294F"/>
    <w:rsid w:val="150EF84B"/>
    <w:rsid w:val="15185886"/>
    <w:rsid w:val="1524DAF6"/>
    <w:rsid w:val="15271815"/>
    <w:rsid w:val="1533EC41"/>
    <w:rsid w:val="153F0A58"/>
    <w:rsid w:val="1560A837"/>
    <w:rsid w:val="156872F5"/>
    <w:rsid w:val="15690541"/>
    <w:rsid w:val="156AC373"/>
    <w:rsid w:val="157474AB"/>
    <w:rsid w:val="1574E7FE"/>
    <w:rsid w:val="1575A098"/>
    <w:rsid w:val="157B9471"/>
    <w:rsid w:val="1590AD68"/>
    <w:rsid w:val="1590EBEC"/>
    <w:rsid w:val="15954E50"/>
    <w:rsid w:val="1596B19F"/>
    <w:rsid w:val="15A005DD"/>
    <w:rsid w:val="15A575A5"/>
    <w:rsid w:val="15A592C0"/>
    <w:rsid w:val="15B62435"/>
    <w:rsid w:val="15B97878"/>
    <w:rsid w:val="15BF53FB"/>
    <w:rsid w:val="15C5B4E6"/>
    <w:rsid w:val="15C9BA1F"/>
    <w:rsid w:val="15D5DF4D"/>
    <w:rsid w:val="15DE39C9"/>
    <w:rsid w:val="15E97F01"/>
    <w:rsid w:val="15F4A8D6"/>
    <w:rsid w:val="16021852"/>
    <w:rsid w:val="160283D9"/>
    <w:rsid w:val="160E1601"/>
    <w:rsid w:val="161044F0"/>
    <w:rsid w:val="16184F72"/>
    <w:rsid w:val="161F428F"/>
    <w:rsid w:val="1625DEAA"/>
    <w:rsid w:val="1638F620"/>
    <w:rsid w:val="163B9D83"/>
    <w:rsid w:val="1648E4B9"/>
    <w:rsid w:val="164B93E3"/>
    <w:rsid w:val="164C1EDD"/>
    <w:rsid w:val="164CC1DE"/>
    <w:rsid w:val="164D8DCF"/>
    <w:rsid w:val="1668EC7A"/>
    <w:rsid w:val="1689B582"/>
    <w:rsid w:val="1695C360"/>
    <w:rsid w:val="1695E285"/>
    <w:rsid w:val="16AD2BD3"/>
    <w:rsid w:val="16B97AD5"/>
    <w:rsid w:val="16CABE1D"/>
    <w:rsid w:val="16D18124"/>
    <w:rsid w:val="16E6C7B1"/>
    <w:rsid w:val="16E9EE78"/>
    <w:rsid w:val="16EB45E6"/>
    <w:rsid w:val="16EE4A19"/>
    <w:rsid w:val="16F165BB"/>
    <w:rsid w:val="17070337"/>
    <w:rsid w:val="170B3677"/>
    <w:rsid w:val="170E4C99"/>
    <w:rsid w:val="171F0E34"/>
    <w:rsid w:val="1727FFBE"/>
    <w:rsid w:val="1729B126"/>
    <w:rsid w:val="1735D10A"/>
    <w:rsid w:val="173C5A93"/>
    <w:rsid w:val="173D2DAD"/>
    <w:rsid w:val="175BB005"/>
    <w:rsid w:val="175C98E4"/>
    <w:rsid w:val="175FCCE0"/>
    <w:rsid w:val="176F4D6F"/>
    <w:rsid w:val="177CF733"/>
    <w:rsid w:val="178191EF"/>
    <w:rsid w:val="1782E7B9"/>
    <w:rsid w:val="179234A6"/>
    <w:rsid w:val="17A83DD3"/>
    <w:rsid w:val="17AC4AC2"/>
    <w:rsid w:val="17B16F6A"/>
    <w:rsid w:val="17C2071D"/>
    <w:rsid w:val="17C30047"/>
    <w:rsid w:val="17CEA3C3"/>
    <w:rsid w:val="17D74016"/>
    <w:rsid w:val="17D8E0AB"/>
    <w:rsid w:val="17DAEA28"/>
    <w:rsid w:val="17F40727"/>
    <w:rsid w:val="17FF4487"/>
    <w:rsid w:val="1800211D"/>
    <w:rsid w:val="180025E7"/>
    <w:rsid w:val="18076CB6"/>
    <w:rsid w:val="18087FAC"/>
    <w:rsid w:val="18099F88"/>
    <w:rsid w:val="180D2389"/>
    <w:rsid w:val="1812FCEF"/>
    <w:rsid w:val="18141F24"/>
    <w:rsid w:val="1815566B"/>
    <w:rsid w:val="18246E8E"/>
    <w:rsid w:val="1831A175"/>
    <w:rsid w:val="1839FEA2"/>
    <w:rsid w:val="183FA55A"/>
    <w:rsid w:val="1847F9BB"/>
    <w:rsid w:val="184C7BEB"/>
    <w:rsid w:val="184F42FF"/>
    <w:rsid w:val="1861E72F"/>
    <w:rsid w:val="18684594"/>
    <w:rsid w:val="186A6A0E"/>
    <w:rsid w:val="186B9728"/>
    <w:rsid w:val="189782DC"/>
    <w:rsid w:val="189A6E9C"/>
    <w:rsid w:val="18A54B3B"/>
    <w:rsid w:val="18B80E9A"/>
    <w:rsid w:val="18BCB564"/>
    <w:rsid w:val="18E1E522"/>
    <w:rsid w:val="18E81109"/>
    <w:rsid w:val="18ECECF1"/>
    <w:rsid w:val="18F01969"/>
    <w:rsid w:val="190B7841"/>
    <w:rsid w:val="190FD862"/>
    <w:rsid w:val="192511C7"/>
    <w:rsid w:val="192F0724"/>
    <w:rsid w:val="1933A57F"/>
    <w:rsid w:val="19391935"/>
    <w:rsid w:val="193A7986"/>
    <w:rsid w:val="193D133F"/>
    <w:rsid w:val="194C2FC0"/>
    <w:rsid w:val="1952E454"/>
    <w:rsid w:val="195C5D24"/>
    <w:rsid w:val="195CE41C"/>
    <w:rsid w:val="19736656"/>
    <w:rsid w:val="197EEDB9"/>
    <w:rsid w:val="19876493"/>
    <w:rsid w:val="198A9427"/>
    <w:rsid w:val="198ACD50"/>
    <w:rsid w:val="1993BA2D"/>
    <w:rsid w:val="199717E5"/>
    <w:rsid w:val="19992CE0"/>
    <w:rsid w:val="19A16DD8"/>
    <w:rsid w:val="19AE7D46"/>
    <w:rsid w:val="19C31E09"/>
    <w:rsid w:val="19D1564D"/>
    <w:rsid w:val="19D6EF92"/>
    <w:rsid w:val="19DED05E"/>
    <w:rsid w:val="19DF5B26"/>
    <w:rsid w:val="19E89C3F"/>
    <w:rsid w:val="19E8EA86"/>
    <w:rsid w:val="19EA9304"/>
    <w:rsid w:val="19FFAE8C"/>
    <w:rsid w:val="1A116D85"/>
    <w:rsid w:val="1A15D363"/>
    <w:rsid w:val="1A19EDA1"/>
    <w:rsid w:val="1A1DA9EF"/>
    <w:rsid w:val="1A28EC83"/>
    <w:rsid w:val="1A2954FB"/>
    <w:rsid w:val="1A35F60B"/>
    <w:rsid w:val="1A38FD8F"/>
    <w:rsid w:val="1A3BDCE7"/>
    <w:rsid w:val="1A3F83C9"/>
    <w:rsid w:val="1A4A6153"/>
    <w:rsid w:val="1A4C2FF2"/>
    <w:rsid w:val="1A5002EE"/>
    <w:rsid w:val="1A5E0E23"/>
    <w:rsid w:val="1A629B5E"/>
    <w:rsid w:val="1A6FE80F"/>
    <w:rsid w:val="1A851C38"/>
    <w:rsid w:val="1A857DA0"/>
    <w:rsid w:val="1A89D363"/>
    <w:rsid w:val="1A8E04FE"/>
    <w:rsid w:val="1A9DEC7E"/>
    <w:rsid w:val="1A9E14CF"/>
    <w:rsid w:val="1A9F6D2F"/>
    <w:rsid w:val="1AA31013"/>
    <w:rsid w:val="1AA5B154"/>
    <w:rsid w:val="1AB4AB92"/>
    <w:rsid w:val="1AB7C3F2"/>
    <w:rsid w:val="1ADC989B"/>
    <w:rsid w:val="1ADD896D"/>
    <w:rsid w:val="1AF5AF7F"/>
    <w:rsid w:val="1AFFE3AF"/>
    <w:rsid w:val="1B011BF2"/>
    <w:rsid w:val="1B05A803"/>
    <w:rsid w:val="1B0C81F0"/>
    <w:rsid w:val="1B175A3D"/>
    <w:rsid w:val="1B192A38"/>
    <w:rsid w:val="1B1A7C79"/>
    <w:rsid w:val="1B2CC567"/>
    <w:rsid w:val="1B331611"/>
    <w:rsid w:val="1B3974AF"/>
    <w:rsid w:val="1B3F9B72"/>
    <w:rsid w:val="1B453F11"/>
    <w:rsid w:val="1B458848"/>
    <w:rsid w:val="1B460A8D"/>
    <w:rsid w:val="1B4B822D"/>
    <w:rsid w:val="1B4C0581"/>
    <w:rsid w:val="1B554EAB"/>
    <w:rsid w:val="1B5699FD"/>
    <w:rsid w:val="1B605141"/>
    <w:rsid w:val="1B707164"/>
    <w:rsid w:val="1B79D678"/>
    <w:rsid w:val="1B7B1A19"/>
    <w:rsid w:val="1B7EE2F2"/>
    <w:rsid w:val="1B8092F4"/>
    <w:rsid w:val="1B838841"/>
    <w:rsid w:val="1B8E7941"/>
    <w:rsid w:val="1BADF8EA"/>
    <w:rsid w:val="1BAE0CD1"/>
    <w:rsid w:val="1BB94E51"/>
    <w:rsid w:val="1BCBC77B"/>
    <w:rsid w:val="1BD65C09"/>
    <w:rsid w:val="1BDA9D09"/>
    <w:rsid w:val="1BDEF9E1"/>
    <w:rsid w:val="1BFAA840"/>
    <w:rsid w:val="1C0AA3DC"/>
    <w:rsid w:val="1C10CCC1"/>
    <w:rsid w:val="1C1CA9DD"/>
    <w:rsid w:val="1C2FF48B"/>
    <w:rsid w:val="1C386541"/>
    <w:rsid w:val="1C3EA13E"/>
    <w:rsid w:val="1C4FF7CD"/>
    <w:rsid w:val="1C55D129"/>
    <w:rsid w:val="1C57D186"/>
    <w:rsid w:val="1C585BA0"/>
    <w:rsid w:val="1C63FC21"/>
    <w:rsid w:val="1C65560D"/>
    <w:rsid w:val="1C6728E0"/>
    <w:rsid w:val="1C89AB7F"/>
    <w:rsid w:val="1C8D1EEC"/>
    <w:rsid w:val="1C8EBDDA"/>
    <w:rsid w:val="1C9561E3"/>
    <w:rsid w:val="1CA57737"/>
    <w:rsid w:val="1CAC8716"/>
    <w:rsid w:val="1CAFF600"/>
    <w:rsid w:val="1CB1939B"/>
    <w:rsid w:val="1CB90373"/>
    <w:rsid w:val="1CBBD07C"/>
    <w:rsid w:val="1CC7096F"/>
    <w:rsid w:val="1CCB182C"/>
    <w:rsid w:val="1CDC24B8"/>
    <w:rsid w:val="1CE67320"/>
    <w:rsid w:val="1CE9D968"/>
    <w:rsid w:val="1CEC199F"/>
    <w:rsid w:val="1CF4F0E9"/>
    <w:rsid w:val="1CFC1D89"/>
    <w:rsid w:val="1D02ED81"/>
    <w:rsid w:val="1D0539C0"/>
    <w:rsid w:val="1D066FAB"/>
    <w:rsid w:val="1D0DDE43"/>
    <w:rsid w:val="1D2F1D8C"/>
    <w:rsid w:val="1D37274C"/>
    <w:rsid w:val="1D41DACF"/>
    <w:rsid w:val="1D4E84CC"/>
    <w:rsid w:val="1D5A1DC0"/>
    <w:rsid w:val="1D601A13"/>
    <w:rsid w:val="1D61D7D1"/>
    <w:rsid w:val="1D6BF932"/>
    <w:rsid w:val="1D6E5966"/>
    <w:rsid w:val="1D71E7F0"/>
    <w:rsid w:val="1D726D40"/>
    <w:rsid w:val="1D77D695"/>
    <w:rsid w:val="1D7CAA0E"/>
    <w:rsid w:val="1D95D885"/>
    <w:rsid w:val="1DA0A8A3"/>
    <w:rsid w:val="1DA76D75"/>
    <w:rsid w:val="1DB512EF"/>
    <w:rsid w:val="1DB76E20"/>
    <w:rsid w:val="1DB9F9EC"/>
    <w:rsid w:val="1DBC9035"/>
    <w:rsid w:val="1DC0DCA1"/>
    <w:rsid w:val="1DC40189"/>
    <w:rsid w:val="1DC7FDAC"/>
    <w:rsid w:val="1DCCC46F"/>
    <w:rsid w:val="1DD42EFA"/>
    <w:rsid w:val="1DD5A326"/>
    <w:rsid w:val="1DD8EEC3"/>
    <w:rsid w:val="1DDC162E"/>
    <w:rsid w:val="1DE577E9"/>
    <w:rsid w:val="1DEB7462"/>
    <w:rsid w:val="1DFD683C"/>
    <w:rsid w:val="1E180572"/>
    <w:rsid w:val="1E230298"/>
    <w:rsid w:val="1E28E3A8"/>
    <w:rsid w:val="1E321BA2"/>
    <w:rsid w:val="1E3B45F2"/>
    <w:rsid w:val="1E4A6BC7"/>
    <w:rsid w:val="1E5233B4"/>
    <w:rsid w:val="1E52C219"/>
    <w:rsid w:val="1E533C1F"/>
    <w:rsid w:val="1E55A807"/>
    <w:rsid w:val="1E58FC5B"/>
    <w:rsid w:val="1E6BA063"/>
    <w:rsid w:val="1E6F42D5"/>
    <w:rsid w:val="1E76329D"/>
    <w:rsid w:val="1E7B4AFF"/>
    <w:rsid w:val="1E7FEFDD"/>
    <w:rsid w:val="1EA103DF"/>
    <w:rsid w:val="1EA1D153"/>
    <w:rsid w:val="1EA67835"/>
    <w:rsid w:val="1EAA685E"/>
    <w:rsid w:val="1EABD52A"/>
    <w:rsid w:val="1EB6D5A4"/>
    <w:rsid w:val="1ED12CD3"/>
    <w:rsid w:val="1ED7207D"/>
    <w:rsid w:val="1EE5795A"/>
    <w:rsid w:val="1EE69244"/>
    <w:rsid w:val="1EEB0DA0"/>
    <w:rsid w:val="1EEF1231"/>
    <w:rsid w:val="1EF97173"/>
    <w:rsid w:val="1F006252"/>
    <w:rsid w:val="1F0DFCA6"/>
    <w:rsid w:val="1F100B97"/>
    <w:rsid w:val="1F164350"/>
    <w:rsid w:val="1F269CE6"/>
    <w:rsid w:val="1F2D9DDB"/>
    <w:rsid w:val="1F310184"/>
    <w:rsid w:val="1F3A1E53"/>
    <w:rsid w:val="1F499F3C"/>
    <w:rsid w:val="1F52960D"/>
    <w:rsid w:val="1F5597E3"/>
    <w:rsid w:val="1F5803BD"/>
    <w:rsid w:val="1F5AFA0B"/>
    <w:rsid w:val="1F62ADD8"/>
    <w:rsid w:val="1F6A786C"/>
    <w:rsid w:val="1F6E3F79"/>
    <w:rsid w:val="1F74C3B8"/>
    <w:rsid w:val="1F7BA541"/>
    <w:rsid w:val="1F9713AE"/>
    <w:rsid w:val="1FA6E057"/>
    <w:rsid w:val="1FA9E5CA"/>
    <w:rsid w:val="1FBE8F44"/>
    <w:rsid w:val="1FC17940"/>
    <w:rsid w:val="1FC57054"/>
    <w:rsid w:val="1FC776DE"/>
    <w:rsid w:val="1FCCBFEC"/>
    <w:rsid w:val="1FD18953"/>
    <w:rsid w:val="1FD36DBB"/>
    <w:rsid w:val="1FF18F42"/>
    <w:rsid w:val="1FF9DED5"/>
    <w:rsid w:val="1FFA5F70"/>
    <w:rsid w:val="1FFDB611"/>
    <w:rsid w:val="2002CE4B"/>
    <w:rsid w:val="20179198"/>
    <w:rsid w:val="20204E3E"/>
    <w:rsid w:val="202694EE"/>
    <w:rsid w:val="202B5001"/>
    <w:rsid w:val="20301A18"/>
    <w:rsid w:val="2032D5C1"/>
    <w:rsid w:val="2057C1B7"/>
    <w:rsid w:val="205A6F1A"/>
    <w:rsid w:val="205AE037"/>
    <w:rsid w:val="2066444F"/>
    <w:rsid w:val="207064C6"/>
    <w:rsid w:val="2075BBEF"/>
    <w:rsid w:val="207C6CB5"/>
    <w:rsid w:val="2093B266"/>
    <w:rsid w:val="20959DA8"/>
    <w:rsid w:val="20A4A887"/>
    <w:rsid w:val="20D96232"/>
    <w:rsid w:val="20DFE1B0"/>
    <w:rsid w:val="20E6448A"/>
    <w:rsid w:val="20ED81B2"/>
    <w:rsid w:val="20F010DA"/>
    <w:rsid w:val="20FE40F3"/>
    <w:rsid w:val="21049263"/>
    <w:rsid w:val="210A9F12"/>
    <w:rsid w:val="211AFCAE"/>
    <w:rsid w:val="211E5EC4"/>
    <w:rsid w:val="2123F879"/>
    <w:rsid w:val="212442F2"/>
    <w:rsid w:val="212C1051"/>
    <w:rsid w:val="2132DDA4"/>
    <w:rsid w:val="214553BA"/>
    <w:rsid w:val="214A1015"/>
    <w:rsid w:val="214FF011"/>
    <w:rsid w:val="215B4902"/>
    <w:rsid w:val="216CD3B5"/>
    <w:rsid w:val="21744357"/>
    <w:rsid w:val="2176F491"/>
    <w:rsid w:val="217B0774"/>
    <w:rsid w:val="217EFE6E"/>
    <w:rsid w:val="217F7508"/>
    <w:rsid w:val="21866F00"/>
    <w:rsid w:val="218BC4A9"/>
    <w:rsid w:val="218E2A9D"/>
    <w:rsid w:val="21912F3C"/>
    <w:rsid w:val="2198E9F8"/>
    <w:rsid w:val="21A72712"/>
    <w:rsid w:val="21B86BB0"/>
    <w:rsid w:val="21BB857C"/>
    <w:rsid w:val="21BD2078"/>
    <w:rsid w:val="21CB0A97"/>
    <w:rsid w:val="21D4DB7D"/>
    <w:rsid w:val="21E919B9"/>
    <w:rsid w:val="21EA98B6"/>
    <w:rsid w:val="21EF349B"/>
    <w:rsid w:val="21FE972B"/>
    <w:rsid w:val="2200EFEC"/>
    <w:rsid w:val="220D0CF8"/>
    <w:rsid w:val="2210AE95"/>
    <w:rsid w:val="221F52CC"/>
    <w:rsid w:val="22288BE3"/>
    <w:rsid w:val="222CE3AF"/>
    <w:rsid w:val="222D56F6"/>
    <w:rsid w:val="2233F95A"/>
    <w:rsid w:val="223D4053"/>
    <w:rsid w:val="225FAFA9"/>
    <w:rsid w:val="22626CD0"/>
    <w:rsid w:val="22654E72"/>
    <w:rsid w:val="2268C360"/>
    <w:rsid w:val="226A57B9"/>
    <w:rsid w:val="226C6FFA"/>
    <w:rsid w:val="2276CBB9"/>
    <w:rsid w:val="227CEF42"/>
    <w:rsid w:val="22830BB1"/>
    <w:rsid w:val="22888D06"/>
    <w:rsid w:val="228F5229"/>
    <w:rsid w:val="2294C665"/>
    <w:rsid w:val="229F30DB"/>
    <w:rsid w:val="22A41E6A"/>
    <w:rsid w:val="22ADC43A"/>
    <w:rsid w:val="22B11ECE"/>
    <w:rsid w:val="22C312DB"/>
    <w:rsid w:val="22D4352D"/>
    <w:rsid w:val="22D4CF36"/>
    <w:rsid w:val="22D6AEE1"/>
    <w:rsid w:val="22DD5740"/>
    <w:rsid w:val="22E0E85F"/>
    <w:rsid w:val="22F0628E"/>
    <w:rsid w:val="22F6B6CE"/>
    <w:rsid w:val="22F92A74"/>
    <w:rsid w:val="22FD3A32"/>
    <w:rsid w:val="2304B41B"/>
    <w:rsid w:val="230A049E"/>
    <w:rsid w:val="230C3E5C"/>
    <w:rsid w:val="23135976"/>
    <w:rsid w:val="23151C94"/>
    <w:rsid w:val="23164BD5"/>
    <w:rsid w:val="23173B42"/>
    <w:rsid w:val="2321182A"/>
    <w:rsid w:val="232309A3"/>
    <w:rsid w:val="232D8781"/>
    <w:rsid w:val="23364FDD"/>
    <w:rsid w:val="2338FF3E"/>
    <w:rsid w:val="234267EF"/>
    <w:rsid w:val="2344770E"/>
    <w:rsid w:val="2360CC23"/>
    <w:rsid w:val="2364FF66"/>
    <w:rsid w:val="236AD583"/>
    <w:rsid w:val="23752E0C"/>
    <w:rsid w:val="2379264B"/>
    <w:rsid w:val="2379662D"/>
    <w:rsid w:val="237DA0F4"/>
    <w:rsid w:val="2396439A"/>
    <w:rsid w:val="23975BB9"/>
    <w:rsid w:val="239C317C"/>
    <w:rsid w:val="23A55852"/>
    <w:rsid w:val="23AA4724"/>
    <w:rsid w:val="23B39983"/>
    <w:rsid w:val="23B973DA"/>
    <w:rsid w:val="23C3D4D6"/>
    <w:rsid w:val="23C6C61C"/>
    <w:rsid w:val="23D08A05"/>
    <w:rsid w:val="23D3A622"/>
    <w:rsid w:val="23E2FF61"/>
    <w:rsid w:val="23E4986E"/>
    <w:rsid w:val="23FB499B"/>
    <w:rsid w:val="24027560"/>
    <w:rsid w:val="24090BC9"/>
    <w:rsid w:val="240FA9BB"/>
    <w:rsid w:val="241DEB8F"/>
    <w:rsid w:val="24252825"/>
    <w:rsid w:val="242763A9"/>
    <w:rsid w:val="2431653C"/>
    <w:rsid w:val="243D5593"/>
    <w:rsid w:val="244D3AC2"/>
    <w:rsid w:val="244EFA80"/>
    <w:rsid w:val="244FEF3F"/>
    <w:rsid w:val="24596614"/>
    <w:rsid w:val="2459B30B"/>
    <w:rsid w:val="2471FD39"/>
    <w:rsid w:val="247C54F3"/>
    <w:rsid w:val="2491797E"/>
    <w:rsid w:val="249398EB"/>
    <w:rsid w:val="24A1F50E"/>
    <w:rsid w:val="24A2618F"/>
    <w:rsid w:val="24B0D832"/>
    <w:rsid w:val="24CE6920"/>
    <w:rsid w:val="24D486B1"/>
    <w:rsid w:val="24DAC1DB"/>
    <w:rsid w:val="24DDC85E"/>
    <w:rsid w:val="24EB3CD2"/>
    <w:rsid w:val="24ECE7F3"/>
    <w:rsid w:val="24F30F0E"/>
    <w:rsid w:val="24F797B4"/>
    <w:rsid w:val="25008B6A"/>
    <w:rsid w:val="2500B85D"/>
    <w:rsid w:val="2518EFB9"/>
    <w:rsid w:val="251A6A25"/>
    <w:rsid w:val="252671F0"/>
    <w:rsid w:val="2535411E"/>
    <w:rsid w:val="25387C2B"/>
    <w:rsid w:val="253B334D"/>
    <w:rsid w:val="25488727"/>
    <w:rsid w:val="254EAA27"/>
    <w:rsid w:val="254F30AC"/>
    <w:rsid w:val="254FA556"/>
    <w:rsid w:val="2555914D"/>
    <w:rsid w:val="255A0A48"/>
    <w:rsid w:val="25630377"/>
    <w:rsid w:val="25695080"/>
    <w:rsid w:val="2571A77F"/>
    <w:rsid w:val="25731EA4"/>
    <w:rsid w:val="2576E659"/>
    <w:rsid w:val="257C88B2"/>
    <w:rsid w:val="257D839C"/>
    <w:rsid w:val="258A8229"/>
    <w:rsid w:val="259AD921"/>
    <w:rsid w:val="25A429CC"/>
    <w:rsid w:val="25A8AE8D"/>
    <w:rsid w:val="25AF4E68"/>
    <w:rsid w:val="25B6BD63"/>
    <w:rsid w:val="25BEE324"/>
    <w:rsid w:val="25BF84A3"/>
    <w:rsid w:val="25C5BCD6"/>
    <w:rsid w:val="25CB1198"/>
    <w:rsid w:val="25CD8435"/>
    <w:rsid w:val="25E8EF59"/>
    <w:rsid w:val="25EF011E"/>
    <w:rsid w:val="25EF612A"/>
    <w:rsid w:val="2603C60E"/>
    <w:rsid w:val="2607A1DC"/>
    <w:rsid w:val="2609CA34"/>
    <w:rsid w:val="26102DF9"/>
    <w:rsid w:val="2621FF54"/>
    <w:rsid w:val="262D93D2"/>
    <w:rsid w:val="2637D160"/>
    <w:rsid w:val="26398F6C"/>
    <w:rsid w:val="263DED5B"/>
    <w:rsid w:val="264384A3"/>
    <w:rsid w:val="2646F05E"/>
    <w:rsid w:val="26595ED0"/>
    <w:rsid w:val="265A0865"/>
    <w:rsid w:val="265B723A"/>
    <w:rsid w:val="2667689C"/>
    <w:rsid w:val="2668A071"/>
    <w:rsid w:val="266A733B"/>
    <w:rsid w:val="2679414B"/>
    <w:rsid w:val="267AE70B"/>
    <w:rsid w:val="2685E15D"/>
    <w:rsid w:val="2688371F"/>
    <w:rsid w:val="26D4B013"/>
    <w:rsid w:val="26D5A135"/>
    <w:rsid w:val="26D8C865"/>
    <w:rsid w:val="26D8D790"/>
    <w:rsid w:val="26DDBD71"/>
    <w:rsid w:val="26E0BB7C"/>
    <w:rsid w:val="26F59404"/>
    <w:rsid w:val="26F6A100"/>
    <w:rsid w:val="26F82561"/>
    <w:rsid w:val="26F8EFA6"/>
    <w:rsid w:val="270FB48E"/>
    <w:rsid w:val="271B0E61"/>
    <w:rsid w:val="271DB6C9"/>
    <w:rsid w:val="271E3A6E"/>
    <w:rsid w:val="272645F9"/>
    <w:rsid w:val="272873E8"/>
    <w:rsid w:val="2737D4F3"/>
    <w:rsid w:val="273B3278"/>
    <w:rsid w:val="274DD4CC"/>
    <w:rsid w:val="27520429"/>
    <w:rsid w:val="27594BAC"/>
    <w:rsid w:val="275C5A9C"/>
    <w:rsid w:val="275D1A7B"/>
    <w:rsid w:val="2760949D"/>
    <w:rsid w:val="2778E7ED"/>
    <w:rsid w:val="278B116A"/>
    <w:rsid w:val="27918809"/>
    <w:rsid w:val="2792F5AA"/>
    <w:rsid w:val="2793030D"/>
    <w:rsid w:val="279A1A93"/>
    <w:rsid w:val="27A241E8"/>
    <w:rsid w:val="27A9BC83"/>
    <w:rsid w:val="27B3C847"/>
    <w:rsid w:val="27B69ED2"/>
    <w:rsid w:val="27BB9428"/>
    <w:rsid w:val="27DD5C26"/>
    <w:rsid w:val="27E3D526"/>
    <w:rsid w:val="27E7B2E2"/>
    <w:rsid w:val="27EE3EE5"/>
    <w:rsid w:val="27F56247"/>
    <w:rsid w:val="27F72369"/>
    <w:rsid w:val="27FC09BD"/>
    <w:rsid w:val="27FCE8BA"/>
    <w:rsid w:val="280A1887"/>
    <w:rsid w:val="280C2BF0"/>
    <w:rsid w:val="280D870A"/>
    <w:rsid w:val="28171F55"/>
    <w:rsid w:val="283BEA37"/>
    <w:rsid w:val="283CD0B8"/>
    <w:rsid w:val="283CD2A5"/>
    <w:rsid w:val="284F7905"/>
    <w:rsid w:val="285973E6"/>
    <w:rsid w:val="285E2FFE"/>
    <w:rsid w:val="286918A9"/>
    <w:rsid w:val="28771438"/>
    <w:rsid w:val="287A58EC"/>
    <w:rsid w:val="2883A66D"/>
    <w:rsid w:val="2897875F"/>
    <w:rsid w:val="2899D8FE"/>
    <w:rsid w:val="28A232ED"/>
    <w:rsid w:val="28ABB170"/>
    <w:rsid w:val="28AFB6FE"/>
    <w:rsid w:val="28B3434C"/>
    <w:rsid w:val="28D20C3F"/>
    <w:rsid w:val="28E6B4D2"/>
    <w:rsid w:val="28EA962D"/>
    <w:rsid w:val="28EEDE44"/>
    <w:rsid w:val="28F8F676"/>
    <w:rsid w:val="28F9A4A9"/>
    <w:rsid w:val="28FCC98F"/>
    <w:rsid w:val="29064AD7"/>
    <w:rsid w:val="290C64DC"/>
    <w:rsid w:val="2915988A"/>
    <w:rsid w:val="2915CC95"/>
    <w:rsid w:val="29184BC7"/>
    <w:rsid w:val="291AFB7F"/>
    <w:rsid w:val="291F8EEA"/>
    <w:rsid w:val="29204251"/>
    <w:rsid w:val="292CBC89"/>
    <w:rsid w:val="292EE406"/>
    <w:rsid w:val="293019DB"/>
    <w:rsid w:val="293048DB"/>
    <w:rsid w:val="2936974E"/>
    <w:rsid w:val="29371CFF"/>
    <w:rsid w:val="29427638"/>
    <w:rsid w:val="2944025C"/>
    <w:rsid w:val="2948D01F"/>
    <w:rsid w:val="29559B71"/>
    <w:rsid w:val="296CD43A"/>
    <w:rsid w:val="296E44B0"/>
    <w:rsid w:val="29714BD9"/>
    <w:rsid w:val="29729DF4"/>
    <w:rsid w:val="2977E9EF"/>
    <w:rsid w:val="297D7226"/>
    <w:rsid w:val="29882412"/>
    <w:rsid w:val="298AF45F"/>
    <w:rsid w:val="298CE755"/>
    <w:rsid w:val="298FD5DE"/>
    <w:rsid w:val="299D0227"/>
    <w:rsid w:val="29AEE682"/>
    <w:rsid w:val="29B4C154"/>
    <w:rsid w:val="29BF00CA"/>
    <w:rsid w:val="29C0D8D3"/>
    <w:rsid w:val="29D1C201"/>
    <w:rsid w:val="29F80BD2"/>
    <w:rsid w:val="2A028372"/>
    <w:rsid w:val="2A15867E"/>
    <w:rsid w:val="2A19D428"/>
    <w:rsid w:val="2A1C7730"/>
    <w:rsid w:val="2A216B1B"/>
    <w:rsid w:val="2A2F9F09"/>
    <w:rsid w:val="2A35B866"/>
    <w:rsid w:val="2A3C17C5"/>
    <w:rsid w:val="2A41217F"/>
    <w:rsid w:val="2A41CD5B"/>
    <w:rsid w:val="2A440E13"/>
    <w:rsid w:val="2A507346"/>
    <w:rsid w:val="2A524D99"/>
    <w:rsid w:val="2A53C70B"/>
    <w:rsid w:val="2A6A88C8"/>
    <w:rsid w:val="2A6D6C00"/>
    <w:rsid w:val="2A6F9915"/>
    <w:rsid w:val="2A73706A"/>
    <w:rsid w:val="2A73FBD1"/>
    <w:rsid w:val="2A823B86"/>
    <w:rsid w:val="2A894E7E"/>
    <w:rsid w:val="2A98347A"/>
    <w:rsid w:val="2A9B7BC1"/>
    <w:rsid w:val="2AA11959"/>
    <w:rsid w:val="2AB4A872"/>
    <w:rsid w:val="2AB6101F"/>
    <w:rsid w:val="2AB68354"/>
    <w:rsid w:val="2ABDE882"/>
    <w:rsid w:val="2AC2BA3E"/>
    <w:rsid w:val="2ADA2F19"/>
    <w:rsid w:val="2AE9979C"/>
    <w:rsid w:val="2AE9CAB8"/>
    <w:rsid w:val="2AEC4F24"/>
    <w:rsid w:val="2AF8E088"/>
    <w:rsid w:val="2AFBEB3F"/>
    <w:rsid w:val="2B036B08"/>
    <w:rsid w:val="2B0AB073"/>
    <w:rsid w:val="2B198B9B"/>
    <w:rsid w:val="2B19AE3D"/>
    <w:rsid w:val="2B203888"/>
    <w:rsid w:val="2B222096"/>
    <w:rsid w:val="2B31902C"/>
    <w:rsid w:val="2B3E5AB0"/>
    <w:rsid w:val="2B48907B"/>
    <w:rsid w:val="2B53C5B4"/>
    <w:rsid w:val="2B64B0AE"/>
    <w:rsid w:val="2B721896"/>
    <w:rsid w:val="2B76F10F"/>
    <w:rsid w:val="2BB1B10B"/>
    <w:rsid w:val="2BB7A149"/>
    <w:rsid w:val="2BB89373"/>
    <w:rsid w:val="2BDB285C"/>
    <w:rsid w:val="2BDE4431"/>
    <w:rsid w:val="2BE6195E"/>
    <w:rsid w:val="2BEFB780"/>
    <w:rsid w:val="2BF0CF6E"/>
    <w:rsid w:val="2C0191A2"/>
    <w:rsid w:val="2C01EF62"/>
    <w:rsid w:val="2C071CDF"/>
    <w:rsid w:val="2C0EA5B9"/>
    <w:rsid w:val="2C16A8E6"/>
    <w:rsid w:val="2C21268B"/>
    <w:rsid w:val="2C2CD0C9"/>
    <w:rsid w:val="2C40D94D"/>
    <w:rsid w:val="2C4FD6DE"/>
    <w:rsid w:val="2C55A9E2"/>
    <w:rsid w:val="2C577A5A"/>
    <w:rsid w:val="2C5F1DBB"/>
    <w:rsid w:val="2C6080E7"/>
    <w:rsid w:val="2C62B535"/>
    <w:rsid w:val="2C6686DB"/>
    <w:rsid w:val="2C66ADF6"/>
    <w:rsid w:val="2C6C8AC4"/>
    <w:rsid w:val="2C7260EA"/>
    <w:rsid w:val="2C7BF84D"/>
    <w:rsid w:val="2CABD9B3"/>
    <w:rsid w:val="2CBC4D4B"/>
    <w:rsid w:val="2CBCF0CE"/>
    <w:rsid w:val="2CC3706A"/>
    <w:rsid w:val="2CC5F186"/>
    <w:rsid w:val="2CC95AA9"/>
    <w:rsid w:val="2CD875FD"/>
    <w:rsid w:val="2CD9ED29"/>
    <w:rsid w:val="2CED20C8"/>
    <w:rsid w:val="2CEE3E02"/>
    <w:rsid w:val="2CF44860"/>
    <w:rsid w:val="2CF62AAB"/>
    <w:rsid w:val="2CFA9808"/>
    <w:rsid w:val="2CFF1CCD"/>
    <w:rsid w:val="2D036237"/>
    <w:rsid w:val="2D0F8946"/>
    <w:rsid w:val="2D15A470"/>
    <w:rsid w:val="2D1E6054"/>
    <w:rsid w:val="2D2DAC7D"/>
    <w:rsid w:val="2D2E04C4"/>
    <w:rsid w:val="2D2E9F6D"/>
    <w:rsid w:val="2D32E8EA"/>
    <w:rsid w:val="2D3F0841"/>
    <w:rsid w:val="2D49F346"/>
    <w:rsid w:val="2D4A8D26"/>
    <w:rsid w:val="2D4BBD17"/>
    <w:rsid w:val="2D4CC544"/>
    <w:rsid w:val="2D5C7854"/>
    <w:rsid w:val="2D5D2270"/>
    <w:rsid w:val="2D65480C"/>
    <w:rsid w:val="2D683398"/>
    <w:rsid w:val="2D721CF8"/>
    <w:rsid w:val="2D7AF8FE"/>
    <w:rsid w:val="2D822F83"/>
    <w:rsid w:val="2D8237E7"/>
    <w:rsid w:val="2D88F5DF"/>
    <w:rsid w:val="2D9274CA"/>
    <w:rsid w:val="2D939B2D"/>
    <w:rsid w:val="2D93F0A4"/>
    <w:rsid w:val="2D9407D1"/>
    <w:rsid w:val="2D997E8A"/>
    <w:rsid w:val="2D9A90A6"/>
    <w:rsid w:val="2D9B6B56"/>
    <w:rsid w:val="2D9D440D"/>
    <w:rsid w:val="2D9FDA08"/>
    <w:rsid w:val="2DA9DDCB"/>
    <w:rsid w:val="2DB76F15"/>
    <w:rsid w:val="2DD185F3"/>
    <w:rsid w:val="2DD93D7C"/>
    <w:rsid w:val="2DF2DD35"/>
    <w:rsid w:val="2DFA82D3"/>
    <w:rsid w:val="2DFD00C0"/>
    <w:rsid w:val="2E05D54E"/>
    <w:rsid w:val="2E070651"/>
    <w:rsid w:val="2E0C01E6"/>
    <w:rsid w:val="2E15D8F5"/>
    <w:rsid w:val="2E2858D2"/>
    <w:rsid w:val="2E376732"/>
    <w:rsid w:val="2E3D3709"/>
    <w:rsid w:val="2E3EB862"/>
    <w:rsid w:val="2E468D89"/>
    <w:rsid w:val="2E4DC129"/>
    <w:rsid w:val="2E501F08"/>
    <w:rsid w:val="2E5121D1"/>
    <w:rsid w:val="2E5989E2"/>
    <w:rsid w:val="2E5B73C4"/>
    <w:rsid w:val="2E64B282"/>
    <w:rsid w:val="2E6826DF"/>
    <w:rsid w:val="2E6DA706"/>
    <w:rsid w:val="2E79F6BD"/>
    <w:rsid w:val="2E852577"/>
    <w:rsid w:val="2E87AF87"/>
    <w:rsid w:val="2E8D6894"/>
    <w:rsid w:val="2E936BD2"/>
    <w:rsid w:val="2E9CD3D8"/>
    <w:rsid w:val="2EA5178C"/>
    <w:rsid w:val="2EA7A9C1"/>
    <w:rsid w:val="2EAB876A"/>
    <w:rsid w:val="2EB8AEA9"/>
    <w:rsid w:val="2EBF76E0"/>
    <w:rsid w:val="2ED6E4F2"/>
    <w:rsid w:val="2EE60BB0"/>
    <w:rsid w:val="2EEEFC8E"/>
    <w:rsid w:val="2EEF7768"/>
    <w:rsid w:val="2EFAD324"/>
    <w:rsid w:val="2EFB5A81"/>
    <w:rsid w:val="2EFF1F5E"/>
    <w:rsid w:val="2F116671"/>
    <w:rsid w:val="2F18BA51"/>
    <w:rsid w:val="2F1CB4B8"/>
    <w:rsid w:val="2F1E3C10"/>
    <w:rsid w:val="2F21E433"/>
    <w:rsid w:val="2F29E53C"/>
    <w:rsid w:val="2F3EB4B9"/>
    <w:rsid w:val="2F4D3BB9"/>
    <w:rsid w:val="2F562475"/>
    <w:rsid w:val="2F591F17"/>
    <w:rsid w:val="2F5B6023"/>
    <w:rsid w:val="2F6403B4"/>
    <w:rsid w:val="2F68A319"/>
    <w:rsid w:val="2F700E50"/>
    <w:rsid w:val="2F7CEF81"/>
    <w:rsid w:val="2F815AD7"/>
    <w:rsid w:val="2F95FC57"/>
    <w:rsid w:val="2F9EB2A8"/>
    <w:rsid w:val="2FA29FEE"/>
    <w:rsid w:val="2FA59282"/>
    <w:rsid w:val="2FB75790"/>
    <w:rsid w:val="2FCE7D6B"/>
    <w:rsid w:val="2FD64EBC"/>
    <w:rsid w:val="2FD8EF61"/>
    <w:rsid w:val="2FE4E3BB"/>
    <w:rsid w:val="2FE7E898"/>
    <w:rsid w:val="2FE857D5"/>
    <w:rsid w:val="2FE9B007"/>
    <w:rsid w:val="2FFA8FCB"/>
    <w:rsid w:val="2FFE088B"/>
    <w:rsid w:val="3003F4BB"/>
    <w:rsid w:val="3007EA9D"/>
    <w:rsid w:val="300866E2"/>
    <w:rsid w:val="3012863A"/>
    <w:rsid w:val="301E1ED3"/>
    <w:rsid w:val="30225EF7"/>
    <w:rsid w:val="302C87B5"/>
    <w:rsid w:val="3032FEE6"/>
    <w:rsid w:val="303F880C"/>
    <w:rsid w:val="30447AC8"/>
    <w:rsid w:val="30455CAF"/>
    <w:rsid w:val="3071555C"/>
    <w:rsid w:val="307552DF"/>
    <w:rsid w:val="30872963"/>
    <w:rsid w:val="308A5F36"/>
    <w:rsid w:val="3090BF84"/>
    <w:rsid w:val="309C90DD"/>
    <w:rsid w:val="30CFE859"/>
    <w:rsid w:val="30D8A11E"/>
    <w:rsid w:val="30EA7015"/>
    <w:rsid w:val="30EC2574"/>
    <w:rsid w:val="30ECF80D"/>
    <w:rsid w:val="30F074D7"/>
    <w:rsid w:val="30F7918E"/>
    <w:rsid w:val="30FD7D98"/>
    <w:rsid w:val="310655C6"/>
    <w:rsid w:val="31077AEF"/>
    <w:rsid w:val="310C183B"/>
    <w:rsid w:val="3121FED7"/>
    <w:rsid w:val="31275583"/>
    <w:rsid w:val="312E34E2"/>
    <w:rsid w:val="313513F3"/>
    <w:rsid w:val="313752E5"/>
    <w:rsid w:val="313B774A"/>
    <w:rsid w:val="313C60A0"/>
    <w:rsid w:val="313DB478"/>
    <w:rsid w:val="31416F6F"/>
    <w:rsid w:val="3150CBF9"/>
    <w:rsid w:val="3154776E"/>
    <w:rsid w:val="3157792C"/>
    <w:rsid w:val="31693D1B"/>
    <w:rsid w:val="3181300A"/>
    <w:rsid w:val="3182B36E"/>
    <w:rsid w:val="318CA966"/>
    <w:rsid w:val="319BC43C"/>
    <w:rsid w:val="31A0ED03"/>
    <w:rsid w:val="31AFA314"/>
    <w:rsid w:val="31B7C457"/>
    <w:rsid w:val="31C024EB"/>
    <w:rsid w:val="31C4676E"/>
    <w:rsid w:val="31D1AFF7"/>
    <w:rsid w:val="31DAE409"/>
    <w:rsid w:val="31EE7BD9"/>
    <w:rsid w:val="31FB5530"/>
    <w:rsid w:val="31FC17DC"/>
    <w:rsid w:val="31FDDA35"/>
    <w:rsid w:val="32032C20"/>
    <w:rsid w:val="3208508D"/>
    <w:rsid w:val="3209DFA7"/>
    <w:rsid w:val="320FEAD3"/>
    <w:rsid w:val="32143260"/>
    <w:rsid w:val="3214E238"/>
    <w:rsid w:val="323332C0"/>
    <w:rsid w:val="32354BA3"/>
    <w:rsid w:val="3239F22F"/>
    <w:rsid w:val="323A207F"/>
    <w:rsid w:val="324B80AC"/>
    <w:rsid w:val="324BAAA7"/>
    <w:rsid w:val="324C5203"/>
    <w:rsid w:val="3250B2C3"/>
    <w:rsid w:val="3252CCFA"/>
    <w:rsid w:val="325DF690"/>
    <w:rsid w:val="325FA480"/>
    <w:rsid w:val="326035B3"/>
    <w:rsid w:val="32663B78"/>
    <w:rsid w:val="3269F236"/>
    <w:rsid w:val="32743BD0"/>
    <w:rsid w:val="32770D54"/>
    <w:rsid w:val="32849E3D"/>
    <w:rsid w:val="328F4A82"/>
    <w:rsid w:val="3291F172"/>
    <w:rsid w:val="329DD99A"/>
    <w:rsid w:val="32A2E02F"/>
    <w:rsid w:val="32AA1AC1"/>
    <w:rsid w:val="32B5460B"/>
    <w:rsid w:val="32BAA5ED"/>
    <w:rsid w:val="32CC95F9"/>
    <w:rsid w:val="32CDF599"/>
    <w:rsid w:val="32E55826"/>
    <w:rsid w:val="32F7BECC"/>
    <w:rsid w:val="32F8A22E"/>
    <w:rsid w:val="32FAABF3"/>
    <w:rsid w:val="32FBA3CE"/>
    <w:rsid w:val="33019B87"/>
    <w:rsid w:val="3305BEEC"/>
    <w:rsid w:val="33122A61"/>
    <w:rsid w:val="33147DA1"/>
    <w:rsid w:val="33178ED5"/>
    <w:rsid w:val="331B09A3"/>
    <w:rsid w:val="332ABFDD"/>
    <w:rsid w:val="332B03FC"/>
    <w:rsid w:val="332BC603"/>
    <w:rsid w:val="333AA5FD"/>
    <w:rsid w:val="335A6E41"/>
    <w:rsid w:val="335DF768"/>
    <w:rsid w:val="33609951"/>
    <w:rsid w:val="33657CC5"/>
    <w:rsid w:val="337CCF30"/>
    <w:rsid w:val="33813723"/>
    <w:rsid w:val="338457BC"/>
    <w:rsid w:val="338787EF"/>
    <w:rsid w:val="338A375A"/>
    <w:rsid w:val="338DC323"/>
    <w:rsid w:val="3390AF91"/>
    <w:rsid w:val="33952E7B"/>
    <w:rsid w:val="33A17629"/>
    <w:rsid w:val="33A3061D"/>
    <w:rsid w:val="33AC6AF7"/>
    <w:rsid w:val="33BC68F6"/>
    <w:rsid w:val="33D0666B"/>
    <w:rsid w:val="33D1C286"/>
    <w:rsid w:val="33D241D6"/>
    <w:rsid w:val="33D60D81"/>
    <w:rsid w:val="33DA3C67"/>
    <w:rsid w:val="33DD275C"/>
    <w:rsid w:val="33E6E213"/>
    <w:rsid w:val="33E9C1F6"/>
    <w:rsid w:val="33ED82FC"/>
    <w:rsid w:val="33F6C7F0"/>
    <w:rsid w:val="34017045"/>
    <w:rsid w:val="34017AB9"/>
    <w:rsid w:val="3402C7AA"/>
    <w:rsid w:val="3408326C"/>
    <w:rsid w:val="340913F9"/>
    <w:rsid w:val="34177BC4"/>
    <w:rsid w:val="341A3E33"/>
    <w:rsid w:val="3422020F"/>
    <w:rsid w:val="3426A2E3"/>
    <w:rsid w:val="3428A17A"/>
    <w:rsid w:val="3433C4DA"/>
    <w:rsid w:val="34348D12"/>
    <w:rsid w:val="3436A46E"/>
    <w:rsid w:val="34376FCF"/>
    <w:rsid w:val="343BE14E"/>
    <w:rsid w:val="343F4D9A"/>
    <w:rsid w:val="3446E863"/>
    <w:rsid w:val="344AE585"/>
    <w:rsid w:val="344D00BB"/>
    <w:rsid w:val="344E6811"/>
    <w:rsid w:val="345ECA59"/>
    <w:rsid w:val="346DC37D"/>
    <w:rsid w:val="34722CA1"/>
    <w:rsid w:val="348910AA"/>
    <w:rsid w:val="349CEBE9"/>
    <w:rsid w:val="349DCC5D"/>
    <w:rsid w:val="34A699AB"/>
    <w:rsid w:val="34B880B1"/>
    <w:rsid w:val="34BB6C6C"/>
    <w:rsid w:val="34C12EAC"/>
    <w:rsid w:val="34C405E7"/>
    <w:rsid w:val="34C6303D"/>
    <w:rsid w:val="34C6AF6D"/>
    <w:rsid w:val="34CA3E4F"/>
    <w:rsid w:val="34CAEE43"/>
    <w:rsid w:val="34CE47D6"/>
    <w:rsid w:val="34DFC104"/>
    <w:rsid w:val="34E44EE1"/>
    <w:rsid w:val="34FEF3B6"/>
    <w:rsid w:val="351BE32C"/>
    <w:rsid w:val="351CB8F4"/>
    <w:rsid w:val="352D1239"/>
    <w:rsid w:val="3535EC1D"/>
    <w:rsid w:val="3539D329"/>
    <w:rsid w:val="3541D9AF"/>
    <w:rsid w:val="35454BE3"/>
    <w:rsid w:val="354E3006"/>
    <w:rsid w:val="355285A2"/>
    <w:rsid w:val="3554B012"/>
    <w:rsid w:val="3555E045"/>
    <w:rsid w:val="355728C9"/>
    <w:rsid w:val="35596508"/>
    <w:rsid w:val="357A0AC6"/>
    <w:rsid w:val="3582C3C0"/>
    <w:rsid w:val="358939EC"/>
    <w:rsid w:val="35926A2E"/>
    <w:rsid w:val="35B0B0C4"/>
    <w:rsid w:val="35B7499B"/>
    <w:rsid w:val="35C4FD3D"/>
    <w:rsid w:val="35CE1880"/>
    <w:rsid w:val="35D073E3"/>
    <w:rsid w:val="35DD14B8"/>
    <w:rsid w:val="35DE38BF"/>
    <w:rsid w:val="35E4F8A7"/>
    <w:rsid w:val="35F46D08"/>
    <w:rsid w:val="35F7B973"/>
    <w:rsid w:val="36030370"/>
    <w:rsid w:val="3607D7F4"/>
    <w:rsid w:val="360C8CDE"/>
    <w:rsid w:val="3613400A"/>
    <w:rsid w:val="3619A0D7"/>
    <w:rsid w:val="36338A1D"/>
    <w:rsid w:val="3637FB66"/>
    <w:rsid w:val="3640AAE2"/>
    <w:rsid w:val="3649747E"/>
    <w:rsid w:val="36624498"/>
    <w:rsid w:val="366273AC"/>
    <w:rsid w:val="3664492F"/>
    <w:rsid w:val="36675DA6"/>
    <w:rsid w:val="3667CBBC"/>
    <w:rsid w:val="36694547"/>
    <w:rsid w:val="366F8C83"/>
    <w:rsid w:val="36835438"/>
    <w:rsid w:val="3686E430"/>
    <w:rsid w:val="368B87A3"/>
    <w:rsid w:val="36984E77"/>
    <w:rsid w:val="36A19D61"/>
    <w:rsid w:val="36AF4862"/>
    <w:rsid w:val="36B3D3E8"/>
    <w:rsid w:val="36B4777D"/>
    <w:rsid w:val="36B79DFD"/>
    <w:rsid w:val="36C6FEE1"/>
    <w:rsid w:val="36CB233F"/>
    <w:rsid w:val="36CDB1CC"/>
    <w:rsid w:val="36CF97BE"/>
    <w:rsid w:val="36E86F06"/>
    <w:rsid w:val="36E99A8D"/>
    <w:rsid w:val="37030038"/>
    <w:rsid w:val="370533A5"/>
    <w:rsid w:val="370F3071"/>
    <w:rsid w:val="37134467"/>
    <w:rsid w:val="3716A01C"/>
    <w:rsid w:val="371816E3"/>
    <w:rsid w:val="37353431"/>
    <w:rsid w:val="373BAB10"/>
    <w:rsid w:val="37452A62"/>
    <w:rsid w:val="3759D3C1"/>
    <w:rsid w:val="376788CC"/>
    <w:rsid w:val="3777CFE4"/>
    <w:rsid w:val="3780B23B"/>
    <w:rsid w:val="3786004E"/>
    <w:rsid w:val="378614E3"/>
    <w:rsid w:val="378A01FC"/>
    <w:rsid w:val="378C1CDD"/>
    <w:rsid w:val="3792DB75"/>
    <w:rsid w:val="379A715D"/>
    <w:rsid w:val="379FC9A5"/>
    <w:rsid w:val="37A4AB43"/>
    <w:rsid w:val="37A6DEC4"/>
    <w:rsid w:val="37A892AA"/>
    <w:rsid w:val="37ADE0EB"/>
    <w:rsid w:val="37B614D7"/>
    <w:rsid w:val="37BC23B7"/>
    <w:rsid w:val="37BCD484"/>
    <w:rsid w:val="37C6A54D"/>
    <w:rsid w:val="37CCB05E"/>
    <w:rsid w:val="37CE921D"/>
    <w:rsid w:val="37E42F69"/>
    <w:rsid w:val="37E9013A"/>
    <w:rsid w:val="37F3FE3E"/>
    <w:rsid w:val="37F4BA3F"/>
    <w:rsid w:val="37FB79C8"/>
    <w:rsid w:val="3802E019"/>
    <w:rsid w:val="380347D6"/>
    <w:rsid w:val="3820CCD8"/>
    <w:rsid w:val="3831C06E"/>
    <w:rsid w:val="3846C94F"/>
    <w:rsid w:val="3847415A"/>
    <w:rsid w:val="384D5514"/>
    <w:rsid w:val="386D373C"/>
    <w:rsid w:val="3873B3CF"/>
    <w:rsid w:val="387CFBE2"/>
    <w:rsid w:val="38ADA9D4"/>
    <w:rsid w:val="38BA4133"/>
    <w:rsid w:val="38C244DC"/>
    <w:rsid w:val="38C83176"/>
    <w:rsid w:val="38CD94DE"/>
    <w:rsid w:val="38D2EE61"/>
    <w:rsid w:val="38D95E9F"/>
    <w:rsid w:val="38DC3AEA"/>
    <w:rsid w:val="38DDF387"/>
    <w:rsid w:val="38DE5DC8"/>
    <w:rsid w:val="38EC8928"/>
    <w:rsid w:val="38FBAD76"/>
    <w:rsid w:val="38FD1EF4"/>
    <w:rsid w:val="390F8EF0"/>
    <w:rsid w:val="391B2466"/>
    <w:rsid w:val="392679C3"/>
    <w:rsid w:val="392CFCBA"/>
    <w:rsid w:val="393D7F9E"/>
    <w:rsid w:val="3941EF07"/>
    <w:rsid w:val="395879F2"/>
    <w:rsid w:val="39614669"/>
    <w:rsid w:val="3962CCB4"/>
    <w:rsid w:val="39713C06"/>
    <w:rsid w:val="39769146"/>
    <w:rsid w:val="397A32A2"/>
    <w:rsid w:val="3980D370"/>
    <w:rsid w:val="3982402B"/>
    <w:rsid w:val="39866216"/>
    <w:rsid w:val="3989BF3C"/>
    <w:rsid w:val="39938B5F"/>
    <w:rsid w:val="3994131F"/>
    <w:rsid w:val="39AC4481"/>
    <w:rsid w:val="39BB8FD4"/>
    <w:rsid w:val="39BD29A7"/>
    <w:rsid w:val="39BD5F0D"/>
    <w:rsid w:val="39C35CD0"/>
    <w:rsid w:val="39C4FFA3"/>
    <w:rsid w:val="39CCA6C1"/>
    <w:rsid w:val="39D4CCBB"/>
    <w:rsid w:val="39D5CC1A"/>
    <w:rsid w:val="39D7C7AC"/>
    <w:rsid w:val="39D87960"/>
    <w:rsid w:val="39DD63AC"/>
    <w:rsid w:val="39F288CD"/>
    <w:rsid w:val="39F334FB"/>
    <w:rsid w:val="39F788B4"/>
    <w:rsid w:val="39F8B06E"/>
    <w:rsid w:val="39FF28CA"/>
    <w:rsid w:val="3A061A2A"/>
    <w:rsid w:val="3A10EF37"/>
    <w:rsid w:val="3A15081C"/>
    <w:rsid w:val="3A15CBEF"/>
    <w:rsid w:val="3A2A4FE7"/>
    <w:rsid w:val="3A396BE9"/>
    <w:rsid w:val="3A4705C3"/>
    <w:rsid w:val="3A48A505"/>
    <w:rsid w:val="3A5624DA"/>
    <w:rsid w:val="3A5A1509"/>
    <w:rsid w:val="3A5A717E"/>
    <w:rsid w:val="3A67B3FC"/>
    <w:rsid w:val="3A6B73B9"/>
    <w:rsid w:val="3A7382C7"/>
    <w:rsid w:val="3A84568E"/>
    <w:rsid w:val="3A86DE97"/>
    <w:rsid w:val="3A91B51B"/>
    <w:rsid w:val="3A95D133"/>
    <w:rsid w:val="3A9C4F33"/>
    <w:rsid w:val="3AA178F4"/>
    <w:rsid w:val="3AB19E58"/>
    <w:rsid w:val="3AB45AE7"/>
    <w:rsid w:val="3AB5772B"/>
    <w:rsid w:val="3AC1988F"/>
    <w:rsid w:val="3AC91340"/>
    <w:rsid w:val="3AD8D3D2"/>
    <w:rsid w:val="3ADB1639"/>
    <w:rsid w:val="3AE045D0"/>
    <w:rsid w:val="3AE68587"/>
    <w:rsid w:val="3AE9D72C"/>
    <w:rsid w:val="3AEE96B8"/>
    <w:rsid w:val="3B02BBE5"/>
    <w:rsid w:val="3B0FB8D2"/>
    <w:rsid w:val="3B1BFE8D"/>
    <w:rsid w:val="3B1FD3BA"/>
    <w:rsid w:val="3B350AD4"/>
    <w:rsid w:val="3B35696D"/>
    <w:rsid w:val="3B422C75"/>
    <w:rsid w:val="3B4753F0"/>
    <w:rsid w:val="3B47A58F"/>
    <w:rsid w:val="3B48A973"/>
    <w:rsid w:val="3B5D486F"/>
    <w:rsid w:val="3B60BE70"/>
    <w:rsid w:val="3B745B1D"/>
    <w:rsid w:val="3B7BDF74"/>
    <w:rsid w:val="3B7CBF57"/>
    <w:rsid w:val="3B818D58"/>
    <w:rsid w:val="3B89CB6F"/>
    <w:rsid w:val="3B8DB1BC"/>
    <w:rsid w:val="3B99EBCC"/>
    <w:rsid w:val="3BA13E62"/>
    <w:rsid w:val="3BA5BA42"/>
    <w:rsid w:val="3BC39C5D"/>
    <w:rsid w:val="3BC544F9"/>
    <w:rsid w:val="3BC9C7D2"/>
    <w:rsid w:val="3BCDF299"/>
    <w:rsid w:val="3BD22545"/>
    <w:rsid w:val="3BD63D4C"/>
    <w:rsid w:val="3BDB46AC"/>
    <w:rsid w:val="3BDC8AEA"/>
    <w:rsid w:val="3BDD9944"/>
    <w:rsid w:val="3BE5973F"/>
    <w:rsid w:val="3BF21256"/>
    <w:rsid w:val="3BFFE8DE"/>
    <w:rsid w:val="3C0DC2F0"/>
    <w:rsid w:val="3C10A11B"/>
    <w:rsid w:val="3C12945B"/>
    <w:rsid w:val="3C1672CE"/>
    <w:rsid w:val="3C2203F2"/>
    <w:rsid w:val="3C285030"/>
    <w:rsid w:val="3C355680"/>
    <w:rsid w:val="3C3C008B"/>
    <w:rsid w:val="3C3D8B1E"/>
    <w:rsid w:val="3C494150"/>
    <w:rsid w:val="3C5238F3"/>
    <w:rsid w:val="3C58DA2E"/>
    <w:rsid w:val="3C69C6F0"/>
    <w:rsid w:val="3C70DC66"/>
    <w:rsid w:val="3C72763D"/>
    <w:rsid w:val="3C7B7E9D"/>
    <w:rsid w:val="3C827C2A"/>
    <w:rsid w:val="3C8C4177"/>
    <w:rsid w:val="3CA449FC"/>
    <w:rsid w:val="3CABED1E"/>
    <w:rsid w:val="3CAF637D"/>
    <w:rsid w:val="3CB2F69F"/>
    <w:rsid w:val="3CB6AAE0"/>
    <w:rsid w:val="3CB9C3B3"/>
    <w:rsid w:val="3CC0DDAB"/>
    <w:rsid w:val="3CD18583"/>
    <w:rsid w:val="3CFD77B1"/>
    <w:rsid w:val="3D01C35D"/>
    <w:rsid w:val="3D05042B"/>
    <w:rsid w:val="3D0DC0B6"/>
    <w:rsid w:val="3D1BC34F"/>
    <w:rsid w:val="3D1BEAC4"/>
    <w:rsid w:val="3D2DDB48"/>
    <w:rsid w:val="3D2ED37A"/>
    <w:rsid w:val="3D30473F"/>
    <w:rsid w:val="3D36BEAB"/>
    <w:rsid w:val="3D37A8EF"/>
    <w:rsid w:val="3D409989"/>
    <w:rsid w:val="3D421DA0"/>
    <w:rsid w:val="3D42E4D1"/>
    <w:rsid w:val="3D489CF5"/>
    <w:rsid w:val="3D4C76BC"/>
    <w:rsid w:val="3D4D2336"/>
    <w:rsid w:val="3D5B5C47"/>
    <w:rsid w:val="3D674D4D"/>
    <w:rsid w:val="3D6C4121"/>
    <w:rsid w:val="3D71A857"/>
    <w:rsid w:val="3D7C4154"/>
    <w:rsid w:val="3D7E9ADD"/>
    <w:rsid w:val="3D7F09F8"/>
    <w:rsid w:val="3D851838"/>
    <w:rsid w:val="3D8878B9"/>
    <w:rsid w:val="3DA7F531"/>
    <w:rsid w:val="3DAD4636"/>
    <w:rsid w:val="3DB262B7"/>
    <w:rsid w:val="3DBEDF0B"/>
    <w:rsid w:val="3DC1AB39"/>
    <w:rsid w:val="3DC95C8B"/>
    <w:rsid w:val="3DD3481C"/>
    <w:rsid w:val="3DDA6670"/>
    <w:rsid w:val="3DDF9D0C"/>
    <w:rsid w:val="3DEE93CF"/>
    <w:rsid w:val="3DF264DF"/>
    <w:rsid w:val="3DFADB7B"/>
    <w:rsid w:val="3DFB44C5"/>
    <w:rsid w:val="3E0008BB"/>
    <w:rsid w:val="3E003F42"/>
    <w:rsid w:val="3E079CEA"/>
    <w:rsid w:val="3E14E7C5"/>
    <w:rsid w:val="3E445D75"/>
    <w:rsid w:val="3E4DC5F0"/>
    <w:rsid w:val="3E6303D7"/>
    <w:rsid w:val="3E6A32CB"/>
    <w:rsid w:val="3E6D7503"/>
    <w:rsid w:val="3E6E9442"/>
    <w:rsid w:val="3E7B98E9"/>
    <w:rsid w:val="3E835572"/>
    <w:rsid w:val="3E8664DC"/>
    <w:rsid w:val="3E92D872"/>
    <w:rsid w:val="3EA13939"/>
    <w:rsid w:val="3EA24CD9"/>
    <w:rsid w:val="3EA62C4E"/>
    <w:rsid w:val="3EB2FBF6"/>
    <w:rsid w:val="3EB53E8B"/>
    <w:rsid w:val="3EB55A45"/>
    <w:rsid w:val="3EB56AFD"/>
    <w:rsid w:val="3EB6DFDF"/>
    <w:rsid w:val="3EC115B2"/>
    <w:rsid w:val="3ED87622"/>
    <w:rsid w:val="3EDCF3A0"/>
    <w:rsid w:val="3EE38168"/>
    <w:rsid w:val="3EE576AC"/>
    <w:rsid w:val="3F05B6C9"/>
    <w:rsid w:val="3F2B95FF"/>
    <w:rsid w:val="3F2FB333"/>
    <w:rsid w:val="3F368115"/>
    <w:rsid w:val="3F3983E3"/>
    <w:rsid w:val="3F3A18EC"/>
    <w:rsid w:val="3F4B1DD5"/>
    <w:rsid w:val="3F4CB820"/>
    <w:rsid w:val="3F6109A7"/>
    <w:rsid w:val="3F62D12E"/>
    <w:rsid w:val="3F676EA7"/>
    <w:rsid w:val="3F6DDDE7"/>
    <w:rsid w:val="3F6F2062"/>
    <w:rsid w:val="3F90FB00"/>
    <w:rsid w:val="3F937431"/>
    <w:rsid w:val="3F958DD2"/>
    <w:rsid w:val="3F9EF23A"/>
    <w:rsid w:val="3FA24994"/>
    <w:rsid w:val="3FA79577"/>
    <w:rsid w:val="3FAAFEFE"/>
    <w:rsid w:val="3FB0511D"/>
    <w:rsid w:val="3FB64306"/>
    <w:rsid w:val="3FC67F9E"/>
    <w:rsid w:val="3FD16FB9"/>
    <w:rsid w:val="3FD4E127"/>
    <w:rsid w:val="3FDBCDBE"/>
    <w:rsid w:val="3FE41332"/>
    <w:rsid w:val="3FE51612"/>
    <w:rsid w:val="3FF45395"/>
    <w:rsid w:val="3FF48CE1"/>
    <w:rsid w:val="3FF55EC8"/>
    <w:rsid w:val="4007AF27"/>
    <w:rsid w:val="400A818E"/>
    <w:rsid w:val="400E266D"/>
    <w:rsid w:val="401523A0"/>
    <w:rsid w:val="4017530F"/>
    <w:rsid w:val="401823E0"/>
    <w:rsid w:val="401CD5C2"/>
    <w:rsid w:val="4022F160"/>
    <w:rsid w:val="4022F36A"/>
    <w:rsid w:val="40233237"/>
    <w:rsid w:val="402E389F"/>
    <w:rsid w:val="4034FF35"/>
    <w:rsid w:val="40371D71"/>
    <w:rsid w:val="40388E4A"/>
    <w:rsid w:val="4040CD8B"/>
    <w:rsid w:val="404F8DDC"/>
    <w:rsid w:val="4056C759"/>
    <w:rsid w:val="4069F97D"/>
    <w:rsid w:val="407C165A"/>
    <w:rsid w:val="408792B0"/>
    <w:rsid w:val="40932E2F"/>
    <w:rsid w:val="4096E7EF"/>
    <w:rsid w:val="409D9585"/>
    <w:rsid w:val="40A3DE6F"/>
    <w:rsid w:val="40A97785"/>
    <w:rsid w:val="40AF2FD6"/>
    <w:rsid w:val="40B626B7"/>
    <w:rsid w:val="40B68088"/>
    <w:rsid w:val="40B6DC6B"/>
    <w:rsid w:val="40C3C19E"/>
    <w:rsid w:val="40C7E72F"/>
    <w:rsid w:val="40CE9D3B"/>
    <w:rsid w:val="40F30AF9"/>
    <w:rsid w:val="40F5E330"/>
    <w:rsid w:val="40F9BE10"/>
    <w:rsid w:val="40FB0191"/>
    <w:rsid w:val="40FD09D8"/>
    <w:rsid w:val="411CC584"/>
    <w:rsid w:val="412043DD"/>
    <w:rsid w:val="41205A2B"/>
    <w:rsid w:val="4123CFB9"/>
    <w:rsid w:val="41290683"/>
    <w:rsid w:val="412918C0"/>
    <w:rsid w:val="41322AC4"/>
    <w:rsid w:val="41366E1D"/>
    <w:rsid w:val="41465E63"/>
    <w:rsid w:val="414FFFEB"/>
    <w:rsid w:val="415C4F04"/>
    <w:rsid w:val="4166FB48"/>
    <w:rsid w:val="4168785B"/>
    <w:rsid w:val="417D9004"/>
    <w:rsid w:val="41834A26"/>
    <w:rsid w:val="418F2368"/>
    <w:rsid w:val="41983FE7"/>
    <w:rsid w:val="419E1DBD"/>
    <w:rsid w:val="41A28488"/>
    <w:rsid w:val="41A91457"/>
    <w:rsid w:val="41ACACB5"/>
    <w:rsid w:val="41BF4FA0"/>
    <w:rsid w:val="41C14FE8"/>
    <w:rsid w:val="41C44170"/>
    <w:rsid w:val="41CF3916"/>
    <w:rsid w:val="41D2DB25"/>
    <w:rsid w:val="41FA6E41"/>
    <w:rsid w:val="42070E4B"/>
    <w:rsid w:val="42073067"/>
    <w:rsid w:val="420D6993"/>
    <w:rsid w:val="420F5BA3"/>
    <w:rsid w:val="4227C8BE"/>
    <w:rsid w:val="422E6F81"/>
    <w:rsid w:val="423132C1"/>
    <w:rsid w:val="423C442B"/>
    <w:rsid w:val="423C5316"/>
    <w:rsid w:val="424384D0"/>
    <w:rsid w:val="42448DCC"/>
    <w:rsid w:val="42465AE3"/>
    <w:rsid w:val="424D0088"/>
    <w:rsid w:val="424F6AF3"/>
    <w:rsid w:val="42503CFF"/>
    <w:rsid w:val="4263E371"/>
    <w:rsid w:val="42651843"/>
    <w:rsid w:val="426F0CB6"/>
    <w:rsid w:val="4273FFBB"/>
    <w:rsid w:val="42788784"/>
    <w:rsid w:val="427F71E9"/>
    <w:rsid w:val="42898626"/>
    <w:rsid w:val="42996452"/>
    <w:rsid w:val="42A22C96"/>
    <w:rsid w:val="42A493A6"/>
    <w:rsid w:val="42A885F0"/>
    <w:rsid w:val="42AC80DA"/>
    <w:rsid w:val="42B6E8AB"/>
    <w:rsid w:val="42C27D85"/>
    <w:rsid w:val="42C30366"/>
    <w:rsid w:val="42CEDC25"/>
    <w:rsid w:val="42D34163"/>
    <w:rsid w:val="42E54AE1"/>
    <w:rsid w:val="42E7E05E"/>
    <w:rsid w:val="42EDEF50"/>
    <w:rsid w:val="42F2031D"/>
    <w:rsid w:val="42F6FE0D"/>
    <w:rsid w:val="4307D5EF"/>
    <w:rsid w:val="430E9854"/>
    <w:rsid w:val="43140D5F"/>
    <w:rsid w:val="431914E4"/>
    <w:rsid w:val="4324F89C"/>
    <w:rsid w:val="43435888"/>
    <w:rsid w:val="434B4CDB"/>
    <w:rsid w:val="434BA005"/>
    <w:rsid w:val="4350B0C0"/>
    <w:rsid w:val="43575F39"/>
    <w:rsid w:val="436A5EDA"/>
    <w:rsid w:val="436C5ADF"/>
    <w:rsid w:val="43790F32"/>
    <w:rsid w:val="437E076A"/>
    <w:rsid w:val="4389C5B5"/>
    <w:rsid w:val="4389DA43"/>
    <w:rsid w:val="438D2B9B"/>
    <w:rsid w:val="438EBDFF"/>
    <w:rsid w:val="4392A217"/>
    <w:rsid w:val="4393BFE4"/>
    <w:rsid w:val="439A8C43"/>
    <w:rsid w:val="43A088F5"/>
    <w:rsid w:val="43A5CBFA"/>
    <w:rsid w:val="43BD5109"/>
    <w:rsid w:val="43C0101B"/>
    <w:rsid w:val="43CA64FE"/>
    <w:rsid w:val="43CCCFE9"/>
    <w:rsid w:val="43CFE638"/>
    <w:rsid w:val="43D07FDE"/>
    <w:rsid w:val="43DB2288"/>
    <w:rsid w:val="43E88C06"/>
    <w:rsid w:val="43E93AEB"/>
    <w:rsid w:val="43ED9E6B"/>
    <w:rsid w:val="43F7D7A1"/>
    <w:rsid w:val="43FA0A0C"/>
    <w:rsid w:val="43FF1B87"/>
    <w:rsid w:val="44031EB6"/>
    <w:rsid w:val="44086429"/>
    <w:rsid w:val="440B1C14"/>
    <w:rsid w:val="44222B66"/>
    <w:rsid w:val="442CB1CD"/>
    <w:rsid w:val="442F65EB"/>
    <w:rsid w:val="4439231F"/>
    <w:rsid w:val="443E4441"/>
    <w:rsid w:val="4445F70A"/>
    <w:rsid w:val="44552C69"/>
    <w:rsid w:val="44585FDC"/>
    <w:rsid w:val="44600F90"/>
    <w:rsid w:val="4469B137"/>
    <w:rsid w:val="4477D02D"/>
    <w:rsid w:val="44785BED"/>
    <w:rsid w:val="447B6CA3"/>
    <w:rsid w:val="44884954"/>
    <w:rsid w:val="448DDA74"/>
    <w:rsid w:val="44BBEF5A"/>
    <w:rsid w:val="44C21B22"/>
    <w:rsid w:val="44C599F2"/>
    <w:rsid w:val="44D088A2"/>
    <w:rsid w:val="44DB77D5"/>
    <w:rsid w:val="44E6C795"/>
    <w:rsid w:val="44EA7256"/>
    <w:rsid w:val="44F2CF12"/>
    <w:rsid w:val="450CC598"/>
    <w:rsid w:val="45279790"/>
    <w:rsid w:val="452EFA0D"/>
    <w:rsid w:val="4530F0F6"/>
    <w:rsid w:val="45776C0E"/>
    <w:rsid w:val="4579A1DB"/>
    <w:rsid w:val="45885937"/>
    <w:rsid w:val="4589EED5"/>
    <w:rsid w:val="458B7E20"/>
    <w:rsid w:val="45966DF7"/>
    <w:rsid w:val="459CACC4"/>
    <w:rsid w:val="45A2857F"/>
    <w:rsid w:val="45AB3404"/>
    <w:rsid w:val="45BC2D93"/>
    <w:rsid w:val="45BEBABB"/>
    <w:rsid w:val="45C16E22"/>
    <w:rsid w:val="45C7082B"/>
    <w:rsid w:val="45CBE756"/>
    <w:rsid w:val="45D6BA0F"/>
    <w:rsid w:val="45DCF635"/>
    <w:rsid w:val="45E025BF"/>
    <w:rsid w:val="45E56E69"/>
    <w:rsid w:val="45E7337F"/>
    <w:rsid w:val="45E9BBA0"/>
    <w:rsid w:val="45EB980A"/>
    <w:rsid w:val="45F4AFAC"/>
    <w:rsid w:val="46015C10"/>
    <w:rsid w:val="46052808"/>
    <w:rsid w:val="460AFCA6"/>
    <w:rsid w:val="461497A9"/>
    <w:rsid w:val="4625B337"/>
    <w:rsid w:val="46452728"/>
    <w:rsid w:val="4646D890"/>
    <w:rsid w:val="464B817A"/>
    <w:rsid w:val="46515DCB"/>
    <w:rsid w:val="4653F0AE"/>
    <w:rsid w:val="465B265E"/>
    <w:rsid w:val="46611EFF"/>
    <w:rsid w:val="4668044C"/>
    <w:rsid w:val="466BAED2"/>
    <w:rsid w:val="466E94EB"/>
    <w:rsid w:val="466EAA1E"/>
    <w:rsid w:val="467B949C"/>
    <w:rsid w:val="467F163D"/>
    <w:rsid w:val="46880E96"/>
    <w:rsid w:val="46886330"/>
    <w:rsid w:val="468D2DDD"/>
    <w:rsid w:val="46966161"/>
    <w:rsid w:val="4698E025"/>
    <w:rsid w:val="469ADFE6"/>
    <w:rsid w:val="469B8D84"/>
    <w:rsid w:val="469DD380"/>
    <w:rsid w:val="469F40BF"/>
    <w:rsid w:val="46B18139"/>
    <w:rsid w:val="46B49D32"/>
    <w:rsid w:val="46BD8E19"/>
    <w:rsid w:val="46BEC75F"/>
    <w:rsid w:val="46C79379"/>
    <w:rsid w:val="46D19769"/>
    <w:rsid w:val="46E54056"/>
    <w:rsid w:val="46F31E34"/>
    <w:rsid w:val="470BA648"/>
    <w:rsid w:val="4721CD0C"/>
    <w:rsid w:val="4723EB4A"/>
    <w:rsid w:val="472D4D6E"/>
    <w:rsid w:val="472F2DD9"/>
    <w:rsid w:val="4738CF3B"/>
    <w:rsid w:val="473A1233"/>
    <w:rsid w:val="474D290A"/>
    <w:rsid w:val="474FFEF0"/>
    <w:rsid w:val="47520FB9"/>
    <w:rsid w:val="475A7050"/>
    <w:rsid w:val="4767EC38"/>
    <w:rsid w:val="476E03F4"/>
    <w:rsid w:val="477CB3AF"/>
    <w:rsid w:val="477F77AD"/>
    <w:rsid w:val="4784C877"/>
    <w:rsid w:val="4794F45F"/>
    <w:rsid w:val="47959788"/>
    <w:rsid w:val="47A4461C"/>
    <w:rsid w:val="47B6B6B4"/>
    <w:rsid w:val="47C02ACB"/>
    <w:rsid w:val="47C9F3F0"/>
    <w:rsid w:val="47E1E5B3"/>
    <w:rsid w:val="47F12A00"/>
    <w:rsid w:val="47FC41A1"/>
    <w:rsid w:val="480260E8"/>
    <w:rsid w:val="482DEB55"/>
    <w:rsid w:val="482F18D3"/>
    <w:rsid w:val="483E1C0A"/>
    <w:rsid w:val="485F29F9"/>
    <w:rsid w:val="4871CCCD"/>
    <w:rsid w:val="4875AA26"/>
    <w:rsid w:val="487AA6E2"/>
    <w:rsid w:val="487DB0AE"/>
    <w:rsid w:val="4885DB30"/>
    <w:rsid w:val="4896DDC5"/>
    <w:rsid w:val="489D08A0"/>
    <w:rsid w:val="48AB5176"/>
    <w:rsid w:val="48AD420E"/>
    <w:rsid w:val="48B83018"/>
    <w:rsid w:val="48BC65C5"/>
    <w:rsid w:val="48BDDA9F"/>
    <w:rsid w:val="48BF1482"/>
    <w:rsid w:val="48C0B36D"/>
    <w:rsid w:val="48C12C9F"/>
    <w:rsid w:val="48CA7A7A"/>
    <w:rsid w:val="48D2B116"/>
    <w:rsid w:val="48D7DE04"/>
    <w:rsid w:val="48EA0B8E"/>
    <w:rsid w:val="48F1107C"/>
    <w:rsid w:val="48FBEF9C"/>
    <w:rsid w:val="48FCF9D5"/>
    <w:rsid w:val="4904DDC2"/>
    <w:rsid w:val="49073C4F"/>
    <w:rsid w:val="49098F33"/>
    <w:rsid w:val="4918F68B"/>
    <w:rsid w:val="49238595"/>
    <w:rsid w:val="4927E5E4"/>
    <w:rsid w:val="493834A4"/>
    <w:rsid w:val="4938DF8A"/>
    <w:rsid w:val="49406E37"/>
    <w:rsid w:val="49432EB9"/>
    <w:rsid w:val="4947E550"/>
    <w:rsid w:val="4948FD61"/>
    <w:rsid w:val="494CAFCD"/>
    <w:rsid w:val="4957BD8D"/>
    <w:rsid w:val="495EF9C5"/>
    <w:rsid w:val="4984D6D5"/>
    <w:rsid w:val="4995A161"/>
    <w:rsid w:val="4996268C"/>
    <w:rsid w:val="49AFD90F"/>
    <w:rsid w:val="49B37B00"/>
    <w:rsid w:val="49B87EB6"/>
    <w:rsid w:val="49BA2C6F"/>
    <w:rsid w:val="49BD7F7E"/>
    <w:rsid w:val="49C434E2"/>
    <w:rsid w:val="49DC07B1"/>
    <w:rsid w:val="49FAE25F"/>
    <w:rsid w:val="4A06AA50"/>
    <w:rsid w:val="4A09C747"/>
    <w:rsid w:val="4A0F7EAB"/>
    <w:rsid w:val="4A157ECE"/>
    <w:rsid w:val="4A1A65AB"/>
    <w:rsid w:val="4A1A79F1"/>
    <w:rsid w:val="4A290901"/>
    <w:rsid w:val="4A2B1E27"/>
    <w:rsid w:val="4A300913"/>
    <w:rsid w:val="4A3344FB"/>
    <w:rsid w:val="4A33C6A2"/>
    <w:rsid w:val="4A39402D"/>
    <w:rsid w:val="4A4C19E1"/>
    <w:rsid w:val="4A6519A8"/>
    <w:rsid w:val="4A6729DD"/>
    <w:rsid w:val="4A7F69D1"/>
    <w:rsid w:val="4A80C805"/>
    <w:rsid w:val="4A90919C"/>
    <w:rsid w:val="4A92497E"/>
    <w:rsid w:val="4A9B3E73"/>
    <w:rsid w:val="4AB2F7F8"/>
    <w:rsid w:val="4AB86965"/>
    <w:rsid w:val="4AC79D65"/>
    <w:rsid w:val="4ACB8A36"/>
    <w:rsid w:val="4ADB86A1"/>
    <w:rsid w:val="4ADD351E"/>
    <w:rsid w:val="4AE064D6"/>
    <w:rsid w:val="4AE29800"/>
    <w:rsid w:val="4AE5B025"/>
    <w:rsid w:val="4AEC43CB"/>
    <w:rsid w:val="4AF40EBC"/>
    <w:rsid w:val="4AFA33C7"/>
    <w:rsid w:val="4B094F6C"/>
    <w:rsid w:val="4B09CC7C"/>
    <w:rsid w:val="4B195B8A"/>
    <w:rsid w:val="4B318D4E"/>
    <w:rsid w:val="4B31B772"/>
    <w:rsid w:val="4B3300E6"/>
    <w:rsid w:val="4B36F46B"/>
    <w:rsid w:val="4B3912B3"/>
    <w:rsid w:val="4B427A4D"/>
    <w:rsid w:val="4B484C4B"/>
    <w:rsid w:val="4B52CE64"/>
    <w:rsid w:val="4B6BA6F4"/>
    <w:rsid w:val="4B799001"/>
    <w:rsid w:val="4B80A7E1"/>
    <w:rsid w:val="4B876AD2"/>
    <w:rsid w:val="4B8C7A34"/>
    <w:rsid w:val="4BCD6D96"/>
    <w:rsid w:val="4BD3D396"/>
    <w:rsid w:val="4BD44D67"/>
    <w:rsid w:val="4BE019C2"/>
    <w:rsid w:val="4BE680FB"/>
    <w:rsid w:val="4BE9E28F"/>
    <w:rsid w:val="4BF6AF4A"/>
    <w:rsid w:val="4C104D7F"/>
    <w:rsid w:val="4C1DA727"/>
    <w:rsid w:val="4C1EF4BD"/>
    <w:rsid w:val="4C1FDD18"/>
    <w:rsid w:val="4C231200"/>
    <w:rsid w:val="4C2909BA"/>
    <w:rsid w:val="4C3013B0"/>
    <w:rsid w:val="4C3080CB"/>
    <w:rsid w:val="4C405553"/>
    <w:rsid w:val="4C418341"/>
    <w:rsid w:val="4C4236E0"/>
    <w:rsid w:val="4C5F8D74"/>
    <w:rsid w:val="4C673BA1"/>
    <w:rsid w:val="4C68641B"/>
    <w:rsid w:val="4C691268"/>
    <w:rsid w:val="4C6CC98D"/>
    <w:rsid w:val="4C6E3F47"/>
    <w:rsid w:val="4C7AFBE1"/>
    <w:rsid w:val="4C814448"/>
    <w:rsid w:val="4C854A6A"/>
    <w:rsid w:val="4C88F2FE"/>
    <w:rsid w:val="4C8A9F1E"/>
    <w:rsid w:val="4C9AD614"/>
    <w:rsid w:val="4C9E036F"/>
    <w:rsid w:val="4CAA9D09"/>
    <w:rsid w:val="4CAF3BF3"/>
    <w:rsid w:val="4CB34E72"/>
    <w:rsid w:val="4CB4C345"/>
    <w:rsid w:val="4CC45968"/>
    <w:rsid w:val="4CD452C3"/>
    <w:rsid w:val="4CD8371B"/>
    <w:rsid w:val="4CDB90DF"/>
    <w:rsid w:val="4CE3E92A"/>
    <w:rsid w:val="4CE7FB4A"/>
    <w:rsid w:val="4CF94385"/>
    <w:rsid w:val="4D0F49A5"/>
    <w:rsid w:val="4D16E447"/>
    <w:rsid w:val="4D170B67"/>
    <w:rsid w:val="4D1E9498"/>
    <w:rsid w:val="4D219F02"/>
    <w:rsid w:val="4D2BB112"/>
    <w:rsid w:val="4D304229"/>
    <w:rsid w:val="4D4FC97E"/>
    <w:rsid w:val="4D68367C"/>
    <w:rsid w:val="4D6A5AFC"/>
    <w:rsid w:val="4D752007"/>
    <w:rsid w:val="4D7A43CD"/>
    <w:rsid w:val="4D807B6B"/>
    <w:rsid w:val="4D819C26"/>
    <w:rsid w:val="4D81C0BB"/>
    <w:rsid w:val="4D896EF8"/>
    <w:rsid w:val="4D91D54E"/>
    <w:rsid w:val="4D9BC597"/>
    <w:rsid w:val="4DA44F38"/>
    <w:rsid w:val="4DAAAA76"/>
    <w:rsid w:val="4DACE45D"/>
    <w:rsid w:val="4DAFF0A2"/>
    <w:rsid w:val="4DB1C7FA"/>
    <w:rsid w:val="4DBAF285"/>
    <w:rsid w:val="4DBE2E83"/>
    <w:rsid w:val="4DD4C384"/>
    <w:rsid w:val="4DE04680"/>
    <w:rsid w:val="4DE28BF1"/>
    <w:rsid w:val="4DEBAAC6"/>
    <w:rsid w:val="4DEFB1B5"/>
    <w:rsid w:val="4DF824FF"/>
    <w:rsid w:val="4DFB284F"/>
    <w:rsid w:val="4DFBD962"/>
    <w:rsid w:val="4DFDEE4A"/>
    <w:rsid w:val="4E03BEE4"/>
    <w:rsid w:val="4E0578DC"/>
    <w:rsid w:val="4E0C2660"/>
    <w:rsid w:val="4E25075F"/>
    <w:rsid w:val="4E428D6A"/>
    <w:rsid w:val="4E488A1F"/>
    <w:rsid w:val="4E4E7426"/>
    <w:rsid w:val="4E4F2484"/>
    <w:rsid w:val="4E4F6B09"/>
    <w:rsid w:val="4E51E5C0"/>
    <w:rsid w:val="4E594936"/>
    <w:rsid w:val="4E595F05"/>
    <w:rsid w:val="4E59EC0B"/>
    <w:rsid w:val="4E62DFE8"/>
    <w:rsid w:val="4E66B5B9"/>
    <w:rsid w:val="4E79D032"/>
    <w:rsid w:val="4E7F39EA"/>
    <w:rsid w:val="4E80B06C"/>
    <w:rsid w:val="4E9B73CE"/>
    <w:rsid w:val="4E9C191E"/>
    <w:rsid w:val="4E9F7BDB"/>
    <w:rsid w:val="4EA4CB45"/>
    <w:rsid w:val="4EAEC96A"/>
    <w:rsid w:val="4EB64929"/>
    <w:rsid w:val="4EC32C57"/>
    <w:rsid w:val="4ED1859C"/>
    <w:rsid w:val="4ED52B12"/>
    <w:rsid w:val="4ED6A124"/>
    <w:rsid w:val="4ED9E5BE"/>
    <w:rsid w:val="4EE3A2C7"/>
    <w:rsid w:val="4EE6D8D8"/>
    <w:rsid w:val="4EE96D29"/>
    <w:rsid w:val="4EF1128B"/>
    <w:rsid w:val="4EFA3EFA"/>
    <w:rsid w:val="4EFBC02C"/>
    <w:rsid w:val="4F079AF5"/>
    <w:rsid w:val="4F1CF402"/>
    <w:rsid w:val="4F23AD5A"/>
    <w:rsid w:val="4F250766"/>
    <w:rsid w:val="4F3DDE95"/>
    <w:rsid w:val="4F40A3C7"/>
    <w:rsid w:val="4F4CF7F8"/>
    <w:rsid w:val="4F5146A1"/>
    <w:rsid w:val="4F57F49F"/>
    <w:rsid w:val="4F59837D"/>
    <w:rsid w:val="4F708FA8"/>
    <w:rsid w:val="4F7A2268"/>
    <w:rsid w:val="4F8683DC"/>
    <w:rsid w:val="4F88B8D3"/>
    <w:rsid w:val="4F8C4456"/>
    <w:rsid w:val="4F9673AE"/>
    <w:rsid w:val="4F9A592A"/>
    <w:rsid w:val="4F9B9835"/>
    <w:rsid w:val="4F9B9D63"/>
    <w:rsid w:val="4F9FB08B"/>
    <w:rsid w:val="4FA10B3E"/>
    <w:rsid w:val="4FABA216"/>
    <w:rsid w:val="4FAC88B7"/>
    <w:rsid w:val="4FB2250B"/>
    <w:rsid w:val="4FB49C4F"/>
    <w:rsid w:val="4FB73075"/>
    <w:rsid w:val="4FBC5112"/>
    <w:rsid w:val="4FC1190A"/>
    <w:rsid w:val="4FC3E4CE"/>
    <w:rsid w:val="4FCF0C0E"/>
    <w:rsid w:val="4FE02E88"/>
    <w:rsid w:val="4FE75907"/>
    <w:rsid w:val="5003130E"/>
    <w:rsid w:val="50086BC1"/>
    <w:rsid w:val="5009E734"/>
    <w:rsid w:val="501043AF"/>
    <w:rsid w:val="504599DA"/>
    <w:rsid w:val="5047CFE9"/>
    <w:rsid w:val="50482023"/>
    <w:rsid w:val="504C9E34"/>
    <w:rsid w:val="505533DA"/>
    <w:rsid w:val="505EF555"/>
    <w:rsid w:val="50608DF8"/>
    <w:rsid w:val="5077D49F"/>
    <w:rsid w:val="507EA77E"/>
    <w:rsid w:val="5081D4B6"/>
    <w:rsid w:val="50830877"/>
    <w:rsid w:val="508841C0"/>
    <w:rsid w:val="50891414"/>
    <w:rsid w:val="5093B9B5"/>
    <w:rsid w:val="509DD2E7"/>
    <w:rsid w:val="509EA5D5"/>
    <w:rsid w:val="509EC0B3"/>
    <w:rsid w:val="50A179EC"/>
    <w:rsid w:val="50B2F1C8"/>
    <w:rsid w:val="50B9F4A2"/>
    <w:rsid w:val="50C3846F"/>
    <w:rsid w:val="50C4BCF6"/>
    <w:rsid w:val="50D89E5A"/>
    <w:rsid w:val="50E3B665"/>
    <w:rsid w:val="50ECFE3E"/>
    <w:rsid w:val="50F124B1"/>
    <w:rsid w:val="50F8F8D3"/>
    <w:rsid w:val="5101E614"/>
    <w:rsid w:val="510B0769"/>
    <w:rsid w:val="510FA7F4"/>
    <w:rsid w:val="5111F6B9"/>
    <w:rsid w:val="511D7EFB"/>
    <w:rsid w:val="512455CA"/>
    <w:rsid w:val="512793B0"/>
    <w:rsid w:val="5128AC82"/>
    <w:rsid w:val="512BB4B3"/>
    <w:rsid w:val="51348944"/>
    <w:rsid w:val="514913A3"/>
    <w:rsid w:val="514A7E1C"/>
    <w:rsid w:val="5151D6C2"/>
    <w:rsid w:val="51598E36"/>
    <w:rsid w:val="51707E40"/>
    <w:rsid w:val="5172D47B"/>
    <w:rsid w:val="5173C8C3"/>
    <w:rsid w:val="517406E4"/>
    <w:rsid w:val="5179E305"/>
    <w:rsid w:val="5181CE8E"/>
    <w:rsid w:val="518950D0"/>
    <w:rsid w:val="518B0764"/>
    <w:rsid w:val="5197E61C"/>
    <w:rsid w:val="519D75C5"/>
    <w:rsid w:val="51B0E2CA"/>
    <w:rsid w:val="51B93A20"/>
    <w:rsid w:val="51BC02BA"/>
    <w:rsid w:val="51BDCA2F"/>
    <w:rsid w:val="51CB6F29"/>
    <w:rsid w:val="51E1147E"/>
    <w:rsid w:val="51E15F6E"/>
    <w:rsid w:val="51E297A7"/>
    <w:rsid w:val="51EF2F84"/>
    <w:rsid w:val="51F36542"/>
    <w:rsid w:val="51FE5CB7"/>
    <w:rsid w:val="521337D8"/>
    <w:rsid w:val="52219C05"/>
    <w:rsid w:val="52371A38"/>
    <w:rsid w:val="523E3B70"/>
    <w:rsid w:val="523F9235"/>
    <w:rsid w:val="52435C14"/>
    <w:rsid w:val="524831DF"/>
    <w:rsid w:val="524D49C6"/>
    <w:rsid w:val="524E2727"/>
    <w:rsid w:val="5254864C"/>
    <w:rsid w:val="525632A4"/>
    <w:rsid w:val="5262CE1C"/>
    <w:rsid w:val="52746CA4"/>
    <w:rsid w:val="527D0C9B"/>
    <w:rsid w:val="52836B2F"/>
    <w:rsid w:val="52977A42"/>
    <w:rsid w:val="52A09629"/>
    <w:rsid w:val="52BFBA88"/>
    <w:rsid w:val="52C90A9C"/>
    <w:rsid w:val="52E7128E"/>
    <w:rsid w:val="52F34DA2"/>
    <w:rsid w:val="52FA9C4E"/>
    <w:rsid w:val="530E2B19"/>
    <w:rsid w:val="53179977"/>
    <w:rsid w:val="531BE330"/>
    <w:rsid w:val="531D5DB9"/>
    <w:rsid w:val="53380501"/>
    <w:rsid w:val="533CC44B"/>
    <w:rsid w:val="5351247B"/>
    <w:rsid w:val="5366C5AB"/>
    <w:rsid w:val="53742367"/>
    <w:rsid w:val="5375E26B"/>
    <w:rsid w:val="5382494A"/>
    <w:rsid w:val="539113B0"/>
    <w:rsid w:val="53927985"/>
    <w:rsid w:val="53A39BEB"/>
    <w:rsid w:val="53A72180"/>
    <w:rsid w:val="53B5F029"/>
    <w:rsid w:val="53B6601F"/>
    <w:rsid w:val="53B8B8EB"/>
    <w:rsid w:val="53BB68D3"/>
    <w:rsid w:val="53C7D7AB"/>
    <w:rsid w:val="53C95E97"/>
    <w:rsid w:val="53CC618D"/>
    <w:rsid w:val="53D5E723"/>
    <w:rsid w:val="53D92868"/>
    <w:rsid w:val="53E40F07"/>
    <w:rsid w:val="53E78066"/>
    <w:rsid w:val="53E83B88"/>
    <w:rsid w:val="53F2A3FC"/>
    <w:rsid w:val="53F486CF"/>
    <w:rsid w:val="54066142"/>
    <w:rsid w:val="540AB62D"/>
    <w:rsid w:val="540BAA5D"/>
    <w:rsid w:val="540C8840"/>
    <w:rsid w:val="54229570"/>
    <w:rsid w:val="5423F0F1"/>
    <w:rsid w:val="542FB346"/>
    <w:rsid w:val="54390F83"/>
    <w:rsid w:val="5463229B"/>
    <w:rsid w:val="5481C57A"/>
    <w:rsid w:val="548E08EF"/>
    <w:rsid w:val="54A3E100"/>
    <w:rsid w:val="54C54D93"/>
    <w:rsid w:val="54D4ED4B"/>
    <w:rsid w:val="54E3068E"/>
    <w:rsid w:val="54F2E0B5"/>
    <w:rsid w:val="54FB8900"/>
    <w:rsid w:val="550AB464"/>
    <w:rsid w:val="550EDCCB"/>
    <w:rsid w:val="5512DD36"/>
    <w:rsid w:val="55201E3B"/>
    <w:rsid w:val="552940AB"/>
    <w:rsid w:val="55326993"/>
    <w:rsid w:val="55350F28"/>
    <w:rsid w:val="55376C7E"/>
    <w:rsid w:val="55399C81"/>
    <w:rsid w:val="553C028D"/>
    <w:rsid w:val="553FB089"/>
    <w:rsid w:val="5542474F"/>
    <w:rsid w:val="5545F8A3"/>
    <w:rsid w:val="5566D113"/>
    <w:rsid w:val="5568620B"/>
    <w:rsid w:val="5589A660"/>
    <w:rsid w:val="5591DD78"/>
    <w:rsid w:val="559EC2AD"/>
    <w:rsid w:val="55A5706A"/>
    <w:rsid w:val="55A9D77E"/>
    <w:rsid w:val="55B47A11"/>
    <w:rsid w:val="55B8B45F"/>
    <w:rsid w:val="55D6DB33"/>
    <w:rsid w:val="55F15CE7"/>
    <w:rsid w:val="55F92A37"/>
    <w:rsid w:val="560AE052"/>
    <w:rsid w:val="560B157C"/>
    <w:rsid w:val="5614387A"/>
    <w:rsid w:val="561D7D36"/>
    <w:rsid w:val="5623B2E6"/>
    <w:rsid w:val="562500B1"/>
    <w:rsid w:val="562B6EB2"/>
    <w:rsid w:val="563632CD"/>
    <w:rsid w:val="56378C02"/>
    <w:rsid w:val="563AF78B"/>
    <w:rsid w:val="563E43A6"/>
    <w:rsid w:val="56414100"/>
    <w:rsid w:val="565BBD5E"/>
    <w:rsid w:val="56675334"/>
    <w:rsid w:val="568C6A6D"/>
    <w:rsid w:val="56915CC9"/>
    <w:rsid w:val="56A218B5"/>
    <w:rsid w:val="56A3C976"/>
    <w:rsid w:val="56BCA6F8"/>
    <w:rsid w:val="56D0CDF6"/>
    <w:rsid w:val="56D733A0"/>
    <w:rsid w:val="56DB8CB4"/>
    <w:rsid w:val="56DEE6E9"/>
    <w:rsid w:val="56ECD9CA"/>
    <w:rsid w:val="56F88BBA"/>
    <w:rsid w:val="56F92008"/>
    <w:rsid w:val="5709C142"/>
    <w:rsid w:val="5718F206"/>
    <w:rsid w:val="571A746E"/>
    <w:rsid w:val="57208768"/>
    <w:rsid w:val="5725DF45"/>
    <w:rsid w:val="572720AE"/>
    <w:rsid w:val="5740F91A"/>
    <w:rsid w:val="57457FA0"/>
    <w:rsid w:val="575280DF"/>
    <w:rsid w:val="5752904B"/>
    <w:rsid w:val="5752F063"/>
    <w:rsid w:val="57611596"/>
    <w:rsid w:val="576BB38B"/>
    <w:rsid w:val="577D9D90"/>
    <w:rsid w:val="5780CDEF"/>
    <w:rsid w:val="578D910D"/>
    <w:rsid w:val="578DFFC8"/>
    <w:rsid w:val="57929639"/>
    <w:rsid w:val="579DD6B6"/>
    <w:rsid w:val="579FB89D"/>
    <w:rsid w:val="57A22093"/>
    <w:rsid w:val="57A6C1E5"/>
    <w:rsid w:val="57B2C7A5"/>
    <w:rsid w:val="57B32787"/>
    <w:rsid w:val="57B4B93C"/>
    <w:rsid w:val="57B51D43"/>
    <w:rsid w:val="57B534F1"/>
    <w:rsid w:val="57B63750"/>
    <w:rsid w:val="57B703E0"/>
    <w:rsid w:val="57B81F88"/>
    <w:rsid w:val="57BB91D6"/>
    <w:rsid w:val="57C5E1B8"/>
    <w:rsid w:val="57C93433"/>
    <w:rsid w:val="57CD669E"/>
    <w:rsid w:val="57CFB97A"/>
    <w:rsid w:val="57D390D4"/>
    <w:rsid w:val="57DECE23"/>
    <w:rsid w:val="57DFFC5B"/>
    <w:rsid w:val="57F08542"/>
    <w:rsid w:val="57F17038"/>
    <w:rsid w:val="57F69B04"/>
    <w:rsid w:val="57F869D9"/>
    <w:rsid w:val="58038E77"/>
    <w:rsid w:val="58054FC5"/>
    <w:rsid w:val="580F8113"/>
    <w:rsid w:val="5813B23F"/>
    <w:rsid w:val="582C33C3"/>
    <w:rsid w:val="582E07AB"/>
    <w:rsid w:val="5830733E"/>
    <w:rsid w:val="5834AA79"/>
    <w:rsid w:val="583B4C04"/>
    <w:rsid w:val="5851687C"/>
    <w:rsid w:val="587C3C69"/>
    <w:rsid w:val="58B374E9"/>
    <w:rsid w:val="58B535D6"/>
    <w:rsid w:val="58B61D86"/>
    <w:rsid w:val="58BBFC75"/>
    <w:rsid w:val="58BC5EF3"/>
    <w:rsid w:val="58BD652F"/>
    <w:rsid w:val="58D0FDF7"/>
    <w:rsid w:val="58D22493"/>
    <w:rsid w:val="58D67AE9"/>
    <w:rsid w:val="58D98497"/>
    <w:rsid w:val="58E38E5A"/>
    <w:rsid w:val="58E849C7"/>
    <w:rsid w:val="58E8ED2E"/>
    <w:rsid w:val="590BF083"/>
    <w:rsid w:val="592E1A23"/>
    <w:rsid w:val="592E2AFE"/>
    <w:rsid w:val="594EFAEF"/>
    <w:rsid w:val="595C3E35"/>
    <w:rsid w:val="596CFA32"/>
    <w:rsid w:val="59703676"/>
    <w:rsid w:val="597B80A8"/>
    <w:rsid w:val="5987B152"/>
    <w:rsid w:val="59940F4D"/>
    <w:rsid w:val="599A12AB"/>
    <w:rsid w:val="599B7760"/>
    <w:rsid w:val="59AD2004"/>
    <w:rsid w:val="59AF97FB"/>
    <w:rsid w:val="59B333F6"/>
    <w:rsid w:val="59B350C9"/>
    <w:rsid w:val="59D1BD6C"/>
    <w:rsid w:val="59D2D5AF"/>
    <w:rsid w:val="59E2BE93"/>
    <w:rsid w:val="59E7A2CC"/>
    <w:rsid w:val="59F10840"/>
    <w:rsid w:val="5A0BB061"/>
    <w:rsid w:val="5A0F4DCD"/>
    <w:rsid w:val="5A1557D5"/>
    <w:rsid w:val="5A23FDF9"/>
    <w:rsid w:val="5A241438"/>
    <w:rsid w:val="5A2454C4"/>
    <w:rsid w:val="5A25A801"/>
    <w:rsid w:val="5A26CE24"/>
    <w:rsid w:val="5A2D9B8A"/>
    <w:rsid w:val="5A307242"/>
    <w:rsid w:val="5A353DBA"/>
    <w:rsid w:val="5A389CEC"/>
    <w:rsid w:val="5A42BB27"/>
    <w:rsid w:val="5A448849"/>
    <w:rsid w:val="5A453F13"/>
    <w:rsid w:val="5A46BA3A"/>
    <w:rsid w:val="5A47DDA0"/>
    <w:rsid w:val="5A49F0F8"/>
    <w:rsid w:val="5A4CCB38"/>
    <w:rsid w:val="5A536975"/>
    <w:rsid w:val="5A56EB69"/>
    <w:rsid w:val="5A5970FC"/>
    <w:rsid w:val="5A687802"/>
    <w:rsid w:val="5A6A20CD"/>
    <w:rsid w:val="5A822337"/>
    <w:rsid w:val="5A82A506"/>
    <w:rsid w:val="5A835270"/>
    <w:rsid w:val="5A8B6080"/>
    <w:rsid w:val="5A8DA300"/>
    <w:rsid w:val="5A90C09A"/>
    <w:rsid w:val="5A939209"/>
    <w:rsid w:val="5A982328"/>
    <w:rsid w:val="5A9AA8F5"/>
    <w:rsid w:val="5AC77F12"/>
    <w:rsid w:val="5ACBA76A"/>
    <w:rsid w:val="5AD6A2B3"/>
    <w:rsid w:val="5AD723EE"/>
    <w:rsid w:val="5AD95D1E"/>
    <w:rsid w:val="5ADC294B"/>
    <w:rsid w:val="5ADE7106"/>
    <w:rsid w:val="5AE9335E"/>
    <w:rsid w:val="5AEC0041"/>
    <w:rsid w:val="5AEE3FE6"/>
    <w:rsid w:val="5AF55EF1"/>
    <w:rsid w:val="5AFAB33C"/>
    <w:rsid w:val="5AFD497D"/>
    <w:rsid w:val="5B0078F6"/>
    <w:rsid w:val="5B05C279"/>
    <w:rsid w:val="5B071667"/>
    <w:rsid w:val="5B07DE2C"/>
    <w:rsid w:val="5B21822B"/>
    <w:rsid w:val="5B28FEAD"/>
    <w:rsid w:val="5B31369C"/>
    <w:rsid w:val="5B3389D5"/>
    <w:rsid w:val="5B367173"/>
    <w:rsid w:val="5B399D95"/>
    <w:rsid w:val="5B40AF87"/>
    <w:rsid w:val="5B5987AF"/>
    <w:rsid w:val="5B7443B5"/>
    <w:rsid w:val="5B79095B"/>
    <w:rsid w:val="5B7949FE"/>
    <w:rsid w:val="5B7E67C2"/>
    <w:rsid w:val="5B805AF2"/>
    <w:rsid w:val="5B8CCF60"/>
    <w:rsid w:val="5B9697CC"/>
    <w:rsid w:val="5BB5ADEC"/>
    <w:rsid w:val="5BB65560"/>
    <w:rsid w:val="5BB9D4E1"/>
    <w:rsid w:val="5BC6D980"/>
    <w:rsid w:val="5BC7EF0E"/>
    <w:rsid w:val="5BD87871"/>
    <w:rsid w:val="5BE482B6"/>
    <w:rsid w:val="5BE64052"/>
    <w:rsid w:val="5BEF311A"/>
    <w:rsid w:val="5BF60BB4"/>
    <w:rsid w:val="5BF6C41D"/>
    <w:rsid w:val="5BF76027"/>
    <w:rsid w:val="5BF76703"/>
    <w:rsid w:val="5BF85C30"/>
    <w:rsid w:val="5BFDA095"/>
    <w:rsid w:val="5C02E6C4"/>
    <w:rsid w:val="5C044FE9"/>
    <w:rsid w:val="5C0509C3"/>
    <w:rsid w:val="5C0C74CD"/>
    <w:rsid w:val="5C0E07CC"/>
    <w:rsid w:val="5C11C51D"/>
    <w:rsid w:val="5C18EDFD"/>
    <w:rsid w:val="5C19D5BD"/>
    <w:rsid w:val="5C2A29DA"/>
    <w:rsid w:val="5C2E3715"/>
    <w:rsid w:val="5C4A65D3"/>
    <w:rsid w:val="5C4DB707"/>
    <w:rsid w:val="5C5109DD"/>
    <w:rsid w:val="5C602BA9"/>
    <w:rsid w:val="5C612F08"/>
    <w:rsid w:val="5C63E097"/>
    <w:rsid w:val="5C64539E"/>
    <w:rsid w:val="5C7235B8"/>
    <w:rsid w:val="5C7342A3"/>
    <w:rsid w:val="5C783F70"/>
    <w:rsid w:val="5C84A17E"/>
    <w:rsid w:val="5C898A47"/>
    <w:rsid w:val="5C8F4110"/>
    <w:rsid w:val="5C9F2D77"/>
    <w:rsid w:val="5CA4B1E8"/>
    <w:rsid w:val="5CAF46CE"/>
    <w:rsid w:val="5CBA6444"/>
    <w:rsid w:val="5CBB1721"/>
    <w:rsid w:val="5CC15ADC"/>
    <w:rsid w:val="5CC89C56"/>
    <w:rsid w:val="5CDD0663"/>
    <w:rsid w:val="5CDDA1E8"/>
    <w:rsid w:val="5CE17BFD"/>
    <w:rsid w:val="5CEF0DCE"/>
    <w:rsid w:val="5CF0CBA5"/>
    <w:rsid w:val="5CF887B0"/>
    <w:rsid w:val="5CF94F8D"/>
    <w:rsid w:val="5CFE5A87"/>
    <w:rsid w:val="5CFF507D"/>
    <w:rsid w:val="5CFF9F51"/>
    <w:rsid w:val="5D04695B"/>
    <w:rsid w:val="5D069A46"/>
    <w:rsid w:val="5D0A5BB0"/>
    <w:rsid w:val="5D2655BB"/>
    <w:rsid w:val="5D26F41E"/>
    <w:rsid w:val="5D3971D2"/>
    <w:rsid w:val="5D3EA52F"/>
    <w:rsid w:val="5D40590F"/>
    <w:rsid w:val="5D5A58C8"/>
    <w:rsid w:val="5D735994"/>
    <w:rsid w:val="5D794737"/>
    <w:rsid w:val="5D7EC579"/>
    <w:rsid w:val="5D9934DC"/>
    <w:rsid w:val="5D9B93E9"/>
    <w:rsid w:val="5D9D4E5A"/>
    <w:rsid w:val="5DA7081A"/>
    <w:rsid w:val="5DABD04A"/>
    <w:rsid w:val="5DAEE1B5"/>
    <w:rsid w:val="5DCDF65D"/>
    <w:rsid w:val="5DD630EC"/>
    <w:rsid w:val="5DEFECFC"/>
    <w:rsid w:val="5DF224F3"/>
    <w:rsid w:val="5DF97735"/>
    <w:rsid w:val="5E0560D5"/>
    <w:rsid w:val="5E10D626"/>
    <w:rsid w:val="5E1672B6"/>
    <w:rsid w:val="5E2A1694"/>
    <w:rsid w:val="5E329854"/>
    <w:rsid w:val="5E44B70A"/>
    <w:rsid w:val="5E479F9E"/>
    <w:rsid w:val="5E4C4562"/>
    <w:rsid w:val="5E4E9AF1"/>
    <w:rsid w:val="5E6A22B4"/>
    <w:rsid w:val="5E79AB5C"/>
    <w:rsid w:val="5E79BAC6"/>
    <w:rsid w:val="5E81642E"/>
    <w:rsid w:val="5E82E7F4"/>
    <w:rsid w:val="5E836243"/>
    <w:rsid w:val="5EA0CB7F"/>
    <w:rsid w:val="5EA8A750"/>
    <w:rsid w:val="5EAE1EF6"/>
    <w:rsid w:val="5EC1C4DC"/>
    <w:rsid w:val="5EC98B26"/>
    <w:rsid w:val="5ECA50B6"/>
    <w:rsid w:val="5ED0C710"/>
    <w:rsid w:val="5ED120E3"/>
    <w:rsid w:val="5EDAA9D4"/>
    <w:rsid w:val="5EDAD5ED"/>
    <w:rsid w:val="5EE1C1FF"/>
    <w:rsid w:val="5EEA2698"/>
    <w:rsid w:val="5EF0278D"/>
    <w:rsid w:val="5EF028C2"/>
    <w:rsid w:val="5EF2C615"/>
    <w:rsid w:val="5EF5CA80"/>
    <w:rsid w:val="5EF7073A"/>
    <w:rsid w:val="5EF9ECD3"/>
    <w:rsid w:val="5F1D4AAC"/>
    <w:rsid w:val="5F29B21F"/>
    <w:rsid w:val="5F35BE97"/>
    <w:rsid w:val="5F3B11FC"/>
    <w:rsid w:val="5F4AB7CC"/>
    <w:rsid w:val="5F52DACE"/>
    <w:rsid w:val="5F6922D5"/>
    <w:rsid w:val="5F695126"/>
    <w:rsid w:val="5F6F8121"/>
    <w:rsid w:val="5F761FE8"/>
    <w:rsid w:val="5F7A46B9"/>
    <w:rsid w:val="5F7C8CB7"/>
    <w:rsid w:val="5F85D24B"/>
    <w:rsid w:val="5F8A5673"/>
    <w:rsid w:val="5F9C2CA1"/>
    <w:rsid w:val="5F9F03FD"/>
    <w:rsid w:val="5FAA1C23"/>
    <w:rsid w:val="5FCE3628"/>
    <w:rsid w:val="5FE0F291"/>
    <w:rsid w:val="60009B4A"/>
    <w:rsid w:val="600E70C9"/>
    <w:rsid w:val="6010559B"/>
    <w:rsid w:val="601B9BA8"/>
    <w:rsid w:val="601FB41A"/>
    <w:rsid w:val="602A5BD5"/>
    <w:rsid w:val="602A9F1A"/>
    <w:rsid w:val="60346DE6"/>
    <w:rsid w:val="60468C64"/>
    <w:rsid w:val="604724E6"/>
    <w:rsid w:val="604D6115"/>
    <w:rsid w:val="60537FF2"/>
    <w:rsid w:val="605B166E"/>
    <w:rsid w:val="605DBE6E"/>
    <w:rsid w:val="6064B637"/>
    <w:rsid w:val="6065C407"/>
    <w:rsid w:val="606B057E"/>
    <w:rsid w:val="606DAD61"/>
    <w:rsid w:val="606E439D"/>
    <w:rsid w:val="6081571B"/>
    <w:rsid w:val="608286F5"/>
    <w:rsid w:val="6084308D"/>
    <w:rsid w:val="608924AF"/>
    <w:rsid w:val="6089DC56"/>
    <w:rsid w:val="6091DB18"/>
    <w:rsid w:val="60A33D7D"/>
    <w:rsid w:val="60A4E10C"/>
    <w:rsid w:val="60A60E16"/>
    <w:rsid w:val="60A6606E"/>
    <w:rsid w:val="60B11ECC"/>
    <w:rsid w:val="60B8DEC7"/>
    <w:rsid w:val="60BAB4C3"/>
    <w:rsid w:val="60C1ED50"/>
    <w:rsid w:val="60C65B64"/>
    <w:rsid w:val="60C865A0"/>
    <w:rsid w:val="60D3F118"/>
    <w:rsid w:val="60D62F6B"/>
    <w:rsid w:val="60E008F6"/>
    <w:rsid w:val="60E66DF5"/>
    <w:rsid w:val="60EC9B28"/>
    <w:rsid w:val="60FAD6B5"/>
    <w:rsid w:val="60FC4BFA"/>
    <w:rsid w:val="6104F2E6"/>
    <w:rsid w:val="610833C1"/>
    <w:rsid w:val="610C26A3"/>
    <w:rsid w:val="610F8C28"/>
    <w:rsid w:val="6111A3C2"/>
    <w:rsid w:val="6112706B"/>
    <w:rsid w:val="61191032"/>
    <w:rsid w:val="6119F15F"/>
    <w:rsid w:val="61212E98"/>
    <w:rsid w:val="612CDEA9"/>
    <w:rsid w:val="6137BC9D"/>
    <w:rsid w:val="613C7382"/>
    <w:rsid w:val="61439BC4"/>
    <w:rsid w:val="614E722D"/>
    <w:rsid w:val="615E9109"/>
    <w:rsid w:val="616477D5"/>
    <w:rsid w:val="61685C4D"/>
    <w:rsid w:val="616B51DE"/>
    <w:rsid w:val="6175EF28"/>
    <w:rsid w:val="618CDEB9"/>
    <w:rsid w:val="618DB204"/>
    <w:rsid w:val="61BDFB5F"/>
    <w:rsid w:val="61C79420"/>
    <w:rsid w:val="61CED7E3"/>
    <w:rsid w:val="61D0C8D0"/>
    <w:rsid w:val="61D0D205"/>
    <w:rsid w:val="61DE3FC4"/>
    <w:rsid w:val="61E4E8C9"/>
    <w:rsid w:val="61F928D8"/>
    <w:rsid w:val="61FA6B00"/>
    <w:rsid w:val="61FA8EEA"/>
    <w:rsid w:val="61FBB8D6"/>
    <w:rsid w:val="61FD58DA"/>
    <w:rsid w:val="62009C00"/>
    <w:rsid w:val="6202C168"/>
    <w:rsid w:val="62087034"/>
    <w:rsid w:val="62124A1F"/>
    <w:rsid w:val="621B9B2B"/>
    <w:rsid w:val="6223C522"/>
    <w:rsid w:val="622996BF"/>
    <w:rsid w:val="622F183F"/>
    <w:rsid w:val="62409F2B"/>
    <w:rsid w:val="6241A4E9"/>
    <w:rsid w:val="62473B25"/>
    <w:rsid w:val="624A334E"/>
    <w:rsid w:val="6250E73D"/>
    <w:rsid w:val="625D23D8"/>
    <w:rsid w:val="6284CFEE"/>
    <w:rsid w:val="628D1010"/>
    <w:rsid w:val="628E712D"/>
    <w:rsid w:val="62A108E6"/>
    <w:rsid w:val="62AB9E6C"/>
    <w:rsid w:val="62B4A53A"/>
    <w:rsid w:val="62B8B262"/>
    <w:rsid w:val="62C4EE89"/>
    <w:rsid w:val="62C50290"/>
    <w:rsid w:val="62D5D723"/>
    <w:rsid w:val="62D5F518"/>
    <w:rsid w:val="62DD7943"/>
    <w:rsid w:val="62E797C9"/>
    <w:rsid w:val="62F4C83B"/>
    <w:rsid w:val="62FAC462"/>
    <w:rsid w:val="62FF9EF2"/>
    <w:rsid w:val="6300421D"/>
    <w:rsid w:val="6305F583"/>
    <w:rsid w:val="63112D2A"/>
    <w:rsid w:val="63136C7B"/>
    <w:rsid w:val="6318D674"/>
    <w:rsid w:val="631BD4CB"/>
    <w:rsid w:val="63230554"/>
    <w:rsid w:val="63258AED"/>
    <w:rsid w:val="6328FD4A"/>
    <w:rsid w:val="632C3AC3"/>
    <w:rsid w:val="63307B8E"/>
    <w:rsid w:val="633AC81D"/>
    <w:rsid w:val="6342A4DD"/>
    <w:rsid w:val="634988C0"/>
    <w:rsid w:val="6363589B"/>
    <w:rsid w:val="63680FC7"/>
    <w:rsid w:val="63694BE9"/>
    <w:rsid w:val="6371B641"/>
    <w:rsid w:val="6374A992"/>
    <w:rsid w:val="63759D78"/>
    <w:rsid w:val="6378C2E0"/>
    <w:rsid w:val="63909A65"/>
    <w:rsid w:val="639A9C13"/>
    <w:rsid w:val="63A5D5F0"/>
    <w:rsid w:val="63B04519"/>
    <w:rsid w:val="63B8EF41"/>
    <w:rsid w:val="63BCA07F"/>
    <w:rsid w:val="63C05252"/>
    <w:rsid w:val="63C0E606"/>
    <w:rsid w:val="63C3AA2B"/>
    <w:rsid w:val="63D000D7"/>
    <w:rsid w:val="63D1224B"/>
    <w:rsid w:val="63D46D86"/>
    <w:rsid w:val="63DEB1F6"/>
    <w:rsid w:val="63E6AE03"/>
    <w:rsid w:val="63ECAB71"/>
    <w:rsid w:val="63FA91F6"/>
    <w:rsid w:val="6417A5A3"/>
    <w:rsid w:val="641BAFCD"/>
    <w:rsid w:val="64226785"/>
    <w:rsid w:val="6424B08E"/>
    <w:rsid w:val="64362B9E"/>
    <w:rsid w:val="643B5749"/>
    <w:rsid w:val="644E5BD5"/>
    <w:rsid w:val="6451BA29"/>
    <w:rsid w:val="64542F62"/>
    <w:rsid w:val="64619934"/>
    <w:rsid w:val="64646EA6"/>
    <w:rsid w:val="6465C736"/>
    <w:rsid w:val="646616E8"/>
    <w:rsid w:val="64666E63"/>
    <w:rsid w:val="64678A57"/>
    <w:rsid w:val="646F5E73"/>
    <w:rsid w:val="6476E1BE"/>
    <w:rsid w:val="647B16F5"/>
    <w:rsid w:val="647E940B"/>
    <w:rsid w:val="647FBF27"/>
    <w:rsid w:val="648595BA"/>
    <w:rsid w:val="648D0A77"/>
    <w:rsid w:val="649AFEF6"/>
    <w:rsid w:val="64A968F3"/>
    <w:rsid w:val="64AAB7B9"/>
    <w:rsid w:val="64AB61C1"/>
    <w:rsid w:val="64B2C5C7"/>
    <w:rsid w:val="64BD5F97"/>
    <w:rsid w:val="64BDE6E7"/>
    <w:rsid w:val="64BF0A8A"/>
    <w:rsid w:val="64C30129"/>
    <w:rsid w:val="64D90A97"/>
    <w:rsid w:val="64DFF6FC"/>
    <w:rsid w:val="64E4659F"/>
    <w:rsid w:val="650B377F"/>
    <w:rsid w:val="650BE68D"/>
    <w:rsid w:val="650CEADC"/>
    <w:rsid w:val="651B0AEF"/>
    <w:rsid w:val="651F63DA"/>
    <w:rsid w:val="6526ACCE"/>
    <w:rsid w:val="6536C20D"/>
    <w:rsid w:val="655A15FF"/>
    <w:rsid w:val="65734D26"/>
    <w:rsid w:val="65787D3F"/>
    <w:rsid w:val="657EB63C"/>
    <w:rsid w:val="6582FE03"/>
    <w:rsid w:val="6583BFB3"/>
    <w:rsid w:val="65857806"/>
    <w:rsid w:val="6588EF58"/>
    <w:rsid w:val="6591C3D7"/>
    <w:rsid w:val="65A38AB8"/>
    <w:rsid w:val="65A604E0"/>
    <w:rsid w:val="65AD0EB7"/>
    <w:rsid w:val="65B6ADE2"/>
    <w:rsid w:val="65CF21C3"/>
    <w:rsid w:val="65D58B3F"/>
    <w:rsid w:val="65DA16CE"/>
    <w:rsid w:val="65DDE7DA"/>
    <w:rsid w:val="65DF5F64"/>
    <w:rsid w:val="65E1E89C"/>
    <w:rsid w:val="65E92E3D"/>
    <w:rsid w:val="65EC2DA1"/>
    <w:rsid w:val="65EEC78D"/>
    <w:rsid w:val="65EF30ED"/>
    <w:rsid w:val="660C126E"/>
    <w:rsid w:val="6634D553"/>
    <w:rsid w:val="66393739"/>
    <w:rsid w:val="663F3381"/>
    <w:rsid w:val="6644B7B3"/>
    <w:rsid w:val="6646D2B3"/>
    <w:rsid w:val="6648FFD8"/>
    <w:rsid w:val="664CB553"/>
    <w:rsid w:val="664DB6F2"/>
    <w:rsid w:val="665B5A2E"/>
    <w:rsid w:val="6675B223"/>
    <w:rsid w:val="66776EDC"/>
    <w:rsid w:val="667B0ACC"/>
    <w:rsid w:val="667CD591"/>
    <w:rsid w:val="667D2099"/>
    <w:rsid w:val="6680A2C4"/>
    <w:rsid w:val="6689ADBA"/>
    <w:rsid w:val="66A27841"/>
    <w:rsid w:val="66ACE4C6"/>
    <w:rsid w:val="66B34299"/>
    <w:rsid w:val="66C39C83"/>
    <w:rsid w:val="66CB5CA8"/>
    <w:rsid w:val="66D16E9A"/>
    <w:rsid w:val="66D5D06E"/>
    <w:rsid w:val="66D76FEA"/>
    <w:rsid w:val="66E614A8"/>
    <w:rsid w:val="66F83A52"/>
    <w:rsid w:val="66F9EC3C"/>
    <w:rsid w:val="66FA58D7"/>
    <w:rsid w:val="670339CB"/>
    <w:rsid w:val="670F20A8"/>
    <w:rsid w:val="6711CAB2"/>
    <w:rsid w:val="671709A2"/>
    <w:rsid w:val="671852BF"/>
    <w:rsid w:val="671FC028"/>
    <w:rsid w:val="6740116C"/>
    <w:rsid w:val="674398E5"/>
    <w:rsid w:val="67467884"/>
    <w:rsid w:val="675183B3"/>
    <w:rsid w:val="675D2FC3"/>
    <w:rsid w:val="675E4858"/>
    <w:rsid w:val="67604559"/>
    <w:rsid w:val="6765991C"/>
    <w:rsid w:val="67709557"/>
    <w:rsid w:val="67720523"/>
    <w:rsid w:val="677A9A69"/>
    <w:rsid w:val="677B5842"/>
    <w:rsid w:val="677B8848"/>
    <w:rsid w:val="677C4442"/>
    <w:rsid w:val="67811144"/>
    <w:rsid w:val="67869387"/>
    <w:rsid w:val="67A28002"/>
    <w:rsid w:val="67BFBC01"/>
    <w:rsid w:val="67C0CB61"/>
    <w:rsid w:val="67C4BF1C"/>
    <w:rsid w:val="67C72025"/>
    <w:rsid w:val="67C878B5"/>
    <w:rsid w:val="67CEDF5C"/>
    <w:rsid w:val="67D81E8A"/>
    <w:rsid w:val="67DA48D5"/>
    <w:rsid w:val="67DFF048"/>
    <w:rsid w:val="67E001DA"/>
    <w:rsid w:val="67E09712"/>
    <w:rsid w:val="67EEBA3E"/>
    <w:rsid w:val="67F49109"/>
    <w:rsid w:val="67F759AC"/>
    <w:rsid w:val="67FF5166"/>
    <w:rsid w:val="68055255"/>
    <w:rsid w:val="680B2134"/>
    <w:rsid w:val="680F1EB2"/>
    <w:rsid w:val="68172E86"/>
    <w:rsid w:val="682D6059"/>
    <w:rsid w:val="682D838E"/>
    <w:rsid w:val="68352871"/>
    <w:rsid w:val="68363D59"/>
    <w:rsid w:val="683AF7AE"/>
    <w:rsid w:val="683F085F"/>
    <w:rsid w:val="68445BD1"/>
    <w:rsid w:val="686A5448"/>
    <w:rsid w:val="686BA7D5"/>
    <w:rsid w:val="68715003"/>
    <w:rsid w:val="68725883"/>
    <w:rsid w:val="689898AD"/>
    <w:rsid w:val="689AC8C9"/>
    <w:rsid w:val="68A28D7B"/>
    <w:rsid w:val="68A64C60"/>
    <w:rsid w:val="68C1A30D"/>
    <w:rsid w:val="68C25B24"/>
    <w:rsid w:val="68DB82C8"/>
    <w:rsid w:val="68DF6D0B"/>
    <w:rsid w:val="68E29433"/>
    <w:rsid w:val="68E8A0D0"/>
    <w:rsid w:val="68EB99E3"/>
    <w:rsid w:val="68FC1916"/>
    <w:rsid w:val="68FC9C3D"/>
    <w:rsid w:val="690A3156"/>
    <w:rsid w:val="690D2455"/>
    <w:rsid w:val="6913A2B7"/>
    <w:rsid w:val="69294D83"/>
    <w:rsid w:val="6935F5F7"/>
    <w:rsid w:val="69438C15"/>
    <w:rsid w:val="694A4E4F"/>
    <w:rsid w:val="697497FB"/>
    <w:rsid w:val="6978D517"/>
    <w:rsid w:val="69851D90"/>
    <w:rsid w:val="6985D2DF"/>
    <w:rsid w:val="698709C5"/>
    <w:rsid w:val="69993666"/>
    <w:rsid w:val="699A27FE"/>
    <w:rsid w:val="699D9F41"/>
    <w:rsid w:val="699E2745"/>
    <w:rsid w:val="69A17D52"/>
    <w:rsid w:val="69B0DA67"/>
    <w:rsid w:val="69BBB9A9"/>
    <w:rsid w:val="69C14F67"/>
    <w:rsid w:val="69D1D8A2"/>
    <w:rsid w:val="69DC3D0E"/>
    <w:rsid w:val="69E6AA31"/>
    <w:rsid w:val="69EB1321"/>
    <w:rsid w:val="69EE7856"/>
    <w:rsid w:val="69F16AEF"/>
    <w:rsid w:val="6A23D82B"/>
    <w:rsid w:val="6A297D62"/>
    <w:rsid w:val="6A2A54A7"/>
    <w:rsid w:val="6A2EBF4D"/>
    <w:rsid w:val="6A30F525"/>
    <w:rsid w:val="6A322004"/>
    <w:rsid w:val="6A3C3CE9"/>
    <w:rsid w:val="6A4341C6"/>
    <w:rsid w:val="6A4C2360"/>
    <w:rsid w:val="6A521BB4"/>
    <w:rsid w:val="6A6EFB9E"/>
    <w:rsid w:val="6A781250"/>
    <w:rsid w:val="6A80D40A"/>
    <w:rsid w:val="6A8A3631"/>
    <w:rsid w:val="6A90A4E7"/>
    <w:rsid w:val="6A90AC45"/>
    <w:rsid w:val="6A940B8D"/>
    <w:rsid w:val="6A96A61D"/>
    <w:rsid w:val="6A97BD6A"/>
    <w:rsid w:val="6A9D94D4"/>
    <w:rsid w:val="6AA0623F"/>
    <w:rsid w:val="6AA36E11"/>
    <w:rsid w:val="6AA50548"/>
    <w:rsid w:val="6AA8303D"/>
    <w:rsid w:val="6AAE06EB"/>
    <w:rsid w:val="6AB56AB1"/>
    <w:rsid w:val="6AB6E311"/>
    <w:rsid w:val="6ABA41D5"/>
    <w:rsid w:val="6ABB316E"/>
    <w:rsid w:val="6AC37BC0"/>
    <w:rsid w:val="6AC7A073"/>
    <w:rsid w:val="6ACBA61B"/>
    <w:rsid w:val="6ADCD659"/>
    <w:rsid w:val="6AE294B2"/>
    <w:rsid w:val="6AE451C0"/>
    <w:rsid w:val="6AE750AD"/>
    <w:rsid w:val="6AEDEAA5"/>
    <w:rsid w:val="6AF4FCF6"/>
    <w:rsid w:val="6AF824D6"/>
    <w:rsid w:val="6AFBFAAB"/>
    <w:rsid w:val="6B04EE5B"/>
    <w:rsid w:val="6B18565E"/>
    <w:rsid w:val="6B1C9835"/>
    <w:rsid w:val="6B1EEA25"/>
    <w:rsid w:val="6B301CE3"/>
    <w:rsid w:val="6B3810C3"/>
    <w:rsid w:val="6B48F028"/>
    <w:rsid w:val="6B597D32"/>
    <w:rsid w:val="6B60D381"/>
    <w:rsid w:val="6B6CE627"/>
    <w:rsid w:val="6B76CCFE"/>
    <w:rsid w:val="6B79E5DF"/>
    <w:rsid w:val="6B817206"/>
    <w:rsid w:val="6B8925B7"/>
    <w:rsid w:val="6B92E257"/>
    <w:rsid w:val="6B9FF5D7"/>
    <w:rsid w:val="6BA0AE55"/>
    <w:rsid w:val="6BAAC687"/>
    <w:rsid w:val="6BB2BB34"/>
    <w:rsid w:val="6BB8F916"/>
    <w:rsid w:val="6BBA4D04"/>
    <w:rsid w:val="6BBAE0DF"/>
    <w:rsid w:val="6BBF3A31"/>
    <w:rsid w:val="6BC2383C"/>
    <w:rsid w:val="6BC6A0E2"/>
    <w:rsid w:val="6BCB477C"/>
    <w:rsid w:val="6BCC0737"/>
    <w:rsid w:val="6BD2D607"/>
    <w:rsid w:val="6BF8E189"/>
    <w:rsid w:val="6BFA3FE7"/>
    <w:rsid w:val="6BFE0E44"/>
    <w:rsid w:val="6C017783"/>
    <w:rsid w:val="6C0378DE"/>
    <w:rsid w:val="6C038E23"/>
    <w:rsid w:val="6C094895"/>
    <w:rsid w:val="6C132ADC"/>
    <w:rsid w:val="6C1E29BF"/>
    <w:rsid w:val="6C2F3179"/>
    <w:rsid w:val="6C3455AB"/>
    <w:rsid w:val="6C3817A4"/>
    <w:rsid w:val="6C491459"/>
    <w:rsid w:val="6C4F4BF8"/>
    <w:rsid w:val="6C553DC9"/>
    <w:rsid w:val="6C5821CA"/>
    <w:rsid w:val="6C65FD78"/>
    <w:rsid w:val="6C681903"/>
    <w:rsid w:val="6C6B5C07"/>
    <w:rsid w:val="6C779170"/>
    <w:rsid w:val="6C7EE31A"/>
    <w:rsid w:val="6C8C646E"/>
    <w:rsid w:val="6C98061B"/>
    <w:rsid w:val="6CAACD8C"/>
    <w:rsid w:val="6CB3437C"/>
    <w:rsid w:val="6CC2D509"/>
    <w:rsid w:val="6CC8295E"/>
    <w:rsid w:val="6CE8637A"/>
    <w:rsid w:val="6CED0EB5"/>
    <w:rsid w:val="6CF5FF2A"/>
    <w:rsid w:val="6D04D19B"/>
    <w:rsid w:val="6D0E98E2"/>
    <w:rsid w:val="6D0EE6D4"/>
    <w:rsid w:val="6D153C1A"/>
    <w:rsid w:val="6D1D2607"/>
    <w:rsid w:val="6D2E377F"/>
    <w:rsid w:val="6D3EA07A"/>
    <w:rsid w:val="6D47BC0D"/>
    <w:rsid w:val="6D4F48C6"/>
    <w:rsid w:val="6D4F4AAE"/>
    <w:rsid w:val="6D503887"/>
    <w:rsid w:val="6D59325B"/>
    <w:rsid w:val="6D719A0C"/>
    <w:rsid w:val="6D76DE4C"/>
    <w:rsid w:val="6D88DE61"/>
    <w:rsid w:val="6D986A74"/>
    <w:rsid w:val="6DA47426"/>
    <w:rsid w:val="6DB0EF8C"/>
    <w:rsid w:val="6DB3451A"/>
    <w:rsid w:val="6DB7355B"/>
    <w:rsid w:val="6DB87689"/>
    <w:rsid w:val="6DC39E02"/>
    <w:rsid w:val="6DD0BD6F"/>
    <w:rsid w:val="6DD488EB"/>
    <w:rsid w:val="6DD8809A"/>
    <w:rsid w:val="6DE2FD34"/>
    <w:rsid w:val="6DEBE581"/>
    <w:rsid w:val="6DEF14FE"/>
    <w:rsid w:val="6E0A049D"/>
    <w:rsid w:val="6E11B098"/>
    <w:rsid w:val="6E147769"/>
    <w:rsid w:val="6E15E3ED"/>
    <w:rsid w:val="6E277048"/>
    <w:rsid w:val="6E33DFD8"/>
    <w:rsid w:val="6E409291"/>
    <w:rsid w:val="6E53E6FA"/>
    <w:rsid w:val="6E554257"/>
    <w:rsid w:val="6E677B8D"/>
    <w:rsid w:val="6E704532"/>
    <w:rsid w:val="6E7462BB"/>
    <w:rsid w:val="6E792858"/>
    <w:rsid w:val="6E7A05F5"/>
    <w:rsid w:val="6E7B2318"/>
    <w:rsid w:val="6E811F6F"/>
    <w:rsid w:val="6E8678FA"/>
    <w:rsid w:val="6E8A605E"/>
    <w:rsid w:val="6E900B80"/>
    <w:rsid w:val="6E95C22B"/>
    <w:rsid w:val="6E9D3F94"/>
    <w:rsid w:val="6E9D64C3"/>
    <w:rsid w:val="6E9E5E68"/>
    <w:rsid w:val="6EA1FA99"/>
    <w:rsid w:val="6EB876B8"/>
    <w:rsid w:val="6EB882E4"/>
    <w:rsid w:val="6EC6B1A9"/>
    <w:rsid w:val="6EE1C0DA"/>
    <w:rsid w:val="6EE9573C"/>
    <w:rsid w:val="6EF392C4"/>
    <w:rsid w:val="6F0B40B0"/>
    <w:rsid w:val="6F0C3223"/>
    <w:rsid w:val="6F18B467"/>
    <w:rsid w:val="6F2E9645"/>
    <w:rsid w:val="6F2F01FC"/>
    <w:rsid w:val="6F30EE24"/>
    <w:rsid w:val="6F376B9C"/>
    <w:rsid w:val="6F37765C"/>
    <w:rsid w:val="6F3EA780"/>
    <w:rsid w:val="6F4F957F"/>
    <w:rsid w:val="6F5E18E3"/>
    <w:rsid w:val="6F722238"/>
    <w:rsid w:val="6F784A53"/>
    <w:rsid w:val="6F7921AD"/>
    <w:rsid w:val="6F815461"/>
    <w:rsid w:val="6F86C931"/>
    <w:rsid w:val="6F87D101"/>
    <w:rsid w:val="6F96F989"/>
    <w:rsid w:val="6FA0E0D7"/>
    <w:rsid w:val="6FC06858"/>
    <w:rsid w:val="6FD92086"/>
    <w:rsid w:val="6FD9CB30"/>
    <w:rsid w:val="6FE0BFC6"/>
    <w:rsid w:val="6FE1075E"/>
    <w:rsid w:val="6FE1F13F"/>
    <w:rsid w:val="6FFC0A9F"/>
    <w:rsid w:val="700A4AF3"/>
    <w:rsid w:val="700BC325"/>
    <w:rsid w:val="701CE639"/>
    <w:rsid w:val="7024D1CC"/>
    <w:rsid w:val="70361FE4"/>
    <w:rsid w:val="70442B38"/>
    <w:rsid w:val="70454AD1"/>
    <w:rsid w:val="70482735"/>
    <w:rsid w:val="7051F66E"/>
    <w:rsid w:val="70578F29"/>
    <w:rsid w:val="705A2568"/>
    <w:rsid w:val="70623E65"/>
    <w:rsid w:val="70684F72"/>
    <w:rsid w:val="7070CD20"/>
    <w:rsid w:val="7077D65B"/>
    <w:rsid w:val="70824AE4"/>
    <w:rsid w:val="708C1405"/>
    <w:rsid w:val="70937C34"/>
    <w:rsid w:val="709DF610"/>
    <w:rsid w:val="709EA807"/>
    <w:rsid w:val="70B59CC5"/>
    <w:rsid w:val="70B707C6"/>
    <w:rsid w:val="70BF834A"/>
    <w:rsid w:val="70C2CA80"/>
    <w:rsid w:val="70D29584"/>
    <w:rsid w:val="70DBE6D8"/>
    <w:rsid w:val="70DE9F5C"/>
    <w:rsid w:val="70E09EC0"/>
    <w:rsid w:val="70EBF5C0"/>
    <w:rsid w:val="710FF3BF"/>
    <w:rsid w:val="71137847"/>
    <w:rsid w:val="7118E441"/>
    <w:rsid w:val="7120C4CA"/>
    <w:rsid w:val="7123C000"/>
    <w:rsid w:val="7124792F"/>
    <w:rsid w:val="713DECE7"/>
    <w:rsid w:val="714878A6"/>
    <w:rsid w:val="7148C1CB"/>
    <w:rsid w:val="714DCE8E"/>
    <w:rsid w:val="71608158"/>
    <w:rsid w:val="71673819"/>
    <w:rsid w:val="71770D29"/>
    <w:rsid w:val="718C5A06"/>
    <w:rsid w:val="719C6B72"/>
    <w:rsid w:val="719F2024"/>
    <w:rsid w:val="71A11EED"/>
    <w:rsid w:val="71B7D1DC"/>
    <w:rsid w:val="71BD2453"/>
    <w:rsid w:val="71BD948E"/>
    <w:rsid w:val="71CD1362"/>
    <w:rsid w:val="71D0298E"/>
    <w:rsid w:val="71DE1C93"/>
    <w:rsid w:val="71E06AFA"/>
    <w:rsid w:val="71E60109"/>
    <w:rsid w:val="71E99352"/>
    <w:rsid w:val="71EF21FA"/>
    <w:rsid w:val="71F3A643"/>
    <w:rsid w:val="71F90CA9"/>
    <w:rsid w:val="71FA5390"/>
    <w:rsid w:val="71FAA911"/>
    <w:rsid w:val="72031792"/>
    <w:rsid w:val="720B2084"/>
    <w:rsid w:val="720E2C9D"/>
    <w:rsid w:val="721DE99C"/>
    <w:rsid w:val="72280C69"/>
    <w:rsid w:val="722A88B2"/>
    <w:rsid w:val="7230FE85"/>
    <w:rsid w:val="72366AC3"/>
    <w:rsid w:val="7239B9F9"/>
    <w:rsid w:val="723E1A17"/>
    <w:rsid w:val="723E9408"/>
    <w:rsid w:val="7241A502"/>
    <w:rsid w:val="7247D4CE"/>
    <w:rsid w:val="72481EF9"/>
    <w:rsid w:val="72493659"/>
    <w:rsid w:val="72624FE2"/>
    <w:rsid w:val="72666088"/>
    <w:rsid w:val="726B5B4C"/>
    <w:rsid w:val="726E6533"/>
    <w:rsid w:val="727775D5"/>
    <w:rsid w:val="727F86CC"/>
    <w:rsid w:val="728BD01F"/>
    <w:rsid w:val="729390C7"/>
    <w:rsid w:val="729BF9E3"/>
    <w:rsid w:val="729FED1D"/>
    <w:rsid w:val="72A8FAB1"/>
    <w:rsid w:val="72B43C53"/>
    <w:rsid w:val="72B4573F"/>
    <w:rsid w:val="72B64E15"/>
    <w:rsid w:val="72BE0A56"/>
    <w:rsid w:val="72CAB646"/>
    <w:rsid w:val="72CBA4C6"/>
    <w:rsid w:val="72CEF3CC"/>
    <w:rsid w:val="72D0FA53"/>
    <w:rsid w:val="72EF0965"/>
    <w:rsid w:val="72F2BFD3"/>
    <w:rsid w:val="72F46217"/>
    <w:rsid w:val="72FD9295"/>
    <w:rsid w:val="731216CC"/>
    <w:rsid w:val="731F096D"/>
    <w:rsid w:val="73228922"/>
    <w:rsid w:val="7322CD45"/>
    <w:rsid w:val="732836A9"/>
    <w:rsid w:val="7335DB28"/>
    <w:rsid w:val="7338EB81"/>
    <w:rsid w:val="734BD75B"/>
    <w:rsid w:val="734E1591"/>
    <w:rsid w:val="7353CCC1"/>
    <w:rsid w:val="7359ED58"/>
    <w:rsid w:val="735F75EE"/>
    <w:rsid w:val="73646664"/>
    <w:rsid w:val="73656A2B"/>
    <w:rsid w:val="73689726"/>
    <w:rsid w:val="736A26A2"/>
    <w:rsid w:val="736AF740"/>
    <w:rsid w:val="7370A327"/>
    <w:rsid w:val="737F9877"/>
    <w:rsid w:val="7387606C"/>
    <w:rsid w:val="739A23EE"/>
    <w:rsid w:val="73AF45DC"/>
    <w:rsid w:val="73B49A2E"/>
    <w:rsid w:val="73BA4EF9"/>
    <w:rsid w:val="73BB7B76"/>
    <w:rsid w:val="73C40D83"/>
    <w:rsid w:val="73C4779B"/>
    <w:rsid w:val="73CA77C6"/>
    <w:rsid w:val="73CEF4BE"/>
    <w:rsid w:val="73D6CA1E"/>
    <w:rsid w:val="73DF6FC4"/>
    <w:rsid w:val="73F3CF6E"/>
    <w:rsid w:val="74145ECB"/>
    <w:rsid w:val="7418DF42"/>
    <w:rsid w:val="7431E818"/>
    <w:rsid w:val="74364367"/>
    <w:rsid w:val="743B5A16"/>
    <w:rsid w:val="7442D75C"/>
    <w:rsid w:val="74483A0E"/>
    <w:rsid w:val="744BD238"/>
    <w:rsid w:val="744F28F5"/>
    <w:rsid w:val="744F5B97"/>
    <w:rsid w:val="7459143E"/>
    <w:rsid w:val="745D2FD4"/>
    <w:rsid w:val="745F7DBC"/>
    <w:rsid w:val="746E6BC8"/>
    <w:rsid w:val="746E9F4B"/>
    <w:rsid w:val="74704F97"/>
    <w:rsid w:val="7484E162"/>
    <w:rsid w:val="748C1E0D"/>
    <w:rsid w:val="7498F815"/>
    <w:rsid w:val="749F05FB"/>
    <w:rsid w:val="749F1766"/>
    <w:rsid w:val="74A0C6CA"/>
    <w:rsid w:val="74A65FF2"/>
    <w:rsid w:val="74AB923C"/>
    <w:rsid w:val="74B2E3F5"/>
    <w:rsid w:val="74D40FE1"/>
    <w:rsid w:val="74E4DA5A"/>
    <w:rsid w:val="74FA8C03"/>
    <w:rsid w:val="74FCC2A4"/>
    <w:rsid w:val="75025ED7"/>
    <w:rsid w:val="750731F4"/>
    <w:rsid w:val="7510B4BE"/>
    <w:rsid w:val="75308925"/>
    <w:rsid w:val="7530E26F"/>
    <w:rsid w:val="754C41E5"/>
    <w:rsid w:val="754CDE11"/>
    <w:rsid w:val="755DBD58"/>
    <w:rsid w:val="75612A33"/>
    <w:rsid w:val="7561A68C"/>
    <w:rsid w:val="756A1363"/>
    <w:rsid w:val="75774912"/>
    <w:rsid w:val="7582DCBF"/>
    <w:rsid w:val="75845068"/>
    <w:rsid w:val="75ABFA55"/>
    <w:rsid w:val="75AC68C6"/>
    <w:rsid w:val="75AF106D"/>
    <w:rsid w:val="75B1F8EA"/>
    <w:rsid w:val="75BBEFE8"/>
    <w:rsid w:val="75BF46F9"/>
    <w:rsid w:val="75C2CEA6"/>
    <w:rsid w:val="75C5450C"/>
    <w:rsid w:val="75D83C94"/>
    <w:rsid w:val="75E35402"/>
    <w:rsid w:val="75F41673"/>
    <w:rsid w:val="760BF5B0"/>
    <w:rsid w:val="760FA59B"/>
    <w:rsid w:val="76182A10"/>
    <w:rsid w:val="762E14FA"/>
    <w:rsid w:val="763DF802"/>
    <w:rsid w:val="7640FC30"/>
    <w:rsid w:val="764BA53D"/>
    <w:rsid w:val="7650413E"/>
    <w:rsid w:val="765AD33B"/>
    <w:rsid w:val="766CBB37"/>
    <w:rsid w:val="766F3D10"/>
    <w:rsid w:val="76731733"/>
    <w:rsid w:val="76759E99"/>
    <w:rsid w:val="767BB851"/>
    <w:rsid w:val="76877FDA"/>
    <w:rsid w:val="768C981D"/>
    <w:rsid w:val="7691261F"/>
    <w:rsid w:val="7691C721"/>
    <w:rsid w:val="76934BCB"/>
    <w:rsid w:val="7694EA4C"/>
    <w:rsid w:val="769522CD"/>
    <w:rsid w:val="769D9D64"/>
    <w:rsid w:val="76A87FCD"/>
    <w:rsid w:val="76C944EB"/>
    <w:rsid w:val="76D2004E"/>
    <w:rsid w:val="76E300A7"/>
    <w:rsid w:val="76E9D42D"/>
    <w:rsid w:val="76EF7667"/>
    <w:rsid w:val="77034CEB"/>
    <w:rsid w:val="77124F19"/>
    <w:rsid w:val="7716C647"/>
    <w:rsid w:val="771C8815"/>
    <w:rsid w:val="771D6A4D"/>
    <w:rsid w:val="7724AA96"/>
    <w:rsid w:val="77256D42"/>
    <w:rsid w:val="77257D38"/>
    <w:rsid w:val="7731BA0F"/>
    <w:rsid w:val="773EEDAC"/>
    <w:rsid w:val="7747E93E"/>
    <w:rsid w:val="7748524A"/>
    <w:rsid w:val="775D382F"/>
    <w:rsid w:val="776232B3"/>
    <w:rsid w:val="776540ED"/>
    <w:rsid w:val="7774A9E5"/>
    <w:rsid w:val="77773F08"/>
    <w:rsid w:val="777C671A"/>
    <w:rsid w:val="7787C33A"/>
    <w:rsid w:val="778FF85E"/>
    <w:rsid w:val="77956C64"/>
    <w:rsid w:val="779747C9"/>
    <w:rsid w:val="779A71A8"/>
    <w:rsid w:val="779DA58C"/>
    <w:rsid w:val="77A2140A"/>
    <w:rsid w:val="77AC48B9"/>
    <w:rsid w:val="77AE72C8"/>
    <w:rsid w:val="77B6FED3"/>
    <w:rsid w:val="77BE60CB"/>
    <w:rsid w:val="77C2334B"/>
    <w:rsid w:val="77CC91C5"/>
    <w:rsid w:val="77D171D3"/>
    <w:rsid w:val="77DC7D2C"/>
    <w:rsid w:val="77DF8AF0"/>
    <w:rsid w:val="77E5DB93"/>
    <w:rsid w:val="77E77638"/>
    <w:rsid w:val="77F57040"/>
    <w:rsid w:val="77F7E251"/>
    <w:rsid w:val="77F83743"/>
    <w:rsid w:val="77FB0545"/>
    <w:rsid w:val="7814E14D"/>
    <w:rsid w:val="781CEC35"/>
    <w:rsid w:val="782B79C0"/>
    <w:rsid w:val="782CE0F2"/>
    <w:rsid w:val="782F2A95"/>
    <w:rsid w:val="78348099"/>
    <w:rsid w:val="7842284A"/>
    <w:rsid w:val="7842F1DD"/>
    <w:rsid w:val="784556D7"/>
    <w:rsid w:val="7851B8F6"/>
    <w:rsid w:val="7855106D"/>
    <w:rsid w:val="786A7904"/>
    <w:rsid w:val="786A96CC"/>
    <w:rsid w:val="786DDAE0"/>
    <w:rsid w:val="786EF86E"/>
    <w:rsid w:val="788D84AD"/>
    <w:rsid w:val="789D3CD5"/>
    <w:rsid w:val="78AC6351"/>
    <w:rsid w:val="78B10E67"/>
    <w:rsid w:val="78B1A61D"/>
    <w:rsid w:val="78B1AD0B"/>
    <w:rsid w:val="78BDF65A"/>
    <w:rsid w:val="78C2E130"/>
    <w:rsid w:val="78C3405F"/>
    <w:rsid w:val="78C37417"/>
    <w:rsid w:val="78D23189"/>
    <w:rsid w:val="78DC5917"/>
    <w:rsid w:val="78DC7071"/>
    <w:rsid w:val="78E88311"/>
    <w:rsid w:val="78E93A58"/>
    <w:rsid w:val="78F2063E"/>
    <w:rsid w:val="78F30225"/>
    <w:rsid w:val="790D4516"/>
    <w:rsid w:val="790E34DA"/>
    <w:rsid w:val="791084DF"/>
    <w:rsid w:val="79110C79"/>
    <w:rsid w:val="793114D4"/>
    <w:rsid w:val="79356BC3"/>
    <w:rsid w:val="79394F04"/>
    <w:rsid w:val="793A4668"/>
    <w:rsid w:val="793A7DA6"/>
    <w:rsid w:val="79409DB8"/>
    <w:rsid w:val="79426DA5"/>
    <w:rsid w:val="79493936"/>
    <w:rsid w:val="794BD20E"/>
    <w:rsid w:val="794BFCA9"/>
    <w:rsid w:val="7950B3DC"/>
    <w:rsid w:val="795DA7D5"/>
    <w:rsid w:val="795F11EC"/>
    <w:rsid w:val="7963E34B"/>
    <w:rsid w:val="796AA6B4"/>
    <w:rsid w:val="796E7D18"/>
    <w:rsid w:val="7970DE31"/>
    <w:rsid w:val="79754E9D"/>
    <w:rsid w:val="7976E006"/>
    <w:rsid w:val="797A7DDD"/>
    <w:rsid w:val="7987043C"/>
    <w:rsid w:val="798A5D88"/>
    <w:rsid w:val="798D8CCF"/>
    <w:rsid w:val="79A186DA"/>
    <w:rsid w:val="79A69B17"/>
    <w:rsid w:val="79A75929"/>
    <w:rsid w:val="79A9D0FC"/>
    <w:rsid w:val="79ABFDD2"/>
    <w:rsid w:val="79C0A1C4"/>
    <w:rsid w:val="79C3DE44"/>
    <w:rsid w:val="79CDC27E"/>
    <w:rsid w:val="79D5DCF7"/>
    <w:rsid w:val="79DADCB9"/>
    <w:rsid w:val="79EEBADA"/>
    <w:rsid w:val="79F1B7D3"/>
    <w:rsid w:val="79F54557"/>
    <w:rsid w:val="79FBE102"/>
    <w:rsid w:val="79FE5F6C"/>
    <w:rsid w:val="7A20D7E1"/>
    <w:rsid w:val="7A244626"/>
    <w:rsid w:val="7A2603DD"/>
    <w:rsid w:val="7A2855ED"/>
    <w:rsid w:val="7A383069"/>
    <w:rsid w:val="7A3BC00E"/>
    <w:rsid w:val="7A3BC019"/>
    <w:rsid w:val="7A3DE8DA"/>
    <w:rsid w:val="7A4C1E65"/>
    <w:rsid w:val="7A50EC03"/>
    <w:rsid w:val="7A520E5E"/>
    <w:rsid w:val="7A52D85F"/>
    <w:rsid w:val="7A5F8B6F"/>
    <w:rsid w:val="7A809871"/>
    <w:rsid w:val="7A8475CD"/>
    <w:rsid w:val="7A9491BB"/>
    <w:rsid w:val="7A97D30C"/>
    <w:rsid w:val="7A9F5ECB"/>
    <w:rsid w:val="7AAB5F6A"/>
    <w:rsid w:val="7AB3624B"/>
    <w:rsid w:val="7AB5A213"/>
    <w:rsid w:val="7AB5D251"/>
    <w:rsid w:val="7AC3A9FC"/>
    <w:rsid w:val="7AC5803A"/>
    <w:rsid w:val="7AC76125"/>
    <w:rsid w:val="7AC8BA93"/>
    <w:rsid w:val="7AD07B0A"/>
    <w:rsid w:val="7AD20167"/>
    <w:rsid w:val="7AD76917"/>
    <w:rsid w:val="7AD930B4"/>
    <w:rsid w:val="7AE1B1C5"/>
    <w:rsid w:val="7AED64E7"/>
    <w:rsid w:val="7AF7CBD9"/>
    <w:rsid w:val="7B01551F"/>
    <w:rsid w:val="7B04795B"/>
    <w:rsid w:val="7B0EE0EF"/>
    <w:rsid w:val="7B158FC3"/>
    <w:rsid w:val="7B1F853C"/>
    <w:rsid w:val="7B268FE0"/>
    <w:rsid w:val="7B2F00C6"/>
    <w:rsid w:val="7B37E0A2"/>
    <w:rsid w:val="7B386AFB"/>
    <w:rsid w:val="7B3D7437"/>
    <w:rsid w:val="7B45B06D"/>
    <w:rsid w:val="7B497A8F"/>
    <w:rsid w:val="7B498B13"/>
    <w:rsid w:val="7B5188AF"/>
    <w:rsid w:val="7B550477"/>
    <w:rsid w:val="7B5F3728"/>
    <w:rsid w:val="7B61CCCE"/>
    <w:rsid w:val="7B665558"/>
    <w:rsid w:val="7B66E2ED"/>
    <w:rsid w:val="7B6769F3"/>
    <w:rsid w:val="7B69308B"/>
    <w:rsid w:val="7B6F462E"/>
    <w:rsid w:val="7B8BD23C"/>
    <w:rsid w:val="7B97F01C"/>
    <w:rsid w:val="7BB150A1"/>
    <w:rsid w:val="7BB30A17"/>
    <w:rsid w:val="7BB4ACDF"/>
    <w:rsid w:val="7BB6E044"/>
    <w:rsid w:val="7BBC5334"/>
    <w:rsid w:val="7BCC4957"/>
    <w:rsid w:val="7BCF5C47"/>
    <w:rsid w:val="7BDE89EE"/>
    <w:rsid w:val="7BE2787A"/>
    <w:rsid w:val="7BE792D3"/>
    <w:rsid w:val="7BF42588"/>
    <w:rsid w:val="7BF60E22"/>
    <w:rsid w:val="7C000569"/>
    <w:rsid w:val="7C04698C"/>
    <w:rsid w:val="7C07C9BE"/>
    <w:rsid w:val="7C13D3C0"/>
    <w:rsid w:val="7C24F59A"/>
    <w:rsid w:val="7C2A8012"/>
    <w:rsid w:val="7C3334EF"/>
    <w:rsid w:val="7C7D97A0"/>
    <w:rsid w:val="7C81D98D"/>
    <w:rsid w:val="7C8561B7"/>
    <w:rsid w:val="7C890E3E"/>
    <w:rsid w:val="7C9B1E22"/>
    <w:rsid w:val="7CA88645"/>
    <w:rsid w:val="7CA906BF"/>
    <w:rsid w:val="7CAE9C0E"/>
    <w:rsid w:val="7CBCC314"/>
    <w:rsid w:val="7CC0ACA7"/>
    <w:rsid w:val="7CC2FE60"/>
    <w:rsid w:val="7CC43C42"/>
    <w:rsid w:val="7CC4FA2D"/>
    <w:rsid w:val="7CCDB6FD"/>
    <w:rsid w:val="7CD4C8E7"/>
    <w:rsid w:val="7CDF40E0"/>
    <w:rsid w:val="7CEB9153"/>
    <w:rsid w:val="7CEE02C8"/>
    <w:rsid w:val="7CEF3BCC"/>
    <w:rsid w:val="7CF156A6"/>
    <w:rsid w:val="7CF7C168"/>
    <w:rsid w:val="7D214284"/>
    <w:rsid w:val="7D2D7EE7"/>
    <w:rsid w:val="7D328C1D"/>
    <w:rsid w:val="7D38B939"/>
    <w:rsid w:val="7D5A482E"/>
    <w:rsid w:val="7D662876"/>
    <w:rsid w:val="7D719FA8"/>
    <w:rsid w:val="7D75BFEB"/>
    <w:rsid w:val="7D789B06"/>
    <w:rsid w:val="7D79648D"/>
    <w:rsid w:val="7D7B243E"/>
    <w:rsid w:val="7D8A27FC"/>
    <w:rsid w:val="7D9472BE"/>
    <w:rsid w:val="7DA3F4F4"/>
    <w:rsid w:val="7DA43F00"/>
    <w:rsid w:val="7DA92CB3"/>
    <w:rsid w:val="7DB20B2D"/>
    <w:rsid w:val="7DB70082"/>
    <w:rsid w:val="7DB71ABB"/>
    <w:rsid w:val="7DBE0284"/>
    <w:rsid w:val="7DC34F8A"/>
    <w:rsid w:val="7DC6D26E"/>
    <w:rsid w:val="7DCF9F6B"/>
    <w:rsid w:val="7DD2923A"/>
    <w:rsid w:val="7DD67B1E"/>
    <w:rsid w:val="7DDA71E6"/>
    <w:rsid w:val="7DDAF4C3"/>
    <w:rsid w:val="7DDDAB9D"/>
    <w:rsid w:val="7DE74043"/>
    <w:rsid w:val="7DF32266"/>
    <w:rsid w:val="7DFD683B"/>
    <w:rsid w:val="7DFE888F"/>
    <w:rsid w:val="7E01E254"/>
    <w:rsid w:val="7E13FFF5"/>
    <w:rsid w:val="7E1563F9"/>
    <w:rsid w:val="7E24D17F"/>
    <w:rsid w:val="7E2F1AF5"/>
    <w:rsid w:val="7E457A40"/>
    <w:rsid w:val="7E4FA1CC"/>
    <w:rsid w:val="7E5176B0"/>
    <w:rsid w:val="7E5AD828"/>
    <w:rsid w:val="7E6262BE"/>
    <w:rsid w:val="7E687395"/>
    <w:rsid w:val="7E6A4893"/>
    <w:rsid w:val="7E7A0F47"/>
    <w:rsid w:val="7E8E6792"/>
    <w:rsid w:val="7E902C59"/>
    <w:rsid w:val="7EA30519"/>
    <w:rsid w:val="7EB0D6AB"/>
    <w:rsid w:val="7EB6A504"/>
    <w:rsid w:val="7ECD6D9E"/>
    <w:rsid w:val="7ECFB582"/>
    <w:rsid w:val="7ECFEAE8"/>
    <w:rsid w:val="7ED203F4"/>
    <w:rsid w:val="7EE2A262"/>
    <w:rsid w:val="7EE2EA22"/>
    <w:rsid w:val="7EE46384"/>
    <w:rsid w:val="7EF6EC4C"/>
    <w:rsid w:val="7EFB5865"/>
    <w:rsid w:val="7F04A908"/>
    <w:rsid w:val="7F0E3860"/>
    <w:rsid w:val="7F0F7FC2"/>
    <w:rsid w:val="7F139C0D"/>
    <w:rsid w:val="7F24FDA5"/>
    <w:rsid w:val="7F37AAD7"/>
    <w:rsid w:val="7F47CD49"/>
    <w:rsid w:val="7F510099"/>
    <w:rsid w:val="7F544BBB"/>
    <w:rsid w:val="7F686AD6"/>
    <w:rsid w:val="7F6ECBB2"/>
    <w:rsid w:val="7F7B32AB"/>
    <w:rsid w:val="7F82A627"/>
    <w:rsid w:val="7F880DEC"/>
    <w:rsid w:val="7F8CFBF3"/>
    <w:rsid w:val="7F92D0C4"/>
    <w:rsid w:val="7F992AA8"/>
    <w:rsid w:val="7FAC18D9"/>
    <w:rsid w:val="7FB36F72"/>
    <w:rsid w:val="7FB7628F"/>
    <w:rsid w:val="7FE174AF"/>
    <w:rsid w:val="7FF2BD09"/>
    <w:rsid w:val="7FF3CD65"/>
    <w:rsid w:val="7FF672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6D7B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t-PT"/>
    </w:rPr>
  </w:style>
  <w:style w:type="paragraph" w:styleId="Heading1">
    <w:name w:val="heading 1"/>
    <w:basedOn w:val="Normal"/>
    <w:next w:val="Text1"/>
    <w:link w:val="Heading1Char"/>
    <w:uiPriority w:val="9"/>
    <w:qFormat/>
    <w:pPr>
      <w:keepNext/>
      <w:numPr>
        <w:numId w:val="5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5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5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5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5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5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51"/>
      </w:numPr>
      <w:outlineLvl w:val="6"/>
    </w:pPr>
    <w:rPr>
      <w:rFonts w:eastAsiaTheme="majorEastAsia"/>
      <w:iCs/>
    </w:rPr>
  </w:style>
  <w:style w:type="paragraph" w:styleId="Heading8">
    <w:name w:val="heading 8"/>
    <w:basedOn w:val="Normal"/>
    <w:next w:val="Normal"/>
    <w:link w:val="Heading8Char"/>
    <w:uiPriority w:val="9"/>
    <w:semiHidden/>
    <w:unhideWhenUsed/>
    <w:qFormat/>
    <w:rsid w:val="002B401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B401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FF2EDA"/>
    <w:pPr>
      <w:numPr>
        <w:numId w:val="2"/>
      </w:numPr>
      <w:tabs>
        <w:tab w:val="num" w:pos="360"/>
      </w:tabs>
      <w:ind w:left="0" w:firstLine="0"/>
    </w:pPr>
    <w:rPr>
      <w:rFonts w:eastAsia="Times New Roman"/>
      <w:lang w:eastAsia="de-DE"/>
    </w:rPr>
  </w:style>
  <w:style w:type="paragraph" w:styleId="ListNumber">
    <w:name w:val="List Number"/>
    <w:basedOn w:val="Normal"/>
    <w:rsid w:val="00FF2EDA"/>
    <w:pPr>
      <w:numPr>
        <w:numId w:val="6"/>
      </w:numPr>
    </w:pPr>
    <w:rPr>
      <w:rFonts w:eastAsia="Times New Roman"/>
      <w:lang w:eastAsia="de-DE"/>
    </w:rPr>
  </w:style>
  <w:style w:type="paragraph" w:customStyle="1" w:styleId="ListBullet1">
    <w:name w:val="List Bullet 1"/>
    <w:basedOn w:val="Normal"/>
    <w:rsid w:val="00FF2EDA"/>
    <w:pPr>
      <w:numPr>
        <w:numId w:val="1"/>
      </w:numPr>
    </w:pPr>
    <w:rPr>
      <w:rFonts w:eastAsia="Times New Roman"/>
      <w:lang w:eastAsia="de-DE"/>
    </w:rPr>
  </w:style>
  <w:style w:type="paragraph" w:customStyle="1" w:styleId="ListDash">
    <w:name w:val="List Dash"/>
    <w:basedOn w:val="Normal"/>
    <w:rsid w:val="00FF2EDA"/>
    <w:pPr>
      <w:numPr>
        <w:numId w:val="3"/>
      </w:numPr>
    </w:pPr>
    <w:rPr>
      <w:rFonts w:eastAsia="Times New Roman"/>
      <w:lang w:eastAsia="de-DE"/>
    </w:rPr>
  </w:style>
  <w:style w:type="paragraph" w:customStyle="1" w:styleId="ListDash1">
    <w:name w:val="List Dash 1"/>
    <w:basedOn w:val="Normal"/>
    <w:rsid w:val="00FF2EDA"/>
    <w:pPr>
      <w:numPr>
        <w:numId w:val="4"/>
      </w:numPr>
    </w:pPr>
    <w:rPr>
      <w:rFonts w:eastAsia="Times New Roman"/>
      <w:lang w:eastAsia="de-DE"/>
    </w:rPr>
  </w:style>
  <w:style w:type="paragraph" w:customStyle="1" w:styleId="ListDash2">
    <w:name w:val="List Dash 2"/>
    <w:basedOn w:val="Normal"/>
    <w:rsid w:val="00FF2EDA"/>
    <w:pPr>
      <w:numPr>
        <w:numId w:val="5"/>
      </w:numPr>
    </w:pPr>
    <w:rPr>
      <w:rFonts w:eastAsia="Times New Roman"/>
      <w:lang w:eastAsia="de-DE"/>
    </w:rPr>
  </w:style>
  <w:style w:type="paragraph" w:customStyle="1" w:styleId="ListNumberLevel2">
    <w:name w:val="List Number (Level 2)"/>
    <w:basedOn w:val="Normal"/>
    <w:rsid w:val="00FF2EDA"/>
    <w:pPr>
      <w:numPr>
        <w:ilvl w:val="1"/>
        <w:numId w:val="6"/>
      </w:numPr>
    </w:pPr>
    <w:rPr>
      <w:rFonts w:eastAsia="Times New Roman"/>
      <w:lang w:eastAsia="de-DE"/>
    </w:rPr>
  </w:style>
  <w:style w:type="paragraph" w:customStyle="1" w:styleId="ListNumberLevel3">
    <w:name w:val="List Number (Level 3)"/>
    <w:basedOn w:val="Normal"/>
    <w:rsid w:val="00FF2EDA"/>
    <w:pPr>
      <w:numPr>
        <w:ilvl w:val="2"/>
        <w:numId w:val="6"/>
      </w:numPr>
    </w:pPr>
    <w:rPr>
      <w:rFonts w:eastAsia="Times New Roman"/>
      <w:lang w:eastAsia="de-DE"/>
    </w:rPr>
  </w:style>
  <w:style w:type="paragraph" w:customStyle="1" w:styleId="ListNumberLevel4">
    <w:name w:val="List Number (Level 4)"/>
    <w:basedOn w:val="Normal"/>
    <w:rsid w:val="00FF2EDA"/>
    <w:pPr>
      <w:numPr>
        <w:ilvl w:val="3"/>
        <w:numId w:val="6"/>
      </w:numPr>
    </w:pPr>
    <w:rPr>
      <w:rFonts w:eastAsia="Times New Roman"/>
      <w:lang w:eastAsia="de-DE"/>
    </w:rPr>
  </w:style>
  <w:style w:type="table" w:styleId="TableGrid">
    <w:name w:val="Table Grid"/>
    <w:basedOn w:val="TableNormal"/>
    <w:rsid w:val="00FF2EDA"/>
    <w:pPr>
      <w:spacing w:before="120" w:after="120" w:line="240" w:lineRule="auto"/>
      <w:jc w:val="both"/>
    </w:pPr>
    <w:rPr>
      <w:rFonts w:ascii="Times New Roman" w:eastAsia="Times New Roman" w:hAnsi="Times New Roman" w:cs="Times New Roman"/>
      <w:sz w:val="20"/>
      <w:szCs w:val="20"/>
      <w:lang w:eastAsia="en-IE"/>
    </w:rPr>
    <w:tblPr/>
  </w:style>
  <w:style w:type="character" w:styleId="Hyperlink">
    <w:name w:val="Hyperlink"/>
    <w:uiPriority w:val="99"/>
    <w:rsid w:val="00FF2EDA"/>
    <w:rPr>
      <w:color w:val="0000FF"/>
      <w:u w:val="single"/>
    </w:rPr>
  </w:style>
  <w:style w:type="paragraph" w:styleId="ListBullet">
    <w:name w:val="List Bullet"/>
    <w:basedOn w:val="Normal"/>
    <w:rsid w:val="00FF2EDA"/>
    <w:pPr>
      <w:numPr>
        <w:numId w:val="7"/>
      </w:numPr>
    </w:pPr>
    <w:rPr>
      <w:rFonts w:eastAsia="Times New Roman"/>
      <w:lang w:eastAsia="en-GB"/>
    </w:rPr>
  </w:style>
  <w:style w:type="paragraph" w:styleId="ListBullet2">
    <w:name w:val="List Bullet 2"/>
    <w:basedOn w:val="Normal"/>
    <w:rsid w:val="00FF2EDA"/>
    <w:pPr>
      <w:numPr>
        <w:numId w:val="8"/>
      </w:numPr>
    </w:pPr>
    <w:rPr>
      <w:rFonts w:eastAsia="Times New Roman"/>
      <w:lang w:eastAsia="en-GB"/>
    </w:rPr>
  </w:style>
  <w:style w:type="paragraph" w:styleId="ListBullet3">
    <w:name w:val="List Bullet 3"/>
    <w:basedOn w:val="Normal"/>
    <w:rsid w:val="00FF2EDA"/>
    <w:pPr>
      <w:numPr>
        <w:numId w:val="9"/>
      </w:numPr>
    </w:pPr>
    <w:rPr>
      <w:rFonts w:eastAsia="Times New Roman"/>
      <w:lang w:eastAsia="en-GB"/>
    </w:rPr>
  </w:style>
  <w:style w:type="paragraph" w:styleId="ListNumber2">
    <w:name w:val="List Number 2"/>
    <w:basedOn w:val="Normal"/>
    <w:rsid w:val="00FF2EDA"/>
    <w:pPr>
      <w:numPr>
        <w:numId w:val="13"/>
      </w:numPr>
    </w:pPr>
    <w:rPr>
      <w:rFonts w:eastAsia="Times New Roman"/>
      <w:lang w:eastAsia="en-GB"/>
    </w:rPr>
  </w:style>
  <w:style w:type="paragraph" w:styleId="ListNumber3">
    <w:name w:val="List Number 3"/>
    <w:basedOn w:val="Normal"/>
    <w:rsid w:val="00FF2EDA"/>
    <w:pPr>
      <w:numPr>
        <w:numId w:val="14"/>
      </w:numPr>
    </w:pPr>
    <w:rPr>
      <w:rFonts w:eastAsia="Times New Roman"/>
      <w:lang w:eastAsia="en-GB"/>
    </w:rPr>
  </w:style>
  <w:style w:type="paragraph" w:styleId="ListNumber4">
    <w:name w:val="List Number 4"/>
    <w:basedOn w:val="Normal"/>
    <w:rsid w:val="00FF2EDA"/>
    <w:pPr>
      <w:numPr>
        <w:numId w:val="15"/>
      </w:numPr>
    </w:pPr>
    <w:rPr>
      <w:rFonts w:eastAsia="Times New Roman"/>
      <w:lang w:eastAsia="en-GB"/>
    </w:rPr>
  </w:style>
  <w:style w:type="paragraph" w:customStyle="1" w:styleId="ListDash3">
    <w:name w:val="List Dash 3"/>
    <w:basedOn w:val="Normal"/>
    <w:rsid w:val="00FF2EDA"/>
    <w:pPr>
      <w:numPr>
        <w:numId w:val="10"/>
      </w:numPr>
    </w:pPr>
    <w:rPr>
      <w:rFonts w:eastAsia="Times New Roman"/>
      <w:lang w:eastAsia="en-GB"/>
    </w:rPr>
  </w:style>
  <w:style w:type="paragraph" w:customStyle="1" w:styleId="ListDash4">
    <w:name w:val="List Dash 4"/>
    <w:basedOn w:val="Normal"/>
    <w:rsid w:val="00FF2EDA"/>
    <w:pPr>
      <w:numPr>
        <w:numId w:val="11"/>
      </w:numPr>
    </w:pPr>
    <w:rPr>
      <w:rFonts w:eastAsia="Times New Roman"/>
      <w:lang w:eastAsia="en-GB"/>
    </w:rPr>
  </w:style>
  <w:style w:type="paragraph" w:customStyle="1" w:styleId="ListNumber1">
    <w:name w:val="List Number 1"/>
    <w:basedOn w:val="Text1"/>
    <w:rsid w:val="00FF2EDA"/>
    <w:pPr>
      <w:numPr>
        <w:numId w:val="12"/>
      </w:numPr>
    </w:pPr>
    <w:rPr>
      <w:rFonts w:eastAsia="Times New Roman"/>
      <w:lang w:eastAsia="en-GB"/>
    </w:rPr>
  </w:style>
  <w:style w:type="paragraph" w:customStyle="1" w:styleId="ListNumber1Level2">
    <w:name w:val="List Number 1 (Level 2)"/>
    <w:basedOn w:val="Text1"/>
    <w:rsid w:val="00FF2EDA"/>
    <w:pPr>
      <w:numPr>
        <w:ilvl w:val="1"/>
        <w:numId w:val="12"/>
      </w:numPr>
    </w:pPr>
    <w:rPr>
      <w:rFonts w:eastAsia="Times New Roman"/>
      <w:lang w:eastAsia="en-GB"/>
    </w:rPr>
  </w:style>
  <w:style w:type="paragraph" w:customStyle="1" w:styleId="ListNumber2Level2">
    <w:name w:val="List Number 2 (Level 2)"/>
    <w:basedOn w:val="Text2"/>
    <w:rsid w:val="00FF2EDA"/>
    <w:pPr>
      <w:numPr>
        <w:ilvl w:val="1"/>
        <w:numId w:val="13"/>
      </w:numPr>
    </w:pPr>
    <w:rPr>
      <w:rFonts w:eastAsia="Times New Roman"/>
      <w:lang w:eastAsia="en-GB"/>
    </w:rPr>
  </w:style>
  <w:style w:type="paragraph" w:customStyle="1" w:styleId="ListNumber3Level2">
    <w:name w:val="List Number 3 (Level 2)"/>
    <w:basedOn w:val="Text3"/>
    <w:rsid w:val="00FF2EDA"/>
    <w:pPr>
      <w:numPr>
        <w:ilvl w:val="1"/>
        <w:numId w:val="14"/>
      </w:numPr>
    </w:pPr>
    <w:rPr>
      <w:rFonts w:eastAsia="Times New Roman"/>
      <w:lang w:eastAsia="en-GB"/>
    </w:rPr>
  </w:style>
  <w:style w:type="paragraph" w:customStyle="1" w:styleId="ListNumber4Level2">
    <w:name w:val="List Number 4 (Level 2)"/>
    <w:basedOn w:val="Text4"/>
    <w:rsid w:val="00FF2EDA"/>
    <w:pPr>
      <w:numPr>
        <w:ilvl w:val="1"/>
        <w:numId w:val="15"/>
      </w:numPr>
    </w:pPr>
    <w:rPr>
      <w:rFonts w:eastAsia="Times New Roman"/>
      <w:lang w:eastAsia="en-GB"/>
    </w:rPr>
  </w:style>
  <w:style w:type="paragraph" w:customStyle="1" w:styleId="ListNumber1Level3">
    <w:name w:val="List Number 1 (Level 3)"/>
    <w:basedOn w:val="Text1"/>
    <w:rsid w:val="00FF2EDA"/>
    <w:pPr>
      <w:numPr>
        <w:ilvl w:val="2"/>
        <w:numId w:val="12"/>
      </w:numPr>
    </w:pPr>
    <w:rPr>
      <w:rFonts w:eastAsia="Times New Roman"/>
      <w:lang w:eastAsia="en-GB"/>
    </w:rPr>
  </w:style>
  <w:style w:type="paragraph" w:customStyle="1" w:styleId="ListNumber2Level3">
    <w:name w:val="List Number 2 (Level 3)"/>
    <w:basedOn w:val="Text2"/>
    <w:rsid w:val="00FF2EDA"/>
    <w:pPr>
      <w:numPr>
        <w:ilvl w:val="2"/>
        <w:numId w:val="13"/>
      </w:numPr>
    </w:pPr>
    <w:rPr>
      <w:rFonts w:eastAsia="Times New Roman"/>
      <w:lang w:eastAsia="en-GB"/>
    </w:rPr>
  </w:style>
  <w:style w:type="paragraph" w:customStyle="1" w:styleId="ListNumber3Level3">
    <w:name w:val="List Number 3 (Level 3)"/>
    <w:basedOn w:val="Text3"/>
    <w:rsid w:val="00FF2EDA"/>
    <w:pPr>
      <w:numPr>
        <w:ilvl w:val="2"/>
        <w:numId w:val="14"/>
      </w:numPr>
    </w:pPr>
    <w:rPr>
      <w:rFonts w:eastAsia="Times New Roman"/>
      <w:lang w:eastAsia="en-GB"/>
    </w:rPr>
  </w:style>
  <w:style w:type="paragraph" w:customStyle="1" w:styleId="ListNumber4Level3">
    <w:name w:val="List Number 4 (Level 3)"/>
    <w:basedOn w:val="Text4"/>
    <w:rsid w:val="00FF2EDA"/>
    <w:pPr>
      <w:numPr>
        <w:ilvl w:val="2"/>
        <w:numId w:val="15"/>
      </w:numPr>
    </w:pPr>
    <w:rPr>
      <w:rFonts w:eastAsia="Times New Roman"/>
      <w:lang w:eastAsia="en-GB"/>
    </w:rPr>
  </w:style>
  <w:style w:type="paragraph" w:customStyle="1" w:styleId="ListNumber1Level4">
    <w:name w:val="List Number 1 (Level 4)"/>
    <w:basedOn w:val="Text1"/>
    <w:rsid w:val="00FF2EDA"/>
    <w:pPr>
      <w:numPr>
        <w:ilvl w:val="3"/>
        <w:numId w:val="12"/>
      </w:numPr>
    </w:pPr>
    <w:rPr>
      <w:rFonts w:eastAsia="Times New Roman"/>
      <w:lang w:eastAsia="en-GB"/>
    </w:rPr>
  </w:style>
  <w:style w:type="paragraph" w:customStyle="1" w:styleId="ListNumber2Level4">
    <w:name w:val="List Number 2 (Level 4)"/>
    <w:basedOn w:val="Text2"/>
    <w:rsid w:val="00FF2EDA"/>
    <w:pPr>
      <w:numPr>
        <w:ilvl w:val="3"/>
        <w:numId w:val="13"/>
      </w:numPr>
    </w:pPr>
    <w:rPr>
      <w:rFonts w:eastAsia="Times New Roman"/>
      <w:lang w:eastAsia="en-GB"/>
    </w:rPr>
  </w:style>
  <w:style w:type="paragraph" w:customStyle="1" w:styleId="ListNumber3Level4">
    <w:name w:val="List Number 3 (Level 4)"/>
    <w:basedOn w:val="Text3"/>
    <w:rsid w:val="00FF2EDA"/>
    <w:pPr>
      <w:numPr>
        <w:ilvl w:val="3"/>
        <w:numId w:val="14"/>
      </w:numPr>
    </w:pPr>
    <w:rPr>
      <w:rFonts w:eastAsia="Times New Roman"/>
      <w:lang w:eastAsia="en-GB"/>
    </w:rPr>
  </w:style>
  <w:style w:type="paragraph" w:customStyle="1" w:styleId="ListNumber4Level4">
    <w:name w:val="List Number 4 (Level 4)"/>
    <w:basedOn w:val="Text4"/>
    <w:rsid w:val="00FF2EDA"/>
    <w:pPr>
      <w:numPr>
        <w:ilvl w:val="3"/>
        <w:numId w:val="15"/>
      </w:numPr>
    </w:pPr>
    <w:rPr>
      <w:rFonts w:eastAsia="Times New Roman"/>
      <w:lang w:eastAsia="en-GB"/>
    </w:rPr>
  </w:style>
  <w:style w:type="paragraph" w:customStyle="1" w:styleId="Annexetitreacte">
    <w:name w:val="Annexe titre (acte)"/>
    <w:basedOn w:val="Normal"/>
    <w:next w:val="Normal"/>
    <w:rsid w:val="00FF2EDA"/>
    <w:pPr>
      <w:jc w:val="center"/>
    </w:pPr>
    <w:rPr>
      <w:rFonts w:eastAsia="Times New Roman"/>
      <w:b/>
      <w:u w:val="single"/>
      <w:lang w:eastAsia="en-GB"/>
    </w:rPr>
  </w:style>
  <w:style w:type="paragraph" w:customStyle="1" w:styleId="Annexetitreexposglobal">
    <w:name w:val="Annexe titre (exposé global)"/>
    <w:basedOn w:val="Normal"/>
    <w:next w:val="Normal"/>
    <w:rsid w:val="00FF2EDA"/>
    <w:pPr>
      <w:jc w:val="center"/>
    </w:pPr>
    <w:rPr>
      <w:rFonts w:eastAsia="Times New Roman"/>
      <w:b/>
      <w:u w:val="single"/>
      <w:lang w:eastAsia="en-GB"/>
    </w:rPr>
  </w:style>
  <w:style w:type="paragraph" w:customStyle="1" w:styleId="Annexetitrefichefinacte">
    <w:name w:val="Annexe titre (fiche fin. acte)"/>
    <w:basedOn w:val="Normal"/>
    <w:next w:val="Normal"/>
    <w:rsid w:val="00FF2EDA"/>
    <w:pPr>
      <w:jc w:val="center"/>
    </w:pPr>
    <w:rPr>
      <w:rFonts w:eastAsia="Times New Roman"/>
      <w:b/>
      <w:u w:val="single"/>
      <w:lang w:eastAsia="en-GB"/>
    </w:rPr>
  </w:style>
  <w:style w:type="paragraph" w:customStyle="1" w:styleId="Annexetitrefichefinglobale">
    <w:name w:val="Annexe titre (fiche fin. globale)"/>
    <w:basedOn w:val="Normal"/>
    <w:next w:val="Normal"/>
    <w:rsid w:val="00FF2EDA"/>
    <w:pPr>
      <w:jc w:val="center"/>
    </w:pPr>
    <w:rPr>
      <w:rFonts w:eastAsia="Times New Roman"/>
      <w:b/>
      <w:u w:val="single"/>
      <w:lang w:eastAsia="en-GB"/>
    </w:rPr>
  </w:style>
  <w:style w:type="paragraph" w:customStyle="1" w:styleId="Annexetitreglobale">
    <w:name w:val="Annexe titre (globale)"/>
    <w:basedOn w:val="Normal"/>
    <w:next w:val="Normal"/>
    <w:rsid w:val="00FF2EDA"/>
    <w:pPr>
      <w:jc w:val="center"/>
    </w:pPr>
    <w:rPr>
      <w:rFonts w:eastAsia="Times New Roman"/>
      <w:b/>
      <w:u w:val="single"/>
      <w:lang w:eastAsia="en-GB"/>
    </w:rPr>
  </w:style>
  <w:style w:type="paragraph" w:customStyle="1" w:styleId="Exposdesmotifstitreglobal">
    <w:name w:val="Exposé des motifs titre (global)"/>
    <w:basedOn w:val="Normal"/>
    <w:next w:val="Normal"/>
    <w:rsid w:val="00FF2EDA"/>
    <w:pPr>
      <w:jc w:val="center"/>
    </w:pPr>
    <w:rPr>
      <w:rFonts w:eastAsia="Times New Roman"/>
      <w:b/>
      <w:u w:val="single"/>
      <w:lang w:eastAsia="en-GB"/>
    </w:rPr>
  </w:style>
  <w:style w:type="paragraph" w:customStyle="1" w:styleId="Langueoriginale">
    <w:name w:val="Langue originale"/>
    <w:basedOn w:val="Normal"/>
    <w:rsid w:val="00FF2EDA"/>
    <w:pPr>
      <w:spacing w:before="360"/>
      <w:jc w:val="center"/>
    </w:pPr>
    <w:rPr>
      <w:rFonts w:eastAsia="Times New Roman"/>
      <w:caps/>
      <w:lang w:eastAsia="en-GB"/>
    </w:rPr>
  </w:style>
  <w:style w:type="paragraph" w:customStyle="1" w:styleId="Phrasefinale">
    <w:name w:val="Phrase finale"/>
    <w:basedOn w:val="Normal"/>
    <w:next w:val="Normal"/>
    <w:rsid w:val="00FF2EDA"/>
    <w:pPr>
      <w:spacing w:before="360" w:after="0"/>
      <w:jc w:val="center"/>
    </w:pPr>
    <w:rPr>
      <w:rFonts w:eastAsia="Times New Roman"/>
      <w:lang w:eastAsia="en-GB"/>
    </w:rPr>
  </w:style>
  <w:style w:type="paragraph" w:customStyle="1" w:styleId="Prliminairetitre">
    <w:name w:val="Préliminaire titre"/>
    <w:basedOn w:val="Normal"/>
    <w:next w:val="Normal"/>
    <w:rsid w:val="00FF2EDA"/>
    <w:pPr>
      <w:spacing w:before="360" w:after="360"/>
      <w:jc w:val="center"/>
    </w:pPr>
    <w:rPr>
      <w:rFonts w:eastAsia="Times New Roman"/>
      <w:b/>
      <w:lang w:eastAsia="en-GB"/>
    </w:rPr>
  </w:style>
  <w:style w:type="paragraph" w:customStyle="1" w:styleId="Prliminairetype">
    <w:name w:val="Préliminaire type"/>
    <w:basedOn w:val="Normal"/>
    <w:next w:val="Normal"/>
    <w:rsid w:val="00FF2EDA"/>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FF2EDA"/>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FF2EDA"/>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FF2EDA"/>
    <w:pPr>
      <w:spacing w:before="0" w:after="0"/>
      <w:ind w:left="5103"/>
      <w:jc w:val="left"/>
    </w:pPr>
    <w:rPr>
      <w:rFonts w:eastAsia="Times New Roman"/>
      <w:lang w:eastAsia="en-GB"/>
    </w:rPr>
  </w:style>
  <w:style w:type="paragraph" w:customStyle="1" w:styleId="Sous-titreobjetprliminaire">
    <w:name w:val="Sous-titre objet (préliminaire)"/>
    <w:basedOn w:val="Normal"/>
    <w:rsid w:val="00FF2EDA"/>
    <w:pPr>
      <w:spacing w:before="0" w:after="0"/>
      <w:jc w:val="center"/>
    </w:pPr>
    <w:rPr>
      <w:rFonts w:eastAsia="Times New Roman"/>
      <w:b/>
      <w:lang w:eastAsia="en-GB"/>
    </w:rPr>
  </w:style>
  <w:style w:type="paragraph" w:customStyle="1" w:styleId="Statutprliminaire">
    <w:name w:val="Statut (préliminaire)"/>
    <w:basedOn w:val="Normal"/>
    <w:next w:val="Normal"/>
    <w:rsid w:val="00FF2EDA"/>
    <w:pPr>
      <w:spacing w:before="360" w:after="0"/>
      <w:jc w:val="center"/>
    </w:pPr>
    <w:rPr>
      <w:rFonts w:eastAsia="Times New Roman"/>
      <w:lang w:eastAsia="en-GB"/>
    </w:rPr>
  </w:style>
  <w:style w:type="paragraph" w:customStyle="1" w:styleId="Titreobjetprliminaire">
    <w:name w:val="Titre objet (préliminaire)"/>
    <w:basedOn w:val="Normal"/>
    <w:next w:val="Normal"/>
    <w:rsid w:val="00FF2EDA"/>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FF2EDA"/>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FF2EDA"/>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FF2EDA"/>
    <w:pPr>
      <w:jc w:val="center"/>
    </w:pPr>
    <w:rPr>
      <w:rFonts w:eastAsia="Times New Roman"/>
      <w:b/>
      <w:u w:val="single"/>
      <w:lang w:eastAsia="en-GB"/>
    </w:rPr>
  </w:style>
  <w:style w:type="paragraph" w:customStyle="1" w:styleId="Fichefinanciretravailtitre">
    <w:name w:val="Fiche financière (travail) titre"/>
    <w:basedOn w:val="Normal"/>
    <w:next w:val="Normal"/>
    <w:rsid w:val="00FF2EDA"/>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FF2EDA"/>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FF2EDA"/>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FF2EDA"/>
    <w:pPr>
      <w:jc w:val="center"/>
    </w:pPr>
    <w:rPr>
      <w:rFonts w:eastAsia="Times New Roman"/>
      <w:b/>
      <w:u w:val="single"/>
      <w:lang w:eastAsia="en-GB"/>
    </w:rPr>
  </w:style>
  <w:style w:type="character" w:styleId="CommentReference">
    <w:name w:val="annotation reference"/>
    <w:rsid w:val="00FF2EDA"/>
    <w:rPr>
      <w:rFonts w:cs="Times New Roman"/>
      <w:sz w:val="16"/>
      <w:szCs w:val="16"/>
    </w:rPr>
  </w:style>
  <w:style w:type="paragraph" w:styleId="CommentText">
    <w:name w:val="annotation text"/>
    <w:basedOn w:val="Normal"/>
    <w:link w:val="CommentTextChar"/>
    <w:rsid w:val="00FF2EDA"/>
    <w:rPr>
      <w:rFonts w:eastAsia="Times New Roman"/>
      <w:sz w:val="20"/>
      <w:szCs w:val="20"/>
      <w:lang w:eastAsia="en-GB"/>
    </w:rPr>
  </w:style>
  <w:style w:type="character" w:customStyle="1" w:styleId="CommentTextChar">
    <w:name w:val="Comment Text Char"/>
    <w:basedOn w:val="DefaultParagraphFont"/>
    <w:link w:val="CommentText"/>
    <w:rsid w:val="00FF2EDA"/>
    <w:rPr>
      <w:rFonts w:ascii="Times New Roman" w:eastAsia="Times New Roman" w:hAnsi="Times New Roman" w:cs="Times New Roman"/>
      <w:sz w:val="20"/>
      <w:szCs w:val="20"/>
      <w:lang w:val="pt-PT" w:eastAsia="en-GB"/>
    </w:rPr>
  </w:style>
  <w:style w:type="paragraph" w:styleId="CommentSubject">
    <w:name w:val="annotation subject"/>
    <w:basedOn w:val="CommentText"/>
    <w:next w:val="CommentText"/>
    <w:link w:val="CommentSubjectChar"/>
    <w:rsid w:val="00FF2EDA"/>
    <w:rPr>
      <w:b/>
      <w:bCs/>
    </w:rPr>
  </w:style>
  <w:style w:type="character" w:customStyle="1" w:styleId="CommentSubjectChar">
    <w:name w:val="Comment Subject Char"/>
    <w:basedOn w:val="CommentTextChar"/>
    <w:link w:val="CommentSubject"/>
    <w:rsid w:val="00FF2EDA"/>
    <w:rPr>
      <w:rFonts w:ascii="Times New Roman" w:eastAsia="Times New Roman" w:hAnsi="Times New Roman" w:cs="Times New Roman"/>
      <w:b/>
      <w:bCs/>
      <w:sz w:val="20"/>
      <w:szCs w:val="20"/>
      <w:lang w:val="pt-PT" w:eastAsia="en-GB"/>
    </w:rPr>
  </w:style>
  <w:style w:type="paragraph" w:styleId="BalloonText">
    <w:name w:val="Balloon Text"/>
    <w:basedOn w:val="Normal"/>
    <w:link w:val="BalloonTextChar"/>
    <w:rsid w:val="00FF2EDA"/>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FF2EDA"/>
    <w:rPr>
      <w:rFonts w:ascii="Tahoma" w:eastAsia="Times New Roman" w:hAnsi="Tahoma" w:cs="Tahoma"/>
      <w:sz w:val="16"/>
      <w:szCs w:val="16"/>
      <w:lang w:val="pt-PT" w:eastAsia="en-GB"/>
    </w:rPr>
  </w:style>
  <w:style w:type="paragraph" w:styleId="Caption">
    <w:name w:val="caption"/>
    <w:basedOn w:val="Normal"/>
    <w:next w:val="Normal"/>
    <w:qFormat/>
    <w:rsid w:val="00FF2EDA"/>
    <w:rPr>
      <w:rFonts w:eastAsia="Times New Roman"/>
      <w:b/>
      <w:bCs/>
      <w:sz w:val="20"/>
      <w:szCs w:val="20"/>
      <w:lang w:eastAsia="en-GB"/>
    </w:rPr>
  </w:style>
  <w:style w:type="paragraph" w:styleId="TableofFigures">
    <w:name w:val="table of figures"/>
    <w:basedOn w:val="Normal"/>
    <w:next w:val="Normal"/>
    <w:rsid w:val="00FF2EDA"/>
    <w:rPr>
      <w:rFonts w:eastAsia="Times New Roman"/>
      <w:lang w:eastAsia="en-GB"/>
    </w:rPr>
  </w:style>
  <w:style w:type="character" w:styleId="PageNumber">
    <w:name w:val="page number"/>
    <w:rsid w:val="00FF2EDA"/>
  </w:style>
  <w:style w:type="character" w:customStyle="1" w:styleId="tw4winMark">
    <w:name w:val="tw4winMark"/>
    <w:rsid w:val="00FF2EDA"/>
    <w:rPr>
      <w:vanish/>
      <w:color w:val="800080"/>
      <w:vertAlign w:val="subscript"/>
    </w:rPr>
  </w:style>
  <w:style w:type="character" w:styleId="FollowedHyperlink">
    <w:name w:val="FollowedHyperlink"/>
    <w:rsid w:val="00FF2EDA"/>
    <w:rPr>
      <w:color w:val="800080"/>
      <w:u w:val="single"/>
    </w:rPr>
  </w:style>
  <w:style w:type="paragraph" w:customStyle="1" w:styleId="Sous-titreobjet">
    <w:name w:val="Sous-titre objet"/>
    <w:basedOn w:val="Normal"/>
    <w:rsid w:val="00FF2EDA"/>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FF2EDA"/>
  </w:style>
  <w:style w:type="paragraph" w:styleId="Revision">
    <w:name w:val="Revision"/>
    <w:hidden/>
    <w:uiPriority w:val="99"/>
    <w:semiHidden/>
    <w:rsid w:val="00FF2EDA"/>
    <w:rPr>
      <w:rFonts w:ascii="Calibri" w:eastAsia="Calibri" w:hAnsi="Calibri" w:cs="Times New Roman"/>
      <w:sz w:val="24"/>
      <w:lang w:eastAsia="en-GB"/>
    </w:rPr>
  </w:style>
  <w:style w:type="paragraph" w:customStyle="1" w:styleId="FooterCoverPage">
    <w:name w:val="Footer Cover Page"/>
    <w:basedOn w:val="Normal"/>
    <w:link w:val="FooterCoverPageChar"/>
    <w:rsid w:val="00FF2EDA"/>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FF2EDA"/>
    <w:rPr>
      <w:rFonts w:ascii="Times New Roman" w:hAnsi="Times New Roman" w:cs="Times New Roman"/>
      <w:b/>
      <w:sz w:val="28"/>
      <w:lang w:val="pt-PT"/>
    </w:rPr>
  </w:style>
  <w:style w:type="character" w:customStyle="1" w:styleId="FooterCoverPageChar">
    <w:name w:val="Footer Cover Page Char"/>
    <w:link w:val="FooterCoverPage"/>
    <w:rsid w:val="00FF2EDA"/>
    <w:rPr>
      <w:rFonts w:ascii="Times New Roman" w:eastAsia="Calibri" w:hAnsi="Times New Roman" w:cs="Times New Roman"/>
      <w:sz w:val="24"/>
      <w:lang w:val="pt-PT" w:eastAsia="en-GB"/>
    </w:rPr>
  </w:style>
  <w:style w:type="paragraph" w:customStyle="1" w:styleId="HeaderCoverPage">
    <w:name w:val="Header Cover Page"/>
    <w:basedOn w:val="Normal"/>
    <w:link w:val="HeaderCoverPageChar"/>
    <w:rsid w:val="00FF2EDA"/>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FF2EDA"/>
    <w:rPr>
      <w:rFonts w:ascii="Times New Roman" w:eastAsia="Calibri" w:hAnsi="Times New Roman" w:cs="Times New Roman"/>
      <w:sz w:val="24"/>
      <w:lang w:val="pt-PT" w:eastAsia="en-GB"/>
    </w:rPr>
  </w:style>
  <w:style w:type="character" w:customStyle="1" w:styleId="FooterSensitivityChar">
    <w:name w:val="Footer Sensitivity Char"/>
    <w:rsid w:val="00FF2EDA"/>
    <w:rPr>
      <w:rFonts w:ascii="Times New Roman" w:hAnsi="Times New Roman" w:cs="Times New Roman"/>
      <w:b/>
      <w:sz w:val="32"/>
      <w:lang w:val="pt-PT"/>
    </w:rPr>
  </w:style>
  <w:style w:type="character" w:customStyle="1" w:styleId="HeaderSensitivityChar">
    <w:name w:val="Header Sensitivity Char"/>
    <w:rsid w:val="00FF2EDA"/>
    <w:rPr>
      <w:rFonts w:ascii="Times New Roman" w:hAnsi="Times New Roman" w:cs="Times New Roman"/>
      <w:b/>
      <w:sz w:val="32"/>
      <w:lang w:val="pt-PT"/>
    </w:rPr>
  </w:style>
  <w:style w:type="character" w:customStyle="1" w:styleId="HeaderSensitivityRightChar">
    <w:name w:val="Header Sensitivity Right Char"/>
    <w:rsid w:val="00FF2EDA"/>
    <w:rPr>
      <w:rFonts w:ascii="Times New Roman" w:hAnsi="Times New Roman" w:cs="Times New Roman"/>
      <w:sz w:val="28"/>
      <w:lang w:val="pt-PT"/>
    </w:rPr>
  </w:style>
  <w:style w:type="paragraph" w:customStyle="1" w:styleId="LegalNumPar">
    <w:name w:val="LegalNumPar"/>
    <w:basedOn w:val="Normal"/>
    <w:rsid w:val="00FF2EDA"/>
    <w:pPr>
      <w:spacing w:line="360" w:lineRule="auto"/>
    </w:pPr>
    <w:rPr>
      <w:rFonts w:eastAsia="Times New Roman"/>
      <w:lang w:eastAsia="en-GB"/>
    </w:rPr>
  </w:style>
  <w:style w:type="paragraph" w:customStyle="1" w:styleId="LegalNumPar2">
    <w:name w:val="LegalNumPar2"/>
    <w:basedOn w:val="Normal"/>
    <w:rsid w:val="00FF2EDA"/>
    <w:pPr>
      <w:spacing w:line="360" w:lineRule="auto"/>
    </w:pPr>
    <w:rPr>
      <w:rFonts w:eastAsia="Times New Roman"/>
      <w:lang w:eastAsia="en-GB"/>
    </w:rPr>
  </w:style>
  <w:style w:type="paragraph" w:customStyle="1" w:styleId="LegalNumPar3">
    <w:name w:val="LegalNumPar3"/>
    <w:basedOn w:val="Normal"/>
    <w:rsid w:val="00FF2EDA"/>
    <w:pPr>
      <w:spacing w:line="360" w:lineRule="auto"/>
    </w:pPr>
    <w:rPr>
      <w:rFonts w:eastAsia="Times New Roman"/>
      <w:lang w:eastAsia="en-GB"/>
    </w:rPr>
  </w:style>
  <w:style w:type="paragraph" w:styleId="ListParagraph">
    <w:name w:val="List Paragraph"/>
    <w:basedOn w:val="Normal"/>
    <w:uiPriority w:val="34"/>
    <w:qFormat/>
    <w:rsid w:val="00FF2EDA"/>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FF2EDA"/>
    <w:rPr>
      <w:color w:val="605E5C"/>
      <w:shd w:val="clear" w:color="auto" w:fill="E1DFDD"/>
    </w:rPr>
  </w:style>
  <w:style w:type="character" w:styleId="Strong">
    <w:name w:val="Strong"/>
    <w:basedOn w:val="DefaultParagraphFont"/>
    <w:uiPriority w:val="22"/>
    <w:qFormat/>
    <w:rsid w:val="00FF2EDA"/>
    <w:rPr>
      <w:b/>
      <w:bCs/>
    </w:rPr>
  </w:style>
  <w:style w:type="character" w:styleId="Emphasis">
    <w:name w:val="Emphasis"/>
    <w:basedOn w:val="DefaultParagraphFont"/>
    <w:uiPriority w:val="20"/>
    <w:qFormat/>
    <w:rsid w:val="00FF2EDA"/>
    <w:rPr>
      <w:i/>
      <w:iCs/>
    </w:rPr>
  </w:style>
  <w:style w:type="character" w:customStyle="1" w:styleId="Mention1">
    <w:name w:val="Mention1"/>
    <w:basedOn w:val="DefaultParagraphFont"/>
    <w:uiPriority w:val="99"/>
    <w:unhideWhenUsed/>
    <w:rsid w:val="00FF2EDA"/>
    <w:rPr>
      <w:color w:val="2B579A"/>
      <w:shd w:val="clear" w:color="auto" w:fill="E1DFDD"/>
    </w:rPr>
  </w:style>
  <w:style w:type="character" w:customStyle="1" w:styleId="normaltextrun">
    <w:name w:val="normaltextrun"/>
    <w:basedOn w:val="DefaultParagraphFont"/>
    <w:rsid w:val="00FF2EDA"/>
  </w:style>
  <w:style w:type="character" w:customStyle="1" w:styleId="eop">
    <w:name w:val="eop"/>
    <w:basedOn w:val="DefaultParagraphFont"/>
    <w:rsid w:val="00FF2EDA"/>
  </w:style>
  <w:style w:type="paragraph" w:customStyle="1" w:styleId="paragraph">
    <w:name w:val="paragraph"/>
    <w:basedOn w:val="Normal"/>
    <w:rsid w:val="00E02812"/>
    <w:pPr>
      <w:spacing w:before="100" w:beforeAutospacing="1" w:after="100" w:afterAutospacing="1"/>
      <w:jc w:val="left"/>
    </w:pPr>
    <w:rPr>
      <w:rFonts w:eastAsia="Times New Roman"/>
      <w:szCs w:val="24"/>
      <w:lang w:eastAsia="en-IE"/>
    </w:rPr>
  </w:style>
  <w:style w:type="paragraph" w:styleId="NormalWeb">
    <w:name w:val="Normal (Web)"/>
    <w:basedOn w:val="Normal"/>
    <w:uiPriority w:val="99"/>
    <w:unhideWhenUsed/>
    <w:rsid w:val="00073585"/>
    <w:pPr>
      <w:spacing w:before="100" w:beforeAutospacing="1" w:after="100" w:afterAutospacing="1"/>
      <w:jc w:val="left"/>
    </w:pPr>
    <w:rPr>
      <w:rFonts w:eastAsia="Times New Roman"/>
      <w:szCs w:val="24"/>
      <w:lang w:eastAsia="en-IE"/>
    </w:rPr>
  </w:style>
  <w:style w:type="character" w:customStyle="1" w:styleId="superscript">
    <w:name w:val="superscript"/>
    <w:basedOn w:val="DefaultParagraphFont"/>
    <w:rsid w:val="00971795"/>
  </w:style>
  <w:style w:type="paragraph" w:customStyle="1" w:styleId="oj-sti-art">
    <w:name w:val="oj-sti-art"/>
    <w:basedOn w:val="Normal"/>
    <w:rsid w:val="00D742B4"/>
    <w:pPr>
      <w:spacing w:before="100" w:beforeAutospacing="1" w:after="100" w:afterAutospacing="1"/>
      <w:jc w:val="left"/>
    </w:pPr>
    <w:rPr>
      <w:rFonts w:eastAsia="Times New Roman"/>
      <w:szCs w:val="24"/>
      <w:lang w:eastAsia="de-DE"/>
    </w:rPr>
  </w:style>
  <w:style w:type="paragraph" w:customStyle="1" w:styleId="oj-normal">
    <w:name w:val="oj-normal"/>
    <w:basedOn w:val="Normal"/>
    <w:rsid w:val="00D742B4"/>
    <w:pPr>
      <w:spacing w:before="100" w:beforeAutospacing="1" w:after="100" w:afterAutospacing="1"/>
      <w:jc w:val="left"/>
    </w:pPr>
    <w:rPr>
      <w:rFonts w:eastAsia="Times New Roman"/>
      <w:szCs w:val="24"/>
      <w:lang w:eastAsia="de-DE"/>
    </w:rPr>
  </w:style>
  <w:style w:type="paragraph" w:customStyle="1" w:styleId="oj-ti-art">
    <w:name w:val="oj-ti-art"/>
    <w:basedOn w:val="Normal"/>
    <w:rsid w:val="00D742B4"/>
    <w:pPr>
      <w:spacing w:before="100" w:beforeAutospacing="1" w:after="100" w:afterAutospacing="1"/>
      <w:jc w:val="left"/>
    </w:pPr>
    <w:rPr>
      <w:rFonts w:eastAsia="Times New Roman"/>
      <w:szCs w:val="24"/>
      <w:lang w:eastAsia="de-DE"/>
    </w:rPr>
  </w:style>
  <w:style w:type="character" w:customStyle="1" w:styleId="Heading8Char">
    <w:name w:val="Heading 8 Char"/>
    <w:basedOn w:val="DefaultParagraphFont"/>
    <w:link w:val="Heading8"/>
    <w:uiPriority w:val="9"/>
    <w:semiHidden/>
    <w:rsid w:val="002B4011"/>
    <w:rPr>
      <w:rFonts w:asciiTheme="majorHAnsi" w:eastAsiaTheme="majorEastAsia" w:hAnsiTheme="majorHAnsi" w:cstheme="majorBidi"/>
      <w:color w:val="272727" w:themeColor="text1" w:themeTint="D8"/>
      <w:sz w:val="21"/>
      <w:szCs w:val="21"/>
      <w:lang w:val="pt-PT"/>
    </w:rPr>
  </w:style>
  <w:style w:type="character" w:customStyle="1" w:styleId="Heading9Char">
    <w:name w:val="Heading 9 Char"/>
    <w:basedOn w:val="DefaultParagraphFont"/>
    <w:link w:val="Heading9"/>
    <w:uiPriority w:val="9"/>
    <w:semiHidden/>
    <w:rsid w:val="002B4011"/>
    <w:rPr>
      <w:rFonts w:asciiTheme="majorHAnsi" w:eastAsiaTheme="majorEastAsia" w:hAnsiTheme="majorHAnsi" w:cstheme="majorBidi"/>
      <w:i/>
      <w:iCs/>
      <w:color w:val="272727" w:themeColor="text1" w:themeTint="D8"/>
      <w:sz w:val="21"/>
      <w:szCs w:val="21"/>
      <w:lang w:val="pt-PT"/>
    </w:rPr>
  </w:style>
  <w:style w:type="character" w:customStyle="1" w:styleId="tabchar">
    <w:name w:val="tabchar"/>
    <w:basedOn w:val="DefaultParagraphFont"/>
    <w:rsid w:val="002B4011"/>
  </w:style>
  <w:style w:type="paragraph" w:styleId="Subtitle">
    <w:name w:val="Subtitle"/>
    <w:basedOn w:val="Normal"/>
    <w:next w:val="Normal"/>
    <w:link w:val="SubtitleChar"/>
    <w:uiPriority w:val="11"/>
    <w:qFormat/>
    <w:rsid w:val="002B4011"/>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2B4011"/>
    <w:rPr>
      <w:rFonts w:eastAsiaTheme="minorEastAsia"/>
      <w:color w:val="5A5A5A" w:themeColor="text1" w:themeTint="A5"/>
      <w:spacing w:val="15"/>
      <w:lang w:val="pt-PT"/>
    </w:rPr>
  </w:style>
  <w:style w:type="paragraph" w:styleId="Title">
    <w:name w:val="Title"/>
    <w:basedOn w:val="Normal"/>
    <w:next w:val="Normal"/>
    <w:link w:val="TitleChar"/>
    <w:uiPriority w:val="10"/>
    <w:qFormat/>
    <w:rsid w:val="002B4011"/>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011"/>
    <w:rPr>
      <w:rFonts w:asciiTheme="majorHAnsi" w:eastAsiaTheme="majorEastAsia" w:hAnsiTheme="majorHAnsi" w:cstheme="majorBidi"/>
      <w:spacing w:val="-10"/>
      <w:kern w:val="28"/>
      <w:sz w:val="56"/>
      <w:szCs w:val="56"/>
      <w:lang w:val="pt-PT"/>
    </w:rPr>
  </w:style>
  <w:style w:type="numbering" w:styleId="ArticleSection">
    <w:name w:val="Outline List 3"/>
    <w:basedOn w:val="NoList"/>
    <w:uiPriority w:val="99"/>
    <w:semiHidden/>
    <w:unhideWhenUsed/>
    <w:rsid w:val="00610E9F"/>
    <w:pPr>
      <w:numPr>
        <w:numId w:val="16"/>
      </w:numPr>
    </w:pPr>
  </w:style>
  <w:style w:type="numbering" w:customStyle="1" w:styleId="CurrentList1">
    <w:name w:val="Current List1"/>
    <w:uiPriority w:val="99"/>
    <w:rsid w:val="007F183A"/>
    <w:pPr>
      <w:numPr>
        <w:numId w:val="18"/>
      </w:numPr>
    </w:pPr>
  </w:style>
  <w:style w:type="paragraph" w:customStyle="1" w:styleId="CharCharChar1">
    <w:name w:val="Char Char Char1"/>
    <w:basedOn w:val="Normal"/>
    <w:link w:val="FootnoteReference"/>
    <w:uiPriority w:val="99"/>
    <w:rsid w:val="00265FA1"/>
    <w:pPr>
      <w:spacing w:before="0" w:after="160" w:line="240" w:lineRule="exact"/>
    </w:pPr>
    <w:rPr>
      <w:rFonts w:asciiTheme="minorHAnsi" w:hAnsiTheme="minorHAnsi" w:cstheme="minorBidi"/>
      <w:sz w:val="22"/>
      <w:vertAlign w:val="superscript"/>
    </w:rPr>
  </w:style>
  <w:style w:type="table" w:customStyle="1" w:styleId="TableGrid1">
    <w:name w:val="Table Grid1"/>
    <w:basedOn w:val="TableNormal"/>
    <w:next w:val="TableGrid"/>
    <w:uiPriority w:val="39"/>
    <w:rsid w:val="00B66E9F"/>
    <w:pPr>
      <w:spacing w:before="120" w:after="120" w:line="240" w:lineRule="auto"/>
      <w:jc w:val="both"/>
    </w:pPr>
    <w:rPr>
      <w:rFonts w:ascii="Times New Roman" w:eastAsia="Times New Roman" w:hAnsi="Times New Roman" w:cs="Times New Roman"/>
      <w:sz w:val="20"/>
      <w:szCs w:val="20"/>
      <w:lang w:eastAsia="en-IE"/>
    </w:rPr>
    <w:tblPr/>
  </w:style>
  <w:style w:type="table" w:customStyle="1" w:styleId="TableGrid2">
    <w:name w:val="Table Grid2"/>
    <w:basedOn w:val="TableNormal"/>
    <w:next w:val="TableGrid"/>
    <w:uiPriority w:val="39"/>
    <w:rsid w:val="00F974B7"/>
    <w:pPr>
      <w:spacing w:before="120" w:after="120" w:line="240" w:lineRule="auto"/>
      <w:jc w:val="both"/>
    </w:pPr>
    <w:rPr>
      <w:rFonts w:ascii="Times New Roman" w:eastAsia="Times New Roman" w:hAnsi="Times New Roman" w:cs="Times New Roman"/>
      <w:sz w:val="20"/>
      <w:szCs w:val="20"/>
      <w:lang w:eastAsia="en-IE"/>
    </w:rPr>
    <w:tblPr/>
  </w:style>
  <w:style w:type="table" w:customStyle="1" w:styleId="TableGrid3">
    <w:name w:val="Table Grid3"/>
    <w:basedOn w:val="TableNormal"/>
    <w:next w:val="TableGrid"/>
    <w:uiPriority w:val="39"/>
    <w:rsid w:val="00F96307"/>
    <w:pPr>
      <w:spacing w:before="120" w:after="120" w:line="240" w:lineRule="auto"/>
      <w:jc w:val="both"/>
    </w:pPr>
    <w:rPr>
      <w:rFonts w:ascii="Times New Roman" w:eastAsia="Times New Roman" w:hAnsi="Times New Roman" w:cs="Times New Roman"/>
      <w:sz w:val="20"/>
      <w:szCs w:val="20"/>
      <w:lang w:eastAsia="en-IE"/>
    </w:rPr>
    <w:tblPr/>
  </w:style>
  <w:style w:type="numbering" w:customStyle="1" w:styleId="ArticleSection1">
    <w:name w:val="Article / Section1"/>
    <w:basedOn w:val="NoList"/>
    <w:next w:val="ArticleSection"/>
    <w:uiPriority w:val="99"/>
    <w:semiHidden/>
    <w:unhideWhenUsed/>
    <w:rsid w:val="006F54B7"/>
  </w:style>
  <w:style w:type="numbering" w:customStyle="1" w:styleId="CurrentList11">
    <w:name w:val="Current List11"/>
    <w:uiPriority w:val="99"/>
    <w:rsid w:val="006F54B7"/>
  </w:style>
  <w:style w:type="numbering" w:customStyle="1" w:styleId="ArticleSection2">
    <w:name w:val="Article / Section2"/>
    <w:basedOn w:val="NoList"/>
    <w:next w:val="ArticleSection"/>
    <w:uiPriority w:val="99"/>
    <w:semiHidden/>
    <w:unhideWhenUsed/>
    <w:rsid w:val="007C050F"/>
    <w:pPr>
      <w:numPr>
        <w:numId w:val="20"/>
      </w:numPr>
    </w:pPr>
  </w:style>
  <w:style w:type="numbering" w:customStyle="1" w:styleId="CurrentList12">
    <w:name w:val="Current List12"/>
    <w:uiPriority w:val="99"/>
    <w:rsid w:val="007C050F"/>
    <w:pPr>
      <w:numPr>
        <w:numId w:val="21"/>
      </w:numPr>
    </w:pPr>
  </w:style>
  <w:style w:type="numbering" w:customStyle="1" w:styleId="NoList1">
    <w:name w:val="No List1"/>
    <w:next w:val="NoList"/>
    <w:uiPriority w:val="99"/>
    <w:semiHidden/>
    <w:unhideWhenUsed/>
    <w:rsid w:val="00A1190D"/>
  </w:style>
  <w:style w:type="table" w:customStyle="1" w:styleId="TableGrid4">
    <w:name w:val="Table Grid4"/>
    <w:basedOn w:val="TableNormal"/>
    <w:next w:val="TableGrid"/>
    <w:uiPriority w:val="39"/>
    <w:rsid w:val="00A1190D"/>
    <w:pPr>
      <w:spacing w:before="120" w:after="120" w:line="240" w:lineRule="auto"/>
      <w:jc w:val="both"/>
    </w:pPr>
    <w:rPr>
      <w:rFonts w:ascii="Times New Roman" w:eastAsia="Times New Roman" w:hAnsi="Times New Roman" w:cs="Times New Roman"/>
      <w:sz w:val="20"/>
      <w:szCs w:val="20"/>
      <w:lang w:eastAsia="en-IE"/>
    </w:rPr>
    <w:tblPr/>
  </w:style>
  <w:style w:type="table" w:styleId="TableGridLight">
    <w:name w:val="Grid Table Light"/>
    <w:basedOn w:val="TableNormal"/>
    <w:uiPriority w:val="40"/>
    <w:rsid w:val="008D4579"/>
    <w:pPr>
      <w:spacing w:after="0" w:line="240" w:lineRule="auto"/>
    </w:pPr>
    <w:rPr>
      <w:rFonts w:ascii="Times New Roman" w:eastAsia="Times New Roman" w:hAnsi="Times New Roman" w:cs="Times New Roman"/>
      <w:sz w:val="20"/>
      <w:szCs w:val="20"/>
      <w:lang w:eastAsia="en-IE"/>
    </w:rPr>
    <w:tblPr/>
  </w:style>
  <w:style w:type="paragraph" w:customStyle="1" w:styleId="point0number0">
    <w:name w:val="point0number"/>
    <w:basedOn w:val="Normal"/>
    <w:rsid w:val="00B309CC"/>
    <w:pPr>
      <w:ind w:left="850" w:hanging="850"/>
    </w:pPr>
    <w:rPr>
      <w:szCs w:val="24"/>
      <w:lang w:eastAsia="en-IE"/>
    </w:rPr>
  </w:style>
  <w:style w:type="paragraph" w:customStyle="1" w:styleId="pf0">
    <w:name w:val="pf0"/>
    <w:basedOn w:val="Normal"/>
    <w:rsid w:val="00373D30"/>
    <w:pPr>
      <w:spacing w:before="100" w:beforeAutospacing="1" w:after="100" w:afterAutospacing="1"/>
      <w:jc w:val="left"/>
    </w:pPr>
    <w:rPr>
      <w:rFonts w:eastAsia="Times New Roman"/>
      <w:szCs w:val="24"/>
      <w:lang w:eastAsia="en-IE"/>
    </w:rPr>
  </w:style>
  <w:style w:type="character" w:customStyle="1" w:styleId="cf01">
    <w:name w:val="cf01"/>
    <w:basedOn w:val="DefaultParagraphFont"/>
    <w:rsid w:val="00373D30"/>
    <w:rPr>
      <w:rFonts w:ascii="Segoe UI" w:hAnsi="Segoe UI" w:cs="Segoe UI" w:hint="default"/>
      <w:sz w:val="18"/>
      <w:szCs w:val="18"/>
    </w:rPr>
  </w:style>
  <w:style w:type="character" w:customStyle="1" w:styleId="UnresolvedMention">
    <w:name w:val="Unresolved Mention"/>
    <w:basedOn w:val="DefaultParagraphFont"/>
    <w:uiPriority w:val="99"/>
    <w:semiHidden/>
    <w:unhideWhenUsed/>
    <w:rsid w:val="00D52530"/>
    <w:rPr>
      <w:color w:val="605E5C"/>
      <w:shd w:val="clear" w:color="auto" w:fill="E1DFDD"/>
    </w:rPr>
  </w:style>
  <w:style w:type="character" w:customStyle="1" w:styleId="HeaderChar">
    <w:name w:val="Header Char"/>
    <w:basedOn w:val="DefaultParagraphFont"/>
    <w:link w:val="Header"/>
    <w:uiPriority w:val="99"/>
    <w:rsid w:val="00053915"/>
    <w:rPr>
      <w:rFonts w:ascii="Times New Roman" w:hAnsi="Times New Roman" w:cs="Times New Roman"/>
      <w:sz w:val="24"/>
      <w:lang w:val="pt-PT"/>
    </w:rPr>
  </w:style>
  <w:style w:type="character" w:customStyle="1" w:styleId="FooterChar">
    <w:name w:val="Footer Char"/>
    <w:basedOn w:val="DefaultParagraphFont"/>
    <w:link w:val="Footer"/>
    <w:uiPriority w:val="99"/>
    <w:rsid w:val="00053915"/>
    <w:rPr>
      <w:rFonts w:ascii="Times New Roman" w:hAnsi="Times New Roman" w:cs="Times New Roman"/>
      <w:sz w:val="24"/>
      <w:lang w:val="pt-P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pt-PT"/>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pt-PT"/>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pt-PT"/>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pt-PT"/>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pt-PT"/>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pt-PT"/>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pt-PT"/>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CharCharChar1"/>
    <w:uiPriority w:val="99"/>
    <w:semiHidden/>
    <w:unhideWhenUsed/>
    <w:rPr>
      <w:shd w:val="clear" w:color="auto" w:fill="auto"/>
      <w:vertAlign w:val="superscript"/>
    </w:rPr>
  </w:style>
  <w:style w:type="paragraph" w:customStyle="1" w:styleId="HeaderSensitivity">
    <w:name w:val="Header Sensitivity"/>
    <w:basedOn w:val="Normal"/>
    <w:rsid w:val="0005391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053915"/>
    <w:pPr>
      <w:spacing w:before="0"/>
      <w:jc w:val="right"/>
    </w:pPr>
    <w:rPr>
      <w:sz w:val="28"/>
    </w:rPr>
  </w:style>
  <w:style w:type="paragraph" w:customStyle="1" w:styleId="FooterSensitivity">
    <w:name w:val="Footer Sensitivity"/>
    <w:basedOn w:val="Normal"/>
    <w:rsid w:val="0005391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44"/>
      </w:numPr>
    </w:pPr>
  </w:style>
  <w:style w:type="paragraph" w:customStyle="1" w:styleId="Tiret1">
    <w:name w:val="Tiret 1"/>
    <w:basedOn w:val="Point1"/>
    <w:pPr>
      <w:numPr>
        <w:numId w:val="45"/>
      </w:numPr>
    </w:pPr>
  </w:style>
  <w:style w:type="paragraph" w:customStyle="1" w:styleId="Tiret2">
    <w:name w:val="Tiret 2"/>
    <w:basedOn w:val="Point2"/>
    <w:pPr>
      <w:numPr>
        <w:numId w:val="46"/>
      </w:numPr>
    </w:pPr>
  </w:style>
  <w:style w:type="paragraph" w:customStyle="1" w:styleId="Tiret3">
    <w:name w:val="Tiret 3"/>
    <w:basedOn w:val="Point3"/>
    <w:pPr>
      <w:numPr>
        <w:numId w:val="47"/>
      </w:numPr>
    </w:pPr>
  </w:style>
  <w:style w:type="paragraph" w:customStyle="1" w:styleId="Tiret4">
    <w:name w:val="Tiret 4"/>
    <w:basedOn w:val="Point4"/>
    <w:pPr>
      <w:numPr>
        <w:numId w:val="48"/>
      </w:numPr>
    </w:pPr>
  </w:style>
  <w:style w:type="paragraph" w:customStyle="1" w:styleId="Tiret5">
    <w:name w:val="Tiret 5"/>
    <w:basedOn w:val="Point5"/>
    <w:pPr>
      <w:numPr>
        <w:numId w:val="4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50"/>
      </w:numPr>
    </w:pPr>
  </w:style>
  <w:style w:type="paragraph" w:customStyle="1" w:styleId="NumPar2">
    <w:name w:val="NumPar 2"/>
    <w:basedOn w:val="Normal"/>
    <w:next w:val="Text1"/>
    <w:pPr>
      <w:numPr>
        <w:ilvl w:val="1"/>
        <w:numId w:val="50"/>
      </w:numPr>
    </w:pPr>
  </w:style>
  <w:style w:type="paragraph" w:customStyle="1" w:styleId="NumPar3">
    <w:name w:val="NumPar 3"/>
    <w:basedOn w:val="Normal"/>
    <w:next w:val="Text1"/>
    <w:pPr>
      <w:numPr>
        <w:ilvl w:val="2"/>
        <w:numId w:val="50"/>
      </w:numPr>
    </w:pPr>
  </w:style>
  <w:style w:type="paragraph" w:customStyle="1" w:styleId="NumPar4">
    <w:name w:val="NumPar 4"/>
    <w:basedOn w:val="Normal"/>
    <w:next w:val="Text1"/>
    <w:pPr>
      <w:numPr>
        <w:ilvl w:val="3"/>
        <w:numId w:val="50"/>
      </w:numPr>
    </w:pPr>
  </w:style>
  <w:style w:type="paragraph" w:customStyle="1" w:styleId="NumPar5">
    <w:name w:val="NumPar 5"/>
    <w:basedOn w:val="Normal"/>
    <w:next w:val="Text2"/>
    <w:pPr>
      <w:numPr>
        <w:ilvl w:val="4"/>
        <w:numId w:val="50"/>
      </w:numPr>
    </w:pPr>
  </w:style>
  <w:style w:type="paragraph" w:customStyle="1" w:styleId="NumPar6">
    <w:name w:val="NumPar 6"/>
    <w:basedOn w:val="Normal"/>
    <w:next w:val="Text2"/>
    <w:pPr>
      <w:numPr>
        <w:ilvl w:val="5"/>
        <w:numId w:val="50"/>
      </w:numPr>
    </w:pPr>
  </w:style>
  <w:style w:type="paragraph" w:customStyle="1" w:styleId="NumPar7">
    <w:name w:val="NumPar 7"/>
    <w:basedOn w:val="Normal"/>
    <w:next w:val="Text2"/>
    <w:pPr>
      <w:numPr>
        <w:ilvl w:val="6"/>
        <w:numId w:val="5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52"/>
      </w:numPr>
    </w:pPr>
  </w:style>
  <w:style w:type="paragraph" w:customStyle="1" w:styleId="Point1number">
    <w:name w:val="Point 1 (number)"/>
    <w:basedOn w:val="Normal"/>
    <w:pPr>
      <w:numPr>
        <w:ilvl w:val="2"/>
        <w:numId w:val="52"/>
      </w:numPr>
    </w:pPr>
  </w:style>
  <w:style w:type="paragraph" w:customStyle="1" w:styleId="Point2number">
    <w:name w:val="Point 2 (number)"/>
    <w:basedOn w:val="Normal"/>
    <w:pPr>
      <w:numPr>
        <w:ilvl w:val="4"/>
        <w:numId w:val="52"/>
      </w:numPr>
    </w:pPr>
  </w:style>
  <w:style w:type="paragraph" w:customStyle="1" w:styleId="Point3number">
    <w:name w:val="Point 3 (number)"/>
    <w:basedOn w:val="Normal"/>
    <w:pPr>
      <w:numPr>
        <w:ilvl w:val="6"/>
        <w:numId w:val="52"/>
      </w:numPr>
    </w:pPr>
  </w:style>
  <w:style w:type="paragraph" w:customStyle="1" w:styleId="Point0letter">
    <w:name w:val="Point 0 (letter)"/>
    <w:basedOn w:val="Normal"/>
    <w:pPr>
      <w:numPr>
        <w:ilvl w:val="1"/>
        <w:numId w:val="52"/>
      </w:numPr>
    </w:pPr>
  </w:style>
  <w:style w:type="paragraph" w:customStyle="1" w:styleId="Point1letter">
    <w:name w:val="Point 1 (letter)"/>
    <w:basedOn w:val="Normal"/>
    <w:pPr>
      <w:numPr>
        <w:ilvl w:val="3"/>
        <w:numId w:val="52"/>
      </w:numPr>
    </w:pPr>
  </w:style>
  <w:style w:type="paragraph" w:customStyle="1" w:styleId="Point2letter">
    <w:name w:val="Point 2 (letter)"/>
    <w:basedOn w:val="Normal"/>
    <w:pPr>
      <w:numPr>
        <w:ilvl w:val="5"/>
        <w:numId w:val="52"/>
      </w:numPr>
    </w:pPr>
  </w:style>
  <w:style w:type="paragraph" w:customStyle="1" w:styleId="Point3letter">
    <w:name w:val="Point 3 (letter)"/>
    <w:basedOn w:val="Normal"/>
    <w:pPr>
      <w:numPr>
        <w:ilvl w:val="7"/>
        <w:numId w:val="52"/>
      </w:numPr>
    </w:pPr>
  </w:style>
  <w:style w:type="paragraph" w:customStyle="1" w:styleId="Point4letter">
    <w:name w:val="Point 4 (letter)"/>
    <w:basedOn w:val="Normal"/>
    <w:pPr>
      <w:numPr>
        <w:ilvl w:val="8"/>
        <w:numId w:val="52"/>
      </w:numPr>
    </w:pPr>
  </w:style>
  <w:style w:type="paragraph" w:customStyle="1" w:styleId="Bullet0">
    <w:name w:val="Bullet 0"/>
    <w:basedOn w:val="Normal"/>
    <w:pPr>
      <w:numPr>
        <w:numId w:val="53"/>
      </w:numPr>
    </w:pPr>
  </w:style>
  <w:style w:type="paragraph" w:customStyle="1" w:styleId="Bullet1">
    <w:name w:val="Bullet 1"/>
    <w:basedOn w:val="Normal"/>
    <w:pPr>
      <w:numPr>
        <w:numId w:val="54"/>
      </w:numPr>
    </w:pPr>
  </w:style>
  <w:style w:type="paragraph" w:customStyle="1" w:styleId="Bullet2">
    <w:name w:val="Bullet 2"/>
    <w:basedOn w:val="Normal"/>
    <w:pPr>
      <w:numPr>
        <w:numId w:val="55"/>
      </w:numPr>
    </w:pPr>
  </w:style>
  <w:style w:type="paragraph" w:customStyle="1" w:styleId="Bullet3">
    <w:name w:val="Bullet 3"/>
    <w:basedOn w:val="Normal"/>
    <w:pPr>
      <w:numPr>
        <w:numId w:val="56"/>
      </w:numPr>
    </w:pPr>
  </w:style>
  <w:style w:type="paragraph" w:customStyle="1" w:styleId="Bullet4">
    <w:name w:val="Bullet 4"/>
    <w:basedOn w:val="Normal"/>
    <w:pPr>
      <w:numPr>
        <w:numId w:val="5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 w:type="paragraph" w:styleId="Header">
    <w:name w:val="header"/>
    <w:basedOn w:val="Normal"/>
    <w:link w:val="HeaderChar"/>
    <w:uiPriority w:val="99"/>
    <w:unhideWhenUsed/>
    <w:rsid w:val="00053915"/>
    <w:pPr>
      <w:tabs>
        <w:tab w:val="center" w:pos="4535"/>
        <w:tab w:val="right" w:pos="9071"/>
      </w:tabs>
      <w:spacing w:before="0"/>
    </w:pPr>
  </w:style>
  <w:style w:type="paragraph" w:customStyle="1" w:styleId="HeaderLandscape">
    <w:name w:val="HeaderLandscape"/>
    <w:basedOn w:val="Normal"/>
    <w:rsid w:val="00053915"/>
    <w:pPr>
      <w:tabs>
        <w:tab w:val="center" w:pos="7285"/>
        <w:tab w:val="right" w:pos="14003"/>
      </w:tabs>
      <w:spacing w:before="0"/>
    </w:pPr>
  </w:style>
  <w:style w:type="paragraph" w:styleId="Footer">
    <w:name w:val="footer"/>
    <w:basedOn w:val="Normal"/>
    <w:link w:val="FooterChar"/>
    <w:uiPriority w:val="99"/>
    <w:unhideWhenUsed/>
    <w:rsid w:val="00053915"/>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053915"/>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44721">
      <w:bodyDiv w:val="1"/>
      <w:marLeft w:val="0"/>
      <w:marRight w:val="0"/>
      <w:marTop w:val="0"/>
      <w:marBottom w:val="0"/>
      <w:divBdr>
        <w:top w:val="none" w:sz="0" w:space="0" w:color="auto"/>
        <w:left w:val="none" w:sz="0" w:space="0" w:color="auto"/>
        <w:bottom w:val="none" w:sz="0" w:space="0" w:color="auto"/>
        <w:right w:val="none" w:sz="0" w:space="0" w:color="auto"/>
      </w:divBdr>
    </w:div>
    <w:div w:id="66611882">
      <w:bodyDiv w:val="1"/>
      <w:marLeft w:val="0"/>
      <w:marRight w:val="0"/>
      <w:marTop w:val="0"/>
      <w:marBottom w:val="0"/>
      <w:divBdr>
        <w:top w:val="none" w:sz="0" w:space="0" w:color="auto"/>
        <w:left w:val="none" w:sz="0" w:space="0" w:color="auto"/>
        <w:bottom w:val="none" w:sz="0" w:space="0" w:color="auto"/>
        <w:right w:val="none" w:sz="0" w:space="0" w:color="auto"/>
      </w:divBdr>
    </w:div>
    <w:div w:id="92670906">
      <w:bodyDiv w:val="1"/>
      <w:marLeft w:val="0"/>
      <w:marRight w:val="0"/>
      <w:marTop w:val="0"/>
      <w:marBottom w:val="0"/>
      <w:divBdr>
        <w:top w:val="none" w:sz="0" w:space="0" w:color="auto"/>
        <w:left w:val="none" w:sz="0" w:space="0" w:color="auto"/>
        <w:bottom w:val="none" w:sz="0" w:space="0" w:color="auto"/>
        <w:right w:val="none" w:sz="0" w:space="0" w:color="auto"/>
      </w:divBdr>
    </w:div>
    <w:div w:id="93329259">
      <w:bodyDiv w:val="1"/>
      <w:marLeft w:val="0"/>
      <w:marRight w:val="0"/>
      <w:marTop w:val="0"/>
      <w:marBottom w:val="0"/>
      <w:divBdr>
        <w:top w:val="none" w:sz="0" w:space="0" w:color="auto"/>
        <w:left w:val="none" w:sz="0" w:space="0" w:color="auto"/>
        <w:bottom w:val="none" w:sz="0" w:space="0" w:color="auto"/>
        <w:right w:val="none" w:sz="0" w:space="0" w:color="auto"/>
      </w:divBdr>
    </w:div>
    <w:div w:id="96996541">
      <w:bodyDiv w:val="1"/>
      <w:marLeft w:val="0"/>
      <w:marRight w:val="0"/>
      <w:marTop w:val="0"/>
      <w:marBottom w:val="0"/>
      <w:divBdr>
        <w:top w:val="none" w:sz="0" w:space="0" w:color="auto"/>
        <w:left w:val="none" w:sz="0" w:space="0" w:color="auto"/>
        <w:bottom w:val="none" w:sz="0" w:space="0" w:color="auto"/>
        <w:right w:val="none" w:sz="0" w:space="0" w:color="auto"/>
      </w:divBdr>
      <w:divsChild>
        <w:div w:id="490171124">
          <w:marLeft w:val="0"/>
          <w:marRight w:val="0"/>
          <w:marTop w:val="0"/>
          <w:marBottom w:val="0"/>
          <w:divBdr>
            <w:top w:val="none" w:sz="0" w:space="0" w:color="auto"/>
            <w:left w:val="none" w:sz="0" w:space="0" w:color="auto"/>
            <w:bottom w:val="none" w:sz="0" w:space="0" w:color="auto"/>
            <w:right w:val="none" w:sz="0" w:space="0" w:color="auto"/>
          </w:divBdr>
        </w:div>
        <w:div w:id="1164472752">
          <w:marLeft w:val="0"/>
          <w:marRight w:val="0"/>
          <w:marTop w:val="0"/>
          <w:marBottom w:val="0"/>
          <w:divBdr>
            <w:top w:val="none" w:sz="0" w:space="0" w:color="auto"/>
            <w:left w:val="none" w:sz="0" w:space="0" w:color="auto"/>
            <w:bottom w:val="none" w:sz="0" w:space="0" w:color="auto"/>
            <w:right w:val="none" w:sz="0" w:space="0" w:color="auto"/>
          </w:divBdr>
        </w:div>
      </w:divsChild>
    </w:div>
    <w:div w:id="99031434">
      <w:bodyDiv w:val="1"/>
      <w:marLeft w:val="0"/>
      <w:marRight w:val="0"/>
      <w:marTop w:val="0"/>
      <w:marBottom w:val="0"/>
      <w:divBdr>
        <w:top w:val="none" w:sz="0" w:space="0" w:color="auto"/>
        <w:left w:val="none" w:sz="0" w:space="0" w:color="auto"/>
        <w:bottom w:val="none" w:sz="0" w:space="0" w:color="auto"/>
        <w:right w:val="none" w:sz="0" w:space="0" w:color="auto"/>
      </w:divBdr>
    </w:div>
    <w:div w:id="100339882">
      <w:bodyDiv w:val="1"/>
      <w:marLeft w:val="0"/>
      <w:marRight w:val="0"/>
      <w:marTop w:val="0"/>
      <w:marBottom w:val="0"/>
      <w:divBdr>
        <w:top w:val="none" w:sz="0" w:space="0" w:color="auto"/>
        <w:left w:val="none" w:sz="0" w:space="0" w:color="auto"/>
        <w:bottom w:val="none" w:sz="0" w:space="0" w:color="auto"/>
        <w:right w:val="none" w:sz="0" w:space="0" w:color="auto"/>
      </w:divBdr>
      <w:divsChild>
        <w:div w:id="671026938">
          <w:marLeft w:val="0"/>
          <w:marRight w:val="0"/>
          <w:marTop w:val="0"/>
          <w:marBottom w:val="0"/>
          <w:divBdr>
            <w:top w:val="none" w:sz="0" w:space="0" w:color="auto"/>
            <w:left w:val="none" w:sz="0" w:space="0" w:color="auto"/>
            <w:bottom w:val="none" w:sz="0" w:space="0" w:color="auto"/>
            <w:right w:val="none" w:sz="0" w:space="0" w:color="auto"/>
          </w:divBdr>
          <w:divsChild>
            <w:div w:id="155196209">
              <w:marLeft w:val="0"/>
              <w:marRight w:val="0"/>
              <w:marTop w:val="0"/>
              <w:marBottom w:val="0"/>
              <w:divBdr>
                <w:top w:val="none" w:sz="0" w:space="0" w:color="auto"/>
                <w:left w:val="none" w:sz="0" w:space="0" w:color="auto"/>
                <w:bottom w:val="none" w:sz="0" w:space="0" w:color="auto"/>
                <w:right w:val="none" w:sz="0" w:space="0" w:color="auto"/>
              </w:divBdr>
            </w:div>
            <w:div w:id="236745861">
              <w:marLeft w:val="0"/>
              <w:marRight w:val="0"/>
              <w:marTop w:val="0"/>
              <w:marBottom w:val="0"/>
              <w:divBdr>
                <w:top w:val="none" w:sz="0" w:space="0" w:color="auto"/>
                <w:left w:val="none" w:sz="0" w:space="0" w:color="auto"/>
                <w:bottom w:val="none" w:sz="0" w:space="0" w:color="auto"/>
                <w:right w:val="none" w:sz="0" w:space="0" w:color="auto"/>
              </w:divBdr>
            </w:div>
            <w:div w:id="346373552">
              <w:marLeft w:val="0"/>
              <w:marRight w:val="0"/>
              <w:marTop w:val="0"/>
              <w:marBottom w:val="0"/>
              <w:divBdr>
                <w:top w:val="none" w:sz="0" w:space="0" w:color="auto"/>
                <w:left w:val="none" w:sz="0" w:space="0" w:color="auto"/>
                <w:bottom w:val="none" w:sz="0" w:space="0" w:color="auto"/>
                <w:right w:val="none" w:sz="0" w:space="0" w:color="auto"/>
              </w:divBdr>
            </w:div>
            <w:div w:id="455757918">
              <w:marLeft w:val="0"/>
              <w:marRight w:val="0"/>
              <w:marTop w:val="0"/>
              <w:marBottom w:val="0"/>
              <w:divBdr>
                <w:top w:val="none" w:sz="0" w:space="0" w:color="auto"/>
                <w:left w:val="none" w:sz="0" w:space="0" w:color="auto"/>
                <w:bottom w:val="none" w:sz="0" w:space="0" w:color="auto"/>
                <w:right w:val="none" w:sz="0" w:space="0" w:color="auto"/>
              </w:divBdr>
            </w:div>
            <w:div w:id="739133121">
              <w:marLeft w:val="0"/>
              <w:marRight w:val="0"/>
              <w:marTop w:val="0"/>
              <w:marBottom w:val="0"/>
              <w:divBdr>
                <w:top w:val="none" w:sz="0" w:space="0" w:color="auto"/>
                <w:left w:val="none" w:sz="0" w:space="0" w:color="auto"/>
                <w:bottom w:val="none" w:sz="0" w:space="0" w:color="auto"/>
                <w:right w:val="none" w:sz="0" w:space="0" w:color="auto"/>
              </w:divBdr>
            </w:div>
            <w:div w:id="769743230">
              <w:marLeft w:val="0"/>
              <w:marRight w:val="0"/>
              <w:marTop w:val="0"/>
              <w:marBottom w:val="0"/>
              <w:divBdr>
                <w:top w:val="none" w:sz="0" w:space="0" w:color="auto"/>
                <w:left w:val="none" w:sz="0" w:space="0" w:color="auto"/>
                <w:bottom w:val="none" w:sz="0" w:space="0" w:color="auto"/>
                <w:right w:val="none" w:sz="0" w:space="0" w:color="auto"/>
              </w:divBdr>
            </w:div>
            <w:div w:id="871117415">
              <w:marLeft w:val="0"/>
              <w:marRight w:val="0"/>
              <w:marTop w:val="0"/>
              <w:marBottom w:val="0"/>
              <w:divBdr>
                <w:top w:val="none" w:sz="0" w:space="0" w:color="auto"/>
                <w:left w:val="none" w:sz="0" w:space="0" w:color="auto"/>
                <w:bottom w:val="none" w:sz="0" w:space="0" w:color="auto"/>
                <w:right w:val="none" w:sz="0" w:space="0" w:color="auto"/>
              </w:divBdr>
            </w:div>
            <w:div w:id="913927933">
              <w:marLeft w:val="0"/>
              <w:marRight w:val="0"/>
              <w:marTop w:val="0"/>
              <w:marBottom w:val="0"/>
              <w:divBdr>
                <w:top w:val="none" w:sz="0" w:space="0" w:color="auto"/>
                <w:left w:val="none" w:sz="0" w:space="0" w:color="auto"/>
                <w:bottom w:val="none" w:sz="0" w:space="0" w:color="auto"/>
                <w:right w:val="none" w:sz="0" w:space="0" w:color="auto"/>
              </w:divBdr>
            </w:div>
            <w:div w:id="1055816931">
              <w:marLeft w:val="0"/>
              <w:marRight w:val="0"/>
              <w:marTop w:val="0"/>
              <w:marBottom w:val="0"/>
              <w:divBdr>
                <w:top w:val="none" w:sz="0" w:space="0" w:color="auto"/>
                <w:left w:val="none" w:sz="0" w:space="0" w:color="auto"/>
                <w:bottom w:val="none" w:sz="0" w:space="0" w:color="auto"/>
                <w:right w:val="none" w:sz="0" w:space="0" w:color="auto"/>
              </w:divBdr>
            </w:div>
            <w:div w:id="1638148674">
              <w:marLeft w:val="0"/>
              <w:marRight w:val="0"/>
              <w:marTop w:val="0"/>
              <w:marBottom w:val="0"/>
              <w:divBdr>
                <w:top w:val="none" w:sz="0" w:space="0" w:color="auto"/>
                <w:left w:val="none" w:sz="0" w:space="0" w:color="auto"/>
                <w:bottom w:val="none" w:sz="0" w:space="0" w:color="auto"/>
                <w:right w:val="none" w:sz="0" w:space="0" w:color="auto"/>
              </w:divBdr>
            </w:div>
            <w:div w:id="1899900354">
              <w:marLeft w:val="0"/>
              <w:marRight w:val="0"/>
              <w:marTop w:val="0"/>
              <w:marBottom w:val="0"/>
              <w:divBdr>
                <w:top w:val="none" w:sz="0" w:space="0" w:color="auto"/>
                <w:left w:val="none" w:sz="0" w:space="0" w:color="auto"/>
                <w:bottom w:val="none" w:sz="0" w:space="0" w:color="auto"/>
                <w:right w:val="none" w:sz="0" w:space="0" w:color="auto"/>
              </w:divBdr>
            </w:div>
            <w:div w:id="1913663492">
              <w:marLeft w:val="0"/>
              <w:marRight w:val="0"/>
              <w:marTop w:val="0"/>
              <w:marBottom w:val="0"/>
              <w:divBdr>
                <w:top w:val="none" w:sz="0" w:space="0" w:color="auto"/>
                <w:left w:val="none" w:sz="0" w:space="0" w:color="auto"/>
                <w:bottom w:val="none" w:sz="0" w:space="0" w:color="auto"/>
                <w:right w:val="none" w:sz="0" w:space="0" w:color="auto"/>
              </w:divBdr>
            </w:div>
            <w:div w:id="1920476469">
              <w:marLeft w:val="0"/>
              <w:marRight w:val="0"/>
              <w:marTop w:val="0"/>
              <w:marBottom w:val="0"/>
              <w:divBdr>
                <w:top w:val="none" w:sz="0" w:space="0" w:color="auto"/>
                <w:left w:val="none" w:sz="0" w:space="0" w:color="auto"/>
                <w:bottom w:val="none" w:sz="0" w:space="0" w:color="auto"/>
                <w:right w:val="none" w:sz="0" w:space="0" w:color="auto"/>
              </w:divBdr>
            </w:div>
            <w:div w:id="2035107594">
              <w:marLeft w:val="0"/>
              <w:marRight w:val="0"/>
              <w:marTop w:val="0"/>
              <w:marBottom w:val="0"/>
              <w:divBdr>
                <w:top w:val="none" w:sz="0" w:space="0" w:color="auto"/>
                <w:left w:val="none" w:sz="0" w:space="0" w:color="auto"/>
                <w:bottom w:val="none" w:sz="0" w:space="0" w:color="auto"/>
                <w:right w:val="none" w:sz="0" w:space="0" w:color="auto"/>
              </w:divBdr>
            </w:div>
            <w:div w:id="2145811768">
              <w:marLeft w:val="0"/>
              <w:marRight w:val="0"/>
              <w:marTop w:val="0"/>
              <w:marBottom w:val="0"/>
              <w:divBdr>
                <w:top w:val="none" w:sz="0" w:space="0" w:color="auto"/>
                <w:left w:val="none" w:sz="0" w:space="0" w:color="auto"/>
                <w:bottom w:val="none" w:sz="0" w:space="0" w:color="auto"/>
                <w:right w:val="none" w:sz="0" w:space="0" w:color="auto"/>
              </w:divBdr>
            </w:div>
          </w:divsChild>
        </w:div>
        <w:div w:id="783689931">
          <w:marLeft w:val="0"/>
          <w:marRight w:val="0"/>
          <w:marTop w:val="0"/>
          <w:marBottom w:val="0"/>
          <w:divBdr>
            <w:top w:val="none" w:sz="0" w:space="0" w:color="auto"/>
            <w:left w:val="none" w:sz="0" w:space="0" w:color="auto"/>
            <w:bottom w:val="none" w:sz="0" w:space="0" w:color="auto"/>
            <w:right w:val="none" w:sz="0" w:space="0" w:color="auto"/>
          </w:divBdr>
          <w:divsChild>
            <w:div w:id="46222277">
              <w:marLeft w:val="0"/>
              <w:marRight w:val="0"/>
              <w:marTop w:val="0"/>
              <w:marBottom w:val="0"/>
              <w:divBdr>
                <w:top w:val="none" w:sz="0" w:space="0" w:color="auto"/>
                <w:left w:val="none" w:sz="0" w:space="0" w:color="auto"/>
                <w:bottom w:val="none" w:sz="0" w:space="0" w:color="auto"/>
                <w:right w:val="none" w:sz="0" w:space="0" w:color="auto"/>
              </w:divBdr>
            </w:div>
            <w:div w:id="197932636">
              <w:marLeft w:val="0"/>
              <w:marRight w:val="0"/>
              <w:marTop w:val="0"/>
              <w:marBottom w:val="0"/>
              <w:divBdr>
                <w:top w:val="none" w:sz="0" w:space="0" w:color="auto"/>
                <w:left w:val="none" w:sz="0" w:space="0" w:color="auto"/>
                <w:bottom w:val="none" w:sz="0" w:space="0" w:color="auto"/>
                <w:right w:val="none" w:sz="0" w:space="0" w:color="auto"/>
              </w:divBdr>
            </w:div>
            <w:div w:id="450704622">
              <w:marLeft w:val="0"/>
              <w:marRight w:val="0"/>
              <w:marTop w:val="0"/>
              <w:marBottom w:val="0"/>
              <w:divBdr>
                <w:top w:val="none" w:sz="0" w:space="0" w:color="auto"/>
                <w:left w:val="none" w:sz="0" w:space="0" w:color="auto"/>
                <w:bottom w:val="none" w:sz="0" w:space="0" w:color="auto"/>
                <w:right w:val="none" w:sz="0" w:space="0" w:color="auto"/>
              </w:divBdr>
            </w:div>
            <w:div w:id="1436245038">
              <w:marLeft w:val="0"/>
              <w:marRight w:val="0"/>
              <w:marTop w:val="0"/>
              <w:marBottom w:val="0"/>
              <w:divBdr>
                <w:top w:val="none" w:sz="0" w:space="0" w:color="auto"/>
                <w:left w:val="none" w:sz="0" w:space="0" w:color="auto"/>
                <w:bottom w:val="none" w:sz="0" w:space="0" w:color="auto"/>
                <w:right w:val="none" w:sz="0" w:space="0" w:color="auto"/>
              </w:divBdr>
            </w:div>
            <w:div w:id="1543592643">
              <w:marLeft w:val="0"/>
              <w:marRight w:val="0"/>
              <w:marTop w:val="0"/>
              <w:marBottom w:val="0"/>
              <w:divBdr>
                <w:top w:val="none" w:sz="0" w:space="0" w:color="auto"/>
                <w:left w:val="none" w:sz="0" w:space="0" w:color="auto"/>
                <w:bottom w:val="none" w:sz="0" w:space="0" w:color="auto"/>
                <w:right w:val="none" w:sz="0" w:space="0" w:color="auto"/>
              </w:divBdr>
            </w:div>
            <w:div w:id="1817258334">
              <w:marLeft w:val="0"/>
              <w:marRight w:val="0"/>
              <w:marTop w:val="0"/>
              <w:marBottom w:val="0"/>
              <w:divBdr>
                <w:top w:val="none" w:sz="0" w:space="0" w:color="auto"/>
                <w:left w:val="none" w:sz="0" w:space="0" w:color="auto"/>
                <w:bottom w:val="none" w:sz="0" w:space="0" w:color="auto"/>
                <w:right w:val="none" w:sz="0" w:space="0" w:color="auto"/>
              </w:divBdr>
            </w:div>
            <w:div w:id="1976254345">
              <w:marLeft w:val="0"/>
              <w:marRight w:val="0"/>
              <w:marTop w:val="0"/>
              <w:marBottom w:val="0"/>
              <w:divBdr>
                <w:top w:val="none" w:sz="0" w:space="0" w:color="auto"/>
                <w:left w:val="none" w:sz="0" w:space="0" w:color="auto"/>
                <w:bottom w:val="none" w:sz="0" w:space="0" w:color="auto"/>
                <w:right w:val="none" w:sz="0" w:space="0" w:color="auto"/>
              </w:divBdr>
            </w:div>
            <w:div w:id="2034528864">
              <w:marLeft w:val="0"/>
              <w:marRight w:val="0"/>
              <w:marTop w:val="0"/>
              <w:marBottom w:val="0"/>
              <w:divBdr>
                <w:top w:val="none" w:sz="0" w:space="0" w:color="auto"/>
                <w:left w:val="none" w:sz="0" w:space="0" w:color="auto"/>
                <w:bottom w:val="none" w:sz="0" w:space="0" w:color="auto"/>
                <w:right w:val="none" w:sz="0" w:space="0" w:color="auto"/>
              </w:divBdr>
            </w:div>
            <w:div w:id="208236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20627">
      <w:bodyDiv w:val="1"/>
      <w:marLeft w:val="0"/>
      <w:marRight w:val="0"/>
      <w:marTop w:val="0"/>
      <w:marBottom w:val="0"/>
      <w:divBdr>
        <w:top w:val="none" w:sz="0" w:space="0" w:color="auto"/>
        <w:left w:val="none" w:sz="0" w:space="0" w:color="auto"/>
        <w:bottom w:val="none" w:sz="0" w:space="0" w:color="auto"/>
        <w:right w:val="none" w:sz="0" w:space="0" w:color="auto"/>
      </w:divBdr>
      <w:divsChild>
        <w:div w:id="71044698">
          <w:marLeft w:val="0"/>
          <w:marRight w:val="0"/>
          <w:marTop w:val="0"/>
          <w:marBottom w:val="0"/>
          <w:divBdr>
            <w:top w:val="none" w:sz="0" w:space="0" w:color="auto"/>
            <w:left w:val="none" w:sz="0" w:space="0" w:color="auto"/>
            <w:bottom w:val="none" w:sz="0" w:space="0" w:color="auto"/>
            <w:right w:val="none" w:sz="0" w:space="0" w:color="auto"/>
          </w:divBdr>
          <w:divsChild>
            <w:div w:id="146754093">
              <w:marLeft w:val="0"/>
              <w:marRight w:val="0"/>
              <w:marTop w:val="0"/>
              <w:marBottom w:val="0"/>
              <w:divBdr>
                <w:top w:val="none" w:sz="0" w:space="0" w:color="auto"/>
                <w:left w:val="none" w:sz="0" w:space="0" w:color="auto"/>
                <w:bottom w:val="none" w:sz="0" w:space="0" w:color="auto"/>
                <w:right w:val="none" w:sz="0" w:space="0" w:color="auto"/>
              </w:divBdr>
            </w:div>
            <w:div w:id="379476584">
              <w:marLeft w:val="0"/>
              <w:marRight w:val="0"/>
              <w:marTop w:val="0"/>
              <w:marBottom w:val="0"/>
              <w:divBdr>
                <w:top w:val="none" w:sz="0" w:space="0" w:color="auto"/>
                <w:left w:val="none" w:sz="0" w:space="0" w:color="auto"/>
                <w:bottom w:val="none" w:sz="0" w:space="0" w:color="auto"/>
                <w:right w:val="none" w:sz="0" w:space="0" w:color="auto"/>
              </w:divBdr>
            </w:div>
            <w:div w:id="545339575">
              <w:marLeft w:val="0"/>
              <w:marRight w:val="0"/>
              <w:marTop w:val="0"/>
              <w:marBottom w:val="0"/>
              <w:divBdr>
                <w:top w:val="none" w:sz="0" w:space="0" w:color="auto"/>
                <w:left w:val="none" w:sz="0" w:space="0" w:color="auto"/>
                <w:bottom w:val="none" w:sz="0" w:space="0" w:color="auto"/>
                <w:right w:val="none" w:sz="0" w:space="0" w:color="auto"/>
              </w:divBdr>
            </w:div>
            <w:div w:id="826281579">
              <w:marLeft w:val="0"/>
              <w:marRight w:val="0"/>
              <w:marTop w:val="0"/>
              <w:marBottom w:val="0"/>
              <w:divBdr>
                <w:top w:val="none" w:sz="0" w:space="0" w:color="auto"/>
                <w:left w:val="none" w:sz="0" w:space="0" w:color="auto"/>
                <w:bottom w:val="none" w:sz="0" w:space="0" w:color="auto"/>
                <w:right w:val="none" w:sz="0" w:space="0" w:color="auto"/>
              </w:divBdr>
            </w:div>
            <w:div w:id="1897551071">
              <w:marLeft w:val="0"/>
              <w:marRight w:val="0"/>
              <w:marTop w:val="0"/>
              <w:marBottom w:val="0"/>
              <w:divBdr>
                <w:top w:val="none" w:sz="0" w:space="0" w:color="auto"/>
                <w:left w:val="none" w:sz="0" w:space="0" w:color="auto"/>
                <w:bottom w:val="none" w:sz="0" w:space="0" w:color="auto"/>
                <w:right w:val="none" w:sz="0" w:space="0" w:color="auto"/>
              </w:divBdr>
            </w:div>
            <w:div w:id="2064714442">
              <w:marLeft w:val="0"/>
              <w:marRight w:val="0"/>
              <w:marTop w:val="0"/>
              <w:marBottom w:val="0"/>
              <w:divBdr>
                <w:top w:val="none" w:sz="0" w:space="0" w:color="auto"/>
                <w:left w:val="none" w:sz="0" w:space="0" w:color="auto"/>
                <w:bottom w:val="none" w:sz="0" w:space="0" w:color="auto"/>
                <w:right w:val="none" w:sz="0" w:space="0" w:color="auto"/>
              </w:divBdr>
            </w:div>
          </w:divsChild>
        </w:div>
        <w:div w:id="1595702374">
          <w:marLeft w:val="0"/>
          <w:marRight w:val="0"/>
          <w:marTop w:val="0"/>
          <w:marBottom w:val="0"/>
          <w:divBdr>
            <w:top w:val="none" w:sz="0" w:space="0" w:color="auto"/>
            <w:left w:val="none" w:sz="0" w:space="0" w:color="auto"/>
            <w:bottom w:val="none" w:sz="0" w:space="0" w:color="auto"/>
            <w:right w:val="none" w:sz="0" w:space="0" w:color="auto"/>
          </w:divBdr>
          <w:divsChild>
            <w:div w:id="498547265">
              <w:marLeft w:val="0"/>
              <w:marRight w:val="0"/>
              <w:marTop w:val="0"/>
              <w:marBottom w:val="0"/>
              <w:divBdr>
                <w:top w:val="none" w:sz="0" w:space="0" w:color="auto"/>
                <w:left w:val="none" w:sz="0" w:space="0" w:color="auto"/>
                <w:bottom w:val="none" w:sz="0" w:space="0" w:color="auto"/>
                <w:right w:val="none" w:sz="0" w:space="0" w:color="auto"/>
              </w:divBdr>
            </w:div>
            <w:div w:id="136112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4032">
      <w:bodyDiv w:val="1"/>
      <w:marLeft w:val="0"/>
      <w:marRight w:val="0"/>
      <w:marTop w:val="0"/>
      <w:marBottom w:val="0"/>
      <w:divBdr>
        <w:top w:val="none" w:sz="0" w:space="0" w:color="auto"/>
        <w:left w:val="none" w:sz="0" w:space="0" w:color="auto"/>
        <w:bottom w:val="none" w:sz="0" w:space="0" w:color="auto"/>
        <w:right w:val="none" w:sz="0" w:space="0" w:color="auto"/>
      </w:divBdr>
    </w:div>
    <w:div w:id="200361451">
      <w:bodyDiv w:val="1"/>
      <w:marLeft w:val="0"/>
      <w:marRight w:val="0"/>
      <w:marTop w:val="0"/>
      <w:marBottom w:val="0"/>
      <w:divBdr>
        <w:top w:val="none" w:sz="0" w:space="0" w:color="auto"/>
        <w:left w:val="none" w:sz="0" w:space="0" w:color="auto"/>
        <w:bottom w:val="none" w:sz="0" w:space="0" w:color="auto"/>
        <w:right w:val="none" w:sz="0" w:space="0" w:color="auto"/>
      </w:divBdr>
    </w:div>
    <w:div w:id="201669857">
      <w:bodyDiv w:val="1"/>
      <w:marLeft w:val="0"/>
      <w:marRight w:val="0"/>
      <w:marTop w:val="0"/>
      <w:marBottom w:val="0"/>
      <w:divBdr>
        <w:top w:val="none" w:sz="0" w:space="0" w:color="auto"/>
        <w:left w:val="none" w:sz="0" w:space="0" w:color="auto"/>
        <w:bottom w:val="none" w:sz="0" w:space="0" w:color="auto"/>
        <w:right w:val="none" w:sz="0" w:space="0" w:color="auto"/>
      </w:divBdr>
    </w:div>
    <w:div w:id="213808745">
      <w:bodyDiv w:val="1"/>
      <w:marLeft w:val="0"/>
      <w:marRight w:val="0"/>
      <w:marTop w:val="0"/>
      <w:marBottom w:val="0"/>
      <w:divBdr>
        <w:top w:val="none" w:sz="0" w:space="0" w:color="auto"/>
        <w:left w:val="none" w:sz="0" w:space="0" w:color="auto"/>
        <w:bottom w:val="none" w:sz="0" w:space="0" w:color="auto"/>
        <w:right w:val="none" w:sz="0" w:space="0" w:color="auto"/>
      </w:divBdr>
    </w:div>
    <w:div w:id="253515807">
      <w:bodyDiv w:val="1"/>
      <w:marLeft w:val="0"/>
      <w:marRight w:val="0"/>
      <w:marTop w:val="0"/>
      <w:marBottom w:val="0"/>
      <w:divBdr>
        <w:top w:val="none" w:sz="0" w:space="0" w:color="auto"/>
        <w:left w:val="none" w:sz="0" w:space="0" w:color="auto"/>
        <w:bottom w:val="none" w:sz="0" w:space="0" w:color="auto"/>
        <w:right w:val="none" w:sz="0" w:space="0" w:color="auto"/>
      </w:divBdr>
      <w:divsChild>
        <w:div w:id="1307399518">
          <w:marLeft w:val="0"/>
          <w:marRight w:val="0"/>
          <w:marTop w:val="0"/>
          <w:marBottom w:val="0"/>
          <w:divBdr>
            <w:top w:val="none" w:sz="0" w:space="0" w:color="auto"/>
            <w:left w:val="none" w:sz="0" w:space="0" w:color="auto"/>
            <w:bottom w:val="none" w:sz="0" w:space="0" w:color="auto"/>
            <w:right w:val="none" w:sz="0" w:space="0" w:color="auto"/>
          </w:divBdr>
          <w:divsChild>
            <w:div w:id="1060904058">
              <w:marLeft w:val="0"/>
              <w:marRight w:val="0"/>
              <w:marTop w:val="0"/>
              <w:marBottom w:val="0"/>
              <w:divBdr>
                <w:top w:val="none" w:sz="0" w:space="0" w:color="auto"/>
                <w:left w:val="none" w:sz="0" w:space="0" w:color="auto"/>
                <w:bottom w:val="none" w:sz="0" w:space="0" w:color="auto"/>
                <w:right w:val="none" w:sz="0" w:space="0" w:color="auto"/>
              </w:divBdr>
            </w:div>
            <w:div w:id="1810123418">
              <w:marLeft w:val="0"/>
              <w:marRight w:val="0"/>
              <w:marTop w:val="0"/>
              <w:marBottom w:val="0"/>
              <w:divBdr>
                <w:top w:val="none" w:sz="0" w:space="0" w:color="auto"/>
                <w:left w:val="none" w:sz="0" w:space="0" w:color="auto"/>
                <w:bottom w:val="none" w:sz="0" w:space="0" w:color="auto"/>
                <w:right w:val="none" w:sz="0" w:space="0" w:color="auto"/>
              </w:divBdr>
            </w:div>
            <w:div w:id="1982923024">
              <w:marLeft w:val="0"/>
              <w:marRight w:val="0"/>
              <w:marTop w:val="0"/>
              <w:marBottom w:val="0"/>
              <w:divBdr>
                <w:top w:val="none" w:sz="0" w:space="0" w:color="auto"/>
                <w:left w:val="none" w:sz="0" w:space="0" w:color="auto"/>
                <w:bottom w:val="none" w:sz="0" w:space="0" w:color="auto"/>
                <w:right w:val="none" w:sz="0" w:space="0" w:color="auto"/>
              </w:divBdr>
            </w:div>
          </w:divsChild>
        </w:div>
        <w:div w:id="1649090610">
          <w:marLeft w:val="0"/>
          <w:marRight w:val="0"/>
          <w:marTop w:val="0"/>
          <w:marBottom w:val="0"/>
          <w:divBdr>
            <w:top w:val="none" w:sz="0" w:space="0" w:color="auto"/>
            <w:left w:val="none" w:sz="0" w:space="0" w:color="auto"/>
            <w:bottom w:val="none" w:sz="0" w:space="0" w:color="auto"/>
            <w:right w:val="none" w:sz="0" w:space="0" w:color="auto"/>
          </w:divBdr>
          <w:divsChild>
            <w:div w:id="30884785">
              <w:marLeft w:val="0"/>
              <w:marRight w:val="0"/>
              <w:marTop w:val="0"/>
              <w:marBottom w:val="0"/>
              <w:divBdr>
                <w:top w:val="none" w:sz="0" w:space="0" w:color="auto"/>
                <w:left w:val="none" w:sz="0" w:space="0" w:color="auto"/>
                <w:bottom w:val="none" w:sz="0" w:space="0" w:color="auto"/>
                <w:right w:val="none" w:sz="0" w:space="0" w:color="auto"/>
              </w:divBdr>
            </w:div>
            <w:div w:id="32118997">
              <w:marLeft w:val="0"/>
              <w:marRight w:val="0"/>
              <w:marTop w:val="0"/>
              <w:marBottom w:val="0"/>
              <w:divBdr>
                <w:top w:val="none" w:sz="0" w:space="0" w:color="auto"/>
                <w:left w:val="none" w:sz="0" w:space="0" w:color="auto"/>
                <w:bottom w:val="none" w:sz="0" w:space="0" w:color="auto"/>
                <w:right w:val="none" w:sz="0" w:space="0" w:color="auto"/>
              </w:divBdr>
            </w:div>
            <w:div w:id="194582836">
              <w:marLeft w:val="0"/>
              <w:marRight w:val="0"/>
              <w:marTop w:val="0"/>
              <w:marBottom w:val="0"/>
              <w:divBdr>
                <w:top w:val="none" w:sz="0" w:space="0" w:color="auto"/>
                <w:left w:val="none" w:sz="0" w:space="0" w:color="auto"/>
                <w:bottom w:val="none" w:sz="0" w:space="0" w:color="auto"/>
                <w:right w:val="none" w:sz="0" w:space="0" w:color="auto"/>
              </w:divBdr>
            </w:div>
            <w:div w:id="570235888">
              <w:marLeft w:val="0"/>
              <w:marRight w:val="0"/>
              <w:marTop w:val="0"/>
              <w:marBottom w:val="0"/>
              <w:divBdr>
                <w:top w:val="none" w:sz="0" w:space="0" w:color="auto"/>
                <w:left w:val="none" w:sz="0" w:space="0" w:color="auto"/>
                <w:bottom w:val="none" w:sz="0" w:space="0" w:color="auto"/>
                <w:right w:val="none" w:sz="0" w:space="0" w:color="auto"/>
              </w:divBdr>
            </w:div>
            <w:div w:id="1195342473">
              <w:marLeft w:val="0"/>
              <w:marRight w:val="0"/>
              <w:marTop w:val="0"/>
              <w:marBottom w:val="0"/>
              <w:divBdr>
                <w:top w:val="none" w:sz="0" w:space="0" w:color="auto"/>
                <w:left w:val="none" w:sz="0" w:space="0" w:color="auto"/>
                <w:bottom w:val="none" w:sz="0" w:space="0" w:color="auto"/>
                <w:right w:val="none" w:sz="0" w:space="0" w:color="auto"/>
              </w:divBdr>
            </w:div>
            <w:div w:id="1416053432">
              <w:marLeft w:val="0"/>
              <w:marRight w:val="0"/>
              <w:marTop w:val="0"/>
              <w:marBottom w:val="0"/>
              <w:divBdr>
                <w:top w:val="none" w:sz="0" w:space="0" w:color="auto"/>
                <w:left w:val="none" w:sz="0" w:space="0" w:color="auto"/>
                <w:bottom w:val="none" w:sz="0" w:space="0" w:color="auto"/>
                <w:right w:val="none" w:sz="0" w:space="0" w:color="auto"/>
              </w:divBdr>
            </w:div>
            <w:div w:id="1561281892">
              <w:marLeft w:val="0"/>
              <w:marRight w:val="0"/>
              <w:marTop w:val="0"/>
              <w:marBottom w:val="0"/>
              <w:divBdr>
                <w:top w:val="none" w:sz="0" w:space="0" w:color="auto"/>
                <w:left w:val="none" w:sz="0" w:space="0" w:color="auto"/>
                <w:bottom w:val="none" w:sz="0" w:space="0" w:color="auto"/>
                <w:right w:val="none" w:sz="0" w:space="0" w:color="auto"/>
              </w:divBdr>
            </w:div>
            <w:div w:id="1712878439">
              <w:marLeft w:val="0"/>
              <w:marRight w:val="0"/>
              <w:marTop w:val="0"/>
              <w:marBottom w:val="0"/>
              <w:divBdr>
                <w:top w:val="none" w:sz="0" w:space="0" w:color="auto"/>
                <w:left w:val="none" w:sz="0" w:space="0" w:color="auto"/>
                <w:bottom w:val="none" w:sz="0" w:space="0" w:color="auto"/>
                <w:right w:val="none" w:sz="0" w:space="0" w:color="auto"/>
              </w:divBdr>
            </w:div>
            <w:div w:id="17317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727318">
      <w:bodyDiv w:val="1"/>
      <w:marLeft w:val="0"/>
      <w:marRight w:val="0"/>
      <w:marTop w:val="0"/>
      <w:marBottom w:val="0"/>
      <w:divBdr>
        <w:top w:val="none" w:sz="0" w:space="0" w:color="auto"/>
        <w:left w:val="none" w:sz="0" w:space="0" w:color="auto"/>
        <w:bottom w:val="none" w:sz="0" w:space="0" w:color="auto"/>
        <w:right w:val="none" w:sz="0" w:space="0" w:color="auto"/>
      </w:divBdr>
      <w:divsChild>
        <w:div w:id="667098752">
          <w:marLeft w:val="0"/>
          <w:marRight w:val="0"/>
          <w:marTop w:val="0"/>
          <w:marBottom w:val="0"/>
          <w:divBdr>
            <w:top w:val="none" w:sz="0" w:space="0" w:color="auto"/>
            <w:left w:val="none" w:sz="0" w:space="0" w:color="auto"/>
            <w:bottom w:val="none" w:sz="0" w:space="0" w:color="auto"/>
            <w:right w:val="none" w:sz="0" w:space="0" w:color="auto"/>
          </w:divBdr>
        </w:div>
        <w:div w:id="689338403">
          <w:marLeft w:val="0"/>
          <w:marRight w:val="0"/>
          <w:marTop w:val="0"/>
          <w:marBottom w:val="0"/>
          <w:divBdr>
            <w:top w:val="none" w:sz="0" w:space="0" w:color="auto"/>
            <w:left w:val="none" w:sz="0" w:space="0" w:color="auto"/>
            <w:bottom w:val="none" w:sz="0" w:space="0" w:color="auto"/>
            <w:right w:val="none" w:sz="0" w:space="0" w:color="auto"/>
          </w:divBdr>
        </w:div>
        <w:div w:id="1546940024">
          <w:marLeft w:val="0"/>
          <w:marRight w:val="0"/>
          <w:marTop w:val="0"/>
          <w:marBottom w:val="0"/>
          <w:divBdr>
            <w:top w:val="none" w:sz="0" w:space="0" w:color="auto"/>
            <w:left w:val="none" w:sz="0" w:space="0" w:color="auto"/>
            <w:bottom w:val="none" w:sz="0" w:space="0" w:color="auto"/>
            <w:right w:val="none" w:sz="0" w:space="0" w:color="auto"/>
          </w:divBdr>
          <w:divsChild>
            <w:div w:id="755635120">
              <w:marLeft w:val="0"/>
              <w:marRight w:val="0"/>
              <w:marTop w:val="0"/>
              <w:marBottom w:val="0"/>
              <w:divBdr>
                <w:top w:val="none" w:sz="0" w:space="0" w:color="auto"/>
                <w:left w:val="none" w:sz="0" w:space="0" w:color="auto"/>
                <w:bottom w:val="none" w:sz="0" w:space="0" w:color="auto"/>
                <w:right w:val="none" w:sz="0" w:space="0" w:color="auto"/>
              </w:divBdr>
            </w:div>
            <w:div w:id="1049454576">
              <w:marLeft w:val="0"/>
              <w:marRight w:val="0"/>
              <w:marTop w:val="0"/>
              <w:marBottom w:val="0"/>
              <w:divBdr>
                <w:top w:val="none" w:sz="0" w:space="0" w:color="auto"/>
                <w:left w:val="none" w:sz="0" w:space="0" w:color="auto"/>
                <w:bottom w:val="none" w:sz="0" w:space="0" w:color="auto"/>
                <w:right w:val="none" w:sz="0" w:space="0" w:color="auto"/>
              </w:divBdr>
            </w:div>
            <w:div w:id="1164510357">
              <w:marLeft w:val="0"/>
              <w:marRight w:val="0"/>
              <w:marTop w:val="0"/>
              <w:marBottom w:val="0"/>
              <w:divBdr>
                <w:top w:val="none" w:sz="0" w:space="0" w:color="auto"/>
                <w:left w:val="none" w:sz="0" w:space="0" w:color="auto"/>
                <w:bottom w:val="none" w:sz="0" w:space="0" w:color="auto"/>
                <w:right w:val="none" w:sz="0" w:space="0" w:color="auto"/>
              </w:divBdr>
            </w:div>
            <w:div w:id="1827932892">
              <w:marLeft w:val="0"/>
              <w:marRight w:val="0"/>
              <w:marTop w:val="0"/>
              <w:marBottom w:val="0"/>
              <w:divBdr>
                <w:top w:val="none" w:sz="0" w:space="0" w:color="auto"/>
                <w:left w:val="none" w:sz="0" w:space="0" w:color="auto"/>
                <w:bottom w:val="none" w:sz="0" w:space="0" w:color="auto"/>
                <w:right w:val="none" w:sz="0" w:space="0" w:color="auto"/>
              </w:divBdr>
            </w:div>
            <w:div w:id="190205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026785">
      <w:bodyDiv w:val="1"/>
      <w:marLeft w:val="0"/>
      <w:marRight w:val="0"/>
      <w:marTop w:val="0"/>
      <w:marBottom w:val="0"/>
      <w:divBdr>
        <w:top w:val="none" w:sz="0" w:space="0" w:color="auto"/>
        <w:left w:val="none" w:sz="0" w:space="0" w:color="auto"/>
        <w:bottom w:val="none" w:sz="0" w:space="0" w:color="auto"/>
        <w:right w:val="none" w:sz="0" w:space="0" w:color="auto"/>
      </w:divBdr>
    </w:div>
    <w:div w:id="281036718">
      <w:bodyDiv w:val="1"/>
      <w:marLeft w:val="0"/>
      <w:marRight w:val="0"/>
      <w:marTop w:val="0"/>
      <w:marBottom w:val="0"/>
      <w:divBdr>
        <w:top w:val="none" w:sz="0" w:space="0" w:color="auto"/>
        <w:left w:val="none" w:sz="0" w:space="0" w:color="auto"/>
        <w:bottom w:val="none" w:sz="0" w:space="0" w:color="auto"/>
        <w:right w:val="none" w:sz="0" w:space="0" w:color="auto"/>
      </w:divBdr>
      <w:divsChild>
        <w:div w:id="566455460">
          <w:marLeft w:val="0"/>
          <w:marRight w:val="0"/>
          <w:marTop w:val="0"/>
          <w:marBottom w:val="0"/>
          <w:divBdr>
            <w:top w:val="none" w:sz="0" w:space="0" w:color="auto"/>
            <w:left w:val="none" w:sz="0" w:space="0" w:color="auto"/>
            <w:bottom w:val="none" w:sz="0" w:space="0" w:color="auto"/>
            <w:right w:val="none" w:sz="0" w:space="0" w:color="auto"/>
          </w:divBdr>
        </w:div>
        <w:div w:id="964192384">
          <w:marLeft w:val="0"/>
          <w:marRight w:val="0"/>
          <w:marTop w:val="0"/>
          <w:marBottom w:val="0"/>
          <w:divBdr>
            <w:top w:val="none" w:sz="0" w:space="0" w:color="auto"/>
            <w:left w:val="none" w:sz="0" w:space="0" w:color="auto"/>
            <w:bottom w:val="none" w:sz="0" w:space="0" w:color="auto"/>
            <w:right w:val="none" w:sz="0" w:space="0" w:color="auto"/>
          </w:divBdr>
        </w:div>
        <w:div w:id="1164667543">
          <w:marLeft w:val="0"/>
          <w:marRight w:val="0"/>
          <w:marTop w:val="0"/>
          <w:marBottom w:val="0"/>
          <w:divBdr>
            <w:top w:val="none" w:sz="0" w:space="0" w:color="auto"/>
            <w:left w:val="none" w:sz="0" w:space="0" w:color="auto"/>
            <w:bottom w:val="none" w:sz="0" w:space="0" w:color="auto"/>
            <w:right w:val="none" w:sz="0" w:space="0" w:color="auto"/>
          </w:divBdr>
        </w:div>
        <w:div w:id="1212377646">
          <w:marLeft w:val="0"/>
          <w:marRight w:val="0"/>
          <w:marTop w:val="0"/>
          <w:marBottom w:val="0"/>
          <w:divBdr>
            <w:top w:val="none" w:sz="0" w:space="0" w:color="auto"/>
            <w:left w:val="none" w:sz="0" w:space="0" w:color="auto"/>
            <w:bottom w:val="none" w:sz="0" w:space="0" w:color="auto"/>
            <w:right w:val="none" w:sz="0" w:space="0" w:color="auto"/>
          </w:divBdr>
        </w:div>
        <w:div w:id="1864585420">
          <w:marLeft w:val="0"/>
          <w:marRight w:val="0"/>
          <w:marTop w:val="0"/>
          <w:marBottom w:val="0"/>
          <w:divBdr>
            <w:top w:val="none" w:sz="0" w:space="0" w:color="auto"/>
            <w:left w:val="none" w:sz="0" w:space="0" w:color="auto"/>
            <w:bottom w:val="none" w:sz="0" w:space="0" w:color="auto"/>
            <w:right w:val="none" w:sz="0" w:space="0" w:color="auto"/>
          </w:divBdr>
        </w:div>
      </w:divsChild>
    </w:div>
    <w:div w:id="286161300">
      <w:bodyDiv w:val="1"/>
      <w:marLeft w:val="0"/>
      <w:marRight w:val="0"/>
      <w:marTop w:val="0"/>
      <w:marBottom w:val="0"/>
      <w:divBdr>
        <w:top w:val="none" w:sz="0" w:space="0" w:color="auto"/>
        <w:left w:val="none" w:sz="0" w:space="0" w:color="auto"/>
        <w:bottom w:val="none" w:sz="0" w:space="0" w:color="auto"/>
        <w:right w:val="none" w:sz="0" w:space="0" w:color="auto"/>
      </w:divBdr>
    </w:div>
    <w:div w:id="296496835">
      <w:bodyDiv w:val="1"/>
      <w:marLeft w:val="0"/>
      <w:marRight w:val="0"/>
      <w:marTop w:val="0"/>
      <w:marBottom w:val="0"/>
      <w:divBdr>
        <w:top w:val="none" w:sz="0" w:space="0" w:color="auto"/>
        <w:left w:val="none" w:sz="0" w:space="0" w:color="auto"/>
        <w:bottom w:val="none" w:sz="0" w:space="0" w:color="auto"/>
        <w:right w:val="none" w:sz="0" w:space="0" w:color="auto"/>
      </w:divBdr>
      <w:divsChild>
        <w:div w:id="120269776">
          <w:marLeft w:val="0"/>
          <w:marRight w:val="0"/>
          <w:marTop w:val="0"/>
          <w:marBottom w:val="0"/>
          <w:divBdr>
            <w:top w:val="none" w:sz="0" w:space="0" w:color="auto"/>
            <w:left w:val="none" w:sz="0" w:space="0" w:color="auto"/>
            <w:bottom w:val="none" w:sz="0" w:space="0" w:color="auto"/>
            <w:right w:val="none" w:sz="0" w:space="0" w:color="auto"/>
          </w:divBdr>
        </w:div>
        <w:div w:id="881986244">
          <w:marLeft w:val="0"/>
          <w:marRight w:val="0"/>
          <w:marTop w:val="0"/>
          <w:marBottom w:val="0"/>
          <w:divBdr>
            <w:top w:val="none" w:sz="0" w:space="0" w:color="auto"/>
            <w:left w:val="none" w:sz="0" w:space="0" w:color="auto"/>
            <w:bottom w:val="none" w:sz="0" w:space="0" w:color="auto"/>
            <w:right w:val="none" w:sz="0" w:space="0" w:color="auto"/>
          </w:divBdr>
        </w:div>
        <w:div w:id="1056899747">
          <w:marLeft w:val="0"/>
          <w:marRight w:val="0"/>
          <w:marTop w:val="0"/>
          <w:marBottom w:val="0"/>
          <w:divBdr>
            <w:top w:val="none" w:sz="0" w:space="0" w:color="auto"/>
            <w:left w:val="none" w:sz="0" w:space="0" w:color="auto"/>
            <w:bottom w:val="none" w:sz="0" w:space="0" w:color="auto"/>
            <w:right w:val="none" w:sz="0" w:space="0" w:color="auto"/>
          </w:divBdr>
        </w:div>
        <w:div w:id="1209338234">
          <w:marLeft w:val="0"/>
          <w:marRight w:val="0"/>
          <w:marTop w:val="0"/>
          <w:marBottom w:val="0"/>
          <w:divBdr>
            <w:top w:val="none" w:sz="0" w:space="0" w:color="auto"/>
            <w:left w:val="none" w:sz="0" w:space="0" w:color="auto"/>
            <w:bottom w:val="none" w:sz="0" w:space="0" w:color="auto"/>
            <w:right w:val="none" w:sz="0" w:space="0" w:color="auto"/>
          </w:divBdr>
        </w:div>
        <w:div w:id="1811553953">
          <w:marLeft w:val="0"/>
          <w:marRight w:val="0"/>
          <w:marTop w:val="0"/>
          <w:marBottom w:val="0"/>
          <w:divBdr>
            <w:top w:val="none" w:sz="0" w:space="0" w:color="auto"/>
            <w:left w:val="none" w:sz="0" w:space="0" w:color="auto"/>
            <w:bottom w:val="none" w:sz="0" w:space="0" w:color="auto"/>
            <w:right w:val="none" w:sz="0" w:space="0" w:color="auto"/>
          </w:divBdr>
        </w:div>
        <w:div w:id="1959214566">
          <w:marLeft w:val="0"/>
          <w:marRight w:val="0"/>
          <w:marTop w:val="0"/>
          <w:marBottom w:val="0"/>
          <w:divBdr>
            <w:top w:val="none" w:sz="0" w:space="0" w:color="auto"/>
            <w:left w:val="none" w:sz="0" w:space="0" w:color="auto"/>
            <w:bottom w:val="none" w:sz="0" w:space="0" w:color="auto"/>
            <w:right w:val="none" w:sz="0" w:space="0" w:color="auto"/>
          </w:divBdr>
        </w:div>
      </w:divsChild>
    </w:div>
    <w:div w:id="300117441">
      <w:bodyDiv w:val="1"/>
      <w:marLeft w:val="0"/>
      <w:marRight w:val="0"/>
      <w:marTop w:val="0"/>
      <w:marBottom w:val="0"/>
      <w:divBdr>
        <w:top w:val="none" w:sz="0" w:space="0" w:color="auto"/>
        <w:left w:val="none" w:sz="0" w:space="0" w:color="auto"/>
        <w:bottom w:val="none" w:sz="0" w:space="0" w:color="auto"/>
        <w:right w:val="none" w:sz="0" w:space="0" w:color="auto"/>
      </w:divBdr>
    </w:div>
    <w:div w:id="303656545">
      <w:bodyDiv w:val="1"/>
      <w:marLeft w:val="0"/>
      <w:marRight w:val="0"/>
      <w:marTop w:val="0"/>
      <w:marBottom w:val="0"/>
      <w:divBdr>
        <w:top w:val="none" w:sz="0" w:space="0" w:color="auto"/>
        <w:left w:val="none" w:sz="0" w:space="0" w:color="auto"/>
        <w:bottom w:val="none" w:sz="0" w:space="0" w:color="auto"/>
        <w:right w:val="none" w:sz="0" w:space="0" w:color="auto"/>
      </w:divBdr>
    </w:div>
    <w:div w:id="311910482">
      <w:bodyDiv w:val="1"/>
      <w:marLeft w:val="0"/>
      <w:marRight w:val="0"/>
      <w:marTop w:val="0"/>
      <w:marBottom w:val="0"/>
      <w:divBdr>
        <w:top w:val="none" w:sz="0" w:space="0" w:color="auto"/>
        <w:left w:val="none" w:sz="0" w:space="0" w:color="auto"/>
        <w:bottom w:val="none" w:sz="0" w:space="0" w:color="auto"/>
        <w:right w:val="none" w:sz="0" w:space="0" w:color="auto"/>
      </w:divBdr>
    </w:div>
    <w:div w:id="317265444">
      <w:bodyDiv w:val="1"/>
      <w:marLeft w:val="0"/>
      <w:marRight w:val="0"/>
      <w:marTop w:val="0"/>
      <w:marBottom w:val="0"/>
      <w:divBdr>
        <w:top w:val="none" w:sz="0" w:space="0" w:color="auto"/>
        <w:left w:val="none" w:sz="0" w:space="0" w:color="auto"/>
        <w:bottom w:val="none" w:sz="0" w:space="0" w:color="auto"/>
        <w:right w:val="none" w:sz="0" w:space="0" w:color="auto"/>
      </w:divBdr>
      <w:divsChild>
        <w:div w:id="108404278">
          <w:marLeft w:val="0"/>
          <w:marRight w:val="0"/>
          <w:marTop w:val="0"/>
          <w:marBottom w:val="0"/>
          <w:divBdr>
            <w:top w:val="none" w:sz="0" w:space="0" w:color="auto"/>
            <w:left w:val="none" w:sz="0" w:space="0" w:color="auto"/>
            <w:bottom w:val="none" w:sz="0" w:space="0" w:color="auto"/>
            <w:right w:val="none" w:sz="0" w:space="0" w:color="auto"/>
          </w:divBdr>
        </w:div>
        <w:div w:id="286663181">
          <w:marLeft w:val="0"/>
          <w:marRight w:val="0"/>
          <w:marTop w:val="0"/>
          <w:marBottom w:val="0"/>
          <w:divBdr>
            <w:top w:val="none" w:sz="0" w:space="0" w:color="auto"/>
            <w:left w:val="none" w:sz="0" w:space="0" w:color="auto"/>
            <w:bottom w:val="none" w:sz="0" w:space="0" w:color="auto"/>
            <w:right w:val="none" w:sz="0" w:space="0" w:color="auto"/>
          </w:divBdr>
        </w:div>
        <w:div w:id="512187675">
          <w:marLeft w:val="0"/>
          <w:marRight w:val="0"/>
          <w:marTop w:val="0"/>
          <w:marBottom w:val="0"/>
          <w:divBdr>
            <w:top w:val="none" w:sz="0" w:space="0" w:color="auto"/>
            <w:left w:val="none" w:sz="0" w:space="0" w:color="auto"/>
            <w:bottom w:val="none" w:sz="0" w:space="0" w:color="auto"/>
            <w:right w:val="none" w:sz="0" w:space="0" w:color="auto"/>
          </w:divBdr>
        </w:div>
        <w:div w:id="514417526">
          <w:marLeft w:val="0"/>
          <w:marRight w:val="0"/>
          <w:marTop w:val="0"/>
          <w:marBottom w:val="0"/>
          <w:divBdr>
            <w:top w:val="none" w:sz="0" w:space="0" w:color="auto"/>
            <w:left w:val="none" w:sz="0" w:space="0" w:color="auto"/>
            <w:bottom w:val="none" w:sz="0" w:space="0" w:color="auto"/>
            <w:right w:val="none" w:sz="0" w:space="0" w:color="auto"/>
          </w:divBdr>
        </w:div>
        <w:div w:id="647638670">
          <w:marLeft w:val="0"/>
          <w:marRight w:val="0"/>
          <w:marTop w:val="0"/>
          <w:marBottom w:val="0"/>
          <w:divBdr>
            <w:top w:val="none" w:sz="0" w:space="0" w:color="auto"/>
            <w:left w:val="none" w:sz="0" w:space="0" w:color="auto"/>
            <w:bottom w:val="none" w:sz="0" w:space="0" w:color="auto"/>
            <w:right w:val="none" w:sz="0" w:space="0" w:color="auto"/>
          </w:divBdr>
        </w:div>
        <w:div w:id="723601033">
          <w:marLeft w:val="0"/>
          <w:marRight w:val="0"/>
          <w:marTop w:val="0"/>
          <w:marBottom w:val="0"/>
          <w:divBdr>
            <w:top w:val="none" w:sz="0" w:space="0" w:color="auto"/>
            <w:left w:val="none" w:sz="0" w:space="0" w:color="auto"/>
            <w:bottom w:val="none" w:sz="0" w:space="0" w:color="auto"/>
            <w:right w:val="none" w:sz="0" w:space="0" w:color="auto"/>
          </w:divBdr>
        </w:div>
        <w:div w:id="941456378">
          <w:marLeft w:val="0"/>
          <w:marRight w:val="0"/>
          <w:marTop w:val="0"/>
          <w:marBottom w:val="0"/>
          <w:divBdr>
            <w:top w:val="none" w:sz="0" w:space="0" w:color="auto"/>
            <w:left w:val="none" w:sz="0" w:space="0" w:color="auto"/>
            <w:bottom w:val="none" w:sz="0" w:space="0" w:color="auto"/>
            <w:right w:val="none" w:sz="0" w:space="0" w:color="auto"/>
          </w:divBdr>
        </w:div>
        <w:div w:id="973176734">
          <w:marLeft w:val="0"/>
          <w:marRight w:val="0"/>
          <w:marTop w:val="0"/>
          <w:marBottom w:val="0"/>
          <w:divBdr>
            <w:top w:val="none" w:sz="0" w:space="0" w:color="auto"/>
            <w:left w:val="none" w:sz="0" w:space="0" w:color="auto"/>
            <w:bottom w:val="none" w:sz="0" w:space="0" w:color="auto"/>
            <w:right w:val="none" w:sz="0" w:space="0" w:color="auto"/>
          </w:divBdr>
        </w:div>
        <w:div w:id="1108506461">
          <w:marLeft w:val="0"/>
          <w:marRight w:val="0"/>
          <w:marTop w:val="0"/>
          <w:marBottom w:val="0"/>
          <w:divBdr>
            <w:top w:val="none" w:sz="0" w:space="0" w:color="auto"/>
            <w:left w:val="none" w:sz="0" w:space="0" w:color="auto"/>
            <w:bottom w:val="none" w:sz="0" w:space="0" w:color="auto"/>
            <w:right w:val="none" w:sz="0" w:space="0" w:color="auto"/>
          </w:divBdr>
        </w:div>
        <w:div w:id="1711802569">
          <w:marLeft w:val="0"/>
          <w:marRight w:val="0"/>
          <w:marTop w:val="0"/>
          <w:marBottom w:val="0"/>
          <w:divBdr>
            <w:top w:val="none" w:sz="0" w:space="0" w:color="auto"/>
            <w:left w:val="none" w:sz="0" w:space="0" w:color="auto"/>
            <w:bottom w:val="none" w:sz="0" w:space="0" w:color="auto"/>
            <w:right w:val="none" w:sz="0" w:space="0" w:color="auto"/>
          </w:divBdr>
        </w:div>
        <w:div w:id="2031032808">
          <w:marLeft w:val="0"/>
          <w:marRight w:val="0"/>
          <w:marTop w:val="0"/>
          <w:marBottom w:val="0"/>
          <w:divBdr>
            <w:top w:val="none" w:sz="0" w:space="0" w:color="auto"/>
            <w:left w:val="none" w:sz="0" w:space="0" w:color="auto"/>
            <w:bottom w:val="none" w:sz="0" w:space="0" w:color="auto"/>
            <w:right w:val="none" w:sz="0" w:space="0" w:color="auto"/>
          </w:divBdr>
        </w:div>
      </w:divsChild>
    </w:div>
    <w:div w:id="318077358">
      <w:bodyDiv w:val="1"/>
      <w:marLeft w:val="0"/>
      <w:marRight w:val="0"/>
      <w:marTop w:val="0"/>
      <w:marBottom w:val="0"/>
      <w:divBdr>
        <w:top w:val="none" w:sz="0" w:space="0" w:color="auto"/>
        <w:left w:val="none" w:sz="0" w:space="0" w:color="auto"/>
        <w:bottom w:val="none" w:sz="0" w:space="0" w:color="auto"/>
        <w:right w:val="none" w:sz="0" w:space="0" w:color="auto"/>
      </w:divBdr>
    </w:div>
    <w:div w:id="320617524">
      <w:bodyDiv w:val="1"/>
      <w:marLeft w:val="0"/>
      <w:marRight w:val="0"/>
      <w:marTop w:val="0"/>
      <w:marBottom w:val="0"/>
      <w:divBdr>
        <w:top w:val="none" w:sz="0" w:space="0" w:color="auto"/>
        <w:left w:val="none" w:sz="0" w:space="0" w:color="auto"/>
        <w:bottom w:val="none" w:sz="0" w:space="0" w:color="auto"/>
        <w:right w:val="none" w:sz="0" w:space="0" w:color="auto"/>
      </w:divBdr>
      <w:divsChild>
        <w:div w:id="718289100">
          <w:marLeft w:val="0"/>
          <w:marRight w:val="0"/>
          <w:marTop w:val="0"/>
          <w:marBottom w:val="0"/>
          <w:divBdr>
            <w:top w:val="none" w:sz="0" w:space="0" w:color="auto"/>
            <w:left w:val="none" w:sz="0" w:space="0" w:color="auto"/>
            <w:bottom w:val="none" w:sz="0" w:space="0" w:color="auto"/>
            <w:right w:val="none" w:sz="0" w:space="0" w:color="auto"/>
          </w:divBdr>
        </w:div>
        <w:div w:id="1087188065">
          <w:marLeft w:val="0"/>
          <w:marRight w:val="0"/>
          <w:marTop w:val="0"/>
          <w:marBottom w:val="0"/>
          <w:divBdr>
            <w:top w:val="none" w:sz="0" w:space="0" w:color="auto"/>
            <w:left w:val="none" w:sz="0" w:space="0" w:color="auto"/>
            <w:bottom w:val="none" w:sz="0" w:space="0" w:color="auto"/>
            <w:right w:val="none" w:sz="0" w:space="0" w:color="auto"/>
          </w:divBdr>
        </w:div>
      </w:divsChild>
    </w:div>
    <w:div w:id="341129466">
      <w:bodyDiv w:val="1"/>
      <w:marLeft w:val="0"/>
      <w:marRight w:val="0"/>
      <w:marTop w:val="0"/>
      <w:marBottom w:val="0"/>
      <w:divBdr>
        <w:top w:val="none" w:sz="0" w:space="0" w:color="auto"/>
        <w:left w:val="none" w:sz="0" w:space="0" w:color="auto"/>
        <w:bottom w:val="none" w:sz="0" w:space="0" w:color="auto"/>
        <w:right w:val="none" w:sz="0" w:space="0" w:color="auto"/>
      </w:divBdr>
      <w:divsChild>
        <w:div w:id="405765513">
          <w:marLeft w:val="0"/>
          <w:marRight w:val="0"/>
          <w:marTop w:val="0"/>
          <w:marBottom w:val="0"/>
          <w:divBdr>
            <w:top w:val="none" w:sz="0" w:space="0" w:color="auto"/>
            <w:left w:val="none" w:sz="0" w:space="0" w:color="auto"/>
            <w:bottom w:val="none" w:sz="0" w:space="0" w:color="auto"/>
            <w:right w:val="none" w:sz="0" w:space="0" w:color="auto"/>
          </w:divBdr>
        </w:div>
      </w:divsChild>
    </w:div>
    <w:div w:id="360909318">
      <w:bodyDiv w:val="1"/>
      <w:marLeft w:val="0"/>
      <w:marRight w:val="0"/>
      <w:marTop w:val="0"/>
      <w:marBottom w:val="0"/>
      <w:divBdr>
        <w:top w:val="none" w:sz="0" w:space="0" w:color="auto"/>
        <w:left w:val="none" w:sz="0" w:space="0" w:color="auto"/>
        <w:bottom w:val="none" w:sz="0" w:space="0" w:color="auto"/>
        <w:right w:val="none" w:sz="0" w:space="0" w:color="auto"/>
      </w:divBdr>
      <w:divsChild>
        <w:div w:id="178281900">
          <w:marLeft w:val="0"/>
          <w:marRight w:val="0"/>
          <w:marTop w:val="0"/>
          <w:marBottom w:val="0"/>
          <w:divBdr>
            <w:top w:val="none" w:sz="0" w:space="0" w:color="auto"/>
            <w:left w:val="none" w:sz="0" w:space="0" w:color="auto"/>
            <w:bottom w:val="none" w:sz="0" w:space="0" w:color="auto"/>
            <w:right w:val="none" w:sz="0" w:space="0" w:color="auto"/>
          </w:divBdr>
        </w:div>
        <w:div w:id="302467282">
          <w:marLeft w:val="0"/>
          <w:marRight w:val="0"/>
          <w:marTop w:val="0"/>
          <w:marBottom w:val="0"/>
          <w:divBdr>
            <w:top w:val="none" w:sz="0" w:space="0" w:color="auto"/>
            <w:left w:val="none" w:sz="0" w:space="0" w:color="auto"/>
            <w:bottom w:val="none" w:sz="0" w:space="0" w:color="auto"/>
            <w:right w:val="none" w:sz="0" w:space="0" w:color="auto"/>
          </w:divBdr>
        </w:div>
        <w:div w:id="569927605">
          <w:marLeft w:val="0"/>
          <w:marRight w:val="0"/>
          <w:marTop w:val="0"/>
          <w:marBottom w:val="0"/>
          <w:divBdr>
            <w:top w:val="none" w:sz="0" w:space="0" w:color="auto"/>
            <w:left w:val="none" w:sz="0" w:space="0" w:color="auto"/>
            <w:bottom w:val="none" w:sz="0" w:space="0" w:color="auto"/>
            <w:right w:val="none" w:sz="0" w:space="0" w:color="auto"/>
          </w:divBdr>
          <w:divsChild>
            <w:div w:id="2055572">
              <w:marLeft w:val="0"/>
              <w:marRight w:val="0"/>
              <w:marTop w:val="0"/>
              <w:marBottom w:val="0"/>
              <w:divBdr>
                <w:top w:val="none" w:sz="0" w:space="0" w:color="auto"/>
                <w:left w:val="none" w:sz="0" w:space="0" w:color="auto"/>
                <w:bottom w:val="none" w:sz="0" w:space="0" w:color="auto"/>
                <w:right w:val="none" w:sz="0" w:space="0" w:color="auto"/>
              </w:divBdr>
            </w:div>
            <w:div w:id="167253308">
              <w:marLeft w:val="0"/>
              <w:marRight w:val="0"/>
              <w:marTop w:val="0"/>
              <w:marBottom w:val="0"/>
              <w:divBdr>
                <w:top w:val="none" w:sz="0" w:space="0" w:color="auto"/>
                <w:left w:val="none" w:sz="0" w:space="0" w:color="auto"/>
                <w:bottom w:val="none" w:sz="0" w:space="0" w:color="auto"/>
                <w:right w:val="none" w:sz="0" w:space="0" w:color="auto"/>
              </w:divBdr>
            </w:div>
            <w:div w:id="420028088">
              <w:marLeft w:val="0"/>
              <w:marRight w:val="0"/>
              <w:marTop w:val="0"/>
              <w:marBottom w:val="0"/>
              <w:divBdr>
                <w:top w:val="none" w:sz="0" w:space="0" w:color="auto"/>
                <w:left w:val="none" w:sz="0" w:space="0" w:color="auto"/>
                <w:bottom w:val="none" w:sz="0" w:space="0" w:color="auto"/>
                <w:right w:val="none" w:sz="0" w:space="0" w:color="auto"/>
              </w:divBdr>
            </w:div>
            <w:div w:id="673456732">
              <w:marLeft w:val="0"/>
              <w:marRight w:val="0"/>
              <w:marTop w:val="0"/>
              <w:marBottom w:val="0"/>
              <w:divBdr>
                <w:top w:val="none" w:sz="0" w:space="0" w:color="auto"/>
                <w:left w:val="none" w:sz="0" w:space="0" w:color="auto"/>
                <w:bottom w:val="none" w:sz="0" w:space="0" w:color="auto"/>
                <w:right w:val="none" w:sz="0" w:space="0" w:color="auto"/>
              </w:divBdr>
            </w:div>
            <w:div w:id="699359567">
              <w:marLeft w:val="0"/>
              <w:marRight w:val="0"/>
              <w:marTop w:val="0"/>
              <w:marBottom w:val="0"/>
              <w:divBdr>
                <w:top w:val="none" w:sz="0" w:space="0" w:color="auto"/>
                <w:left w:val="none" w:sz="0" w:space="0" w:color="auto"/>
                <w:bottom w:val="none" w:sz="0" w:space="0" w:color="auto"/>
                <w:right w:val="none" w:sz="0" w:space="0" w:color="auto"/>
              </w:divBdr>
            </w:div>
            <w:div w:id="748892040">
              <w:marLeft w:val="0"/>
              <w:marRight w:val="0"/>
              <w:marTop w:val="0"/>
              <w:marBottom w:val="0"/>
              <w:divBdr>
                <w:top w:val="none" w:sz="0" w:space="0" w:color="auto"/>
                <w:left w:val="none" w:sz="0" w:space="0" w:color="auto"/>
                <w:bottom w:val="none" w:sz="0" w:space="0" w:color="auto"/>
                <w:right w:val="none" w:sz="0" w:space="0" w:color="auto"/>
              </w:divBdr>
            </w:div>
            <w:div w:id="881793948">
              <w:marLeft w:val="0"/>
              <w:marRight w:val="0"/>
              <w:marTop w:val="0"/>
              <w:marBottom w:val="0"/>
              <w:divBdr>
                <w:top w:val="none" w:sz="0" w:space="0" w:color="auto"/>
                <w:left w:val="none" w:sz="0" w:space="0" w:color="auto"/>
                <w:bottom w:val="none" w:sz="0" w:space="0" w:color="auto"/>
                <w:right w:val="none" w:sz="0" w:space="0" w:color="auto"/>
              </w:divBdr>
            </w:div>
            <w:div w:id="1050417572">
              <w:marLeft w:val="0"/>
              <w:marRight w:val="0"/>
              <w:marTop w:val="0"/>
              <w:marBottom w:val="0"/>
              <w:divBdr>
                <w:top w:val="none" w:sz="0" w:space="0" w:color="auto"/>
                <w:left w:val="none" w:sz="0" w:space="0" w:color="auto"/>
                <w:bottom w:val="none" w:sz="0" w:space="0" w:color="auto"/>
                <w:right w:val="none" w:sz="0" w:space="0" w:color="auto"/>
              </w:divBdr>
            </w:div>
            <w:div w:id="1159885506">
              <w:marLeft w:val="0"/>
              <w:marRight w:val="0"/>
              <w:marTop w:val="0"/>
              <w:marBottom w:val="0"/>
              <w:divBdr>
                <w:top w:val="none" w:sz="0" w:space="0" w:color="auto"/>
                <w:left w:val="none" w:sz="0" w:space="0" w:color="auto"/>
                <w:bottom w:val="none" w:sz="0" w:space="0" w:color="auto"/>
                <w:right w:val="none" w:sz="0" w:space="0" w:color="auto"/>
              </w:divBdr>
            </w:div>
            <w:div w:id="1460488640">
              <w:marLeft w:val="0"/>
              <w:marRight w:val="0"/>
              <w:marTop w:val="0"/>
              <w:marBottom w:val="0"/>
              <w:divBdr>
                <w:top w:val="none" w:sz="0" w:space="0" w:color="auto"/>
                <w:left w:val="none" w:sz="0" w:space="0" w:color="auto"/>
                <w:bottom w:val="none" w:sz="0" w:space="0" w:color="auto"/>
                <w:right w:val="none" w:sz="0" w:space="0" w:color="auto"/>
              </w:divBdr>
            </w:div>
            <w:div w:id="1744907359">
              <w:marLeft w:val="0"/>
              <w:marRight w:val="0"/>
              <w:marTop w:val="0"/>
              <w:marBottom w:val="0"/>
              <w:divBdr>
                <w:top w:val="none" w:sz="0" w:space="0" w:color="auto"/>
                <w:left w:val="none" w:sz="0" w:space="0" w:color="auto"/>
                <w:bottom w:val="none" w:sz="0" w:space="0" w:color="auto"/>
                <w:right w:val="none" w:sz="0" w:space="0" w:color="auto"/>
              </w:divBdr>
            </w:div>
            <w:div w:id="1755274946">
              <w:marLeft w:val="0"/>
              <w:marRight w:val="0"/>
              <w:marTop w:val="0"/>
              <w:marBottom w:val="0"/>
              <w:divBdr>
                <w:top w:val="none" w:sz="0" w:space="0" w:color="auto"/>
                <w:left w:val="none" w:sz="0" w:space="0" w:color="auto"/>
                <w:bottom w:val="none" w:sz="0" w:space="0" w:color="auto"/>
                <w:right w:val="none" w:sz="0" w:space="0" w:color="auto"/>
              </w:divBdr>
            </w:div>
          </w:divsChild>
        </w:div>
        <w:div w:id="703797393">
          <w:marLeft w:val="0"/>
          <w:marRight w:val="0"/>
          <w:marTop w:val="0"/>
          <w:marBottom w:val="0"/>
          <w:divBdr>
            <w:top w:val="none" w:sz="0" w:space="0" w:color="auto"/>
            <w:left w:val="none" w:sz="0" w:space="0" w:color="auto"/>
            <w:bottom w:val="none" w:sz="0" w:space="0" w:color="auto"/>
            <w:right w:val="none" w:sz="0" w:space="0" w:color="auto"/>
          </w:divBdr>
        </w:div>
        <w:div w:id="784034648">
          <w:marLeft w:val="0"/>
          <w:marRight w:val="0"/>
          <w:marTop w:val="0"/>
          <w:marBottom w:val="0"/>
          <w:divBdr>
            <w:top w:val="none" w:sz="0" w:space="0" w:color="auto"/>
            <w:left w:val="none" w:sz="0" w:space="0" w:color="auto"/>
            <w:bottom w:val="none" w:sz="0" w:space="0" w:color="auto"/>
            <w:right w:val="none" w:sz="0" w:space="0" w:color="auto"/>
          </w:divBdr>
          <w:divsChild>
            <w:div w:id="71780019">
              <w:marLeft w:val="0"/>
              <w:marRight w:val="0"/>
              <w:marTop w:val="0"/>
              <w:marBottom w:val="0"/>
              <w:divBdr>
                <w:top w:val="none" w:sz="0" w:space="0" w:color="auto"/>
                <w:left w:val="none" w:sz="0" w:space="0" w:color="auto"/>
                <w:bottom w:val="none" w:sz="0" w:space="0" w:color="auto"/>
                <w:right w:val="none" w:sz="0" w:space="0" w:color="auto"/>
              </w:divBdr>
            </w:div>
            <w:div w:id="95179502">
              <w:marLeft w:val="0"/>
              <w:marRight w:val="0"/>
              <w:marTop w:val="0"/>
              <w:marBottom w:val="0"/>
              <w:divBdr>
                <w:top w:val="none" w:sz="0" w:space="0" w:color="auto"/>
                <w:left w:val="none" w:sz="0" w:space="0" w:color="auto"/>
                <w:bottom w:val="none" w:sz="0" w:space="0" w:color="auto"/>
                <w:right w:val="none" w:sz="0" w:space="0" w:color="auto"/>
              </w:divBdr>
            </w:div>
            <w:div w:id="262035736">
              <w:marLeft w:val="0"/>
              <w:marRight w:val="0"/>
              <w:marTop w:val="0"/>
              <w:marBottom w:val="0"/>
              <w:divBdr>
                <w:top w:val="none" w:sz="0" w:space="0" w:color="auto"/>
                <w:left w:val="none" w:sz="0" w:space="0" w:color="auto"/>
                <w:bottom w:val="none" w:sz="0" w:space="0" w:color="auto"/>
                <w:right w:val="none" w:sz="0" w:space="0" w:color="auto"/>
              </w:divBdr>
            </w:div>
            <w:div w:id="284770778">
              <w:marLeft w:val="0"/>
              <w:marRight w:val="0"/>
              <w:marTop w:val="0"/>
              <w:marBottom w:val="0"/>
              <w:divBdr>
                <w:top w:val="none" w:sz="0" w:space="0" w:color="auto"/>
                <w:left w:val="none" w:sz="0" w:space="0" w:color="auto"/>
                <w:bottom w:val="none" w:sz="0" w:space="0" w:color="auto"/>
                <w:right w:val="none" w:sz="0" w:space="0" w:color="auto"/>
              </w:divBdr>
            </w:div>
            <w:div w:id="478230140">
              <w:marLeft w:val="0"/>
              <w:marRight w:val="0"/>
              <w:marTop w:val="0"/>
              <w:marBottom w:val="0"/>
              <w:divBdr>
                <w:top w:val="none" w:sz="0" w:space="0" w:color="auto"/>
                <w:left w:val="none" w:sz="0" w:space="0" w:color="auto"/>
                <w:bottom w:val="none" w:sz="0" w:space="0" w:color="auto"/>
                <w:right w:val="none" w:sz="0" w:space="0" w:color="auto"/>
              </w:divBdr>
            </w:div>
            <w:div w:id="481771664">
              <w:marLeft w:val="0"/>
              <w:marRight w:val="0"/>
              <w:marTop w:val="0"/>
              <w:marBottom w:val="0"/>
              <w:divBdr>
                <w:top w:val="none" w:sz="0" w:space="0" w:color="auto"/>
                <w:left w:val="none" w:sz="0" w:space="0" w:color="auto"/>
                <w:bottom w:val="none" w:sz="0" w:space="0" w:color="auto"/>
                <w:right w:val="none" w:sz="0" w:space="0" w:color="auto"/>
              </w:divBdr>
            </w:div>
            <w:div w:id="546377656">
              <w:marLeft w:val="0"/>
              <w:marRight w:val="0"/>
              <w:marTop w:val="0"/>
              <w:marBottom w:val="0"/>
              <w:divBdr>
                <w:top w:val="none" w:sz="0" w:space="0" w:color="auto"/>
                <w:left w:val="none" w:sz="0" w:space="0" w:color="auto"/>
                <w:bottom w:val="none" w:sz="0" w:space="0" w:color="auto"/>
                <w:right w:val="none" w:sz="0" w:space="0" w:color="auto"/>
              </w:divBdr>
            </w:div>
            <w:div w:id="551577850">
              <w:marLeft w:val="0"/>
              <w:marRight w:val="0"/>
              <w:marTop w:val="0"/>
              <w:marBottom w:val="0"/>
              <w:divBdr>
                <w:top w:val="none" w:sz="0" w:space="0" w:color="auto"/>
                <w:left w:val="none" w:sz="0" w:space="0" w:color="auto"/>
                <w:bottom w:val="none" w:sz="0" w:space="0" w:color="auto"/>
                <w:right w:val="none" w:sz="0" w:space="0" w:color="auto"/>
              </w:divBdr>
            </w:div>
            <w:div w:id="557520882">
              <w:marLeft w:val="0"/>
              <w:marRight w:val="0"/>
              <w:marTop w:val="0"/>
              <w:marBottom w:val="0"/>
              <w:divBdr>
                <w:top w:val="none" w:sz="0" w:space="0" w:color="auto"/>
                <w:left w:val="none" w:sz="0" w:space="0" w:color="auto"/>
                <w:bottom w:val="none" w:sz="0" w:space="0" w:color="auto"/>
                <w:right w:val="none" w:sz="0" w:space="0" w:color="auto"/>
              </w:divBdr>
            </w:div>
            <w:div w:id="561646171">
              <w:marLeft w:val="0"/>
              <w:marRight w:val="0"/>
              <w:marTop w:val="0"/>
              <w:marBottom w:val="0"/>
              <w:divBdr>
                <w:top w:val="none" w:sz="0" w:space="0" w:color="auto"/>
                <w:left w:val="none" w:sz="0" w:space="0" w:color="auto"/>
                <w:bottom w:val="none" w:sz="0" w:space="0" w:color="auto"/>
                <w:right w:val="none" w:sz="0" w:space="0" w:color="auto"/>
              </w:divBdr>
            </w:div>
            <w:div w:id="650059440">
              <w:marLeft w:val="0"/>
              <w:marRight w:val="0"/>
              <w:marTop w:val="0"/>
              <w:marBottom w:val="0"/>
              <w:divBdr>
                <w:top w:val="none" w:sz="0" w:space="0" w:color="auto"/>
                <w:left w:val="none" w:sz="0" w:space="0" w:color="auto"/>
                <w:bottom w:val="none" w:sz="0" w:space="0" w:color="auto"/>
                <w:right w:val="none" w:sz="0" w:space="0" w:color="auto"/>
              </w:divBdr>
            </w:div>
            <w:div w:id="816995729">
              <w:marLeft w:val="0"/>
              <w:marRight w:val="0"/>
              <w:marTop w:val="0"/>
              <w:marBottom w:val="0"/>
              <w:divBdr>
                <w:top w:val="none" w:sz="0" w:space="0" w:color="auto"/>
                <w:left w:val="none" w:sz="0" w:space="0" w:color="auto"/>
                <w:bottom w:val="none" w:sz="0" w:space="0" w:color="auto"/>
                <w:right w:val="none" w:sz="0" w:space="0" w:color="auto"/>
              </w:divBdr>
            </w:div>
            <w:div w:id="1045566311">
              <w:marLeft w:val="0"/>
              <w:marRight w:val="0"/>
              <w:marTop w:val="0"/>
              <w:marBottom w:val="0"/>
              <w:divBdr>
                <w:top w:val="none" w:sz="0" w:space="0" w:color="auto"/>
                <w:left w:val="none" w:sz="0" w:space="0" w:color="auto"/>
                <w:bottom w:val="none" w:sz="0" w:space="0" w:color="auto"/>
                <w:right w:val="none" w:sz="0" w:space="0" w:color="auto"/>
              </w:divBdr>
            </w:div>
            <w:div w:id="1157497205">
              <w:marLeft w:val="0"/>
              <w:marRight w:val="0"/>
              <w:marTop w:val="0"/>
              <w:marBottom w:val="0"/>
              <w:divBdr>
                <w:top w:val="none" w:sz="0" w:space="0" w:color="auto"/>
                <w:left w:val="none" w:sz="0" w:space="0" w:color="auto"/>
                <w:bottom w:val="none" w:sz="0" w:space="0" w:color="auto"/>
                <w:right w:val="none" w:sz="0" w:space="0" w:color="auto"/>
              </w:divBdr>
            </w:div>
            <w:div w:id="1402143159">
              <w:marLeft w:val="0"/>
              <w:marRight w:val="0"/>
              <w:marTop w:val="0"/>
              <w:marBottom w:val="0"/>
              <w:divBdr>
                <w:top w:val="none" w:sz="0" w:space="0" w:color="auto"/>
                <w:left w:val="none" w:sz="0" w:space="0" w:color="auto"/>
                <w:bottom w:val="none" w:sz="0" w:space="0" w:color="auto"/>
                <w:right w:val="none" w:sz="0" w:space="0" w:color="auto"/>
              </w:divBdr>
            </w:div>
            <w:div w:id="1535653429">
              <w:marLeft w:val="0"/>
              <w:marRight w:val="0"/>
              <w:marTop w:val="0"/>
              <w:marBottom w:val="0"/>
              <w:divBdr>
                <w:top w:val="none" w:sz="0" w:space="0" w:color="auto"/>
                <w:left w:val="none" w:sz="0" w:space="0" w:color="auto"/>
                <w:bottom w:val="none" w:sz="0" w:space="0" w:color="auto"/>
                <w:right w:val="none" w:sz="0" w:space="0" w:color="auto"/>
              </w:divBdr>
            </w:div>
            <w:div w:id="1576430338">
              <w:marLeft w:val="0"/>
              <w:marRight w:val="0"/>
              <w:marTop w:val="0"/>
              <w:marBottom w:val="0"/>
              <w:divBdr>
                <w:top w:val="none" w:sz="0" w:space="0" w:color="auto"/>
                <w:left w:val="none" w:sz="0" w:space="0" w:color="auto"/>
                <w:bottom w:val="none" w:sz="0" w:space="0" w:color="auto"/>
                <w:right w:val="none" w:sz="0" w:space="0" w:color="auto"/>
              </w:divBdr>
            </w:div>
            <w:div w:id="1665936536">
              <w:marLeft w:val="0"/>
              <w:marRight w:val="0"/>
              <w:marTop w:val="0"/>
              <w:marBottom w:val="0"/>
              <w:divBdr>
                <w:top w:val="none" w:sz="0" w:space="0" w:color="auto"/>
                <w:left w:val="none" w:sz="0" w:space="0" w:color="auto"/>
                <w:bottom w:val="none" w:sz="0" w:space="0" w:color="auto"/>
                <w:right w:val="none" w:sz="0" w:space="0" w:color="auto"/>
              </w:divBdr>
            </w:div>
            <w:div w:id="1833371006">
              <w:marLeft w:val="0"/>
              <w:marRight w:val="0"/>
              <w:marTop w:val="0"/>
              <w:marBottom w:val="0"/>
              <w:divBdr>
                <w:top w:val="none" w:sz="0" w:space="0" w:color="auto"/>
                <w:left w:val="none" w:sz="0" w:space="0" w:color="auto"/>
                <w:bottom w:val="none" w:sz="0" w:space="0" w:color="auto"/>
                <w:right w:val="none" w:sz="0" w:space="0" w:color="auto"/>
              </w:divBdr>
            </w:div>
            <w:div w:id="1951542836">
              <w:marLeft w:val="0"/>
              <w:marRight w:val="0"/>
              <w:marTop w:val="0"/>
              <w:marBottom w:val="0"/>
              <w:divBdr>
                <w:top w:val="none" w:sz="0" w:space="0" w:color="auto"/>
                <w:left w:val="none" w:sz="0" w:space="0" w:color="auto"/>
                <w:bottom w:val="none" w:sz="0" w:space="0" w:color="auto"/>
                <w:right w:val="none" w:sz="0" w:space="0" w:color="auto"/>
              </w:divBdr>
            </w:div>
          </w:divsChild>
        </w:div>
        <w:div w:id="987050014">
          <w:marLeft w:val="0"/>
          <w:marRight w:val="0"/>
          <w:marTop w:val="0"/>
          <w:marBottom w:val="0"/>
          <w:divBdr>
            <w:top w:val="none" w:sz="0" w:space="0" w:color="auto"/>
            <w:left w:val="none" w:sz="0" w:space="0" w:color="auto"/>
            <w:bottom w:val="none" w:sz="0" w:space="0" w:color="auto"/>
            <w:right w:val="none" w:sz="0" w:space="0" w:color="auto"/>
          </w:divBdr>
        </w:div>
        <w:div w:id="1005520923">
          <w:marLeft w:val="0"/>
          <w:marRight w:val="0"/>
          <w:marTop w:val="0"/>
          <w:marBottom w:val="0"/>
          <w:divBdr>
            <w:top w:val="none" w:sz="0" w:space="0" w:color="auto"/>
            <w:left w:val="none" w:sz="0" w:space="0" w:color="auto"/>
            <w:bottom w:val="none" w:sz="0" w:space="0" w:color="auto"/>
            <w:right w:val="none" w:sz="0" w:space="0" w:color="auto"/>
          </w:divBdr>
        </w:div>
        <w:div w:id="1119450886">
          <w:marLeft w:val="0"/>
          <w:marRight w:val="0"/>
          <w:marTop w:val="0"/>
          <w:marBottom w:val="0"/>
          <w:divBdr>
            <w:top w:val="none" w:sz="0" w:space="0" w:color="auto"/>
            <w:left w:val="none" w:sz="0" w:space="0" w:color="auto"/>
            <w:bottom w:val="none" w:sz="0" w:space="0" w:color="auto"/>
            <w:right w:val="none" w:sz="0" w:space="0" w:color="auto"/>
          </w:divBdr>
        </w:div>
        <w:div w:id="1266578445">
          <w:marLeft w:val="0"/>
          <w:marRight w:val="0"/>
          <w:marTop w:val="0"/>
          <w:marBottom w:val="0"/>
          <w:divBdr>
            <w:top w:val="none" w:sz="0" w:space="0" w:color="auto"/>
            <w:left w:val="none" w:sz="0" w:space="0" w:color="auto"/>
            <w:bottom w:val="none" w:sz="0" w:space="0" w:color="auto"/>
            <w:right w:val="none" w:sz="0" w:space="0" w:color="auto"/>
          </w:divBdr>
        </w:div>
        <w:div w:id="1378238724">
          <w:marLeft w:val="0"/>
          <w:marRight w:val="0"/>
          <w:marTop w:val="0"/>
          <w:marBottom w:val="0"/>
          <w:divBdr>
            <w:top w:val="none" w:sz="0" w:space="0" w:color="auto"/>
            <w:left w:val="none" w:sz="0" w:space="0" w:color="auto"/>
            <w:bottom w:val="none" w:sz="0" w:space="0" w:color="auto"/>
            <w:right w:val="none" w:sz="0" w:space="0" w:color="auto"/>
          </w:divBdr>
          <w:divsChild>
            <w:div w:id="4671593">
              <w:marLeft w:val="0"/>
              <w:marRight w:val="0"/>
              <w:marTop w:val="0"/>
              <w:marBottom w:val="0"/>
              <w:divBdr>
                <w:top w:val="none" w:sz="0" w:space="0" w:color="auto"/>
                <w:left w:val="none" w:sz="0" w:space="0" w:color="auto"/>
                <w:bottom w:val="none" w:sz="0" w:space="0" w:color="auto"/>
                <w:right w:val="none" w:sz="0" w:space="0" w:color="auto"/>
              </w:divBdr>
            </w:div>
            <w:div w:id="125323563">
              <w:marLeft w:val="0"/>
              <w:marRight w:val="0"/>
              <w:marTop w:val="0"/>
              <w:marBottom w:val="0"/>
              <w:divBdr>
                <w:top w:val="none" w:sz="0" w:space="0" w:color="auto"/>
                <w:left w:val="none" w:sz="0" w:space="0" w:color="auto"/>
                <w:bottom w:val="none" w:sz="0" w:space="0" w:color="auto"/>
                <w:right w:val="none" w:sz="0" w:space="0" w:color="auto"/>
              </w:divBdr>
            </w:div>
            <w:div w:id="216549951">
              <w:marLeft w:val="0"/>
              <w:marRight w:val="0"/>
              <w:marTop w:val="0"/>
              <w:marBottom w:val="0"/>
              <w:divBdr>
                <w:top w:val="none" w:sz="0" w:space="0" w:color="auto"/>
                <w:left w:val="none" w:sz="0" w:space="0" w:color="auto"/>
                <w:bottom w:val="none" w:sz="0" w:space="0" w:color="auto"/>
                <w:right w:val="none" w:sz="0" w:space="0" w:color="auto"/>
              </w:divBdr>
            </w:div>
            <w:div w:id="219680818">
              <w:marLeft w:val="0"/>
              <w:marRight w:val="0"/>
              <w:marTop w:val="0"/>
              <w:marBottom w:val="0"/>
              <w:divBdr>
                <w:top w:val="none" w:sz="0" w:space="0" w:color="auto"/>
                <w:left w:val="none" w:sz="0" w:space="0" w:color="auto"/>
                <w:bottom w:val="none" w:sz="0" w:space="0" w:color="auto"/>
                <w:right w:val="none" w:sz="0" w:space="0" w:color="auto"/>
              </w:divBdr>
            </w:div>
            <w:div w:id="254821455">
              <w:marLeft w:val="0"/>
              <w:marRight w:val="0"/>
              <w:marTop w:val="0"/>
              <w:marBottom w:val="0"/>
              <w:divBdr>
                <w:top w:val="none" w:sz="0" w:space="0" w:color="auto"/>
                <w:left w:val="none" w:sz="0" w:space="0" w:color="auto"/>
                <w:bottom w:val="none" w:sz="0" w:space="0" w:color="auto"/>
                <w:right w:val="none" w:sz="0" w:space="0" w:color="auto"/>
              </w:divBdr>
            </w:div>
            <w:div w:id="285353102">
              <w:marLeft w:val="0"/>
              <w:marRight w:val="0"/>
              <w:marTop w:val="0"/>
              <w:marBottom w:val="0"/>
              <w:divBdr>
                <w:top w:val="none" w:sz="0" w:space="0" w:color="auto"/>
                <w:left w:val="none" w:sz="0" w:space="0" w:color="auto"/>
                <w:bottom w:val="none" w:sz="0" w:space="0" w:color="auto"/>
                <w:right w:val="none" w:sz="0" w:space="0" w:color="auto"/>
              </w:divBdr>
            </w:div>
            <w:div w:id="698160176">
              <w:marLeft w:val="0"/>
              <w:marRight w:val="0"/>
              <w:marTop w:val="0"/>
              <w:marBottom w:val="0"/>
              <w:divBdr>
                <w:top w:val="none" w:sz="0" w:space="0" w:color="auto"/>
                <w:left w:val="none" w:sz="0" w:space="0" w:color="auto"/>
                <w:bottom w:val="none" w:sz="0" w:space="0" w:color="auto"/>
                <w:right w:val="none" w:sz="0" w:space="0" w:color="auto"/>
              </w:divBdr>
            </w:div>
            <w:div w:id="702556764">
              <w:marLeft w:val="0"/>
              <w:marRight w:val="0"/>
              <w:marTop w:val="0"/>
              <w:marBottom w:val="0"/>
              <w:divBdr>
                <w:top w:val="none" w:sz="0" w:space="0" w:color="auto"/>
                <w:left w:val="none" w:sz="0" w:space="0" w:color="auto"/>
                <w:bottom w:val="none" w:sz="0" w:space="0" w:color="auto"/>
                <w:right w:val="none" w:sz="0" w:space="0" w:color="auto"/>
              </w:divBdr>
            </w:div>
            <w:div w:id="714626267">
              <w:marLeft w:val="0"/>
              <w:marRight w:val="0"/>
              <w:marTop w:val="0"/>
              <w:marBottom w:val="0"/>
              <w:divBdr>
                <w:top w:val="none" w:sz="0" w:space="0" w:color="auto"/>
                <w:left w:val="none" w:sz="0" w:space="0" w:color="auto"/>
                <w:bottom w:val="none" w:sz="0" w:space="0" w:color="auto"/>
                <w:right w:val="none" w:sz="0" w:space="0" w:color="auto"/>
              </w:divBdr>
            </w:div>
            <w:div w:id="754085840">
              <w:marLeft w:val="0"/>
              <w:marRight w:val="0"/>
              <w:marTop w:val="0"/>
              <w:marBottom w:val="0"/>
              <w:divBdr>
                <w:top w:val="none" w:sz="0" w:space="0" w:color="auto"/>
                <w:left w:val="none" w:sz="0" w:space="0" w:color="auto"/>
                <w:bottom w:val="none" w:sz="0" w:space="0" w:color="auto"/>
                <w:right w:val="none" w:sz="0" w:space="0" w:color="auto"/>
              </w:divBdr>
            </w:div>
            <w:div w:id="792753732">
              <w:marLeft w:val="0"/>
              <w:marRight w:val="0"/>
              <w:marTop w:val="0"/>
              <w:marBottom w:val="0"/>
              <w:divBdr>
                <w:top w:val="none" w:sz="0" w:space="0" w:color="auto"/>
                <w:left w:val="none" w:sz="0" w:space="0" w:color="auto"/>
                <w:bottom w:val="none" w:sz="0" w:space="0" w:color="auto"/>
                <w:right w:val="none" w:sz="0" w:space="0" w:color="auto"/>
              </w:divBdr>
            </w:div>
            <w:div w:id="877014502">
              <w:marLeft w:val="0"/>
              <w:marRight w:val="0"/>
              <w:marTop w:val="0"/>
              <w:marBottom w:val="0"/>
              <w:divBdr>
                <w:top w:val="none" w:sz="0" w:space="0" w:color="auto"/>
                <w:left w:val="none" w:sz="0" w:space="0" w:color="auto"/>
                <w:bottom w:val="none" w:sz="0" w:space="0" w:color="auto"/>
                <w:right w:val="none" w:sz="0" w:space="0" w:color="auto"/>
              </w:divBdr>
            </w:div>
            <w:div w:id="1103651290">
              <w:marLeft w:val="0"/>
              <w:marRight w:val="0"/>
              <w:marTop w:val="0"/>
              <w:marBottom w:val="0"/>
              <w:divBdr>
                <w:top w:val="none" w:sz="0" w:space="0" w:color="auto"/>
                <w:left w:val="none" w:sz="0" w:space="0" w:color="auto"/>
                <w:bottom w:val="none" w:sz="0" w:space="0" w:color="auto"/>
                <w:right w:val="none" w:sz="0" w:space="0" w:color="auto"/>
              </w:divBdr>
            </w:div>
            <w:div w:id="1160777266">
              <w:marLeft w:val="0"/>
              <w:marRight w:val="0"/>
              <w:marTop w:val="0"/>
              <w:marBottom w:val="0"/>
              <w:divBdr>
                <w:top w:val="none" w:sz="0" w:space="0" w:color="auto"/>
                <w:left w:val="none" w:sz="0" w:space="0" w:color="auto"/>
                <w:bottom w:val="none" w:sz="0" w:space="0" w:color="auto"/>
                <w:right w:val="none" w:sz="0" w:space="0" w:color="auto"/>
              </w:divBdr>
            </w:div>
            <w:div w:id="1254239410">
              <w:marLeft w:val="0"/>
              <w:marRight w:val="0"/>
              <w:marTop w:val="0"/>
              <w:marBottom w:val="0"/>
              <w:divBdr>
                <w:top w:val="none" w:sz="0" w:space="0" w:color="auto"/>
                <w:left w:val="none" w:sz="0" w:space="0" w:color="auto"/>
                <w:bottom w:val="none" w:sz="0" w:space="0" w:color="auto"/>
                <w:right w:val="none" w:sz="0" w:space="0" w:color="auto"/>
              </w:divBdr>
            </w:div>
            <w:div w:id="1337344802">
              <w:marLeft w:val="0"/>
              <w:marRight w:val="0"/>
              <w:marTop w:val="0"/>
              <w:marBottom w:val="0"/>
              <w:divBdr>
                <w:top w:val="none" w:sz="0" w:space="0" w:color="auto"/>
                <w:left w:val="none" w:sz="0" w:space="0" w:color="auto"/>
                <w:bottom w:val="none" w:sz="0" w:space="0" w:color="auto"/>
                <w:right w:val="none" w:sz="0" w:space="0" w:color="auto"/>
              </w:divBdr>
            </w:div>
            <w:div w:id="1425417540">
              <w:marLeft w:val="0"/>
              <w:marRight w:val="0"/>
              <w:marTop w:val="0"/>
              <w:marBottom w:val="0"/>
              <w:divBdr>
                <w:top w:val="none" w:sz="0" w:space="0" w:color="auto"/>
                <w:left w:val="none" w:sz="0" w:space="0" w:color="auto"/>
                <w:bottom w:val="none" w:sz="0" w:space="0" w:color="auto"/>
                <w:right w:val="none" w:sz="0" w:space="0" w:color="auto"/>
              </w:divBdr>
            </w:div>
            <w:div w:id="1870101163">
              <w:marLeft w:val="0"/>
              <w:marRight w:val="0"/>
              <w:marTop w:val="0"/>
              <w:marBottom w:val="0"/>
              <w:divBdr>
                <w:top w:val="none" w:sz="0" w:space="0" w:color="auto"/>
                <w:left w:val="none" w:sz="0" w:space="0" w:color="auto"/>
                <w:bottom w:val="none" w:sz="0" w:space="0" w:color="auto"/>
                <w:right w:val="none" w:sz="0" w:space="0" w:color="auto"/>
              </w:divBdr>
            </w:div>
            <w:div w:id="2006283025">
              <w:marLeft w:val="0"/>
              <w:marRight w:val="0"/>
              <w:marTop w:val="0"/>
              <w:marBottom w:val="0"/>
              <w:divBdr>
                <w:top w:val="none" w:sz="0" w:space="0" w:color="auto"/>
                <w:left w:val="none" w:sz="0" w:space="0" w:color="auto"/>
                <w:bottom w:val="none" w:sz="0" w:space="0" w:color="auto"/>
                <w:right w:val="none" w:sz="0" w:space="0" w:color="auto"/>
              </w:divBdr>
            </w:div>
            <w:div w:id="2101952485">
              <w:marLeft w:val="0"/>
              <w:marRight w:val="0"/>
              <w:marTop w:val="0"/>
              <w:marBottom w:val="0"/>
              <w:divBdr>
                <w:top w:val="none" w:sz="0" w:space="0" w:color="auto"/>
                <w:left w:val="none" w:sz="0" w:space="0" w:color="auto"/>
                <w:bottom w:val="none" w:sz="0" w:space="0" w:color="auto"/>
                <w:right w:val="none" w:sz="0" w:space="0" w:color="auto"/>
              </w:divBdr>
            </w:div>
          </w:divsChild>
        </w:div>
        <w:div w:id="1481144715">
          <w:marLeft w:val="0"/>
          <w:marRight w:val="0"/>
          <w:marTop w:val="0"/>
          <w:marBottom w:val="0"/>
          <w:divBdr>
            <w:top w:val="none" w:sz="0" w:space="0" w:color="auto"/>
            <w:left w:val="none" w:sz="0" w:space="0" w:color="auto"/>
            <w:bottom w:val="none" w:sz="0" w:space="0" w:color="auto"/>
            <w:right w:val="none" w:sz="0" w:space="0" w:color="auto"/>
          </w:divBdr>
        </w:div>
        <w:div w:id="1664963830">
          <w:marLeft w:val="0"/>
          <w:marRight w:val="0"/>
          <w:marTop w:val="0"/>
          <w:marBottom w:val="0"/>
          <w:divBdr>
            <w:top w:val="none" w:sz="0" w:space="0" w:color="auto"/>
            <w:left w:val="none" w:sz="0" w:space="0" w:color="auto"/>
            <w:bottom w:val="none" w:sz="0" w:space="0" w:color="auto"/>
            <w:right w:val="none" w:sz="0" w:space="0" w:color="auto"/>
          </w:divBdr>
        </w:div>
        <w:div w:id="1931693797">
          <w:marLeft w:val="0"/>
          <w:marRight w:val="0"/>
          <w:marTop w:val="0"/>
          <w:marBottom w:val="0"/>
          <w:divBdr>
            <w:top w:val="none" w:sz="0" w:space="0" w:color="auto"/>
            <w:left w:val="none" w:sz="0" w:space="0" w:color="auto"/>
            <w:bottom w:val="none" w:sz="0" w:space="0" w:color="auto"/>
            <w:right w:val="none" w:sz="0" w:space="0" w:color="auto"/>
          </w:divBdr>
        </w:div>
      </w:divsChild>
    </w:div>
    <w:div w:id="387657392">
      <w:bodyDiv w:val="1"/>
      <w:marLeft w:val="0"/>
      <w:marRight w:val="0"/>
      <w:marTop w:val="0"/>
      <w:marBottom w:val="0"/>
      <w:divBdr>
        <w:top w:val="none" w:sz="0" w:space="0" w:color="auto"/>
        <w:left w:val="none" w:sz="0" w:space="0" w:color="auto"/>
        <w:bottom w:val="none" w:sz="0" w:space="0" w:color="auto"/>
        <w:right w:val="none" w:sz="0" w:space="0" w:color="auto"/>
      </w:divBdr>
    </w:div>
    <w:div w:id="416362252">
      <w:bodyDiv w:val="1"/>
      <w:marLeft w:val="0"/>
      <w:marRight w:val="0"/>
      <w:marTop w:val="0"/>
      <w:marBottom w:val="0"/>
      <w:divBdr>
        <w:top w:val="none" w:sz="0" w:space="0" w:color="auto"/>
        <w:left w:val="none" w:sz="0" w:space="0" w:color="auto"/>
        <w:bottom w:val="none" w:sz="0" w:space="0" w:color="auto"/>
        <w:right w:val="none" w:sz="0" w:space="0" w:color="auto"/>
      </w:divBdr>
      <w:divsChild>
        <w:div w:id="196087131">
          <w:marLeft w:val="0"/>
          <w:marRight w:val="0"/>
          <w:marTop w:val="0"/>
          <w:marBottom w:val="0"/>
          <w:divBdr>
            <w:top w:val="none" w:sz="0" w:space="0" w:color="auto"/>
            <w:left w:val="none" w:sz="0" w:space="0" w:color="auto"/>
            <w:bottom w:val="none" w:sz="0" w:space="0" w:color="auto"/>
            <w:right w:val="none" w:sz="0" w:space="0" w:color="auto"/>
          </w:divBdr>
        </w:div>
        <w:div w:id="703754037">
          <w:marLeft w:val="0"/>
          <w:marRight w:val="0"/>
          <w:marTop w:val="0"/>
          <w:marBottom w:val="0"/>
          <w:divBdr>
            <w:top w:val="none" w:sz="0" w:space="0" w:color="auto"/>
            <w:left w:val="none" w:sz="0" w:space="0" w:color="auto"/>
            <w:bottom w:val="none" w:sz="0" w:space="0" w:color="auto"/>
            <w:right w:val="none" w:sz="0" w:space="0" w:color="auto"/>
          </w:divBdr>
        </w:div>
        <w:div w:id="814296869">
          <w:marLeft w:val="0"/>
          <w:marRight w:val="0"/>
          <w:marTop w:val="0"/>
          <w:marBottom w:val="0"/>
          <w:divBdr>
            <w:top w:val="none" w:sz="0" w:space="0" w:color="auto"/>
            <w:left w:val="none" w:sz="0" w:space="0" w:color="auto"/>
            <w:bottom w:val="none" w:sz="0" w:space="0" w:color="auto"/>
            <w:right w:val="none" w:sz="0" w:space="0" w:color="auto"/>
          </w:divBdr>
        </w:div>
        <w:div w:id="974682247">
          <w:marLeft w:val="0"/>
          <w:marRight w:val="0"/>
          <w:marTop w:val="0"/>
          <w:marBottom w:val="0"/>
          <w:divBdr>
            <w:top w:val="none" w:sz="0" w:space="0" w:color="auto"/>
            <w:left w:val="none" w:sz="0" w:space="0" w:color="auto"/>
            <w:bottom w:val="none" w:sz="0" w:space="0" w:color="auto"/>
            <w:right w:val="none" w:sz="0" w:space="0" w:color="auto"/>
          </w:divBdr>
        </w:div>
        <w:div w:id="1325209152">
          <w:marLeft w:val="0"/>
          <w:marRight w:val="0"/>
          <w:marTop w:val="0"/>
          <w:marBottom w:val="0"/>
          <w:divBdr>
            <w:top w:val="none" w:sz="0" w:space="0" w:color="auto"/>
            <w:left w:val="none" w:sz="0" w:space="0" w:color="auto"/>
            <w:bottom w:val="none" w:sz="0" w:space="0" w:color="auto"/>
            <w:right w:val="none" w:sz="0" w:space="0" w:color="auto"/>
          </w:divBdr>
        </w:div>
        <w:div w:id="1420373449">
          <w:marLeft w:val="0"/>
          <w:marRight w:val="0"/>
          <w:marTop w:val="0"/>
          <w:marBottom w:val="0"/>
          <w:divBdr>
            <w:top w:val="none" w:sz="0" w:space="0" w:color="auto"/>
            <w:left w:val="none" w:sz="0" w:space="0" w:color="auto"/>
            <w:bottom w:val="none" w:sz="0" w:space="0" w:color="auto"/>
            <w:right w:val="none" w:sz="0" w:space="0" w:color="auto"/>
          </w:divBdr>
        </w:div>
        <w:div w:id="1545405541">
          <w:marLeft w:val="0"/>
          <w:marRight w:val="0"/>
          <w:marTop w:val="0"/>
          <w:marBottom w:val="0"/>
          <w:divBdr>
            <w:top w:val="none" w:sz="0" w:space="0" w:color="auto"/>
            <w:left w:val="none" w:sz="0" w:space="0" w:color="auto"/>
            <w:bottom w:val="none" w:sz="0" w:space="0" w:color="auto"/>
            <w:right w:val="none" w:sz="0" w:space="0" w:color="auto"/>
          </w:divBdr>
        </w:div>
        <w:div w:id="1546869256">
          <w:marLeft w:val="0"/>
          <w:marRight w:val="0"/>
          <w:marTop w:val="0"/>
          <w:marBottom w:val="0"/>
          <w:divBdr>
            <w:top w:val="none" w:sz="0" w:space="0" w:color="auto"/>
            <w:left w:val="none" w:sz="0" w:space="0" w:color="auto"/>
            <w:bottom w:val="none" w:sz="0" w:space="0" w:color="auto"/>
            <w:right w:val="none" w:sz="0" w:space="0" w:color="auto"/>
          </w:divBdr>
        </w:div>
        <w:div w:id="2011789520">
          <w:marLeft w:val="0"/>
          <w:marRight w:val="0"/>
          <w:marTop w:val="0"/>
          <w:marBottom w:val="0"/>
          <w:divBdr>
            <w:top w:val="none" w:sz="0" w:space="0" w:color="auto"/>
            <w:left w:val="none" w:sz="0" w:space="0" w:color="auto"/>
            <w:bottom w:val="none" w:sz="0" w:space="0" w:color="auto"/>
            <w:right w:val="none" w:sz="0" w:space="0" w:color="auto"/>
          </w:divBdr>
        </w:div>
        <w:div w:id="2013409916">
          <w:marLeft w:val="0"/>
          <w:marRight w:val="0"/>
          <w:marTop w:val="0"/>
          <w:marBottom w:val="0"/>
          <w:divBdr>
            <w:top w:val="none" w:sz="0" w:space="0" w:color="auto"/>
            <w:left w:val="none" w:sz="0" w:space="0" w:color="auto"/>
            <w:bottom w:val="none" w:sz="0" w:space="0" w:color="auto"/>
            <w:right w:val="none" w:sz="0" w:space="0" w:color="auto"/>
          </w:divBdr>
        </w:div>
      </w:divsChild>
    </w:div>
    <w:div w:id="425812203">
      <w:bodyDiv w:val="1"/>
      <w:marLeft w:val="0"/>
      <w:marRight w:val="0"/>
      <w:marTop w:val="0"/>
      <w:marBottom w:val="0"/>
      <w:divBdr>
        <w:top w:val="none" w:sz="0" w:space="0" w:color="auto"/>
        <w:left w:val="none" w:sz="0" w:space="0" w:color="auto"/>
        <w:bottom w:val="none" w:sz="0" w:space="0" w:color="auto"/>
        <w:right w:val="none" w:sz="0" w:space="0" w:color="auto"/>
      </w:divBdr>
      <w:divsChild>
        <w:div w:id="1348563079">
          <w:marLeft w:val="0"/>
          <w:marRight w:val="0"/>
          <w:marTop w:val="0"/>
          <w:marBottom w:val="0"/>
          <w:divBdr>
            <w:top w:val="none" w:sz="0" w:space="0" w:color="auto"/>
            <w:left w:val="none" w:sz="0" w:space="0" w:color="auto"/>
            <w:bottom w:val="none" w:sz="0" w:space="0" w:color="auto"/>
            <w:right w:val="none" w:sz="0" w:space="0" w:color="auto"/>
          </w:divBdr>
        </w:div>
      </w:divsChild>
    </w:div>
    <w:div w:id="435440801">
      <w:bodyDiv w:val="1"/>
      <w:marLeft w:val="0"/>
      <w:marRight w:val="0"/>
      <w:marTop w:val="0"/>
      <w:marBottom w:val="0"/>
      <w:divBdr>
        <w:top w:val="none" w:sz="0" w:space="0" w:color="auto"/>
        <w:left w:val="none" w:sz="0" w:space="0" w:color="auto"/>
        <w:bottom w:val="none" w:sz="0" w:space="0" w:color="auto"/>
        <w:right w:val="none" w:sz="0" w:space="0" w:color="auto"/>
      </w:divBdr>
      <w:divsChild>
        <w:div w:id="503595552">
          <w:marLeft w:val="0"/>
          <w:marRight w:val="0"/>
          <w:marTop w:val="0"/>
          <w:marBottom w:val="0"/>
          <w:divBdr>
            <w:top w:val="none" w:sz="0" w:space="0" w:color="auto"/>
            <w:left w:val="none" w:sz="0" w:space="0" w:color="auto"/>
            <w:bottom w:val="none" w:sz="0" w:space="0" w:color="auto"/>
            <w:right w:val="none" w:sz="0" w:space="0" w:color="auto"/>
          </w:divBdr>
        </w:div>
        <w:div w:id="755781962">
          <w:marLeft w:val="0"/>
          <w:marRight w:val="0"/>
          <w:marTop w:val="0"/>
          <w:marBottom w:val="0"/>
          <w:divBdr>
            <w:top w:val="none" w:sz="0" w:space="0" w:color="auto"/>
            <w:left w:val="none" w:sz="0" w:space="0" w:color="auto"/>
            <w:bottom w:val="none" w:sz="0" w:space="0" w:color="auto"/>
            <w:right w:val="none" w:sz="0" w:space="0" w:color="auto"/>
          </w:divBdr>
        </w:div>
        <w:div w:id="1081371663">
          <w:marLeft w:val="0"/>
          <w:marRight w:val="0"/>
          <w:marTop w:val="0"/>
          <w:marBottom w:val="0"/>
          <w:divBdr>
            <w:top w:val="none" w:sz="0" w:space="0" w:color="auto"/>
            <w:left w:val="none" w:sz="0" w:space="0" w:color="auto"/>
            <w:bottom w:val="none" w:sz="0" w:space="0" w:color="auto"/>
            <w:right w:val="none" w:sz="0" w:space="0" w:color="auto"/>
          </w:divBdr>
        </w:div>
        <w:div w:id="1551303645">
          <w:marLeft w:val="0"/>
          <w:marRight w:val="0"/>
          <w:marTop w:val="0"/>
          <w:marBottom w:val="0"/>
          <w:divBdr>
            <w:top w:val="none" w:sz="0" w:space="0" w:color="auto"/>
            <w:left w:val="none" w:sz="0" w:space="0" w:color="auto"/>
            <w:bottom w:val="none" w:sz="0" w:space="0" w:color="auto"/>
            <w:right w:val="none" w:sz="0" w:space="0" w:color="auto"/>
          </w:divBdr>
        </w:div>
        <w:div w:id="1568882581">
          <w:marLeft w:val="0"/>
          <w:marRight w:val="0"/>
          <w:marTop w:val="0"/>
          <w:marBottom w:val="0"/>
          <w:divBdr>
            <w:top w:val="none" w:sz="0" w:space="0" w:color="auto"/>
            <w:left w:val="none" w:sz="0" w:space="0" w:color="auto"/>
            <w:bottom w:val="none" w:sz="0" w:space="0" w:color="auto"/>
            <w:right w:val="none" w:sz="0" w:space="0" w:color="auto"/>
          </w:divBdr>
        </w:div>
      </w:divsChild>
    </w:div>
    <w:div w:id="437021797">
      <w:bodyDiv w:val="1"/>
      <w:marLeft w:val="0"/>
      <w:marRight w:val="0"/>
      <w:marTop w:val="0"/>
      <w:marBottom w:val="0"/>
      <w:divBdr>
        <w:top w:val="none" w:sz="0" w:space="0" w:color="auto"/>
        <w:left w:val="none" w:sz="0" w:space="0" w:color="auto"/>
        <w:bottom w:val="none" w:sz="0" w:space="0" w:color="auto"/>
        <w:right w:val="none" w:sz="0" w:space="0" w:color="auto"/>
      </w:divBdr>
    </w:div>
    <w:div w:id="440955265">
      <w:bodyDiv w:val="1"/>
      <w:marLeft w:val="0"/>
      <w:marRight w:val="0"/>
      <w:marTop w:val="0"/>
      <w:marBottom w:val="0"/>
      <w:divBdr>
        <w:top w:val="none" w:sz="0" w:space="0" w:color="auto"/>
        <w:left w:val="none" w:sz="0" w:space="0" w:color="auto"/>
        <w:bottom w:val="none" w:sz="0" w:space="0" w:color="auto"/>
        <w:right w:val="none" w:sz="0" w:space="0" w:color="auto"/>
      </w:divBdr>
    </w:div>
    <w:div w:id="442892579">
      <w:bodyDiv w:val="1"/>
      <w:marLeft w:val="0"/>
      <w:marRight w:val="0"/>
      <w:marTop w:val="0"/>
      <w:marBottom w:val="0"/>
      <w:divBdr>
        <w:top w:val="none" w:sz="0" w:space="0" w:color="auto"/>
        <w:left w:val="none" w:sz="0" w:space="0" w:color="auto"/>
        <w:bottom w:val="none" w:sz="0" w:space="0" w:color="auto"/>
        <w:right w:val="none" w:sz="0" w:space="0" w:color="auto"/>
      </w:divBdr>
      <w:divsChild>
        <w:div w:id="7872902">
          <w:marLeft w:val="0"/>
          <w:marRight w:val="0"/>
          <w:marTop w:val="0"/>
          <w:marBottom w:val="0"/>
          <w:divBdr>
            <w:top w:val="none" w:sz="0" w:space="0" w:color="auto"/>
            <w:left w:val="none" w:sz="0" w:space="0" w:color="auto"/>
            <w:bottom w:val="none" w:sz="0" w:space="0" w:color="auto"/>
            <w:right w:val="none" w:sz="0" w:space="0" w:color="auto"/>
          </w:divBdr>
        </w:div>
        <w:div w:id="188035574">
          <w:marLeft w:val="0"/>
          <w:marRight w:val="0"/>
          <w:marTop w:val="0"/>
          <w:marBottom w:val="0"/>
          <w:divBdr>
            <w:top w:val="none" w:sz="0" w:space="0" w:color="auto"/>
            <w:left w:val="none" w:sz="0" w:space="0" w:color="auto"/>
            <w:bottom w:val="none" w:sz="0" w:space="0" w:color="auto"/>
            <w:right w:val="none" w:sz="0" w:space="0" w:color="auto"/>
          </w:divBdr>
        </w:div>
        <w:div w:id="249050882">
          <w:marLeft w:val="0"/>
          <w:marRight w:val="0"/>
          <w:marTop w:val="0"/>
          <w:marBottom w:val="0"/>
          <w:divBdr>
            <w:top w:val="none" w:sz="0" w:space="0" w:color="auto"/>
            <w:left w:val="none" w:sz="0" w:space="0" w:color="auto"/>
            <w:bottom w:val="none" w:sz="0" w:space="0" w:color="auto"/>
            <w:right w:val="none" w:sz="0" w:space="0" w:color="auto"/>
          </w:divBdr>
        </w:div>
        <w:div w:id="375086553">
          <w:marLeft w:val="0"/>
          <w:marRight w:val="0"/>
          <w:marTop w:val="0"/>
          <w:marBottom w:val="0"/>
          <w:divBdr>
            <w:top w:val="none" w:sz="0" w:space="0" w:color="auto"/>
            <w:left w:val="none" w:sz="0" w:space="0" w:color="auto"/>
            <w:bottom w:val="none" w:sz="0" w:space="0" w:color="auto"/>
            <w:right w:val="none" w:sz="0" w:space="0" w:color="auto"/>
          </w:divBdr>
        </w:div>
        <w:div w:id="552548717">
          <w:marLeft w:val="0"/>
          <w:marRight w:val="0"/>
          <w:marTop w:val="0"/>
          <w:marBottom w:val="0"/>
          <w:divBdr>
            <w:top w:val="none" w:sz="0" w:space="0" w:color="auto"/>
            <w:left w:val="none" w:sz="0" w:space="0" w:color="auto"/>
            <w:bottom w:val="none" w:sz="0" w:space="0" w:color="auto"/>
            <w:right w:val="none" w:sz="0" w:space="0" w:color="auto"/>
          </w:divBdr>
        </w:div>
        <w:div w:id="664430635">
          <w:marLeft w:val="0"/>
          <w:marRight w:val="0"/>
          <w:marTop w:val="0"/>
          <w:marBottom w:val="0"/>
          <w:divBdr>
            <w:top w:val="none" w:sz="0" w:space="0" w:color="auto"/>
            <w:left w:val="none" w:sz="0" w:space="0" w:color="auto"/>
            <w:bottom w:val="none" w:sz="0" w:space="0" w:color="auto"/>
            <w:right w:val="none" w:sz="0" w:space="0" w:color="auto"/>
          </w:divBdr>
        </w:div>
        <w:div w:id="840126667">
          <w:marLeft w:val="0"/>
          <w:marRight w:val="0"/>
          <w:marTop w:val="0"/>
          <w:marBottom w:val="0"/>
          <w:divBdr>
            <w:top w:val="none" w:sz="0" w:space="0" w:color="auto"/>
            <w:left w:val="none" w:sz="0" w:space="0" w:color="auto"/>
            <w:bottom w:val="none" w:sz="0" w:space="0" w:color="auto"/>
            <w:right w:val="none" w:sz="0" w:space="0" w:color="auto"/>
          </w:divBdr>
        </w:div>
        <w:div w:id="1056931765">
          <w:marLeft w:val="0"/>
          <w:marRight w:val="0"/>
          <w:marTop w:val="0"/>
          <w:marBottom w:val="0"/>
          <w:divBdr>
            <w:top w:val="none" w:sz="0" w:space="0" w:color="auto"/>
            <w:left w:val="none" w:sz="0" w:space="0" w:color="auto"/>
            <w:bottom w:val="none" w:sz="0" w:space="0" w:color="auto"/>
            <w:right w:val="none" w:sz="0" w:space="0" w:color="auto"/>
          </w:divBdr>
        </w:div>
        <w:div w:id="1325354084">
          <w:marLeft w:val="0"/>
          <w:marRight w:val="0"/>
          <w:marTop w:val="0"/>
          <w:marBottom w:val="0"/>
          <w:divBdr>
            <w:top w:val="none" w:sz="0" w:space="0" w:color="auto"/>
            <w:left w:val="none" w:sz="0" w:space="0" w:color="auto"/>
            <w:bottom w:val="none" w:sz="0" w:space="0" w:color="auto"/>
            <w:right w:val="none" w:sz="0" w:space="0" w:color="auto"/>
          </w:divBdr>
        </w:div>
        <w:div w:id="1607228099">
          <w:marLeft w:val="0"/>
          <w:marRight w:val="0"/>
          <w:marTop w:val="0"/>
          <w:marBottom w:val="0"/>
          <w:divBdr>
            <w:top w:val="none" w:sz="0" w:space="0" w:color="auto"/>
            <w:left w:val="none" w:sz="0" w:space="0" w:color="auto"/>
            <w:bottom w:val="none" w:sz="0" w:space="0" w:color="auto"/>
            <w:right w:val="none" w:sz="0" w:space="0" w:color="auto"/>
          </w:divBdr>
        </w:div>
        <w:div w:id="1652901620">
          <w:marLeft w:val="0"/>
          <w:marRight w:val="0"/>
          <w:marTop w:val="0"/>
          <w:marBottom w:val="0"/>
          <w:divBdr>
            <w:top w:val="none" w:sz="0" w:space="0" w:color="auto"/>
            <w:left w:val="none" w:sz="0" w:space="0" w:color="auto"/>
            <w:bottom w:val="none" w:sz="0" w:space="0" w:color="auto"/>
            <w:right w:val="none" w:sz="0" w:space="0" w:color="auto"/>
          </w:divBdr>
        </w:div>
        <w:div w:id="2132966824">
          <w:marLeft w:val="0"/>
          <w:marRight w:val="0"/>
          <w:marTop w:val="0"/>
          <w:marBottom w:val="0"/>
          <w:divBdr>
            <w:top w:val="none" w:sz="0" w:space="0" w:color="auto"/>
            <w:left w:val="none" w:sz="0" w:space="0" w:color="auto"/>
            <w:bottom w:val="none" w:sz="0" w:space="0" w:color="auto"/>
            <w:right w:val="none" w:sz="0" w:space="0" w:color="auto"/>
          </w:divBdr>
        </w:div>
      </w:divsChild>
    </w:div>
    <w:div w:id="465778018">
      <w:bodyDiv w:val="1"/>
      <w:marLeft w:val="0"/>
      <w:marRight w:val="0"/>
      <w:marTop w:val="0"/>
      <w:marBottom w:val="0"/>
      <w:divBdr>
        <w:top w:val="none" w:sz="0" w:space="0" w:color="auto"/>
        <w:left w:val="none" w:sz="0" w:space="0" w:color="auto"/>
        <w:bottom w:val="none" w:sz="0" w:space="0" w:color="auto"/>
        <w:right w:val="none" w:sz="0" w:space="0" w:color="auto"/>
      </w:divBdr>
      <w:divsChild>
        <w:div w:id="43917055">
          <w:marLeft w:val="0"/>
          <w:marRight w:val="0"/>
          <w:marTop w:val="0"/>
          <w:marBottom w:val="0"/>
          <w:divBdr>
            <w:top w:val="none" w:sz="0" w:space="0" w:color="auto"/>
            <w:left w:val="none" w:sz="0" w:space="0" w:color="auto"/>
            <w:bottom w:val="none" w:sz="0" w:space="0" w:color="auto"/>
            <w:right w:val="none" w:sz="0" w:space="0" w:color="auto"/>
          </w:divBdr>
          <w:divsChild>
            <w:div w:id="622158449">
              <w:marLeft w:val="0"/>
              <w:marRight w:val="0"/>
              <w:marTop w:val="0"/>
              <w:marBottom w:val="0"/>
              <w:divBdr>
                <w:top w:val="none" w:sz="0" w:space="0" w:color="auto"/>
                <w:left w:val="none" w:sz="0" w:space="0" w:color="auto"/>
                <w:bottom w:val="none" w:sz="0" w:space="0" w:color="auto"/>
                <w:right w:val="none" w:sz="0" w:space="0" w:color="auto"/>
              </w:divBdr>
            </w:div>
            <w:div w:id="641664864">
              <w:marLeft w:val="0"/>
              <w:marRight w:val="0"/>
              <w:marTop w:val="0"/>
              <w:marBottom w:val="0"/>
              <w:divBdr>
                <w:top w:val="none" w:sz="0" w:space="0" w:color="auto"/>
                <w:left w:val="none" w:sz="0" w:space="0" w:color="auto"/>
                <w:bottom w:val="none" w:sz="0" w:space="0" w:color="auto"/>
                <w:right w:val="none" w:sz="0" w:space="0" w:color="auto"/>
              </w:divBdr>
            </w:div>
            <w:div w:id="834957295">
              <w:marLeft w:val="0"/>
              <w:marRight w:val="0"/>
              <w:marTop w:val="0"/>
              <w:marBottom w:val="0"/>
              <w:divBdr>
                <w:top w:val="none" w:sz="0" w:space="0" w:color="auto"/>
                <w:left w:val="none" w:sz="0" w:space="0" w:color="auto"/>
                <w:bottom w:val="none" w:sz="0" w:space="0" w:color="auto"/>
                <w:right w:val="none" w:sz="0" w:space="0" w:color="auto"/>
              </w:divBdr>
            </w:div>
            <w:div w:id="900334779">
              <w:marLeft w:val="0"/>
              <w:marRight w:val="0"/>
              <w:marTop w:val="0"/>
              <w:marBottom w:val="0"/>
              <w:divBdr>
                <w:top w:val="none" w:sz="0" w:space="0" w:color="auto"/>
                <w:left w:val="none" w:sz="0" w:space="0" w:color="auto"/>
                <w:bottom w:val="none" w:sz="0" w:space="0" w:color="auto"/>
                <w:right w:val="none" w:sz="0" w:space="0" w:color="auto"/>
              </w:divBdr>
            </w:div>
            <w:div w:id="1109550351">
              <w:marLeft w:val="0"/>
              <w:marRight w:val="0"/>
              <w:marTop w:val="0"/>
              <w:marBottom w:val="0"/>
              <w:divBdr>
                <w:top w:val="none" w:sz="0" w:space="0" w:color="auto"/>
                <w:left w:val="none" w:sz="0" w:space="0" w:color="auto"/>
                <w:bottom w:val="none" w:sz="0" w:space="0" w:color="auto"/>
                <w:right w:val="none" w:sz="0" w:space="0" w:color="auto"/>
              </w:divBdr>
            </w:div>
            <w:div w:id="1159688671">
              <w:marLeft w:val="0"/>
              <w:marRight w:val="0"/>
              <w:marTop w:val="0"/>
              <w:marBottom w:val="0"/>
              <w:divBdr>
                <w:top w:val="none" w:sz="0" w:space="0" w:color="auto"/>
                <w:left w:val="none" w:sz="0" w:space="0" w:color="auto"/>
                <w:bottom w:val="none" w:sz="0" w:space="0" w:color="auto"/>
                <w:right w:val="none" w:sz="0" w:space="0" w:color="auto"/>
              </w:divBdr>
            </w:div>
            <w:div w:id="1260872261">
              <w:marLeft w:val="0"/>
              <w:marRight w:val="0"/>
              <w:marTop w:val="0"/>
              <w:marBottom w:val="0"/>
              <w:divBdr>
                <w:top w:val="none" w:sz="0" w:space="0" w:color="auto"/>
                <w:left w:val="none" w:sz="0" w:space="0" w:color="auto"/>
                <w:bottom w:val="none" w:sz="0" w:space="0" w:color="auto"/>
                <w:right w:val="none" w:sz="0" w:space="0" w:color="auto"/>
              </w:divBdr>
            </w:div>
            <w:div w:id="1677226720">
              <w:marLeft w:val="0"/>
              <w:marRight w:val="0"/>
              <w:marTop w:val="0"/>
              <w:marBottom w:val="0"/>
              <w:divBdr>
                <w:top w:val="none" w:sz="0" w:space="0" w:color="auto"/>
                <w:left w:val="none" w:sz="0" w:space="0" w:color="auto"/>
                <w:bottom w:val="none" w:sz="0" w:space="0" w:color="auto"/>
                <w:right w:val="none" w:sz="0" w:space="0" w:color="auto"/>
              </w:divBdr>
            </w:div>
            <w:div w:id="1780907505">
              <w:marLeft w:val="0"/>
              <w:marRight w:val="0"/>
              <w:marTop w:val="0"/>
              <w:marBottom w:val="0"/>
              <w:divBdr>
                <w:top w:val="none" w:sz="0" w:space="0" w:color="auto"/>
                <w:left w:val="none" w:sz="0" w:space="0" w:color="auto"/>
                <w:bottom w:val="none" w:sz="0" w:space="0" w:color="auto"/>
                <w:right w:val="none" w:sz="0" w:space="0" w:color="auto"/>
              </w:divBdr>
            </w:div>
            <w:div w:id="2090734993">
              <w:marLeft w:val="0"/>
              <w:marRight w:val="0"/>
              <w:marTop w:val="0"/>
              <w:marBottom w:val="0"/>
              <w:divBdr>
                <w:top w:val="none" w:sz="0" w:space="0" w:color="auto"/>
                <w:left w:val="none" w:sz="0" w:space="0" w:color="auto"/>
                <w:bottom w:val="none" w:sz="0" w:space="0" w:color="auto"/>
                <w:right w:val="none" w:sz="0" w:space="0" w:color="auto"/>
              </w:divBdr>
            </w:div>
          </w:divsChild>
        </w:div>
        <w:div w:id="136263598">
          <w:marLeft w:val="0"/>
          <w:marRight w:val="0"/>
          <w:marTop w:val="0"/>
          <w:marBottom w:val="0"/>
          <w:divBdr>
            <w:top w:val="none" w:sz="0" w:space="0" w:color="auto"/>
            <w:left w:val="none" w:sz="0" w:space="0" w:color="auto"/>
            <w:bottom w:val="none" w:sz="0" w:space="0" w:color="auto"/>
            <w:right w:val="none" w:sz="0" w:space="0" w:color="auto"/>
          </w:divBdr>
        </w:div>
        <w:div w:id="238829727">
          <w:marLeft w:val="0"/>
          <w:marRight w:val="0"/>
          <w:marTop w:val="0"/>
          <w:marBottom w:val="0"/>
          <w:divBdr>
            <w:top w:val="none" w:sz="0" w:space="0" w:color="auto"/>
            <w:left w:val="none" w:sz="0" w:space="0" w:color="auto"/>
            <w:bottom w:val="none" w:sz="0" w:space="0" w:color="auto"/>
            <w:right w:val="none" w:sz="0" w:space="0" w:color="auto"/>
          </w:divBdr>
          <w:divsChild>
            <w:div w:id="79721533">
              <w:marLeft w:val="0"/>
              <w:marRight w:val="0"/>
              <w:marTop w:val="0"/>
              <w:marBottom w:val="0"/>
              <w:divBdr>
                <w:top w:val="none" w:sz="0" w:space="0" w:color="auto"/>
                <w:left w:val="none" w:sz="0" w:space="0" w:color="auto"/>
                <w:bottom w:val="none" w:sz="0" w:space="0" w:color="auto"/>
                <w:right w:val="none" w:sz="0" w:space="0" w:color="auto"/>
              </w:divBdr>
            </w:div>
            <w:div w:id="91440156">
              <w:marLeft w:val="0"/>
              <w:marRight w:val="0"/>
              <w:marTop w:val="0"/>
              <w:marBottom w:val="0"/>
              <w:divBdr>
                <w:top w:val="none" w:sz="0" w:space="0" w:color="auto"/>
                <w:left w:val="none" w:sz="0" w:space="0" w:color="auto"/>
                <w:bottom w:val="none" w:sz="0" w:space="0" w:color="auto"/>
                <w:right w:val="none" w:sz="0" w:space="0" w:color="auto"/>
              </w:divBdr>
            </w:div>
            <w:div w:id="307521249">
              <w:marLeft w:val="0"/>
              <w:marRight w:val="0"/>
              <w:marTop w:val="0"/>
              <w:marBottom w:val="0"/>
              <w:divBdr>
                <w:top w:val="none" w:sz="0" w:space="0" w:color="auto"/>
                <w:left w:val="none" w:sz="0" w:space="0" w:color="auto"/>
                <w:bottom w:val="none" w:sz="0" w:space="0" w:color="auto"/>
                <w:right w:val="none" w:sz="0" w:space="0" w:color="auto"/>
              </w:divBdr>
            </w:div>
            <w:div w:id="368652827">
              <w:marLeft w:val="0"/>
              <w:marRight w:val="0"/>
              <w:marTop w:val="0"/>
              <w:marBottom w:val="0"/>
              <w:divBdr>
                <w:top w:val="none" w:sz="0" w:space="0" w:color="auto"/>
                <w:left w:val="none" w:sz="0" w:space="0" w:color="auto"/>
                <w:bottom w:val="none" w:sz="0" w:space="0" w:color="auto"/>
                <w:right w:val="none" w:sz="0" w:space="0" w:color="auto"/>
              </w:divBdr>
            </w:div>
            <w:div w:id="581257861">
              <w:marLeft w:val="0"/>
              <w:marRight w:val="0"/>
              <w:marTop w:val="0"/>
              <w:marBottom w:val="0"/>
              <w:divBdr>
                <w:top w:val="none" w:sz="0" w:space="0" w:color="auto"/>
                <w:left w:val="none" w:sz="0" w:space="0" w:color="auto"/>
                <w:bottom w:val="none" w:sz="0" w:space="0" w:color="auto"/>
                <w:right w:val="none" w:sz="0" w:space="0" w:color="auto"/>
              </w:divBdr>
            </w:div>
            <w:div w:id="744302801">
              <w:marLeft w:val="0"/>
              <w:marRight w:val="0"/>
              <w:marTop w:val="0"/>
              <w:marBottom w:val="0"/>
              <w:divBdr>
                <w:top w:val="none" w:sz="0" w:space="0" w:color="auto"/>
                <w:left w:val="none" w:sz="0" w:space="0" w:color="auto"/>
                <w:bottom w:val="none" w:sz="0" w:space="0" w:color="auto"/>
                <w:right w:val="none" w:sz="0" w:space="0" w:color="auto"/>
              </w:divBdr>
            </w:div>
            <w:div w:id="811366845">
              <w:marLeft w:val="0"/>
              <w:marRight w:val="0"/>
              <w:marTop w:val="0"/>
              <w:marBottom w:val="0"/>
              <w:divBdr>
                <w:top w:val="none" w:sz="0" w:space="0" w:color="auto"/>
                <w:left w:val="none" w:sz="0" w:space="0" w:color="auto"/>
                <w:bottom w:val="none" w:sz="0" w:space="0" w:color="auto"/>
                <w:right w:val="none" w:sz="0" w:space="0" w:color="auto"/>
              </w:divBdr>
            </w:div>
            <w:div w:id="850416361">
              <w:marLeft w:val="0"/>
              <w:marRight w:val="0"/>
              <w:marTop w:val="0"/>
              <w:marBottom w:val="0"/>
              <w:divBdr>
                <w:top w:val="none" w:sz="0" w:space="0" w:color="auto"/>
                <w:left w:val="none" w:sz="0" w:space="0" w:color="auto"/>
                <w:bottom w:val="none" w:sz="0" w:space="0" w:color="auto"/>
                <w:right w:val="none" w:sz="0" w:space="0" w:color="auto"/>
              </w:divBdr>
            </w:div>
            <w:div w:id="869146430">
              <w:marLeft w:val="0"/>
              <w:marRight w:val="0"/>
              <w:marTop w:val="0"/>
              <w:marBottom w:val="0"/>
              <w:divBdr>
                <w:top w:val="none" w:sz="0" w:space="0" w:color="auto"/>
                <w:left w:val="none" w:sz="0" w:space="0" w:color="auto"/>
                <w:bottom w:val="none" w:sz="0" w:space="0" w:color="auto"/>
                <w:right w:val="none" w:sz="0" w:space="0" w:color="auto"/>
              </w:divBdr>
            </w:div>
            <w:div w:id="903222397">
              <w:marLeft w:val="0"/>
              <w:marRight w:val="0"/>
              <w:marTop w:val="0"/>
              <w:marBottom w:val="0"/>
              <w:divBdr>
                <w:top w:val="none" w:sz="0" w:space="0" w:color="auto"/>
                <w:left w:val="none" w:sz="0" w:space="0" w:color="auto"/>
                <w:bottom w:val="none" w:sz="0" w:space="0" w:color="auto"/>
                <w:right w:val="none" w:sz="0" w:space="0" w:color="auto"/>
              </w:divBdr>
            </w:div>
            <w:div w:id="943073365">
              <w:marLeft w:val="0"/>
              <w:marRight w:val="0"/>
              <w:marTop w:val="0"/>
              <w:marBottom w:val="0"/>
              <w:divBdr>
                <w:top w:val="none" w:sz="0" w:space="0" w:color="auto"/>
                <w:left w:val="none" w:sz="0" w:space="0" w:color="auto"/>
                <w:bottom w:val="none" w:sz="0" w:space="0" w:color="auto"/>
                <w:right w:val="none" w:sz="0" w:space="0" w:color="auto"/>
              </w:divBdr>
            </w:div>
            <w:div w:id="1029794894">
              <w:marLeft w:val="0"/>
              <w:marRight w:val="0"/>
              <w:marTop w:val="0"/>
              <w:marBottom w:val="0"/>
              <w:divBdr>
                <w:top w:val="none" w:sz="0" w:space="0" w:color="auto"/>
                <w:left w:val="none" w:sz="0" w:space="0" w:color="auto"/>
                <w:bottom w:val="none" w:sz="0" w:space="0" w:color="auto"/>
                <w:right w:val="none" w:sz="0" w:space="0" w:color="auto"/>
              </w:divBdr>
            </w:div>
            <w:div w:id="1071585140">
              <w:marLeft w:val="0"/>
              <w:marRight w:val="0"/>
              <w:marTop w:val="0"/>
              <w:marBottom w:val="0"/>
              <w:divBdr>
                <w:top w:val="none" w:sz="0" w:space="0" w:color="auto"/>
                <w:left w:val="none" w:sz="0" w:space="0" w:color="auto"/>
                <w:bottom w:val="none" w:sz="0" w:space="0" w:color="auto"/>
                <w:right w:val="none" w:sz="0" w:space="0" w:color="auto"/>
              </w:divBdr>
            </w:div>
            <w:div w:id="1282032943">
              <w:marLeft w:val="0"/>
              <w:marRight w:val="0"/>
              <w:marTop w:val="0"/>
              <w:marBottom w:val="0"/>
              <w:divBdr>
                <w:top w:val="none" w:sz="0" w:space="0" w:color="auto"/>
                <w:left w:val="none" w:sz="0" w:space="0" w:color="auto"/>
                <w:bottom w:val="none" w:sz="0" w:space="0" w:color="auto"/>
                <w:right w:val="none" w:sz="0" w:space="0" w:color="auto"/>
              </w:divBdr>
            </w:div>
            <w:div w:id="1414399038">
              <w:marLeft w:val="0"/>
              <w:marRight w:val="0"/>
              <w:marTop w:val="0"/>
              <w:marBottom w:val="0"/>
              <w:divBdr>
                <w:top w:val="none" w:sz="0" w:space="0" w:color="auto"/>
                <w:left w:val="none" w:sz="0" w:space="0" w:color="auto"/>
                <w:bottom w:val="none" w:sz="0" w:space="0" w:color="auto"/>
                <w:right w:val="none" w:sz="0" w:space="0" w:color="auto"/>
              </w:divBdr>
            </w:div>
            <w:div w:id="1417358390">
              <w:marLeft w:val="0"/>
              <w:marRight w:val="0"/>
              <w:marTop w:val="0"/>
              <w:marBottom w:val="0"/>
              <w:divBdr>
                <w:top w:val="none" w:sz="0" w:space="0" w:color="auto"/>
                <w:left w:val="none" w:sz="0" w:space="0" w:color="auto"/>
                <w:bottom w:val="none" w:sz="0" w:space="0" w:color="auto"/>
                <w:right w:val="none" w:sz="0" w:space="0" w:color="auto"/>
              </w:divBdr>
            </w:div>
            <w:div w:id="1419327103">
              <w:marLeft w:val="0"/>
              <w:marRight w:val="0"/>
              <w:marTop w:val="0"/>
              <w:marBottom w:val="0"/>
              <w:divBdr>
                <w:top w:val="none" w:sz="0" w:space="0" w:color="auto"/>
                <w:left w:val="none" w:sz="0" w:space="0" w:color="auto"/>
                <w:bottom w:val="none" w:sz="0" w:space="0" w:color="auto"/>
                <w:right w:val="none" w:sz="0" w:space="0" w:color="auto"/>
              </w:divBdr>
            </w:div>
            <w:div w:id="1726568255">
              <w:marLeft w:val="0"/>
              <w:marRight w:val="0"/>
              <w:marTop w:val="0"/>
              <w:marBottom w:val="0"/>
              <w:divBdr>
                <w:top w:val="none" w:sz="0" w:space="0" w:color="auto"/>
                <w:left w:val="none" w:sz="0" w:space="0" w:color="auto"/>
                <w:bottom w:val="none" w:sz="0" w:space="0" w:color="auto"/>
                <w:right w:val="none" w:sz="0" w:space="0" w:color="auto"/>
              </w:divBdr>
            </w:div>
            <w:div w:id="1728340920">
              <w:marLeft w:val="0"/>
              <w:marRight w:val="0"/>
              <w:marTop w:val="0"/>
              <w:marBottom w:val="0"/>
              <w:divBdr>
                <w:top w:val="none" w:sz="0" w:space="0" w:color="auto"/>
                <w:left w:val="none" w:sz="0" w:space="0" w:color="auto"/>
                <w:bottom w:val="none" w:sz="0" w:space="0" w:color="auto"/>
                <w:right w:val="none" w:sz="0" w:space="0" w:color="auto"/>
              </w:divBdr>
            </w:div>
            <w:div w:id="1968778646">
              <w:marLeft w:val="0"/>
              <w:marRight w:val="0"/>
              <w:marTop w:val="0"/>
              <w:marBottom w:val="0"/>
              <w:divBdr>
                <w:top w:val="none" w:sz="0" w:space="0" w:color="auto"/>
                <w:left w:val="none" w:sz="0" w:space="0" w:color="auto"/>
                <w:bottom w:val="none" w:sz="0" w:space="0" w:color="auto"/>
                <w:right w:val="none" w:sz="0" w:space="0" w:color="auto"/>
              </w:divBdr>
            </w:div>
          </w:divsChild>
        </w:div>
        <w:div w:id="361707726">
          <w:marLeft w:val="0"/>
          <w:marRight w:val="0"/>
          <w:marTop w:val="0"/>
          <w:marBottom w:val="0"/>
          <w:divBdr>
            <w:top w:val="none" w:sz="0" w:space="0" w:color="auto"/>
            <w:left w:val="none" w:sz="0" w:space="0" w:color="auto"/>
            <w:bottom w:val="none" w:sz="0" w:space="0" w:color="auto"/>
            <w:right w:val="none" w:sz="0" w:space="0" w:color="auto"/>
          </w:divBdr>
        </w:div>
        <w:div w:id="381833652">
          <w:marLeft w:val="0"/>
          <w:marRight w:val="0"/>
          <w:marTop w:val="0"/>
          <w:marBottom w:val="0"/>
          <w:divBdr>
            <w:top w:val="none" w:sz="0" w:space="0" w:color="auto"/>
            <w:left w:val="none" w:sz="0" w:space="0" w:color="auto"/>
            <w:bottom w:val="none" w:sz="0" w:space="0" w:color="auto"/>
            <w:right w:val="none" w:sz="0" w:space="0" w:color="auto"/>
          </w:divBdr>
          <w:divsChild>
            <w:div w:id="167987084">
              <w:marLeft w:val="0"/>
              <w:marRight w:val="0"/>
              <w:marTop w:val="0"/>
              <w:marBottom w:val="0"/>
              <w:divBdr>
                <w:top w:val="none" w:sz="0" w:space="0" w:color="auto"/>
                <w:left w:val="none" w:sz="0" w:space="0" w:color="auto"/>
                <w:bottom w:val="none" w:sz="0" w:space="0" w:color="auto"/>
                <w:right w:val="none" w:sz="0" w:space="0" w:color="auto"/>
              </w:divBdr>
            </w:div>
            <w:div w:id="337389918">
              <w:marLeft w:val="0"/>
              <w:marRight w:val="0"/>
              <w:marTop w:val="0"/>
              <w:marBottom w:val="0"/>
              <w:divBdr>
                <w:top w:val="none" w:sz="0" w:space="0" w:color="auto"/>
                <w:left w:val="none" w:sz="0" w:space="0" w:color="auto"/>
                <w:bottom w:val="none" w:sz="0" w:space="0" w:color="auto"/>
                <w:right w:val="none" w:sz="0" w:space="0" w:color="auto"/>
              </w:divBdr>
            </w:div>
            <w:div w:id="341519628">
              <w:marLeft w:val="0"/>
              <w:marRight w:val="0"/>
              <w:marTop w:val="0"/>
              <w:marBottom w:val="0"/>
              <w:divBdr>
                <w:top w:val="none" w:sz="0" w:space="0" w:color="auto"/>
                <w:left w:val="none" w:sz="0" w:space="0" w:color="auto"/>
                <w:bottom w:val="none" w:sz="0" w:space="0" w:color="auto"/>
                <w:right w:val="none" w:sz="0" w:space="0" w:color="auto"/>
              </w:divBdr>
            </w:div>
            <w:div w:id="343171283">
              <w:marLeft w:val="0"/>
              <w:marRight w:val="0"/>
              <w:marTop w:val="0"/>
              <w:marBottom w:val="0"/>
              <w:divBdr>
                <w:top w:val="none" w:sz="0" w:space="0" w:color="auto"/>
                <w:left w:val="none" w:sz="0" w:space="0" w:color="auto"/>
                <w:bottom w:val="none" w:sz="0" w:space="0" w:color="auto"/>
                <w:right w:val="none" w:sz="0" w:space="0" w:color="auto"/>
              </w:divBdr>
            </w:div>
            <w:div w:id="470172723">
              <w:marLeft w:val="0"/>
              <w:marRight w:val="0"/>
              <w:marTop w:val="0"/>
              <w:marBottom w:val="0"/>
              <w:divBdr>
                <w:top w:val="none" w:sz="0" w:space="0" w:color="auto"/>
                <w:left w:val="none" w:sz="0" w:space="0" w:color="auto"/>
                <w:bottom w:val="none" w:sz="0" w:space="0" w:color="auto"/>
                <w:right w:val="none" w:sz="0" w:space="0" w:color="auto"/>
              </w:divBdr>
            </w:div>
            <w:div w:id="507792294">
              <w:marLeft w:val="0"/>
              <w:marRight w:val="0"/>
              <w:marTop w:val="0"/>
              <w:marBottom w:val="0"/>
              <w:divBdr>
                <w:top w:val="none" w:sz="0" w:space="0" w:color="auto"/>
                <w:left w:val="none" w:sz="0" w:space="0" w:color="auto"/>
                <w:bottom w:val="none" w:sz="0" w:space="0" w:color="auto"/>
                <w:right w:val="none" w:sz="0" w:space="0" w:color="auto"/>
              </w:divBdr>
            </w:div>
            <w:div w:id="538476048">
              <w:marLeft w:val="0"/>
              <w:marRight w:val="0"/>
              <w:marTop w:val="0"/>
              <w:marBottom w:val="0"/>
              <w:divBdr>
                <w:top w:val="none" w:sz="0" w:space="0" w:color="auto"/>
                <w:left w:val="none" w:sz="0" w:space="0" w:color="auto"/>
                <w:bottom w:val="none" w:sz="0" w:space="0" w:color="auto"/>
                <w:right w:val="none" w:sz="0" w:space="0" w:color="auto"/>
              </w:divBdr>
            </w:div>
            <w:div w:id="651719800">
              <w:marLeft w:val="0"/>
              <w:marRight w:val="0"/>
              <w:marTop w:val="0"/>
              <w:marBottom w:val="0"/>
              <w:divBdr>
                <w:top w:val="none" w:sz="0" w:space="0" w:color="auto"/>
                <w:left w:val="none" w:sz="0" w:space="0" w:color="auto"/>
                <w:bottom w:val="none" w:sz="0" w:space="0" w:color="auto"/>
                <w:right w:val="none" w:sz="0" w:space="0" w:color="auto"/>
              </w:divBdr>
            </w:div>
            <w:div w:id="804927328">
              <w:marLeft w:val="0"/>
              <w:marRight w:val="0"/>
              <w:marTop w:val="0"/>
              <w:marBottom w:val="0"/>
              <w:divBdr>
                <w:top w:val="none" w:sz="0" w:space="0" w:color="auto"/>
                <w:left w:val="none" w:sz="0" w:space="0" w:color="auto"/>
                <w:bottom w:val="none" w:sz="0" w:space="0" w:color="auto"/>
                <w:right w:val="none" w:sz="0" w:space="0" w:color="auto"/>
              </w:divBdr>
            </w:div>
            <w:div w:id="884488831">
              <w:marLeft w:val="0"/>
              <w:marRight w:val="0"/>
              <w:marTop w:val="0"/>
              <w:marBottom w:val="0"/>
              <w:divBdr>
                <w:top w:val="none" w:sz="0" w:space="0" w:color="auto"/>
                <w:left w:val="none" w:sz="0" w:space="0" w:color="auto"/>
                <w:bottom w:val="none" w:sz="0" w:space="0" w:color="auto"/>
                <w:right w:val="none" w:sz="0" w:space="0" w:color="auto"/>
              </w:divBdr>
            </w:div>
            <w:div w:id="888345329">
              <w:marLeft w:val="0"/>
              <w:marRight w:val="0"/>
              <w:marTop w:val="0"/>
              <w:marBottom w:val="0"/>
              <w:divBdr>
                <w:top w:val="none" w:sz="0" w:space="0" w:color="auto"/>
                <w:left w:val="none" w:sz="0" w:space="0" w:color="auto"/>
                <w:bottom w:val="none" w:sz="0" w:space="0" w:color="auto"/>
                <w:right w:val="none" w:sz="0" w:space="0" w:color="auto"/>
              </w:divBdr>
            </w:div>
            <w:div w:id="900215438">
              <w:marLeft w:val="0"/>
              <w:marRight w:val="0"/>
              <w:marTop w:val="0"/>
              <w:marBottom w:val="0"/>
              <w:divBdr>
                <w:top w:val="none" w:sz="0" w:space="0" w:color="auto"/>
                <w:left w:val="none" w:sz="0" w:space="0" w:color="auto"/>
                <w:bottom w:val="none" w:sz="0" w:space="0" w:color="auto"/>
                <w:right w:val="none" w:sz="0" w:space="0" w:color="auto"/>
              </w:divBdr>
            </w:div>
            <w:div w:id="1075469332">
              <w:marLeft w:val="0"/>
              <w:marRight w:val="0"/>
              <w:marTop w:val="0"/>
              <w:marBottom w:val="0"/>
              <w:divBdr>
                <w:top w:val="none" w:sz="0" w:space="0" w:color="auto"/>
                <w:left w:val="none" w:sz="0" w:space="0" w:color="auto"/>
                <w:bottom w:val="none" w:sz="0" w:space="0" w:color="auto"/>
                <w:right w:val="none" w:sz="0" w:space="0" w:color="auto"/>
              </w:divBdr>
            </w:div>
            <w:div w:id="1512985142">
              <w:marLeft w:val="0"/>
              <w:marRight w:val="0"/>
              <w:marTop w:val="0"/>
              <w:marBottom w:val="0"/>
              <w:divBdr>
                <w:top w:val="none" w:sz="0" w:space="0" w:color="auto"/>
                <w:left w:val="none" w:sz="0" w:space="0" w:color="auto"/>
                <w:bottom w:val="none" w:sz="0" w:space="0" w:color="auto"/>
                <w:right w:val="none" w:sz="0" w:space="0" w:color="auto"/>
              </w:divBdr>
            </w:div>
            <w:div w:id="1643151169">
              <w:marLeft w:val="0"/>
              <w:marRight w:val="0"/>
              <w:marTop w:val="0"/>
              <w:marBottom w:val="0"/>
              <w:divBdr>
                <w:top w:val="none" w:sz="0" w:space="0" w:color="auto"/>
                <w:left w:val="none" w:sz="0" w:space="0" w:color="auto"/>
                <w:bottom w:val="none" w:sz="0" w:space="0" w:color="auto"/>
                <w:right w:val="none" w:sz="0" w:space="0" w:color="auto"/>
              </w:divBdr>
            </w:div>
            <w:div w:id="1673991766">
              <w:marLeft w:val="0"/>
              <w:marRight w:val="0"/>
              <w:marTop w:val="0"/>
              <w:marBottom w:val="0"/>
              <w:divBdr>
                <w:top w:val="none" w:sz="0" w:space="0" w:color="auto"/>
                <w:left w:val="none" w:sz="0" w:space="0" w:color="auto"/>
                <w:bottom w:val="none" w:sz="0" w:space="0" w:color="auto"/>
                <w:right w:val="none" w:sz="0" w:space="0" w:color="auto"/>
              </w:divBdr>
            </w:div>
            <w:div w:id="1797720138">
              <w:marLeft w:val="0"/>
              <w:marRight w:val="0"/>
              <w:marTop w:val="0"/>
              <w:marBottom w:val="0"/>
              <w:divBdr>
                <w:top w:val="none" w:sz="0" w:space="0" w:color="auto"/>
                <w:left w:val="none" w:sz="0" w:space="0" w:color="auto"/>
                <w:bottom w:val="none" w:sz="0" w:space="0" w:color="auto"/>
                <w:right w:val="none" w:sz="0" w:space="0" w:color="auto"/>
              </w:divBdr>
            </w:div>
            <w:div w:id="1855684477">
              <w:marLeft w:val="0"/>
              <w:marRight w:val="0"/>
              <w:marTop w:val="0"/>
              <w:marBottom w:val="0"/>
              <w:divBdr>
                <w:top w:val="none" w:sz="0" w:space="0" w:color="auto"/>
                <w:left w:val="none" w:sz="0" w:space="0" w:color="auto"/>
                <w:bottom w:val="none" w:sz="0" w:space="0" w:color="auto"/>
                <w:right w:val="none" w:sz="0" w:space="0" w:color="auto"/>
              </w:divBdr>
            </w:div>
            <w:div w:id="2139562843">
              <w:marLeft w:val="0"/>
              <w:marRight w:val="0"/>
              <w:marTop w:val="0"/>
              <w:marBottom w:val="0"/>
              <w:divBdr>
                <w:top w:val="none" w:sz="0" w:space="0" w:color="auto"/>
                <w:left w:val="none" w:sz="0" w:space="0" w:color="auto"/>
                <w:bottom w:val="none" w:sz="0" w:space="0" w:color="auto"/>
                <w:right w:val="none" w:sz="0" w:space="0" w:color="auto"/>
              </w:divBdr>
            </w:div>
            <w:div w:id="2141991361">
              <w:marLeft w:val="0"/>
              <w:marRight w:val="0"/>
              <w:marTop w:val="0"/>
              <w:marBottom w:val="0"/>
              <w:divBdr>
                <w:top w:val="none" w:sz="0" w:space="0" w:color="auto"/>
                <w:left w:val="none" w:sz="0" w:space="0" w:color="auto"/>
                <w:bottom w:val="none" w:sz="0" w:space="0" w:color="auto"/>
                <w:right w:val="none" w:sz="0" w:space="0" w:color="auto"/>
              </w:divBdr>
            </w:div>
          </w:divsChild>
        </w:div>
        <w:div w:id="535167736">
          <w:marLeft w:val="0"/>
          <w:marRight w:val="0"/>
          <w:marTop w:val="0"/>
          <w:marBottom w:val="0"/>
          <w:divBdr>
            <w:top w:val="none" w:sz="0" w:space="0" w:color="auto"/>
            <w:left w:val="none" w:sz="0" w:space="0" w:color="auto"/>
            <w:bottom w:val="none" w:sz="0" w:space="0" w:color="auto"/>
            <w:right w:val="none" w:sz="0" w:space="0" w:color="auto"/>
          </w:divBdr>
        </w:div>
        <w:div w:id="536939310">
          <w:marLeft w:val="0"/>
          <w:marRight w:val="0"/>
          <w:marTop w:val="0"/>
          <w:marBottom w:val="0"/>
          <w:divBdr>
            <w:top w:val="none" w:sz="0" w:space="0" w:color="auto"/>
            <w:left w:val="none" w:sz="0" w:space="0" w:color="auto"/>
            <w:bottom w:val="none" w:sz="0" w:space="0" w:color="auto"/>
            <w:right w:val="none" w:sz="0" w:space="0" w:color="auto"/>
          </w:divBdr>
        </w:div>
        <w:div w:id="571282273">
          <w:marLeft w:val="0"/>
          <w:marRight w:val="0"/>
          <w:marTop w:val="0"/>
          <w:marBottom w:val="0"/>
          <w:divBdr>
            <w:top w:val="none" w:sz="0" w:space="0" w:color="auto"/>
            <w:left w:val="none" w:sz="0" w:space="0" w:color="auto"/>
            <w:bottom w:val="none" w:sz="0" w:space="0" w:color="auto"/>
            <w:right w:val="none" w:sz="0" w:space="0" w:color="auto"/>
          </w:divBdr>
        </w:div>
        <w:div w:id="708652403">
          <w:marLeft w:val="0"/>
          <w:marRight w:val="0"/>
          <w:marTop w:val="0"/>
          <w:marBottom w:val="0"/>
          <w:divBdr>
            <w:top w:val="none" w:sz="0" w:space="0" w:color="auto"/>
            <w:left w:val="none" w:sz="0" w:space="0" w:color="auto"/>
            <w:bottom w:val="none" w:sz="0" w:space="0" w:color="auto"/>
            <w:right w:val="none" w:sz="0" w:space="0" w:color="auto"/>
          </w:divBdr>
        </w:div>
        <w:div w:id="743181331">
          <w:marLeft w:val="0"/>
          <w:marRight w:val="0"/>
          <w:marTop w:val="0"/>
          <w:marBottom w:val="0"/>
          <w:divBdr>
            <w:top w:val="none" w:sz="0" w:space="0" w:color="auto"/>
            <w:left w:val="none" w:sz="0" w:space="0" w:color="auto"/>
            <w:bottom w:val="none" w:sz="0" w:space="0" w:color="auto"/>
            <w:right w:val="none" w:sz="0" w:space="0" w:color="auto"/>
          </w:divBdr>
          <w:divsChild>
            <w:div w:id="90706693">
              <w:marLeft w:val="0"/>
              <w:marRight w:val="0"/>
              <w:marTop w:val="0"/>
              <w:marBottom w:val="0"/>
              <w:divBdr>
                <w:top w:val="none" w:sz="0" w:space="0" w:color="auto"/>
                <w:left w:val="none" w:sz="0" w:space="0" w:color="auto"/>
                <w:bottom w:val="none" w:sz="0" w:space="0" w:color="auto"/>
                <w:right w:val="none" w:sz="0" w:space="0" w:color="auto"/>
              </w:divBdr>
            </w:div>
            <w:div w:id="136995499">
              <w:marLeft w:val="0"/>
              <w:marRight w:val="0"/>
              <w:marTop w:val="0"/>
              <w:marBottom w:val="0"/>
              <w:divBdr>
                <w:top w:val="none" w:sz="0" w:space="0" w:color="auto"/>
                <w:left w:val="none" w:sz="0" w:space="0" w:color="auto"/>
                <w:bottom w:val="none" w:sz="0" w:space="0" w:color="auto"/>
                <w:right w:val="none" w:sz="0" w:space="0" w:color="auto"/>
              </w:divBdr>
            </w:div>
            <w:div w:id="386993788">
              <w:marLeft w:val="0"/>
              <w:marRight w:val="0"/>
              <w:marTop w:val="0"/>
              <w:marBottom w:val="0"/>
              <w:divBdr>
                <w:top w:val="none" w:sz="0" w:space="0" w:color="auto"/>
                <w:left w:val="none" w:sz="0" w:space="0" w:color="auto"/>
                <w:bottom w:val="none" w:sz="0" w:space="0" w:color="auto"/>
                <w:right w:val="none" w:sz="0" w:space="0" w:color="auto"/>
              </w:divBdr>
            </w:div>
            <w:div w:id="397679674">
              <w:marLeft w:val="0"/>
              <w:marRight w:val="0"/>
              <w:marTop w:val="0"/>
              <w:marBottom w:val="0"/>
              <w:divBdr>
                <w:top w:val="none" w:sz="0" w:space="0" w:color="auto"/>
                <w:left w:val="none" w:sz="0" w:space="0" w:color="auto"/>
                <w:bottom w:val="none" w:sz="0" w:space="0" w:color="auto"/>
                <w:right w:val="none" w:sz="0" w:space="0" w:color="auto"/>
              </w:divBdr>
            </w:div>
            <w:div w:id="457377640">
              <w:marLeft w:val="0"/>
              <w:marRight w:val="0"/>
              <w:marTop w:val="0"/>
              <w:marBottom w:val="0"/>
              <w:divBdr>
                <w:top w:val="none" w:sz="0" w:space="0" w:color="auto"/>
                <w:left w:val="none" w:sz="0" w:space="0" w:color="auto"/>
                <w:bottom w:val="none" w:sz="0" w:space="0" w:color="auto"/>
                <w:right w:val="none" w:sz="0" w:space="0" w:color="auto"/>
              </w:divBdr>
            </w:div>
            <w:div w:id="549464487">
              <w:marLeft w:val="0"/>
              <w:marRight w:val="0"/>
              <w:marTop w:val="0"/>
              <w:marBottom w:val="0"/>
              <w:divBdr>
                <w:top w:val="none" w:sz="0" w:space="0" w:color="auto"/>
                <w:left w:val="none" w:sz="0" w:space="0" w:color="auto"/>
                <w:bottom w:val="none" w:sz="0" w:space="0" w:color="auto"/>
                <w:right w:val="none" w:sz="0" w:space="0" w:color="auto"/>
              </w:divBdr>
            </w:div>
            <w:div w:id="592055919">
              <w:marLeft w:val="0"/>
              <w:marRight w:val="0"/>
              <w:marTop w:val="0"/>
              <w:marBottom w:val="0"/>
              <w:divBdr>
                <w:top w:val="none" w:sz="0" w:space="0" w:color="auto"/>
                <w:left w:val="none" w:sz="0" w:space="0" w:color="auto"/>
                <w:bottom w:val="none" w:sz="0" w:space="0" w:color="auto"/>
                <w:right w:val="none" w:sz="0" w:space="0" w:color="auto"/>
              </w:divBdr>
            </w:div>
            <w:div w:id="757752677">
              <w:marLeft w:val="0"/>
              <w:marRight w:val="0"/>
              <w:marTop w:val="0"/>
              <w:marBottom w:val="0"/>
              <w:divBdr>
                <w:top w:val="none" w:sz="0" w:space="0" w:color="auto"/>
                <w:left w:val="none" w:sz="0" w:space="0" w:color="auto"/>
                <w:bottom w:val="none" w:sz="0" w:space="0" w:color="auto"/>
                <w:right w:val="none" w:sz="0" w:space="0" w:color="auto"/>
              </w:divBdr>
            </w:div>
            <w:div w:id="1134373790">
              <w:marLeft w:val="0"/>
              <w:marRight w:val="0"/>
              <w:marTop w:val="0"/>
              <w:marBottom w:val="0"/>
              <w:divBdr>
                <w:top w:val="none" w:sz="0" w:space="0" w:color="auto"/>
                <w:left w:val="none" w:sz="0" w:space="0" w:color="auto"/>
                <w:bottom w:val="none" w:sz="0" w:space="0" w:color="auto"/>
                <w:right w:val="none" w:sz="0" w:space="0" w:color="auto"/>
              </w:divBdr>
            </w:div>
            <w:div w:id="1137720322">
              <w:marLeft w:val="0"/>
              <w:marRight w:val="0"/>
              <w:marTop w:val="0"/>
              <w:marBottom w:val="0"/>
              <w:divBdr>
                <w:top w:val="none" w:sz="0" w:space="0" w:color="auto"/>
                <w:left w:val="none" w:sz="0" w:space="0" w:color="auto"/>
                <w:bottom w:val="none" w:sz="0" w:space="0" w:color="auto"/>
                <w:right w:val="none" w:sz="0" w:space="0" w:color="auto"/>
              </w:divBdr>
            </w:div>
            <w:div w:id="1178033310">
              <w:marLeft w:val="0"/>
              <w:marRight w:val="0"/>
              <w:marTop w:val="0"/>
              <w:marBottom w:val="0"/>
              <w:divBdr>
                <w:top w:val="none" w:sz="0" w:space="0" w:color="auto"/>
                <w:left w:val="none" w:sz="0" w:space="0" w:color="auto"/>
                <w:bottom w:val="none" w:sz="0" w:space="0" w:color="auto"/>
                <w:right w:val="none" w:sz="0" w:space="0" w:color="auto"/>
              </w:divBdr>
            </w:div>
            <w:div w:id="1272737072">
              <w:marLeft w:val="0"/>
              <w:marRight w:val="0"/>
              <w:marTop w:val="0"/>
              <w:marBottom w:val="0"/>
              <w:divBdr>
                <w:top w:val="none" w:sz="0" w:space="0" w:color="auto"/>
                <w:left w:val="none" w:sz="0" w:space="0" w:color="auto"/>
                <w:bottom w:val="none" w:sz="0" w:space="0" w:color="auto"/>
                <w:right w:val="none" w:sz="0" w:space="0" w:color="auto"/>
              </w:divBdr>
            </w:div>
            <w:div w:id="1309898465">
              <w:marLeft w:val="0"/>
              <w:marRight w:val="0"/>
              <w:marTop w:val="0"/>
              <w:marBottom w:val="0"/>
              <w:divBdr>
                <w:top w:val="none" w:sz="0" w:space="0" w:color="auto"/>
                <w:left w:val="none" w:sz="0" w:space="0" w:color="auto"/>
                <w:bottom w:val="none" w:sz="0" w:space="0" w:color="auto"/>
                <w:right w:val="none" w:sz="0" w:space="0" w:color="auto"/>
              </w:divBdr>
            </w:div>
            <w:div w:id="1312251562">
              <w:marLeft w:val="0"/>
              <w:marRight w:val="0"/>
              <w:marTop w:val="0"/>
              <w:marBottom w:val="0"/>
              <w:divBdr>
                <w:top w:val="none" w:sz="0" w:space="0" w:color="auto"/>
                <w:left w:val="none" w:sz="0" w:space="0" w:color="auto"/>
                <w:bottom w:val="none" w:sz="0" w:space="0" w:color="auto"/>
                <w:right w:val="none" w:sz="0" w:space="0" w:color="auto"/>
              </w:divBdr>
            </w:div>
            <w:div w:id="1350988854">
              <w:marLeft w:val="0"/>
              <w:marRight w:val="0"/>
              <w:marTop w:val="0"/>
              <w:marBottom w:val="0"/>
              <w:divBdr>
                <w:top w:val="none" w:sz="0" w:space="0" w:color="auto"/>
                <w:left w:val="none" w:sz="0" w:space="0" w:color="auto"/>
                <w:bottom w:val="none" w:sz="0" w:space="0" w:color="auto"/>
                <w:right w:val="none" w:sz="0" w:space="0" w:color="auto"/>
              </w:divBdr>
            </w:div>
            <w:div w:id="1596592160">
              <w:marLeft w:val="0"/>
              <w:marRight w:val="0"/>
              <w:marTop w:val="0"/>
              <w:marBottom w:val="0"/>
              <w:divBdr>
                <w:top w:val="none" w:sz="0" w:space="0" w:color="auto"/>
                <w:left w:val="none" w:sz="0" w:space="0" w:color="auto"/>
                <w:bottom w:val="none" w:sz="0" w:space="0" w:color="auto"/>
                <w:right w:val="none" w:sz="0" w:space="0" w:color="auto"/>
              </w:divBdr>
            </w:div>
            <w:div w:id="1674919974">
              <w:marLeft w:val="0"/>
              <w:marRight w:val="0"/>
              <w:marTop w:val="0"/>
              <w:marBottom w:val="0"/>
              <w:divBdr>
                <w:top w:val="none" w:sz="0" w:space="0" w:color="auto"/>
                <w:left w:val="none" w:sz="0" w:space="0" w:color="auto"/>
                <w:bottom w:val="none" w:sz="0" w:space="0" w:color="auto"/>
                <w:right w:val="none" w:sz="0" w:space="0" w:color="auto"/>
              </w:divBdr>
            </w:div>
            <w:div w:id="1677927900">
              <w:marLeft w:val="0"/>
              <w:marRight w:val="0"/>
              <w:marTop w:val="0"/>
              <w:marBottom w:val="0"/>
              <w:divBdr>
                <w:top w:val="none" w:sz="0" w:space="0" w:color="auto"/>
                <w:left w:val="none" w:sz="0" w:space="0" w:color="auto"/>
                <w:bottom w:val="none" w:sz="0" w:space="0" w:color="auto"/>
                <w:right w:val="none" w:sz="0" w:space="0" w:color="auto"/>
              </w:divBdr>
            </w:div>
            <w:div w:id="1782141825">
              <w:marLeft w:val="0"/>
              <w:marRight w:val="0"/>
              <w:marTop w:val="0"/>
              <w:marBottom w:val="0"/>
              <w:divBdr>
                <w:top w:val="none" w:sz="0" w:space="0" w:color="auto"/>
                <w:left w:val="none" w:sz="0" w:space="0" w:color="auto"/>
                <w:bottom w:val="none" w:sz="0" w:space="0" w:color="auto"/>
                <w:right w:val="none" w:sz="0" w:space="0" w:color="auto"/>
              </w:divBdr>
            </w:div>
            <w:div w:id="2015719419">
              <w:marLeft w:val="0"/>
              <w:marRight w:val="0"/>
              <w:marTop w:val="0"/>
              <w:marBottom w:val="0"/>
              <w:divBdr>
                <w:top w:val="none" w:sz="0" w:space="0" w:color="auto"/>
                <w:left w:val="none" w:sz="0" w:space="0" w:color="auto"/>
                <w:bottom w:val="none" w:sz="0" w:space="0" w:color="auto"/>
                <w:right w:val="none" w:sz="0" w:space="0" w:color="auto"/>
              </w:divBdr>
            </w:div>
          </w:divsChild>
        </w:div>
        <w:div w:id="797188332">
          <w:marLeft w:val="0"/>
          <w:marRight w:val="0"/>
          <w:marTop w:val="0"/>
          <w:marBottom w:val="0"/>
          <w:divBdr>
            <w:top w:val="none" w:sz="0" w:space="0" w:color="auto"/>
            <w:left w:val="none" w:sz="0" w:space="0" w:color="auto"/>
            <w:bottom w:val="none" w:sz="0" w:space="0" w:color="auto"/>
            <w:right w:val="none" w:sz="0" w:space="0" w:color="auto"/>
          </w:divBdr>
        </w:div>
        <w:div w:id="1073702850">
          <w:marLeft w:val="0"/>
          <w:marRight w:val="0"/>
          <w:marTop w:val="0"/>
          <w:marBottom w:val="0"/>
          <w:divBdr>
            <w:top w:val="none" w:sz="0" w:space="0" w:color="auto"/>
            <w:left w:val="none" w:sz="0" w:space="0" w:color="auto"/>
            <w:bottom w:val="none" w:sz="0" w:space="0" w:color="auto"/>
            <w:right w:val="none" w:sz="0" w:space="0" w:color="auto"/>
          </w:divBdr>
        </w:div>
        <w:div w:id="1116482527">
          <w:marLeft w:val="0"/>
          <w:marRight w:val="0"/>
          <w:marTop w:val="0"/>
          <w:marBottom w:val="0"/>
          <w:divBdr>
            <w:top w:val="none" w:sz="0" w:space="0" w:color="auto"/>
            <w:left w:val="none" w:sz="0" w:space="0" w:color="auto"/>
            <w:bottom w:val="none" w:sz="0" w:space="0" w:color="auto"/>
            <w:right w:val="none" w:sz="0" w:space="0" w:color="auto"/>
          </w:divBdr>
        </w:div>
        <w:div w:id="1243294961">
          <w:marLeft w:val="0"/>
          <w:marRight w:val="0"/>
          <w:marTop w:val="0"/>
          <w:marBottom w:val="0"/>
          <w:divBdr>
            <w:top w:val="none" w:sz="0" w:space="0" w:color="auto"/>
            <w:left w:val="none" w:sz="0" w:space="0" w:color="auto"/>
            <w:bottom w:val="none" w:sz="0" w:space="0" w:color="auto"/>
            <w:right w:val="none" w:sz="0" w:space="0" w:color="auto"/>
          </w:divBdr>
        </w:div>
        <w:div w:id="1797482911">
          <w:marLeft w:val="0"/>
          <w:marRight w:val="0"/>
          <w:marTop w:val="0"/>
          <w:marBottom w:val="0"/>
          <w:divBdr>
            <w:top w:val="none" w:sz="0" w:space="0" w:color="auto"/>
            <w:left w:val="none" w:sz="0" w:space="0" w:color="auto"/>
            <w:bottom w:val="none" w:sz="0" w:space="0" w:color="auto"/>
            <w:right w:val="none" w:sz="0" w:space="0" w:color="auto"/>
          </w:divBdr>
        </w:div>
        <w:div w:id="1829053716">
          <w:marLeft w:val="0"/>
          <w:marRight w:val="0"/>
          <w:marTop w:val="0"/>
          <w:marBottom w:val="0"/>
          <w:divBdr>
            <w:top w:val="none" w:sz="0" w:space="0" w:color="auto"/>
            <w:left w:val="none" w:sz="0" w:space="0" w:color="auto"/>
            <w:bottom w:val="none" w:sz="0" w:space="0" w:color="auto"/>
            <w:right w:val="none" w:sz="0" w:space="0" w:color="auto"/>
          </w:divBdr>
          <w:divsChild>
            <w:div w:id="33578668">
              <w:marLeft w:val="0"/>
              <w:marRight w:val="0"/>
              <w:marTop w:val="0"/>
              <w:marBottom w:val="0"/>
              <w:divBdr>
                <w:top w:val="none" w:sz="0" w:space="0" w:color="auto"/>
                <w:left w:val="none" w:sz="0" w:space="0" w:color="auto"/>
                <w:bottom w:val="none" w:sz="0" w:space="0" w:color="auto"/>
                <w:right w:val="none" w:sz="0" w:space="0" w:color="auto"/>
              </w:divBdr>
            </w:div>
            <w:div w:id="207886748">
              <w:marLeft w:val="0"/>
              <w:marRight w:val="0"/>
              <w:marTop w:val="0"/>
              <w:marBottom w:val="0"/>
              <w:divBdr>
                <w:top w:val="none" w:sz="0" w:space="0" w:color="auto"/>
                <w:left w:val="none" w:sz="0" w:space="0" w:color="auto"/>
                <w:bottom w:val="none" w:sz="0" w:space="0" w:color="auto"/>
                <w:right w:val="none" w:sz="0" w:space="0" w:color="auto"/>
              </w:divBdr>
            </w:div>
            <w:div w:id="231744957">
              <w:marLeft w:val="0"/>
              <w:marRight w:val="0"/>
              <w:marTop w:val="0"/>
              <w:marBottom w:val="0"/>
              <w:divBdr>
                <w:top w:val="none" w:sz="0" w:space="0" w:color="auto"/>
                <w:left w:val="none" w:sz="0" w:space="0" w:color="auto"/>
                <w:bottom w:val="none" w:sz="0" w:space="0" w:color="auto"/>
                <w:right w:val="none" w:sz="0" w:space="0" w:color="auto"/>
              </w:divBdr>
            </w:div>
            <w:div w:id="298415724">
              <w:marLeft w:val="0"/>
              <w:marRight w:val="0"/>
              <w:marTop w:val="0"/>
              <w:marBottom w:val="0"/>
              <w:divBdr>
                <w:top w:val="none" w:sz="0" w:space="0" w:color="auto"/>
                <w:left w:val="none" w:sz="0" w:space="0" w:color="auto"/>
                <w:bottom w:val="none" w:sz="0" w:space="0" w:color="auto"/>
                <w:right w:val="none" w:sz="0" w:space="0" w:color="auto"/>
              </w:divBdr>
            </w:div>
            <w:div w:id="547689780">
              <w:marLeft w:val="0"/>
              <w:marRight w:val="0"/>
              <w:marTop w:val="0"/>
              <w:marBottom w:val="0"/>
              <w:divBdr>
                <w:top w:val="none" w:sz="0" w:space="0" w:color="auto"/>
                <w:left w:val="none" w:sz="0" w:space="0" w:color="auto"/>
                <w:bottom w:val="none" w:sz="0" w:space="0" w:color="auto"/>
                <w:right w:val="none" w:sz="0" w:space="0" w:color="auto"/>
              </w:divBdr>
            </w:div>
            <w:div w:id="707949392">
              <w:marLeft w:val="0"/>
              <w:marRight w:val="0"/>
              <w:marTop w:val="0"/>
              <w:marBottom w:val="0"/>
              <w:divBdr>
                <w:top w:val="none" w:sz="0" w:space="0" w:color="auto"/>
                <w:left w:val="none" w:sz="0" w:space="0" w:color="auto"/>
                <w:bottom w:val="none" w:sz="0" w:space="0" w:color="auto"/>
                <w:right w:val="none" w:sz="0" w:space="0" w:color="auto"/>
              </w:divBdr>
            </w:div>
            <w:div w:id="736514780">
              <w:marLeft w:val="0"/>
              <w:marRight w:val="0"/>
              <w:marTop w:val="0"/>
              <w:marBottom w:val="0"/>
              <w:divBdr>
                <w:top w:val="none" w:sz="0" w:space="0" w:color="auto"/>
                <w:left w:val="none" w:sz="0" w:space="0" w:color="auto"/>
                <w:bottom w:val="none" w:sz="0" w:space="0" w:color="auto"/>
                <w:right w:val="none" w:sz="0" w:space="0" w:color="auto"/>
              </w:divBdr>
            </w:div>
            <w:div w:id="909972411">
              <w:marLeft w:val="0"/>
              <w:marRight w:val="0"/>
              <w:marTop w:val="0"/>
              <w:marBottom w:val="0"/>
              <w:divBdr>
                <w:top w:val="none" w:sz="0" w:space="0" w:color="auto"/>
                <w:left w:val="none" w:sz="0" w:space="0" w:color="auto"/>
                <w:bottom w:val="none" w:sz="0" w:space="0" w:color="auto"/>
                <w:right w:val="none" w:sz="0" w:space="0" w:color="auto"/>
              </w:divBdr>
            </w:div>
            <w:div w:id="997810004">
              <w:marLeft w:val="0"/>
              <w:marRight w:val="0"/>
              <w:marTop w:val="0"/>
              <w:marBottom w:val="0"/>
              <w:divBdr>
                <w:top w:val="none" w:sz="0" w:space="0" w:color="auto"/>
                <w:left w:val="none" w:sz="0" w:space="0" w:color="auto"/>
                <w:bottom w:val="none" w:sz="0" w:space="0" w:color="auto"/>
                <w:right w:val="none" w:sz="0" w:space="0" w:color="auto"/>
              </w:divBdr>
            </w:div>
            <w:div w:id="1030228915">
              <w:marLeft w:val="0"/>
              <w:marRight w:val="0"/>
              <w:marTop w:val="0"/>
              <w:marBottom w:val="0"/>
              <w:divBdr>
                <w:top w:val="none" w:sz="0" w:space="0" w:color="auto"/>
                <w:left w:val="none" w:sz="0" w:space="0" w:color="auto"/>
                <w:bottom w:val="none" w:sz="0" w:space="0" w:color="auto"/>
                <w:right w:val="none" w:sz="0" w:space="0" w:color="auto"/>
              </w:divBdr>
            </w:div>
            <w:div w:id="1261524736">
              <w:marLeft w:val="0"/>
              <w:marRight w:val="0"/>
              <w:marTop w:val="0"/>
              <w:marBottom w:val="0"/>
              <w:divBdr>
                <w:top w:val="none" w:sz="0" w:space="0" w:color="auto"/>
                <w:left w:val="none" w:sz="0" w:space="0" w:color="auto"/>
                <w:bottom w:val="none" w:sz="0" w:space="0" w:color="auto"/>
                <w:right w:val="none" w:sz="0" w:space="0" w:color="auto"/>
              </w:divBdr>
            </w:div>
            <w:div w:id="1310357487">
              <w:marLeft w:val="0"/>
              <w:marRight w:val="0"/>
              <w:marTop w:val="0"/>
              <w:marBottom w:val="0"/>
              <w:divBdr>
                <w:top w:val="none" w:sz="0" w:space="0" w:color="auto"/>
                <w:left w:val="none" w:sz="0" w:space="0" w:color="auto"/>
                <w:bottom w:val="none" w:sz="0" w:space="0" w:color="auto"/>
                <w:right w:val="none" w:sz="0" w:space="0" w:color="auto"/>
              </w:divBdr>
            </w:div>
            <w:div w:id="1333490284">
              <w:marLeft w:val="0"/>
              <w:marRight w:val="0"/>
              <w:marTop w:val="0"/>
              <w:marBottom w:val="0"/>
              <w:divBdr>
                <w:top w:val="none" w:sz="0" w:space="0" w:color="auto"/>
                <w:left w:val="none" w:sz="0" w:space="0" w:color="auto"/>
                <w:bottom w:val="none" w:sz="0" w:space="0" w:color="auto"/>
                <w:right w:val="none" w:sz="0" w:space="0" w:color="auto"/>
              </w:divBdr>
            </w:div>
            <w:div w:id="1429932598">
              <w:marLeft w:val="0"/>
              <w:marRight w:val="0"/>
              <w:marTop w:val="0"/>
              <w:marBottom w:val="0"/>
              <w:divBdr>
                <w:top w:val="none" w:sz="0" w:space="0" w:color="auto"/>
                <w:left w:val="none" w:sz="0" w:space="0" w:color="auto"/>
                <w:bottom w:val="none" w:sz="0" w:space="0" w:color="auto"/>
                <w:right w:val="none" w:sz="0" w:space="0" w:color="auto"/>
              </w:divBdr>
            </w:div>
            <w:div w:id="1632056880">
              <w:marLeft w:val="0"/>
              <w:marRight w:val="0"/>
              <w:marTop w:val="0"/>
              <w:marBottom w:val="0"/>
              <w:divBdr>
                <w:top w:val="none" w:sz="0" w:space="0" w:color="auto"/>
                <w:left w:val="none" w:sz="0" w:space="0" w:color="auto"/>
                <w:bottom w:val="none" w:sz="0" w:space="0" w:color="auto"/>
                <w:right w:val="none" w:sz="0" w:space="0" w:color="auto"/>
              </w:divBdr>
            </w:div>
            <w:div w:id="1944654067">
              <w:marLeft w:val="0"/>
              <w:marRight w:val="0"/>
              <w:marTop w:val="0"/>
              <w:marBottom w:val="0"/>
              <w:divBdr>
                <w:top w:val="none" w:sz="0" w:space="0" w:color="auto"/>
                <w:left w:val="none" w:sz="0" w:space="0" w:color="auto"/>
                <w:bottom w:val="none" w:sz="0" w:space="0" w:color="auto"/>
                <w:right w:val="none" w:sz="0" w:space="0" w:color="auto"/>
              </w:divBdr>
            </w:div>
            <w:div w:id="1954247310">
              <w:marLeft w:val="0"/>
              <w:marRight w:val="0"/>
              <w:marTop w:val="0"/>
              <w:marBottom w:val="0"/>
              <w:divBdr>
                <w:top w:val="none" w:sz="0" w:space="0" w:color="auto"/>
                <w:left w:val="none" w:sz="0" w:space="0" w:color="auto"/>
                <w:bottom w:val="none" w:sz="0" w:space="0" w:color="auto"/>
                <w:right w:val="none" w:sz="0" w:space="0" w:color="auto"/>
              </w:divBdr>
            </w:div>
            <w:div w:id="2071035379">
              <w:marLeft w:val="0"/>
              <w:marRight w:val="0"/>
              <w:marTop w:val="0"/>
              <w:marBottom w:val="0"/>
              <w:divBdr>
                <w:top w:val="none" w:sz="0" w:space="0" w:color="auto"/>
                <w:left w:val="none" w:sz="0" w:space="0" w:color="auto"/>
                <w:bottom w:val="none" w:sz="0" w:space="0" w:color="auto"/>
                <w:right w:val="none" w:sz="0" w:space="0" w:color="auto"/>
              </w:divBdr>
            </w:div>
            <w:div w:id="2072657944">
              <w:marLeft w:val="0"/>
              <w:marRight w:val="0"/>
              <w:marTop w:val="0"/>
              <w:marBottom w:val="0"/>
              <w:divBdr>
                <w:top w:val="none" w:sz="0" w:space="0" w:color="auto"/>
                <w:left w:val="none" w:sz="0" w:space="0" w:color="auto"/>
                <w:bottom w:val="none" w:sz="0" w:space="0" w:color="auto"/>
                <w:right w:val="none" w:sz="0" w:space="0" w:color="auto"/>
              </w:divBdr>
            </w:div>
            <w:div w:id="2123569191">
              <w:marLeft w:val="0"/>
              <w:marRight w:val="0"/>
              <w:marTop w:val="0"/>
              <w:marBottom w:val="0"/>
              <w:divBdr>
                <w:top w:val="none" w:sz="0" w:space="0" w:color="auto"/>
                <w:left w:val="none" w:sz="0" w:space="0" w:color="auto"/>
                <w:bottom w:val="none" w:sz="0" w:space="0" w:color="auto"/>
                <w:right w:val="none" w:sz="0" w:space="0" w:color="auto"/>
              </w:divBdr>
            </w:div>
          </w:divsChild>
        </w:div>
        <w:div w:id="1847279417">
          <w:marLeft w:val="0"/>
          <w:marRight w:val="0"/>
          <w:marTop w:val="0"/>
          <w:marBottom w:val="0"/>
          <w:divBdr>
            <w:top w:val="none" w:sz="0" w:space="0" w:color="auto"/>
            <w:left w:val="none" w:sz="0" w:space="0" w:color="auto"/>
            <w:bottom w:val="none" w:sz="0" w:space="0" w:color="auto"/>
            <w:right w:val="none" w:sz="0" w:space="0" w:color="auto"/>
          </w:divBdr>
        </w:div>
        <w:div w:id="1864518996">
          <w:marLeft w:val="0"/>
          <w:marRight w:val="0"/>
          <w:marTop w:val="0"/>
          <w:marBottom w:val="0"/>
          <w:divBdr>
            <w:top w:val="none" w:sz="0" w:space="0" w:color="auto"/>
            <w:left w:val="none" w:sz="0" w:space="0" w:color="auto"/>
            <w:bottom w:val="none" w:sz="0" w:space="0" w:color="auto"/>
            <w:right w:val="none" w:sz="0" w:space="0" w:color="auto"/>
          </w:divBdr>
        </w:div>
        <w:div w:id="2142337120">
          <w:marLeft w:val="0"/>
          <w:marRight w:val="0"/>
          <w:marTop w:val="0"/>
          <w:marBottom w:val="0"/>
          <w:divBdr>
            <w:top w:val="none" w:sz="0" w:space="0" w:color="auto"/>
            <w:left w:val="none" w:sz="0" w:space="0" w:color="auto"/>
            <w:bottom w:val="none" w:sz="0" w:space="0" w:color="auto"/>
            <w:right w:val="none" w:sz="0" w:space="0" w:color="auto"/>
          </w:divBdr>
        </w:div>
      </w:divsChild>
    </w:div>
    <w:div w:id="479155317">
      <w:bodyDiv w:val="1"/>
      <w:marLeft w:val="0"/>
      <w:marRight w:val="0"/>
      <w:marTop w:val="0"/>
      <w:marBottom w:val="0"/>
      <w:divBdr>
        <w:top w:val="none" w:sz="0" w:space="0" w:color="auto"/>
        <w:left w:val="none" w:sz="0" w:space="0" w:color="auto"/>
        <w:bottom w:val="none" w:sz="0" w:space="0" w:color="auto"/>
        <w:right w:val="none" w:sz="0" w:space="0" w:color="auto"/>
      </w:divBdr>
    </w:div>
    <w:div w:id="479231217">
      <w:bodyDiv w:val="1"/>
      <w:marLeft w:val="0"/>
      <w:marRight w:val="0"/>
      <w:marTop w:val="0"/>
      <w:marBottom w:val="0"/>
      <w:divBdr>
        <w:top w:val="none" w:sz="0" w:space="0" w:color="auto"/>
        <w:left w:val="none" w:sz="0" w:space="0" w:color="auto"/>
        <w:bottom w:val="none" w:sz="0" w:space="0" w:color="auto"/>
        <w:right w:val="none" w:sz="0" w:space="0" w:color="auto"/>
      </w:divBdr>
      <w:divsChild>
        <w:div w:id="254368885">
          <w:marLeft w:val="0"/>
          <w:marRight w:val="0"/>
          <w:marTop w:val="0"/>
          <w:marBottom w:val="0"/>
          <w:divBdr>
            <w:top w:val="none" w:sz="0" w:space="0" w:color="auto"/>
            <w:left w:val="none" w:sz="0" w:space="0" w:color="auto"/>
            <w:bottom w:val="none" w:sz="0" w:space="0" w:color="auto"/>
            <w:right w:val="none" w:sz="0" w:space="0" w:color="auto"/>
          </w:divBdr>
        </w:div>
        <w:div w:id="539977715">
          <w:marLeft w:val="0"/>
          <w:marRight w:val="0"/>
          <w:marTop w:val="0"/>
          <w:marBottom w:val="0"/>
          <w:divBdr>
            <w:top w:val="none" w:sz="0" w:space="0" w:color="auto"/>
            <w:left w:val="none" w:sz="0" w:space="0" w:color="auto"/>
            <w:bottom w:val="none" w:sz="0" w:space="0" w:color="auto"/>
            <w:right w:val="none" w:sz="0" w:space="0" w:color="auto"/>
          </w:divBdr>
        </w:div>
      </w:divsChild>
    </w:div>
    <w:div w:id="480462946">
      <w:bodyDiv w:val="1"/>
      <w:marLeft w:val="0"/>
      <w:marRight w:val="0"/>
      <w:marTop w:val="0"/>
      <w:marBottom w:val="0"/>
      <w:divBdr>
        <w:top w:val="none" w:sz="0" w:space="0" w:color="auto"/>
        <w:left w:val="none" w:sz="0" w:space="0" w:color="auto"/>
        <w:bottom w:val="none" w:sz="0" w:space="0" w:color="auto"/>
        <w:right w:val="none" w:sz="0" w:space="0" w:color="auto"/>
      </w:divBdr>
    </w:div>
    <w:div w:id="483084793">
      <w:bodyDiv w:val="1"/>
      <w:marLeft w:val="0"/>
      <w:marRight w:val="0"/>
      <w:marTop w:val="0"/>
      <w:marBottom w:val="0"/>
      <w:divBdr>
        <w:top w:val="none" w:sz="0" w:space="0" w:color="auto"/>
        <w:left w:val="none" w:sz="0" w:space="0" w:color="auto"/>
        <w:bottom w:val="none" w:sz="0" w:space="0" w:color="auto"/>
        <w:right w:val="none" w:sz="0" w:space="0" w:color="auto"/>
      </w:divBdr>
      <w:divsChild>
        <w:div w:id="688799509">
          <w:marLeft w:val="0"/>
          <w:marRight w:val="0"/>
          <w:marTop w:val="0"/>
          <w:marBottom w:val="0"/>
          <w:divBdr>
            <w:top w:val="none" w:sz="0" w:space="0" w:color="auto"/>
            <w:left w:val="none" w:sz="0" w:space="0" w:color="auto"/>
            <w:bottom w:val="none" w:sz="0" w:space="0" w:color="auto"/>
            <w:right w:val="none" w:sz="0" w:space="0" w:color="auto"/>
          </w:divBdr>
        </w:div>
        <w:div w:id="1624994882">
          <w:marLeft w:val="0"/>
          <w:marRight w:val="0"/>
          <w:marTop w:val="0"/>
          <w:marBottom w:val="0"/>
          <w:divBdr>
            <w:top w:val="none" w:sz="0" w:space="0" w:color="auto"/>
            <w:left w:val="none" w:sz="0" w:space="0" w:color="auto"/>
            <w:bottom w:val="none" w:sz="0" w:space="0" w:color="auto"/>
            <w:right w:val="none" w:sz="0" w:space="0" w:color="auto"/>
          </w:divBdr>
        </w:div>
      </w:divsChild>
    </w:div>
    <w:div w:id="483281507">
      <w:bodyDiv w:val="1"/>
      <w:marLeft w:val="0"/>
      <w:marRight w:val="0"/>
      <w:marTop w:val="0"/>
      <w:marBottom w:val="0"/>
      <w:divBdr>
        <w:top w:val="none" w:sz="0" w:space="0" w:color="auto"/>
        <w:left w:val="none" w:sz="0" w:space="0" w:color="auto"/>
        <w:bottom w:val="none" w:sz="0" w:space="0" w:color="auto"/>
        <w:right w:val="none" w:sz="0" w:space="0" w:color="auto"/>
      </w:divBdr>
      <w:divsChild>
        <w:div w:id="25182736">
          <w:marLeft w:val="0"/>
          <w:marRight w:val="0"/>
          <w:marTop w:val="0"/>
          <w:marBottom w:val="0"/>
          <w:divBdr>
            <w:top w:val="none" w:sz="0" w:space="0" w:color="auto"/>
            <w:left w:val="none" w:sz="0" w:space="0" w:color="auto"/>
            <w:bottom w:val="none" w:sz="0" w:space="0" w:color="auto"/>
            <w:right w:val="none" w:sz="0" w:space="0" w:color="auto"/>
          </w:divBdr>
          <w:divsChild>
            <w:div w:id="73087459">
              <w:marLeft w:val="0"/>
              <w:marRight w:val="0"/>
              <w:marTop w:val="0"/>
              <w:marBottom w:val="0"/>
              <w:divBdr>
                <w:top w:val="none" w:sz="0" w:space="0" w:color="auto"/>
                <w:left w:val="none" w:sz="0" w:space="0" w:color="auto"/>
                <w:bottom w:val="none" w:sz="0" w:space="0" w:color="auto"/>
                <w:right w:val="none" w:sz="0" w:space="0" w:color="auto"/>
              </w:divBdr>
            </w:div>
            <w:div w:id="216746572">
              <w:marLeft w:val="0"/>
              <w:marRight w:val="0"/>
              <w:marTop w:val="0"/>
              <w:marBottom w:val="0"/>
              <w:divBdr>
                <w:top w:val="none" w:sz="0" w:space="0" w:color="auto"/>
                <w:left w:val="none" w:sz="0" w:space="0" w:color="auto"/>
                <w:bottom w:val="none" w:sz="0" w:space="0" w:color="auto"/>
                <w:right w:val="none" w:sz="0" w:space="0" w:color="auto"/>
              </w:divBdr>
            </w:div>
            <w:div w:id="227543180">
              <w:marLeft w:val="0"/>
              <w:marRight w:val="0"/>
              <w:marTop w:val="0"/>
              <w:marBottom w:val="0"/>
              <w:divBdr>
                <w:top w:val="none" w:sz="0" w:space="0" w:color="auto"/>
                <w:left w:val="none" w:sz="0" w:space="0" w:color="auto"/>
                <w:bottom w:val="none" w:sz="0" w:space="0" w:color="auto"/>
                <w:right w:val="none" w:sz="0" w:space="0" w:color="auto"/>
              </w:divBdr>
            </w:div>
            <w:div w:id="229117696">
              <w:marLeft w:val="0"/>
              <w:marRight w:val="0"/>
              <w:marTop w:val="0"/>
              <w:marBottom w:val="0"/>
              <w:divBdr>
                <w:top w:val="none" w:sz="0" w:space="0" w:color="auto"/>
                <w:left w:val="none" w:sz="0" w:space="0" w:color="auto"/>
                <w:bottom w:val="none" w:sz="0" w:space="0" w:color="auto"/>
                <w:right w:val="none" w:sz="0" w:space="0" w:color="auto"/>
              </w:divBdr>
            </w:div>
            <w:div w:id="299195646">
              <w:marLeft w:val="0"/>
              <w:marRight w:val="0"/>
              <w:marTop w:val="0"/>
              <w:marBottom w:val="0"/>
              <w:divBdr>
                <w:top w:val="none" w:sz="0" w:space="0" w:color="auto"/>
                <w:left w:val="none" w:sz="0" w:space="0" w:color="auto"/>
                <w:bottom w:val="none" w:sz="0" w:space="0" w:color="auto"/>
                <w:right w:val="none" w:sz="0" w:space="0" w:color="auto"/>
              </w:divBdr>
            </w:div>
            <w:div w:id="587468199">
              <w:marLeft w:val="0"/>
              <w:marRight w:val="0"/>
              <w:marTop w:val="0"/>
              <w:marBottom w:val="0"/>
              <w:divBdr>
                <w:top w:val="none" w:sz="0" w:space="0" w:color="auto"/>
                <w:left w:val="none" w:sz="0" w:space="0" w:color="auto"/>
                <w:bottom w:val="none" w:sz="0" w:space="0" w:color="auto"/>
                <w:right w:val="none" w:sz="0" w:space="0" w:color="auto"/>
              </w:divBdr>
            </w:div>
            <w:div w:id="655764597">
              <w:marLeft w:val="0"/>
              <w:marRight w:val="0"/>
              <w:marTop w:val="0"/>
              <w:marBottom w:val="0"/>
              <w:divBdr>
                <w:top w:val="none" w:sz="0" w:space="0" w:color="auto"/>
                <w:left w:val="none" w:sz="0" w:space="0" w:color="auto"/>
                <w:bottom w:val="none" w:sz="0" w:space="0" w:color="auto"/>
                <w:right w:val="none" w:sz="0" w:space="0" w:color="auto"/>
              </w:divBdr>
            </w:div>
            <w:div w:id="663364187">
              <w:marLeft w:val="0"/>
              <w:marRight w:val="0"/>
              <w:marTop w:val="0"/>
              <w:marBottom w:val="0"/>
              <w:divBdr>
                <w:top w:val="none" w:sz="0" w:space="0" w:color="auto"/>
                <w:left w:val="none" w:sz="0" w:space="0" w:color="auto"/>
                <w:bottom w:val="none" w:sz="0" w:space="0" w:color="auto"/>
                <w:right w:val="none" w:sz="0" w:space="0" w:color="auto"/>
              </w:divBdr>
            </w:div>
            <w:div w:id="691422819">
              <w:marLeft w:val="0"/>
              <w:marRight w:val="0"/>
              <w:marTop w:val="0"/>
              <w:marBottom w:val="0"/>
              <w:divBdr>
                <w:top w:val="none" w:sz="0" w:space="0" w:color="auto"/>
                <w:left w:val="none" w:sz="0" w:space="0" w:color="auto"/>
                <w:bottom w:val="none" w:sz="0" w:space="0" w:color="auto"/>
                <w:right w:val="none" w:sz="0" w:space="0" w:color="auto"/>
              </w:divBdr>
            </w:div>
            <w:div w:id="885801034">
              <w:marLeft w:val="0"/>
              <w:marRight w:val="0"/>
              <w:marTop w:val="0"/>
              <w:marBottom w:val="0"/>
              <w:divBdr>
                <w:top w:val="none" w:sz="0" w:space="0" w:color="auto"/>
                <w:left w:val="none" w:sz="0" w:space="0" w:color="auto"/>
                <w:bottom w:val="none" w:sz="0" w:space="0" w:color="auto"/>
                <w:right w:val="none" w:sz="0" w:space="0" w:color="auto"/>
              </w:divBdr>
            </w:div>
            <w:div w:id="1029532601">
              <w:marLeft w:val="0"/>
              <w:marRight w:val="0"/>
              <w:marTop w:val="0"/>
              <w:marBottom w:val="0"/>
              <w:divBdr>
                <w:top w:val="none" w:sz="0" w:space="0" w:color="auto"/>
                <w:left w:val="none" w:sz="0" w:space="0" w:color="auto"/>
                <w:bottom w:val="none" w:sz="0" w:space="0" w:color="auto"/>
                <w:right w:val="none" w:sz="0" w:space="0" w:color="auto"/>
              </w:divBdr>
            </w:div>
            <w:div w:id="1126237822">
              <w:marLeft w:val="0"/>
              <w:marRight w:val="0"/>
              <w:marTop w:val="0"/>
              <w:marBottom w:val="0"/>
              <w:divBdr>
                <w:top w:val="none" w:sz="0" w:space="0" w:color="auto"/>
                <w:left w:val="none" w:sz="0" w:space="0" w:color="auto"/>
                <w:bottom w:val="none" w:sz="0" w:space="0" w:color="auto"/>
                <w:right w:val="none" w:sz="0" w:space="0" w:color="auto"/>
              </w:divBdr>
            </w:div>
            <w:div w:id="1298147859">
              <w:marLeft w:val="0"/>
              <w:marRight w:val="0"/>
              <w:marTop w:val="0"/>
              <w:marBottom w:val="0"/>
              <w:divBdr>
                <w:top w:val="none" w:sz="0" w:space="0" w:color="auto"/>
                <w:left w:val="none" w:sz="0" w:space="0" w:color="auto"/>
                <w:bottom w:val="none" w:sz="0" w:space="0" w:color="auto"/>
                <w:right w:val="none" w:sz="0" w:space="0" w:color="auto"/>
              </w:divBdr>
            </w:div>
            <w:div w:id="1499616789">
              <w:marLeft w:val="0"/>
              <w:marRight w:val="0"/>
              <w:marTop w:val="0"/>
              <w:marBottom w:val="0"/>
              <w:divBdr>
                <w:top w:val="none" w:sz="0" w:space="0" w:color="auto"/>
                <w:left w:val="none" w:sz="0" w:space="0" w:color="auto"/>
                <w:bottom w:val="none" w:sz="0" w:space="0" w:color="auto"/>
                <w:right w:val="none" w:sz="0" w:space="0" w:color="auto"/>
              </w:divBdr>
            </w:div>
            <w:div w:id="1535850174">
              <w:marLeft w:val="0"/>
              <w:marRight w:val="0"/>
              <w:marTop w:val="0"/>
              <w:marBottom w:val="0"/>
              <w:divBdr>
                <w:top w:val="none" w:sz="0" w:space="0" w:color="auto"/>
                <w:left w:val="none" w:sz="0" w:space="0" w:color="auto"/>
                <w:bottom w:val="none" w:sz="0" w:space="0" w:color="auto"/>
                <w:right w:val="none" w:sz="0" w:space="0" w:color="auto"/>
              </w:divBdr>
            </w:div>
            <w:div w:id="1722318512">
              <w:marLeft w:val="0"/>
              <w:marRight w:val="0"/>
              <w:marTop w:val="0"/>
              <w:marBottom w:val="0"/>
              <w:divBdr>
                <w:top w:val="none" w:sz="0" w:space="0" w:color="auto"/>
                <w:left w:val="none" w:sz="0" w:space="0" w:color="auto"/>
                <w:bottom w:val="none" w:sz="0" w:space="0" w:color="auto"/>
                <w:right w:val="none" w:sz="0" w:space="0" w:color="auto"/>
              </w:divBdr>
            </w:div>
            <w:div w:id="1745881807">
              <w:marLeft w:val="0"/>
              <w:marRight w:val="0"/>
              <w:marTop w:val="0"/>
              <w:marBottom w:val="0"/>
              <w:divBdr>
                <w:top w:val="none" w:sz="0" w:space="0" w:color="auto"/>
                <w:left w:val="none" w:sz="0" w:space="0" w:color="auto"/>
                <w:bottom w:val="none" w:sz="0" w:space="0" w:color="auto"/>
                <w:right w:val="none" w:sz="0" w:space="0" w:color="auto"/>
              </w:divBdr>
            </w:div>
            <w:div w:id="1783454180">
              <w:marLeft w:val="0"/>
              <w:marRight w:val="0"/>
              <w:marTop w:val="0"/>
              <w:marBottom w:val="0"/>
              <w:divBdr>
                <w:top w:val="none" w:sz="0" w:space="0" w:color="auto"/>
                <w:left w:val="none" w:sz="0" w:space="0" w:color="auto"/>
                <w:bottom w:val="none" w:sz="0" w:space="0" w:color="auto"/>
                <w:right w:val="none" w:sz="0" w:space="0" w:color="auto"/>
              </w:divBdr>
            </w:div>
            <w:div w:id="1806510383">
              <w:marLeft w:val="0"/>
              <w:marRight w:val="0"/>
              <w:marTop w:val="0"/>
              <w:marBottom w:val="0"/>
              <w:divBdr>
                <w:top w:val="none" w:sz="0" w:space="0" w:color="auto"/>
                <w:left w:val="none" w:sz="0" w:space="0" w:color="auto"/>
                <w:bottom w:val="none" w:sz="0" w:space="0" w:color="auto"/>
                <w:right w:val="none" w:sz="0" w:space="0" w:color="auto"/>
              </w:divBdr>
            </w:div>
            <w:div w:id="1837451025">
              <w:marLeft w:val="0"/>
              <w:marRight w:val="0"/>
              <w:marTop w:val="0"/>
              <w:marBottom w:val="0"/>
              <w:divBdr>
                <w:top w:val="none" w:sz="0" w:space="0" w:color="auto"/>
                <w:left w:val="none" w:sz="0" w:space="0" w:color="auto"/>
                <w:bottom w:val="none" w:sz="0" w:space="0" w:color="auto"/>
                <w:right w:val="none" w:sz="0" w:space="0" w:color="auto"/>
              </w:divBdr>
            </w:div>
          </w:divsChild>
        </w:div>
        <w:div w:id="33582962">
          <w:marLeft w:val="0"/>
          <w:marRight w:val="0"/>
          <w:marTop w:val="0"/>
          <w:marBottom w:val="0"/>
          <w:divBdr>
            <w:top w:val="none" w:sz="0" w:space="0" w:color="auto"/>
            <w:left w:val="none" w:sz="0" w:space="0" w:color="auto"/>
            <w:bottom w:val="none" w:sz="0" w:space="0" w:color="auto"/>
            <w:right w:val="none" w:sz="0" w:space="0" w:color="auto"/>
          </w:divBdr>
          <w:divsChild>
            <w:div w:id="224099369">
              <w:marLeft w:val="0"/>
              <w:marRight w:val="0"/>
              <w:marTop w:val="0"/>
              <w:marBottom w:val="0"/>
              <w:divBdr>
                <w:top w:val="none" w:sz="0" w:space="0" w:color="auto"/>
                <w:left w:val="none" w:sz="0" w:space="0" w:color="auto"/>
                <w:bottom w:val="none" w:sz="0" w:space="0" w:color="auto"/>
                <w:right w:val="none" w:sz="0" w:space="0" w:color="auto"/>
              </w:divBdr>
            </w:div>
            <w:div w:id="272178763">
              <w:marLeft w:val="0"/>
              <w:marRight w:val="0"/>
              <w:marTop w:val="0"/>
              <w:marBottom w:val="0"/>
              <w:divBdr>
                <w:top w:val="none" w:sz="0" w:space="0" w:color="auto"/>
                <w:left w:val="none" w:sz="0" w:space="0" w:color="auto"/>
                <w:bottom w:val="none" w:sz="0" w:space="0" w:color="auto"/>
                <w:right w:val="none" w:sz="0" w:space="0" w:color="auto"/>
              </w:divBdr>
            </w:div>
            <w:div w:id="347146290">
              <w:marLeft w:val="0"/>
              <w:marRight w:val="0"/>
              <w:marTop w:val="0"/>
              <w:marBottom w:val="0"/>
              <w:divBdr>
                <w:top w:val="none" w:sz="0" w:space="0" w:color="auto"/>
                <w:left w:val="none" w:sz="0" w:space="0" w:color="auto"/>
                <w:bottom w:val="none" w:sz="0" w:space="0" w:color="auto"/>
                <w:right w:val="none" w:sz="0" w:space="0" w:color="auto"/>
              </w:divBdr>
            </w:div>
            <w:div w:id="366680652">
              <w:marLeft w:val="0"/>
              <w:marRight w:val="0"/>
              <w:marTop w:val="0"/>
              <w:marBottom w:val="0"/>
              <w:divBdr>
                <w:top w:val="none" w:sz="0" w:space="0" w:color="auto"/>
                <w:left w:val="none" w:sz="0" w:space="0" w:color="auto"/>
                <w:bottom w:val="none" w:sz="0" w:space="0" w:color="auto"/>
                <w:right w:val="none" w:sz="0" w:space="0" w:color="auto"/>
              </w:divBdr>
            </w:div>
            <w:div w:id="614335025">
              <w:marLeft w:val="0"/>
              <w:marRight w:val="0"/>
              <w:marTop w:val="0"/>
              <w:marBottom w:val="0"/>
              <w:divBdr>
                <w:top w:val="none" w:sz="0" w:space="0" w:color="auto"/>
                <w:left w:val="none" w:sz="0" w:space="0" w:color="auto"/>
                <w:bottom w:val="none" w:sz="0" w:space="0" w:color="auto"/>
                <w:right w:val="none" w:sz="0" w:space="0" w:color="auto"/>
              </w:divBdr>
            </w:div>
            <w:div w:id="856387207">
              <w:marLeft w:val="0"/>
              <w:marRight w:val="0"/>
              <w:marTop w:val="0"/>
              <w:marBottom w:val="0"/>
              <w:divBdr>
                <w:top w:val="none" w:sz="0" w:space="0" w:color="auto"/>
                <w:left w:val="none" w:sz="0" w:space="0" w:color="auto"/>
                <w:bottom w:val="none" w:sz="0" w:space="0" w:color="auto"/>
                <w:right w:val="none" w:sz="0" w:space="0" w:color="auto"/>
              </w:divBdr>
            </w:div>
            <w:div w:id="898443943">
              <w:marLeft w:val="0"/>
              <w:marRight w:val="0"/>
              <w:marTop w:val="0"/>
              <w:marBottom w:val="0"/>
              <w:divBdr>
                <w:top w:val="none" w:sz="0" w:space="0" w:color="auto"/>
                <w:left w:val="none" w:sz="0" w:space="0" w:color="auto"/>
                <w:bottom w:val="none" w:sz="0" w:space="0" w:color="auto"/>
                <w:right w:val="none" w:sz="0" w:space="0" w:color="auto"/>
              </w:divBdr>
            </w:div>
            <w:div w:id="1145849853">
              <w:marLeft w:val="0"/>
              <w:marRight w:val="0"/>
              <w:marTop w:val="0"/>
              <w:marBottom w:val="0"/>
              <w:divBdr>
                <w:top w:val="none" w:sz="0" w:space="0" w:color="auto"/>
                <w:left w:val="none" w:sz="0" w:space="0" w:color="auto"/>
                <w:bottom w:val="none" w:sz="0" w:space="0" w:color="auto"/>
                <w:right w:val="none" w:sz="0" w:space="0" w:color="auto"/>
              </w:divBdr>
            </w:div>
            <w:div w:id="1252619527">
              <w:marLeft w:val="0"/>
              <w:marRight w:val="0"/>
              <w:marTop w:val="0"/>
              <w:marBottom w:val="0"/>
              <w:divBdr>
                <w:top w:val="none" w:sz="0" w:space="0" w:color="auto"/>
                <w:left w:val="none" w:sz="0" w:space="0" w:color="auto"/>
                <w:bottom w:val="none" w:sz="0" w:space="0" w:color="auto"/>
                <w:right w:val="none" w:sz="0" w:space="0" w:color="auto"/>
              </w:divBdr>
            </w:div>
            <w:div w:id="1400206980">
              <w:marLeft w:val="0"/>
              <w:marRight w:val="0"/>
              <w:marTop w:val="0"/>
              <w:marBottom w:val="0"/>
              <w:divBdr>
                <w:top w:val="none" w:sz="0" w:space="0" w:color="auto"/>
                <w:left w:val="none" w:sz="0" w:space="0" w:color="auto"/>
                <w:bottom w:val="none" w:sz="0" w:space="0" w:color="auto"/>
                <w:right w:val="none" w:sz="0" w:space="0" w:color="auto"/>
              </w:divBdr>
            </w:div>
            <w:div w:id="1563177354">
              <w:marLeft w:val="0"/>
              <w:marRight w:val="0"/>
              <w:marTop w:val="0"/>
              <w:marBottom w:val="0"/>
              <w:divBdr>
                <w:top w:val="none" w:sz="0" w:space="0" w:color="auto"/>
                <w:left w:val="none" w:sz="0" w:space="0" w:color="auto"/>
                <w:bottom w:val="none" w:sz="0" w:space="0" w:color="auto"/>
                <w:right w:val="none" w:sz="0" w:space="0" w:color="auto"/>
              </w:divBdr>
            </w:div>
            <w:div w:id="1613440100">
              <w:marLeft w:val="0"/>
              <w:marRight w:val="0"/>
              <w:marTop w:val="0"/>
              <w:marBottom w:val="0"/>
              <w:divBdr>
                <w:top w:val="none" w:sz="0" w:space="0" w:color="auto"/>
                <w:left w:val="none" w:sz="0" w:space="0" w:color="auto"/>
                <w:bottom w:val="none" w:sz="0" w:space="0" w:color="auto"/>
                <w:right w:val="none" w:sz="0" w:space="0" w:color="auto"/>
              </w:divBdr>
            </w:div>
            <w:div w:id="1721250361">
              <w:marLeft w:val="0"/>
              <w:marRight w:val="0"/>
              <w:marTop w:val="0"/>
              <w:marBottom w:val="0"/>
              <w:divBdr>
                <w:top w:val="none" w:sz="0" w:space="0" w:color="auto"/>
                <w:left w:val="none" w:sz="0" w:space="0" w:color="auto"/>
                <w:bottom w:val="none" w:sz="0" w:space="0" w:color="auto"/>
                <w:right w:val="none" w:sz="0" w:space="0" w:color="auto"/>
              </w:divBdr>
            </w:div>
            <w:div w:id="1736850852">
              <w:marLeft w:val="0"/>
              <w:marRight w:val="0"/>
              <w:marTop w:val="0"/>
              <w:marBottom w:val="0"/>
              <w:divBdr>
                <w:top w:val="none" w:sz="0" w:space="0" w:color="auto"/>
                <w:left w:val="none" w:sz="0" w:space="0" w:color="auto"/>
                <w:bottom w:val="none" w:sz="0" w:space="0" w:color="auto"/>
                <w:right w:val="none" w:sz="0" w:space="0" w:color="auto"/>
              </w:divBdr>
            </w:div>
            <w:div w:id="1798916273">
              <w:marLeft w:val="0"/>
              <w:marRight w:val="0"/>
              <w:marTop w:val="0"/>
              <w:marBottom w:val="0"/>
              <w:divBdr>
                <w:top w:val="none" w:sz="0" w:space="0" w:color="auto"/>
                <w:left w:val="none" w:sz="0" w:space="0" w:color="auto"/>
                <w:bottom w:val="none" w:sz="0" w:space="0" w:color="auto"/>
                <w:right w:val="none" w:sz="0" w:space="0" w:color="auto"/>
              </w:divBdr>
            </w:div>
            <w:div w:id="1837723739">
              <w:marLeft w:val="0"/>
              <w:marRight w:val="0"/>
              <w:marTop w:val="0"/>
              <w:marBottom w:val="0"/>
              <w:divBdr>
                <w:top w:val="none" w:sz="0" w:space="0" w:color="auto"/>
                <w:left w:val="none" w:sz="0" w:space="0" w:color="auto"/>
                <w:bottom w:val="none" w:sz="0" w:space="0" w:color="auto"/>
                <w:right w:val="none" w:sz="0" w:space="0" w:color="auto"/>
              </w:divBdr>
            </w:div>
            <w:div w:id="1883247147">
              <w:marLeft w:val="0"/>
              <w:marRight w:val="0"/>
              <w:marTop w:val="0"/>
              <w:marBottom w:val="0"/>
              <w:divBdr>
                <w:top w:val="none" w:sz="0" w:space="0" w:color="auto"/>
                <w:left w:val="none" w:sz="0" w:space="0" w:color="auto"/>
                <w:bottom w:val="none" w:sz="0" w:space="0" w:color="auto"/>
                <w:right w:val="none" w:sz="0" w:space="0" w:color="auto"/>
              </w:divBdr>
            </w:div>
            <w:div w:id="2117099107">
              <w:marLeft w:val="0"/>
              <w:marRight w:val="0"/>
              <w:marTop w:val="0"/>
              <w:marBottom w:val="0"/>
              <w:divBdr>
                <w:top w:val="none" w:sz="0" w:space="0" w:color="auto"/>
                <w:left w:val="none" w:sz="0" w:space="0" w:color="auto"/>
                <w:bottom w:val="none" w:sz="0" w:space="0" w:color="auto"/>
                <w:right w:val="none" w:sz="0" w:space="0" w:color="auto"/>
              </w:divBdr>
            </w:div>
          </w:divsChild>
        </w:div>
        <w:div w:id="147523161">
          <w:marLeft w:val="0"/>
          <w:marRight w:val="0"/>
          <w:marTop w:val="0"/>
          <w:marBottom w:val="0"/>
          <w:divBdr>
            <w:top w:val="none" w:sz="0" w:space="0" w:color="auto"/>
            <w:left w:val="none" w:sz="0" w:space="0" w:color="auto"/>
            <w:bottom w:val="none" w:sz="0" w:space="0" w:color="auto"/>
            <w:right w:val="none" w:sz="0" w:space="0" w:color="auto"/>
          </w:divBdr>
          <w:divsChild>
            <w:div w:id="46147449">
              <w:marLeft w:val="0"/>
              <w:marRight w:val="0"/>
              <w:marTop w:val="0"/>
              <w:marBottom w:val="0"/>
              <w:divBdr>
                <w:top w:val="none" w:sz="0" w:space="0" w:color="auto"/>
                <w:left w:val="none" w:sz="0" w:space="0" w:color="auto"/>
                <w:bottom w:val="none" w:sz="0" w:space="0" w:color="auto"/>
                <w:right w:val="none" w:sz="0" w:space="0" w:color="auto"/>
              </w:divBdr>
            </w:div>
            <w:div w:id="362872912">
              <w:marLeft w:val="0"/>
              <w:marRight w:val="0"/>
              <w:marTop w:val="0"/>
              <w:marBottom w:val="0"/>
              <w:divBdr>
                <w:top w:val="none" w:sz="0" w:space="0" w:color="auto"/>
                <w:left w:val="none" w:sz="0" w:space="0" w:color="auto"/>
                <w:bottom w:val="none" w:sz="0" w:space="0" w:color="auto"/>
                <w:right w:val="none" w:sz="0" w:space="0" w:color="auto"/>
              </w:divBdr>
            </w:div>
            <w:div w:id="397364035">
              <w:marLeft w:val="0"/>
              <w:marRight w:val="0"/>
              <w:marTop w:val="0"/>
              <w:marBottom w:val="0"/>
              <w:divBdr>
                <w:top w:val="none" w:sz="0" w:space="0" w:color="auto"/>
                <w:left w:val="none" w:sz="0" w:space="0" w:color="auto"/>
                <w:bottom w:val="none" w:sz="0" w:space="0" w:color="auto"/>
                <w:right w:val="none" w:sz="0" w:space="0" w:color="auto"/>
              </w:divBdr>
            </w:div>
            <w:div w:id="434253423">
              <w:marLeft w:val="0"/>
              <w:marRight w:val="0"/>
              <w:marTop w:val="0"/>
              <w:marBottom w:val="0"/>
              <w:divBdr>
                <w:top w:val="none" w:sz="0" w:space="0" w:color="auto"/>
                <w:left w:val="none" w:sz="0" w:space="0" w:color="auto"/>
                <w:bottom w:val="none" w:sz="0" w:space="0" w:color="auto"/>
                <w:right w:val="none" w:sz="0" w:space="0" w:color="auto"/>
              </w:divBdr>
            </w:div>
            <w:div w:id="472605627">
              <w:marLeft w:val="0"/>
              <w:marRight w:val="0"/>
              <w:marTop w:val="0"/>
              <w:marBottom w:val="0"/>
              <w:divBdr>
                <w:top w:val="none" w:sz="0" w:space="0" w:color="auto"/>
                <w:left w:val="none" w:sz="0" w:space="0" w:color="auto"/>
                <w:bottom w:val="none" w:sz="0" w:space="0" w:color="auto"/>
                <w:right w:val="none" w:sz="0" w:space="0" w:color="auto"/>
              </w:divBdr>
            </w:div>
            <w:div w:id="665980364">
              <w:marLeft w:val="0"/>
              <w:marRight w:val="0"/>
              <w:marTop w:val="0"/>
              <w:marBottom w:val="0"/>
              <w:divBdr>
                <w:top w:val="none" w:sz="0" w:space="0" w:color="auto"/>
                <w:left w:val="none" w:sz="0" w:space="0" w:color="auto"/>
                <w:bottom w:val="none" w:sz="0" w:space="0" w:color="auto"/>
                <w:right w:val="none" w:sz="0" w:space="0" w:color="auto"/>
              </w:divBdr>
            </w:div>
            <w:div w:id="1043749132">
              <w:marLeft w:val="0"/>
              <w:marRight w:val="0"/>
              <w:marTop w:val="0"/>
              <w:marBottom w:val="0"/>
              <w:divBdr>
                <w:top w:val="none" w:sz="0" w:space="0" w:color="auto"/>
                <w:left w:val="none" w:sz="0" w:space="0" w:color="auto"/>
                <w:bottom w:val="none" w:sz="0" w:space="0" w:color="auto"/>
                <w:right w:val="none" w:sz="0" w:space="0" w:color="auto"/>
              </w:divBdr>
            </w:div>
            <w:div w:id="1148210068">
              <w:marLeft w:val="0"/>
              <w:marRight w:val="0"/>
              <w:marTop w:val="0"/>
              <w:marBottom w:val="0"/>
              <w:divBdr>
                <w:top w:val="none" w:sz="0" w:space="0" w:color="auto"/>
                <w:left w:val="none" w:sz="0" w:space="0" w:color="auto"/>
                <w:bottom w:val="none" w:sz="0" w:space="0" w:color="auto"/>
                <w:right w:val="none" w:sz="0" w:space="0" w:color="auto"/>
              </w:divBdr>
            </w:div>
            <w:div w:id="1180312109">
              <w:marLeft w:val="0"/>
              <w:marRight w:val="0"/>
              <w:marTop w:val="0"/>
              <w:marBottom w:val="0"/>
              <w:divBdr>
                <w:top w:val="none" w:sz="0" w:space="0" w:color="auto"/>
                <w:left w:val="none" w:sz="0" w:space="0" w:color="auto"/>
                <w:bottom w:val="none" w:sz="0" w:space="0" w:color="auto"/>
                <w:right w:val="none" w:sz="0" w:space="0" w:color="auto"/>
              </w:divBdr>
            </w:div>
            <w:div w:id="1312520393">
              <w:marLeft w:val="0"/>
              <w:marRight w:val="0"/>
              <w:marTop w:val="0"/>
              <w:marBottom w:val="0"/>
              <w:divBdr>
                <w:top w:val="none" w:sz="0" w:space="0" w:color="auto"/>
                <w:left w:val="none" w:sz="0" w:space="0" w:color="auto"/>
                <w:bottom w:val="none" w:sz="0" w:space="0" w:color="auto"/>
                <w:right w:val="none" w:sz="0" w:space="0" w:color="auto"/>
              </w:divBdr>
            </w:div>
            <w:div w:id="1394507294">
              <w:marLeft w:val="0"/>
              <w:marRight w:val="0"/>
              <w:marTop w:val="0"/>
              <w:marBottom w:val="0"/>
              <w:divBdr>
                <w:top w:val="none" w:sz="0" w:space="0" w:color="auto"/>
                <w:left w:val="none" w:sz="0" w:space="0" w:color="auto"/>
                <w:bottom w:val="none" w:sz="0" w:space="0" w:color="auto"/>
                <w:right w:val="none" w:sz="0" w:space="0" w:color="auto"/>
              </w:divBdr>
            </w:div>
            <w:div w:id="1525554971">
              <w:marLeft w:val="0"/>
              <w:marRight w:val="0"/>
              <w:marTop w:val="0"/>
              <w:marBottom w:val="0"/>
              <w:divBdr>
                <w:top w:val="none" w:sz="0" w:space="0" w:color="auto"/>
                <w:left w:val="none" w:sz="0" w:space="0" w:color="auto"/>
                <w:bottom w:val="none" w:sz="0" w:space="0" w:color="auto"/>
                <w:right w:val="none" w:sz="0" w:space="0" w:color="auto"/>
              </w:divBdr>
            </w:div>
            <w:div w:id="1550219164">
              <w:marLeft w:val="0"/>
              <w:marRight w:val="0"/>
              <w:marTop w:val="0"/>
              <w:marBottom w:val="0"/>
              <w:divBdr>
                <w:top w:val="none" w:sz="0" w:space="0" w:color="auto"/>
                <w:left w:val="none" w:sz="0" w:space="0" w:color="auto"/>
                <w:bottom w:val="none" w:sz="0" w:space="0" w:color="auto"/>
                <w:right w:val="none" w:sz="0" w:space="0" w:color="auto"/>
              </w:divBdr>
            </w:div>
            <w:div w:id="1566258709">
              <w:marLeft w:val="0"/>
              <w:marRight w:val="0"/>
              <w:marTop w:val="0"/>
              <w:marBottom w:val="0"/>
              <w:divBdr>
                <w:top w:val="none" w:sz="0" w:space="0" w:color="auto"/>
                <w:left w:val="none" w:sz="0" w:space="0" w:color="auto"/>
                <w:bottom w:val="none" w:sz="0" w:space="0" w:color="auto"/>
                <w:right w:val="none" w:sz="0" w:space="0" w:color="auto"/>
              </w:divBdr>
            </w:div>
            <w:div w:id="1621689771">
              <w:marLeft w:val="0"/>
              <w:marRight w:val="0"/>
              <w:marTop w:val="0"/>
              <w:marBottom w:val="0"/>
              <w:divBdr>
                <w:top w:val="none" w:sz="0" w:space="0" w:color="auto"/>
                <w:left w:val="none" w:sz="0" w:space="0" w:color="auto"/>
                <w:bottom w:val="none" w:sz="0" w:space="0" w:color="auto"/>
                <w:right w:val="none" w:sz="0" w:space="0" w:color="auto"/>
              </w:divBdr>
            </w:div>
            <w:div w:id="1835366879">
              <w:marLeft w:val="0"/>
              <w:marRight w:val="0"/>
              <w:marTop w:val="0"/>
              <w:marBottom w:val="0"/>
              <w:divBdr>
                <w:top w:val="none" w:sz="0" w:space="0" w:color="auto"/>
                <w:left w:val="none" w:sz="0" w:space="0" w:color="auto"/>
                <w:bottom w:val="none" w:sz="0" w:space="0" w:color="auto"/>
                <w:right w:val="none" w:sz="0" w:space="0" w:color="auto"/>
              </w:divBdr>
            </w:div>
            <w:div w:id="1868643319">
              <w:marLeft w:val="0"/>
              <w:marRight w:val="0"/>
              <w:marTop w:val="0"/>
              <w:marBottom w:val="0"/>
              <w:divBdr>
                <w:top w:val="none" w:sz="0" w:space="0" w:color="auto"/>
                <w:left w:val="none" w:sz="0" w:space="0" w:color="auto"/>
                <w:bottom w:val="none" w:sz="0" w:space="0" w:color="auto"/>
                <w:right w:val="none" w:sz="0" w:space="0" w:color="auto"/>
              </w:divBdr>
            </w:div>
            <w:div w:id="1907764965">
              <w:marLeft w:val="0"/>
              <w:marRight w:val="0"/>
              <w:marTop w:val="0"/>
              <w:marBottom w:val="0"/>
              <w:divBdr>
                <w:top w:val="none" w:sz="0" w:space="0" w:color="auto"/>
                <w:left w:val="none" w:sz="0" w:space="0" w:color="auto"/>
                <w:bottom w:val="none" w:sz="0" w:space="0" w:color="auto"/>
                <w:right w:val="none" w:sz="0" w:space="0" w:color="auto"/>
              </w:divBdr>
            </w:div>
            <w:div w:id="1915969657">
              <w:marLeft w:val="0"/>
              <w:marRight w:val="0"/>
              <w:marTop w:val="0"/>
              <w:marBottom w:val="0"/>
              <w:divBdr>
                <w:top w:val="none" w:sz="0" w:space="0" w:color="auto"/>
                <w:left w:val="none" w:sz="0" w:space="0" w:color="auto"/>
                <w:bottom w:val="none" w:sz="0" w:space="0" w:color="auto"/>
                <w:right w:val="none" w:sz="0" w:space="0" w:color="auto"/>
              </w:divBdr>
            </w:div>
            <w:div w:id="2071993766">
              <w:marLeft w:val="0"/>
              <w:marRight w:val="0"/>
              <w:marTop w:val="0"/>
              <w:marBottom w:val="0"/>
              <w:divBdr>
                <w:top w:val="none" w:sz="0" w:space="0" w:color="auto"/>
                <w:left w:val="none" w:sz="0" w:space="0" w:color="auto"/>
                <w:bottom w:val="none" w:sz="0" w:space="0" w:color="auto"/>
                <w:right w:val="none" w:sz="0" w:space="0" w:color="auto"/>
              </w:divBdr>
            </w:div>
          </w:divsChild>
        </w:div>
        <w:div w:id="154763080">
          <w:marLeft w:val="0"/>
          <w:marRight w:val="0"/>
          <w:marTop w:val="0"/>
          <w:marBottom w:val="0"/>
          <w:divBdr>
            <w:top w:val="none" w:sz="0" w:space="0" w:color="auto"/>
            <w:left w:val="none" w:sz="0" w:space="0" w:color="auto"/>
            <w:bottom w:val="none" w:sz="0" w:space="0" w:color="auto"/>
            <w:right w:val="none" w:sz="0" w:space="0" w:color="auto"/>
          </w:divBdr>
          <w:divsChild>
            <w:div w:id="19742852">
              <w:marLeft w:val="0"/>
              <w:marRight w:val="0"/>
              <w:marTop w:val="0"/>
              <w:marBottom w:val="0"/>
              <w:divBdr>
                <w:top w:val="none" w:sz="0" w:space="0" w:color="auto"/>
                <w:left w:val="none" w:sz="0" w:space="0" w:color="auto"/>
                <w:bottom w:val="none" w:sz="0" w:space="0" w:color="auto"/>
                <w:right w:val="none" w:sz="0" w:space="0" w:color="auto"/>
              </w:divBdr>
            </w:div>
            <w:div w:id="61027606">
              <w:marLeft w:val="0"/>
              <w:marRight w:val="0"/>
              <w:marTop w:val="0"/>
              <w:marBottom w:val="0"/>
              <w:divBdr>
                <w:top w:val="none" w:sz="0" w:space="0" w:color="auto"/>
                <w:left w:val="none" w:sz="0" w:space="0" w:color="auto"/>
                <w:bottom w:val="none" w:sz="0" w:space="0" w:color="auto"/>
                <w:right w:val="none" w:sz="0" w:space="0" w:color="auto"/>
              </w:divBdr>
            </w:div>
            <w:div w:id="153687809">
              <w:marLeft w:val="0"/>
              <w:marRight w:val="0"/>
              <w:marTop w:val="0"/>
              <w:marBottom w:val="0"/>
              <w:divBdr>
                <w:top w:val="none" w:sz="0" w:space="0" w:color="auto"/>
                <w:left w:val="none" w:sz="0" w:space="0" w:color="auto"/>
                <w:bottom w:val="none" w:sz="0" w:space="0" w:color="auto"/>
                <w:right w:val="none" w:sz="0" w:space="0" w:color="auto"/>
              </w:divBdr>
            </w:div>
            <w:div w:id="208229984">
              <w:marLeft w:val="0"/>
              <w:marRight w:val="0"/>
              <w:marTop w:val="0"/>
              <w:marBottom w:val="0"/>
              <w:divBdr>
                <w:top w:val="none" w:sz="0" w:space="0" w:color="auto"/>
                <w:left w:val="none" w:sz="0" w:space="0" w:color="auto"/>
                <w:bottom w:val="none" w:sz="0" w:space="0" w:color="auto"/>
                <w:right w:val="none" w:sz="0" w:space="0" w:color="auto"/>
              </w:divBdr>
            </w:div>
            <w:div w:id="400833570">
              <w:marLeft w:val="0"/>
              <w:marRight w:val="0"/>
              <w:marTop w:val="0"/>
              <w:marBottom w:val="0"/>
              <w:divBdr>
                <w:top w:val="none" w:sz="0" w:space="0" w:color="auto"/>
                <w:left w:val="none" w:sz="0" w:space="0" w:color="auto"/>
                <w:bottom w:val="none" w:sz="0" w:space="0" w:color="auto"/>
                <w:right w:val="none" w:sz="0" w:space="0" w:color="auto"/>
              </w:divBdr>
            </w:div>
            <w:div w:id="414204297">
              <w:marLeft w:val="0"/>
              <w:marRight w:val="0"/>
              <w:marTop w:val="0"/>
              <w:marBottom w:val="0"/>
              <w:divBdr>
                <w:top w:val="none" w:sz="0" w:space="0" w:color="auto"/>
                <w:left w:val="none" w:sz="0" w:space="0" w:color="auto"/>
                <w:bottom w:val="none" w:sz="0" w:space="0" w:color="auto"/>
                <w:right w:val="none" w:sz="0" w:space="0" w:color="auto"/>
              </w:divBdr>
            </w:div>
            <w:div w:id="479004473">
              <w:marLeft w:val="0"/>
              <w:marRight w:val="0"/>
              <w:marTop w:val="0"/>
              <w:marBottom w:val="0"/>
              <w:divBdr>
                <w:top w:val="none" w:sz="0" w:space="0" w:color="auto"/>
                <w:left w:val="none" w:sz="0" w:space="0" w:color="auto"/>
                <w:bottom w:val="none" w:sz="0" w:space="0" w:color="auto"/>
                <w:right w:val="none" w:sz="0" w:space="0" w:color="auto"/>
              </w:divBdr>
            </w:div>
            <w:div w:id="661155416">
              <w:marLeft w:val="0"/>
              <w:marRight w:val="0"/>
              <w:marTop w:val="0"/>
              <w:marBottom w:val="0"/>
              <w:divBdr>
                <w:top w:val="none" w:sz="0" w:space="0" w:color="auto"/>
                <w:left w:val="none" w:sz="0" w:space="0" w:color="auto"/>
                <w:bottom w:val="none" w:sz="0" w:space="0" w:color="auto"/>
                <w:right w:val="none" w:sz="0" w:space="0" w:color="auto"/>
              </w:divBdr>
            </w:div>
            <w:div w:id="661353498">
              <w:marLeft w:val="0"/>
              <w:marRight w:val="0"/>
              <w:marTop w:val="0"/>
              <w:marBottom w:val="0"/>
              <w:divBdr>
                <w:top w:val="none" w:sz="0" w:space="0" w:color="auto"/>
                <w:left w:val="none" w:sz="0" w:space="0" w:color="auto"/>
                <w:bottom w:val="none" w:sz="0" w:space="0" w:color="auto"/>
                <w:right w:val="none" w:sz="0" w:space="0" w:color="auto"/>
              </w:divBdr>
            </w:div>
            <w:div w:id="703599353">
              <w:marLeft w:val="0"/>
              <w:marRight w:val="0"/>
              <w:marTop w:val="0"/>
              <w:marBottom w:val="0"/>
              <w:divBdr>
                <w:top w:val="none" w:sz="0" w:space="0" w:color="auto"/>
                <w:left w:val="none" w:sz="0" w:space="0" w:color="auto"/>
                <w:bottom w:val="none" w:sz="0" w:space="0" w:color="auto"/>
                <w:right w:val="none" w:sz="0" w:space="0" w:color="auto"/>
              </w:divBdr>
            </w:div>
            <w:div w:id="1124926730">
              <w:marLeft w:val="0"/>
              <w:marRight w:val="0"/>
              <w:marTop w:val="0"/>
              <w:marBottom w:val="0"/>
              <w:divBdr>
                <w:top w:val="none" w:sz="0" w:space="0" w:color="auto"/>
                <w:left w:val="none" w:sz="0" w:space="0" w:color="auto"/>
                <w:bottom w:val="none" w:sz="0" w:space="0" w:color="auto"/>
                <w:right w:val="none" w:sz="0" w:space="0" w:color="auto"/>
              </w:divBdr>
            </w:div>
            <w:div w:id="1171408473">
              <w:marLeft w:val="0"/>
              <w:marRight w:val="0"/>
              <w:marTop w:val="0"/>
              <w:marBottom w:val="0"/>
              <w:divBdr>
                <w:top w:val="none" w:sz="0" w:space="0" w:color="auto"/>
                <w:left w:val="none" w:sz="0" w:space="0" w:color="auto"/>
                <w:bottom w:val="none" w:sz="0" w:space="0" w:color="auto"/>
                <w:right w:val="none" w:sz="0" w:space="0" w:color="auto"/>
              </w:divBdr>
            </w:div>
            <w:div w:id="1234853738">
              <w:marLeft w:val="0"/>
              <w:marRight w:val="0"/>
              <w:marTop w:val="0"/>
              <w:marBottom w:val="0"/>
              <w:divBdr>
                <w:top w:val="none" w:sz="0" w:space="0" w:color="auto"/>
                <w:left w:val="none" w:sz="0" w:space="0" w:color="auto"/>
                <w:bottom w:val="none" w:sz="0" w:space="0" w:color="auto"/>
                <w:right w:val="none" w:sz="0" w:space="0" w:color="auto"/>
              </w:divBdr>
            </w:div>
            <w:div w:id="1364406840">
              <w:marLeft w:val="0"/>
              <w:marRight w:val="0"/>
              <w:marTop w:val="0"/>
              <w:marBottom w:val="0"/>
              <w:divBdr>
                <w:top w:val="none" w:sz="0" w:space="0" w:color="auto"/>
                <w:left w:val="none" w:sz="0" w:space="0" w:color="auto"/>
                <w:bottom w:val="none" w:sz="0" w:space="0" w:color="auto"/>
                <w:right w:val="none" w:sz="0" w:space="0" w:color="auto"/>
              </w:divBdr>
            </w:div>
            <w:div w:id="1475559394">
              <w:marLeft w:val="0"/>
              <w:marRight w:val="0"/>
              <w:marTop w:val="0"/>
              <w:marBottom w:val="0"/>
              <w:divBdr>
                <w:top w:val="none" w:sz="0" w:space="0" w:color="auto"/>
                <w:left w:val="none" w:sz="0" w:space="0" w:color="auto"/>
                <w:bottom w:val="none" w:sz="0" w:space="0" w:color="auto"/>
                <w:right w:val="none" w:sz="0" w:space="0" w:color="auto"/>
              </w:divBdr>
            </w:div>
            <w:div w:id="1706443911">
              <w:marLeft w:val="0"/>
              <w:marRight w:val="0"/>
              <w:marTop w:val="0"/>
              <w:marBottom w:val="0"/>
              <w:divBdr>
                <w:top w:val="none" w:sz="0" w:space="0" w:color="auto"/>
                <w:left w:val="none" w:sz="0" w:space="0" w:color="auto"/>
                <w:bottom w:val="none" w:sz="0" w:space="0" w:color="auto"/>
                <w:right w:val="none" w:sz="0" w:space="0" w:color="auto"/>
              </w:divBdr>
            </w:div>
            <w:div w:id="1895040950">
              <w:marLeft w:val="0"/>
              <w:marRight w:val="0"/>
              <w:marTop w:val="0"/>
              <w:marBottom w:val="0"/>
              <w:divBdr>
                <w:top w:val="none" w:sz="0" w:space="0" w:color="auto"/>
                <w:left w:val="none" w:sz="0" w:space="0" w:color="auto"/>
                <w:bottom w:val="none" w:sz="0" w:space="0" w:color="auto"/>
                <w:right w:val="none" w:sz="0" w:space="0" w:color="auto"/>
              </w:divBdr>
            </w:div>
            <w:div w:id="1927958851">
              <w:marLeft w:val="0"/>
              <w:marRight w:val="0"/>
              <w:marTop w:val="0"/>
              <w:marBottom w:val="0"/>
              <w:divBdr>
                <w:top w:val="none" w:sz="0" w:space="0" w:color="auto"/>
                <w:left w:val="none" w:sz="0" w:space="0" w:color="auto"/>
                <w:bottom w:val="none" w:sz="0" w:space="0" w:color="auto"/>
                <w:right w:val="none" w:sz="0" w:space="0" w:color="auto"/>
              </w:divBdr>
            </w:div>
            <w:div w:id="2019652020">
              <w:marLeft w:val="0"/>
              <w:marRight w:val="0"/>
              <w:marTop w:val="0"/>
              <w:marBottom w:val="0"/>
              <w:divBdr>
                <w:top w:val="none" w:sz="0" w:space="0" w:color="auto"/>
                <w:left w:val="none" w:sz="0" w:space="0" w:color="auto"/>
                <w:bottom w:val="none" w:sz="0" w:space="0" w:color="auto"/>
                <w:right w:val="none" w:sz="0" w:space="0" w:color="auto"/>
              </w:divBdr>
            </w:div>
            <w:div w:id="2065717106">
              <w:marLeft w:val="0"/>
              <w:marRight w:val="0"/>
              <w:marTop w:val="0"/>
              <w:marBottom w:val="0"/>
              <w:divBdr>
                <w:top w:val="none" w:sz="0" w:space="0" w:color="auto"/>
                <w:left w:val="none" w:sz="0" w:space="0" w:color="auto"/>
                <w:bottom w:val="none" w:sz="0" w:space="0" w:color="auto"/>
                <w:right w:val="none" w:sz="0" w:space="0" w:color="auto"/>
              </w:divBdr>
            </w:div>
          </w:divsChild>
        </w:div>
        <w:div w:id="240218010">
          <w:marLeft w:val="0"/>
          <w:marRight w:val="0"/>
          <w:marTop w:val="0"/>
          <w:marBottom w:val="0"/>
          <w:divBdr>
            <w:top w:val="none" w:sz="0" w:space="0" w:color="auto"/>
            <w:left w:val="none" w:sz="0" w:space="0" w:color="auto"/>
            <w:bottom w:val="none" w:sz="0" w:space="0" w:color="auto"/>
            <w:right w:val="none" w:sz="0" w:space="0" w:color="auto"/>
          </w:divBdr>
          <w:divsChild>
            <w:div w:id="179399808">
              <w:marLeft w:val="0"/>
              <w:marRight w:val="0"/>
              <w:marTop w:val="0"/>
              <w:marBottom w:val="0"/>
              <w:divBdr>
                <w:top w:val="none" w:sz="0" w:space="0" w:color="auto"/>
                <w:left w:val="none" w:sz="0" w:space="0" w:color="auto"/>
                <w:bottom w:val="none" w:sz="0" w:space="0" w:color="auto"/>
                <w:right w:val="none" w:sz="0" w:space="0" w:color="auto"/>
              </w:divBdr>
            </w:div>
            <w:div w:id="202669213">
              <w:marLeft w:val="0"/>
              <w:marRight w:val="0"/>
              <w:marTop w:val="0"/>
              <w:marBottom w:val="0"/>
              <w:divBdr>
                <w:top w:val="none" w:sz="0" w:space="0" w:color="auto"/>
                <w:left w:val="none" w:sz="0" w:space="0" w:color="auto"/>
                <w:bottom w:val="none" w:sz="0" w:space="0" w:color="auto"/>
                <w:right w:val="none" w:sz="0" w:space="0" w:color="auto"/>
              </w:divBdr>
            </w:div>
            <w:div w:id="213391710">
              <w:marLeft w:val="0"/>
              <w:marRight w:val="0"/>
              <w:marTop w:val="0"/>
              <w:marBottom w:val="0"/>
              <w:divBdr>
                <w:top w:val="none" w:sz="0" w:space="0" w:color="auto"/>
                <w:left w:val="none" w:sz="0" w:space="0" w:color="auto"/>
                <w:bottom w:val="none" w:sz="0" w:space="0" w:color="auto"/>
                <w:right w:val="none" w:sz="0" w:space="0" w:color="auto"/>
              </w:divBdr>
            </w:div>
            <w:div w:id="307515681">
              <w:marLeft w:val="0"/>
              <w:marRight w:val="0"/>
              <w:marTop w:val="0"/>
              <w:marBottom w:val="0"/>
              <w:divBdr>
                <w:top w:val="none" w:sz="0" w:space="0" w:color="auto"/>
                <w:left w:val="none" w:sz="0" w:space="0" w:color="auto"/>
                <w:bottom w:val="none" w:sz="0" w:space="0" w:color="auto"/>
                <w:right w:val="none" w:sz="0" w:space="0" w:color="auto"/>
              </w:divBdr>
            </w:div>
            <w:div w:id="320890823">
              <w:marLeft w:val="0"/>
              <w:marRight w:val="0"/>
              <w:marTop w:val="0"/>
              <w:marBottom w:val="0"/>
              <w:divBdr>
                <w:top w:val="none" w:sz="0" w:space="0" w:color="auto"/>
                <w:left w:val="none" w:sz="0" w:space="0" w:color="auto"/>
                <w:bottom w:val="none" w:sz="0" w:space="0" w:color="auto"/>
                <w:right w:val="none" w:sz="0" w:space="0" w:color="auto"/>
              </w:divBdr>
            </w:div>
            <w:div w:id="448861917">
              <w:marLeft w:val="0"/>
              <w:marRight w:val="0"/>
              <w:marTop w:val="0"/>
              <w:marBottom w:val="0"/>
              <w:divBdr>
                <w:top w:val="none" w:sz="0" w:space="0" w:color="auto"/>
                <w:left w:val="none" w:sz="0" w:space="0" w:color="auto"/>
                <w:bottom w:val="none" w:sz="0" w:space="0" w:color="auto"/>
                <w:right w:val="none" w:sz="0" w:space="0" w:color="auto"/>
              </w:divBdr>
            </w:div>
            <w:div w:id="828401657">
              <w:marLeft w:val="0"/>
              <w:marRight w:val="0"/>
              <w:marTop w:val="0"/>
              <w:marBottom w:val="0"/>
              <w:divBdr>
                <w:top w:val="none" w:sz="0" w:space="0" w:color="auto"/>
                <w:left w:val="none" w:sz="0" w:space="0" w:color="auto"/>
                <w:bottom w:val="none" w:sz="0" w:space="0" w:color="auto"/>
                <w:right w:val="none" w:sz="0" w:space="0" w:color="auto"/>
              </w:divBdr>
            </w:div>
            <w:div w:id="895622460">
              <w:marLeft w:val="0"/>
              <w:marRight w:val="0"/>
              <w:marTop w:val="0"/>
              <w:marBottom w:val="0"/>
              <w:divBdr>
                <w:top w:val="none" w:sz="0" w:space="0" w:color="auto"/>
                <w:left w:val="none" w:sz="0" w:space="0" w:color="auto"/>
                <w:bottom w:val="none" w:sz="0" w:space="0" w:color="auto"/>
                <w:right w:val="none" w:sz="0" w:space="0" w:color="auto"/>
              </w:divBdr>
            </w:div>
            <w:div w:id="1003320858">
              <w:marLeft w:val="0"/>
              <w:marRight w:val="0"/>
              <w:marTop w:val="0"/>
              <w:marBottom w:val="0"/>
              <w:divBdr>
                <w:top w:val="none" w:sz="0" w:space="0" w:color="auto"/>
                <w:left w:val="none" w:sz="0" w:space="0" w:color="auto"/>
                <w:bottom w:val="none" w:sz="0" w:space="0" w:color="auto"/>
                <w:right w:val="none" w:sz="0" w:space="0" w:color="auto"/>
              </w:divBdr>
            </w:div>
            <w:div w:id="1093666235">
              <w:marLeft w:val="0"/>
              <w:marRight w:val="0"/>
              <w:marTop w:val="0"/>
              <w:marBottom w:val="0"/>
              <w:divBdr>
                <w:top w:val="none" w:sz="0" w:space="0" w:color="auto"/>
                <w:left w:val="none" w:sz="0" w:space="0" w:color="auto"/>
                <w:bottom w:val="none" w:sz="0" w:space="0" w:color="auto"/>
                <w:right w:val="none" w:sz="0" w:space="0" w:color="auto"/>
              </w:divBdr>
            </w:div>
            <w:div w:id="1139566049">
              <w:marLeft w:val="0"/>
              <w:marRight w:val="0"/>
              <w:marTop w:val="0"/>
              <w:marBottom w:val="0"/>
              <w:divBdr>
                <w:top w:val="none" w:sz="0" w:space="0" w:color="auto"/>
                <w:left w:val="none" w:sz="0" w:space="0" w:color="auto"/>
                <w:bottom w:val="none" w:sz="0" w:space="0" w:color="auto"/>
                <w:right w:val="none" w:sz="0" w:space="0" w:color="auto"/>
              </w:divBdr>
            </w:div>
            <w:div w:id="1279143910">
              <w:marLeft w:val="0"/>
              <w:marRight w:val="0"/>
              <w:marTop w:val="0"/>
              <w:marBottom w:val="0"/>
              <w:divBdr>
                <w:top w:val="none" w:sz="0" w:space="0" w:color="auto"/>
                <w:left w:val="none" w:sz="0" w:space="0" w:color="auto"/>
                <w:bottom w:val="none" w:sz="0" w:space="0" w:color="auto"/>
                <w:right w:val="none" w:sz="0" w:space="0" w:color="auto"/>
              </w:divBdr>
            </w:div>
            <w:div w:id="1322200835">
              <w:marLeft w:val="0"/>
              <w:marRight w:val="0"/>
              <w:marTop w:val="0"/>
              <w:marBottom w:val="0"/>
              <w:divBdr>
                <w:top w:val="none" w:sz="0" w:space="0" w:color="auto"/>
                <w:left w:val="none" w:sz="0" w:space="0" w:color="auto"/>
                <w:bottom w:val="none" w:sz="0" w:space="0" w:color="auto"/>
                <w:right w:val="none" w:sz="0" w:space="0" w:color="auto"/>
              </w:divBdr>
            </w:div>
            <w:div w:id="1464692753">
              <w:marLeft w:val="0"/>
              <w:marRight w:val="0"/>
              <w:marTop w:val="0"/>
              <w:marBottom w:val="0"/>
              <w:divBdr>
                <w:top w:val="none" w:sz="0" w:space="0" w:color="auto"/>
                <w:left w:val="none" w:sz="0" w:space="0" w:color="auto"/>
                <w:bottom w:val="none" w:sz="0" w:space="0" w:color="auto"/>
                <w:right w:val="none" w:sz="0" w:space="0" w:color="auto"/>
              </w:divBdr>
            </w:div>
            <w:div w:id="1480654928">
              <w:marLeft w:val="0"/>
              <w:marRight w:val="0"/>
              <w:marTop w:val="0"/>
              <w:marBottom w:val="0"/>
              <w:divBdr>
                <w:top w:val="none" w:sz="0" w:space="0" w:color="auto"/>
                <w:left w:val="none" w:sz="0" w:space="0" w:color="auto"/>
                <w:bottom w:val="none" w:sz="0" w:space="0" w:color="auto"/>
                <w:right w:val="none" w:sz="0" w:space="0" w:color="auto"/>
              </w:divBdr>
            </w:div>
            <w:div w:id="1668165265">
              <w:marLeft w:val="0"/>
              <w:marRight w:val="0"/>
              <w:marTop w:val="0"/>
              <w:marBottom w:val="0"/>
              <w:divBdr>
                <w:top w:val="none" w:sz="0" w:space="0" w:color="auto"/>
                <w:left w:val="none" w:sz="0" w:space="0" w:color="auto"/>
                <w:bottom w:val="none" w:sz="0" w:space="0" w:color="auto"/>
                <w:right w:val="none" w:sz="0" w:space="0" w:color="auto"/>
              </w:divBdr>
            </w:div>
            <w:div w:id="1681395937">
              <w:marLeft w:val="0"/>
              <w:marRight w:val="0"/>
              <w:marTop w:val="0"/>
              <w:marBottom w:val="0"/>
              <w:divBdr>
                <w:top w:val="none" w:sz="0" w:space="0" w:color="auto"/>
                <w:left w:val="none" w:sz="0" w:space="0" w:color="auto"/>
                <w:bottom w:val="none" w:sz="0" w:space="0" w:color="auto"/>
                <w:right w:val="none" w:sz="0" w:space="0" w:color="auto"/>
              </w:divBdr>
            </w:div>
            <w:div w:id="1770465942">
              <w:marLeft w:val="0"/>
              <w:marRight w:val="0"/>
              <w:marTop w:val="0"/>
              <w:marBottom w:val="0"/>
              <w:divBdr>
                <w:top w:val="none" w:sz="0" w:space="0" w:color="auto"/>
                <w:left w:val="none" w:sz="0" w:space="0" w:color="auto"/>
                <w:bottom w:val="none" w:sz="0" w:space="0" w:color="auto"/>
                <w:right w:val="none" w:sz="0" w:space="0" w:color="auto"/>
              </w:divBdr>
            </w:div>
            <w:div w:id="1829058046">
              <w:marLeft w:val="0"/>
              <w:marRight w:val="0"/>
              <w:marTop w:val="0"/>
              <w:marBottom w:val="0"/>
              <w:divBdr>
                <w:top w:val="none" w:sz="0" w:space="0" w:color="auto"/>
                <w:left w:val="none" w:sz="0" w:space="0" w:color="auto"/>
                <w:bottom w:val="none" w:sz="0" w:space="0" w:color="auto"/>
                <w:right w:val="none" w:sz="0" w:space="0" w:color="auto"/>
              </w:divBdr>
            </w:div>
            <w:div w:id="1994065359">
              <w:marLeft w:val="0"/>
              <w:marRight w:val="0"/>
              <w:marTop w:val="0"/>
              <w:marBottom w:val="0"/>
              <w:divBdr>
                <w:top w:val="none" w:sz="0" w:space="0" w:color="auto"/>
                <w:left w:val="none" w:sz="0" w:space="0" w:color="auto"/>
                <w:bottom w:val="none" w:sz="0" w:space="0" w:color="auto"/>
                <w:right w:val="none" w:sz="0" w:space="0" w:color="auto"/>
              </w:divBdr>
            </w:div>
          </w:divsChild>
        </w:div>
        <w:div w:id="353725398">
          <w:marLeft w:val="0"/>
          <w:marRight w:val="0"/>
          <w:marTop w:val="0"/>
          <w:marBottom w:val="0"/>
          <w:divBdr>
            <w:top w:val="none" w:sz="0" w:space="0" w:color="auto"/>
            <w:left w:val="none" w:sz="0" w:space="0" w:color="auto"/>
            <w:bottom w:val="none" w:sz="0" w:space="0" w:color="auto"/>
            <w:right w:val="none" w:sz="0" w:space="0" w:color="auto"/>
          </w:divBdr>
          <w:divsChild>
            <w:div w:id="32585890">
              <w:marLeft w:val="0"/>
              <w:marRight w:val="0"/>
              <w:marTop w:val="0"/>
              <w:marBottom w:val="0"/>
              <w:divBdr>
                <w:top w:val="none" w:sz="0" w:space="0" w:color="auto"/>
                <w:left w:val="none" w:sz="0" w:space="0" w:color="auto"/>
                <w:bottom w:val="none" w:sz="0" w:space="0" w:color="auto"/>
                <w:right w:val="none" w:sz="0" w:space="0" w:color="auto"/>
              </w:divBdr>
            </w:div>
            <w:div w:id="66003443">
              <w:marLeft w:val="0"/>
              <w:marRight w:val="0"/>
              <w:marTop w:val="0"/>
              <w:marBottom w:val="0"/>
              <w:divBdr>
                <w:top w:val="none" w:sz="0" w:space="0" w:color="auto"/>
                <w:left w:val="none" w:sz="0" w:space="0" w:color="auto"/>
                <w:bottom w:val="none" w:sz="0" w:space="0" w:color="auto"/>
                <w:right w:val="none" w:sz="0" w:space="0" w:color="auto"/>
              </w:divBdr>
            </w:div>
            <w:div w:id="83888651">
              <w:marLeft w:val="0"/>
              <w:marRight w:val="0"/>
              <w:marTop w:val="0"/>
              <w:marBottom w:val="0"/>
              <w:divBdr>
                <w:top w:val="none" w:sz="0" w:space="0" w:color="auto"/>
                <w:left w:val="none" w:sz="0" w:space="0" w:color="auto"/>
                <w:bottom w:val="none" w:sz="0" w:space="0" w:color="auto"/>
                <w:right w:val="none" w:sz="0" w:space="0" w:color="auto"/>
              </w:divBdr>
            </w:div>
            <w:div w:id="164170988">
              <w:marLeft w:val="0"/>
              <w:marRight w:val="0"/>
              <w:marTop w:val="0"/>
              <w:marBottom w:val="0"/>
              <w:divBdr>
                <w:top w:val="none" w:sz="0" w:space="0" w:color="auto"/>
                <w:left w:val="none" w:sz="0" w:space="0" w:color="auto"/>
                <w:bottom w:val="none" w:sz="0" w:space="0" w:color="auto"/>
                <w:right w:val="none" w:sz="0" w:space="0" w:color="auto"/>
              </w:divBdr>
            </w:div>
            <w:div w:id="254561660">
              <w:marLeft w:val="0"/>
              <w:marRight w:val="0"/>
              <w:marTop w:val="0"/>
              <w:marBottom w:val="0"/>
              <w:divBdr>
                <w:top w:val="none" w:sz="0" w:space="0" w:color="auto"/>
                <w:left w:val="none" w:sz="0" w:space="0" w:color="auto"/>
                <w:bottom w:val="none" w:sz="0" w:space="0" w:color="auto"/>
                <w:right w:val="none" w:sz="0" w:space="0" w:color="auto"/>
              </w:divBdr>
            </w:div>
            <w:div w:id="292368933">
              <w:marLeft w:val="0"/>
              <w:marRight w:val="0"/>
              <w:marTop w:val="0"/>
              <w:marBottom w:val="0"/>
              <w:divBdr>
                <w:top w:val="none" w:sz="0" w:space="0" w:color="auto"/>
                <w:left w:val="none" w:sz="0" w:space="0" w:color="auto"/>
                <w:bottom w:val="none" w:sz="0" w:space="0" w:color="auto"/>
                <w:right w:val="none" w:sz="0" w:space="0" w:color="auto"/>
              </w:divBdr>
            </w:div>
            <w:div w:id="300814814">
              <w:marLeft w:val="0"/>
              <w:marRight w:val="0"/>
              <w:marTop w:val="0"/>
              <w:marBottom w:val="0"/>
              <w:divBdr>
                <w:top w:val="none" w:sz="0" w:space="0" w:color="auto"/>
                <w:left w:val="none" w:sz="0" w:space="0" w:color="auto"/>
                <w:bottom w:val="none" w:sz="0" w:space="0" w:color="auto"/>
                <w:right w:val="none" w:sz="0" w:space="0" w:color="auto"/>
              </w:divBdr>
            </w:div>
            <w:div w:id="562836400">
              <w:marLeft w:val="0"/>
              <w:marRight w:val="0"/>
              <w:marTop w:val="0"/>
              <w:marBottom w:val="0"/>
              <w:divBdr>
                <w:top w:val="none" w:sz="0" w:space="0" w:color="auto"/>
                <w:left w:val="none" w:sz="0" w:space="0" w:color="auto"/>
                <w:bottom w:val="none" w:sz="0" w:space="0" w:color="auto"/>
                <w:right w:val="none" w:sz="0" w:space="0" w:color="auto"/>
              </w:divBdr>
            </w:div>
            <w:div w:id="632179721">
              <w:marLeft w:val="0"/>
              <w:marRight w:val="0"/>
              <w:marTop w:val="0"/>
              <w:marBottom w:val="0"/>
              <w:divBdr>
                <w:top w:val="none" w:sz="0" w:space="0" w:color="auto"/>
                <w:left w:val="none" w:sz="0" w:space="0" w:color="auto"/>
                <w:bottom w:val="none" w:sz="0" w:space="0" w:color="auto"/>
                <w:right w:val="none" w:sz="0" w:space="0" w:color="auto"/>
              </w:divBdr>
            </w:div>
            <w:div w:id="854655957">
              <w:marLeft w:val="0"/>
              <w:marRight w:val="0"/>
              <w:marTop w:val="0"/>
              <w:marBottom w:val="0"/>
              <w:divBdr>
                <w:top w:val="none" w:sz="0" w:space="0" w:color="auto"/>
                <w:left w:val="none" w:sz="0" w:space="0" w:color="auto"/>
                <w:bottom w:val="none" w:sz="0" w:space="0" w:color="auto"/>
                <w:right w:val="none" w:sz="0" w:space="0" w:color="auto"/>
              </w:divBdr>
            </w:div>
            <w:div w:id="906258657">
              <w:marLeft w:val="0"/>
              <w:marRight w:val="0"/>
              <w:marTop w:val="0"/>
              <w:marBottom w:val="0"/>
              <w:divBdr>
                <w:top w:val="none" w:sz="0" w:space="0" w:color="auto"/>
                <w:left w:val="none" w:sz="0" w:space="0" w:color="auto"/>
                <w:bottom w:val="none" w:sz="0" w:space="0" w:color="auto"/>
                <w:right w:val="none" w:sz="0" w:space="0" w:color="auto"/>
              </w:divBdr>
            </w:div>
            <w:div w:id="919631396">
              <w:marLeft w:val="0"/>
              <w:marRight w:val="0"/>
              <w:marTop w:val="0"/>
              <w:marBottom w:val="0"/>
              <w:divBdr>
                <w:top w:val="none" w:sz="0" w:space="0" w:color="auto"/>
                <w:left w:val="none" w:sz="0" w:space="0" w:color="auto"/>
                <w:bottom w:val="none" w:sz="0" w:space="0" w:color="auto"/>
                <w:right w:val="none" w:sz="0" w:space="0" w:color="auto"/>
              </w:divBdr>
            </w:div>
            <w:div w:id="970594447">
              <w:marLeft w:val="0"/>
              <w:marRight w:val="0"/>
              <w:marTop w:val="0"/>
              <w:marBottom w:val="0"/>
              <w:divBdr>
                <w:top w:val="none" w:sz="0" w:space="0" w:color="auto"/>
                <w:left w:val="none" w:sz="0" w:space="0" w:color="auto"/>
                <w:bottom w:val="none" w:sz="0" w:space="0" w:color="auto"/>
                <w:right w:val="none" w:sz="0" w:space="0" w:color="auto"/>
              </w:divBdr>
            </w:div>
            <w:div w:id="1037655350">
              <w:marLeft w:val="0"/>
              <w:marRight w:val="0"/>
              <w:marTop w:val="0"/>
              <w:marBottom w:val="0"/>
              <w:divBdr>
                <w:top w:val="none" w:sz="0" w:space="0" w:color="auto"/>
                <w:left w:val="none" w:sz="0" w:space="0" w:color="auto"/>
                <w:bottom w:val="none" w:sz="0" w:space="0" w:color="auto"/>
                <w:right w:val="none" w:sz="0" w:space="0" w:color="auto"/>
              </w:divBdr>
            </w:div>
            <w:div w:id="1167675758">
              <w:marLeft w:val="0"/>
              <w:marRight w:val="0"/>
              <w:marTop w:val="0"/>
              <w:marBottom w:val="0"/>
              <w:divBdr>
                <w:top w:val="none" w:sz="0" w:space="0" w:color="auto"/>
                <w:left w:val="none" w:sz="0" w:space="0" w:color="auto"/>
                <w:bottom w:val="none" w:sz="0" w:space="0" w:color="auto"/>
                <w:right w:val="none" w:sz="0" w:space="0" w:color="auto"/>
              </w:divBdr>
            </w:div>
            <w:div w:id="1427186851">
              <w:marLeft w:val="0"/>
              <w:marRight w:val="0"/>
              <w:marTop w:val="0"/>
              <w:marBottom w:val="0"/>
              <w:divBdr>
                <w:top w:val="none" w:sz="0" w:space="0" w:color="auto"/>
                <w:left w:val="none" w:sz="0" w:space="0" w:color="auto"/>
                <w:bottom w:val="none" w:sz="0" w:space="0" w:color="auto"/>
                <w:right w:val="none" w:sz="0" w:space="0" w:color="auto"/>
              </w:divBdr>
            </w:div>
            <w:div w:id="1594124490">
              <w:marLeft w:val="0"/>
              <w:marRight w:val="0"/>
              <w:marTop w:val="0"/>
              <w:marBottom w:val="0"/>
              <w:divBdr>
                <w:top w:val="none" w:sz="0" w:space="0" w:color="auto"/>
                <w:left w:val="none" w:sz="0" w:space="0" w:color="auto"/>
                <w:bottom w:val="none" w:sz="0" w:space="0" w:color="auto"/>
                <w:right w:val="none" w:sz="0" w:space="0" w:color="auto"/>
              </w:divBdr>
            </w:div>
            <w:div w:id="1626811090">
              <w:marLeft w:val="0"/>
              <w:marRight w:val="0"/>
              <w:marTop w:val="0"/>
              <w:marBottom w:val="0"/>
              <w:divBdr>
                <w:top w:val="none" w:sz="0" w:space="0" w:color="auto"/>
                <w:left w:val="none" w:sz="0" w:space="0" w:color="auto"/>
                <w:bottom w:val="none" w:sz="0" w:space="0" w:color="auto"/>
                <w:right w:val="none" w:sz="0" w:space="0" w:color="auto"/>
              </w:divBdr>
            </w:div>
            <w:div w:id="1827816060">
              <w:marLeft w:val="0"/>
              <w:marRight w:val="0"/>
              <w:marTop w:val="0"/>
              <w:marBottom w:val="0"/>
              <w:divBdr>
                <w:top w:val="none" w:sz="0" w:space="0" w:color="auto"/>
                <w:left w:val="none" w:sz="0" w:space="0" w:color="auto"/>
                <w:bottom w:val="none" w:sz="0" w:space="0" w:color="auto"/>
                <w:right w:val="none" w:sz="0" w:space="0" w:color="auto"/>
              </w:divBdr>
            </w:div>
            <w:div w:id="1937783871">
              <w:marLeft w:val="0"/>
              <w:marRight w:val="0"/>
              <w:marTop w:val="0"/>
              <w:marBottom w:val="0"/>
              <w:divBdr>
                <w:top w:val="none" w:sz="0" w:space="0" w:color="auto"/>
                <w:left w:val="none" w:sz="0" w:space="0" w:color="auto"/>
                <w:bottom w:val="none" w:sz="0" w:space="0" w:color="auto"/>
                <w:right w:val="none" w:sz="0" w:space="0" w:color="auto"/>
              </w:divBdr>
            </w:div>
          </w:divsChild>
        </w:div>
        <w:div w:id="360590007">
          <w:marLeft w:val="0"/>
          <w:marRight w:val="0"/>
          <w:marTop w:val="0"/>
          <w:marBottom w:val="0"/>
          <w:divBdr>
            <w:top w:val="none" w:sz="0" w:space="0" w:color="auto"/>
            <w:left w:val="none" w:sz="0" w:space="0" w:color="auto"/>
            <w:bottom w:val="none" w:sz="0" w:space="0" w:color="auto"/>
            <w:right w:val="none" w:sz="0" w:space="0" w:color="auto"/>
          </w:divBdr>
          <w:divsChild>
            <w:div w:id="167988260">
              <w:marLeft w:val="0"/>
              <w:marRight w:val="0"/>
              <w:marTop w:val="0"/>
              <w:marBottom w:val="0"/>
              <w:divBdr>
                <w:top w:val="none" w:sz="0" w:space="0" w:color="auto"/>
                <w:left w:val="none" w:sz="0" w:space="0" w:color="auto"/>
                <w:bottom w:val="none" w:sz="0" w:space="0" w:color="auto"/>
                <w:right w:val="none" w:sz="0" w:space="0" w:color="auto"/>
              </w:divBdr>
            </w:div>
            <w:div w:id="336538031">
              <w:marLeft w:val="0"/>
              <w:marRight w:val="0"/>
              <w:marTop w:val="0"/>
              <w:marBottom w:val="0"/>
              <w:divBdr>
                <w:top w:val="none" w:sz="0" w:space="0" w:color="auto"/>
                <w:left w:val="none" w:sz="0" w:space="0" w:color="auto"/>
                <w:bottom w:val="none" w:sz="0" w:space="0" w:color="auto"/>
                <w:right w:val="none" w:sz="0" w:space="0" w:color="auto"/>
              </w:divBdr>
            </w:div>
            <w:div w:id="713847130">
              <w:marLeft w:val="0"/>
              <w:marRight w:val="0"/>
              <w:marTop w:val="0"/>
              <w:marBottom w:val="0"/>
              <w:divBdr>
                <w:top w:val="none" w:sz="0" w:space="0" w:color="auto"/>
                <w:left w:val="none" w:sz="0" w:space="0" w:color="auto"/>
                <w:bottom w:val="none" w:sz="0" w:space="0" w:color="auto"/>
                <w:right w:val="none" w:sz="0" w:space="0" w:color="auto"/>
              </w:divBdr>
            </w:div>
            <w:div w:id="794565100">
              <w:marLeft w:val="0"/>
              <w:marRight w:val="0"/>
              <w:marTop w:val="0"/>
              <w:marBottom w:val="0"/>
              <w:divBdr>
                <w:top w:val="none" w:sz="0" w:space="0" w:color="auto"/>
                <w:left w:val="none" w:sz="0" w:space="0" w:color="auto"/>
                <w:bottom w:val="none" w:sz="0" w:space="0" w:color="auto"/>
                <w:right w:val="none" w:sz="0" w:space="0" w:color="auto"/>
              </w:divBdr>
            </w:div>
            <w:div w:id="896629776">
              <w:marLeft w:val="0"/>
              <w:marRight w:val="0"/>
              <w:marTop w:val="0"/>
              <w:marBottom w:val="0"/>
              <w:divBdr>
                <w:top w:val="none" w:sz="0" w:space="0" w:color="auto"/>
                <w:left w:val="none" w:sz="0" w:space="0" w:color="auto"/>
                <w:bottom w:val="none" w:sz="0" w:space="0" w:color="auto"/>
                <w:right w:val="none" w:sz="0" w:space="0" w:color="auto"/>
              </w:divBdr>
            </w:div>
            <w:div w:id="968781957">
              <w:marLeft w:val="0"/>
              <w:marRight w:val="0"/>
              <w:marTop w:val="0"/>
              <w:marBottom w:val="0"/>
              <w:divBdr>
                <w:top w:val="none" w:sz="0" w:space="0" w:color="auto"/>
                <w:left w:val="none" w:sz="0" w:space="0" w:color="auto"/>
                <w:bottom w:val="none" w:sz="0" w:space="0" w:color="auto"/>
                <w:right w:val="none" w:sz="0" w:space="0" w:color="auto"/>
              </w:divBdr>
            </w:div>
            <w:div w:id="1053119360">
              <w:marLeft w:val="0"/>
              <w:marRight w:val="0"/>
              <w:marTop w:val="0"/>
              <w:marBottom w:val="0"/>
              <w:divBdr>
                <w:top w:val="none" w:sz="0" w:space="0" w:color="auto"/>
                <w:left w:val="none" w:sz="0" w:space="0" w:color="auto"/>
                <w:bottom w:val="none" w:sz="0" w:space="0" w:color="auto"/>
                <w:right w:val="none" w:sz="0" w:space="0" w:color="auto"/>
              </w:divBdr>
            </w:div>
            <w:div w:id="1069889841">
              <w:marLeft w:val="0"/>
              <w:marRight w:val="0"/>
              <w:marTop w:val="0"/>
              <w:marBottom w:val="0"/>
              <w:divBdr>
                <w:top w:val="none" w:sz="0" w:space="0" w:color="auto"/>
                <w:left w:val="none" w:sz="0" w:space="0" w:color="auto"/>
                <w:bottom w:val="none" w:sz="0" w:space="0" w:color="auto"/>
                <w:right w:val="none" w:sz="0" w:space="0" w:color="auto"/>
              </w:divBdr>
            </w:div>
            <w:div w:id="1112439968">
              <w:marLeft w:val="0"/>
              <w:marRight w:val="0"/>
              <w:marTop w:val="0"/>
              <w:marBottom w:val="0"/>
              <w:divBdr>
                <w:top w:val="none" w:sz="0" w:space="0" w:color="auto"/>
                <w:left w:val="none" w:sz="0" w:space="0" w:color="auto"/>
                <w:bottom w:val="none" w:sz="0" w:space="0" w:color="auto"/>
                <w:right w:val="none" w:sz="0" w:space="0" w:color="auto"/>
              </w:divBdr>
            </w:div>
            <w:div w:id="1146236742">
              <w:marLeft w:val="0"/>
              <w:marRight w:val="0"/>
              <w:marTop w:val="0"/>
              <w:marBottom w:val="0"/>
              <w:divBdr>
                <w:top w:val="none" w:sz="0" w:space="0" w:color="auto"/>
                <w:left w:val="none" w:sz="0" w:space="0" w:color="auto"/>
                <w:bottom w:val="none" w:sz="0" w:space="0" w:color="auto"/>
                <w:right w:val="none" w:sz="0" w:space="0" w:color="auto"/>
              </w:divBdr>
            </w:div>
            <w:div w:id="1231575635">
              <w:marLeft w:val="0"/>
              <w:marRight w:val="0"/>
              <w:marTop w:val="0"/>
              <w:marBottom w:val="0"/>
              <w:divBdr>
                <w:top w:val="none" w:sz="0" w:space="0" w:color="auto"/>
                <w:left w:val="none" w:sz="0" w:space="0" w:color="auto"/>
                <w:bottom w:val="none" w:sz="0" w:space="0" w:color="auto"/>
                <w:right w:val="none" w:sz="0" w:space="0" w:color="auto"/>
              </w:divBdr>
            </w:div>
            <w:div w:id="1269390031">
              <w:marLeft w:val="0"/>
              <w:marRight w:val="0"/>
              <w:marTop w:val="0"/>
              <w:marBottom w:val="0"/>
              <w:divBdr>
                <w:top w:val="none" w:sz="0" w:space="0" w:color="auto"/>
                <w:left w:val="none" w:sz="0" w:space="0" w:color="auto"/>
                <w:bottom w:val="none" w:sz="0" w:space="0" w:color="auto"/>
                <w:right w:val="none" w:sz="0" w:space="0" w:color="auto"/>
              </w:divBdr>
            </w:div>
            <w:div w:id="1288773995">
              <w:marLeft w:val="0"/>
              <w:marRight w:val="0"/>
              <w:marTop w:val="0"/>
              <w:marBottom w:val="0"/>
              <w:divBdr>
                <w:top w:val="none" w:sz="0" w:space="0" w:color="auto"/>
                <w:left w:val="none" w:sz="0" w:space="0" w:color="auto"/>
                <w:bottom w:val="none" w:sz="0" w:space="0" w:color="auto"/>
                <w:right w:val="none" w:sz="0" w:space="0" w:color="auto"/>
              </w:divBdr>
            </w:div>
            <w:div w:id="1309820545">
              <w:marLeft w:val="0"/>
              <w:marRight w:val="0"/>
              <w:marTop w:val="0"/>
              <w:marBottom w:val="0"/>
              <w:divBdr>
                <w:top w:val="none" w:sz="0" w:space="0" w:color="auto"/>
                <w:left w:val="none" w:sz="0" w:space="0" w:color="auto"/>
                <w:bottom w:val="none" w:sz="0" w:space="0" w:color="auto"/>
                <w:right w:val="none" w:sz="0" w:space="0" w:color="auto"/>
              </w:divBdr>
            </w:div>
            <w:div w:id="1360275128">
              <w:marLeft w:val="0"/>
              <w:marRight w:val="0"/>
              <w:marTop w:val="0"/>
              <w:marBottom w:val="0"/>
              <w:divBdr>
                <w:top w:val="none" w:sz="0" w:space="0" w:color="auto"/>
                <w:left w:val="none" w:sz="0" w:space="0" w:color="auto"/>
                <w:bottom w:val="none" w:sz="0" w:space="0" w:color="auto"/>
                <w:right w:val="none" w:sz="0" w:space="0" w:color="auto"/>
              </w:divBdr>
            </w:div>
            <w:div w:id="1443695212">
              <w:marLeft w:val="0"/>
              <w:marRight w:val="0"/>
              <w:marTop w:val="0"/>
              <w:marBottom w:val="0"/>
              <w:divBdr>
                <w:top w:val="none" w:sz="0" w:space="0" w:color="auto"/>
                <w:left w:val="none" w:sz="0" w:space="0" w:color="auto"/>
                <w:bottom w:val="none" w:sz="0" w:space="0" w:color="auto"/>
                <w:right w:val="none" w:sz="0" w:space="0" w:color="auto"/>
              </w:divBdr>
            </w:div>
            <w:div w:id="1463302972">
              <w:marLeft w:val="0"/>
              <w:marRight w:val="0"/>
              <w:marTop w:val="0"/>
              <w:marBottom w:val="0"/>
              <w:divBdr>
                <w:top w:val="none" w:sz="0" w:space="0" w:color="auto"/>
                <w:left w:val="none" w:sz="0" w:space="0" w:color="auto"/>
                <w:bottom w:val="none" w:sz="0" w:space="0" w:color="auto"/>
                <w:right w:val="none" w:sz="0" w:space="0" w:color="auto"/>
              </w:divBdr>
            </w:div>
            <w:div w:id="1517111291">
              <w:marLeft w:val="0"/>
              <w:marRight w:val="0"/>
              <w:marTop w:val="0"/>
              <w:marBottom w:val="0"/>
              <w:divBdr>
                <w:top w:val="none" w:sz="0" w:space="0" w:color="auto"/>
                <w:left w:val="none" w:sz="0" w:space="0" w:color="auto"/>
                <w:bottom w:val="none" w:sz="0" w:space="0" w:color="auto"/>
                <w:right w:val="none" w:sz="0" w:space="0" w:color="auto"/>
              </w:divBdr>
            </w:div>
            <w:div w:id="1730692175">
              <w:marLeft w:val="0"/>
              <w:marRight w:val="0"/>
              <w:marTop w:val="0"/>
              <w:marBottom w:val="0"/>
              <w:divBdr>
                <w:top w:val="none" w:sz="0" w:space="0" w:color="auto"/>
                <w:left w:val="none" w:sz="0" w:space="0" w:color="auto"/>
                <w:bottom w:val="none" w:sz="0" w:space="0" w:color="auto"/>
                <w:right w:val="none" w:sz="0" w:space="0" w:color="auto"/>
              </w:divBdr>
            </w:div>
            <w:div w:id="1906455945">
              <w:marLeft w:val="0"/>
              <w:marRight w:val="0"/>
              <w:marTop w:val="0"/>
              <w:marBottom w:val="0"/>
              <w:divBdr>
                <w:top w:val="none" w:sz="0" w:space="0" w:color="auto"/>
                <w:left w:val="none" w:sz="0" w:space="0" w:color="auto"/>
                <w:bottom w:val="none" w:sz="0" w:space="0" w:color="auto"/>
                <w:right w:val="none" w:sz="0" w:space="0" w:color="auto"/>
              </w:divBdr>
            </w:div>
          </w:divsChild>
        </w:div>
        <w:div w:id="390932335">
          <w:marLeft w:val="0"/>
          <w:marRight w:val="0"/>
          <w:marTop w:val="0"/>
          <w:marBottom w:val="0"/>
          <w:divBdr>
            <w:top w:val="none" w:sz="0" w:space="0" w:color="auto"/>
            <w:left w:val="none" w:sz="0" w:space="0" w:color="auto"/>
            <w:bottom w:val="none" w:sz="0" w:space="0" w:color="auto"/>
            <w:right w:val="none" w:sz="0" w:space="0" w:color="auto"/>
          </w:divBdr>
          <w:divsChild>
            <w:div w:id="64378004">
              <w:marLeft w:val="0"/>
              <w:marRight w:val="0"/>
              <w:marTop w:val="0"/>
              <w:marBottom w:val="0"/>
              <w:divBdr>
                <w:top w:val="none" w:sz="0" w:space="0" w:color="auto"/>
                <w:left w:val="none" w:sz="0" w:space="0" w:color="auto"/>
                <w:bottom w:val="none" w:sz="0" w:space="0" w:color="auto"/>
                <w:right w:val="none" w:sz="0" w:space="0" w:color="auto"/>
              </w:divBdr>
            </w:div>
            <w:div w:id="138498403">
              <w:marLeft w:val="0"/>
              <w:marRight w:val="0"/>
              <w:marTop w:val="0"/>
              <w:marBottom w:val="0"/>
              <w:divBdr>
                <w:top w:val="none" w:sz="0" w:space="0" w:color="auto"/>
                <w:left w:val="none" w:sz="0" w:space="0" w:color="auto"/>
                <w:bottom w:val="none" w:sz="0" w:space="0" w:color="auto"/>
                <w:right w:val="none" w:sz="0" w:space="0" w:color="auto"/>
              </w:divBdr>
            </w:div>
            <w:div w:id="143280765">
              <w:marLeft w:val="0"/>
              <w:marRight w:val="0"/>
              <w:marTop w:val="0"/>
              <w:marBottom w:val="0"/>
              <w:divBdr>
                <w:top w:val="none" w:sz="0" w:space="0" w:color="auto"/>
                <w:left w:val="none" w:sz="0" w:space="0" w:color="auto"/>
                <w:bottom w:val="none" w:sz="0" w:space="0" w:color="auto"/>
                <w:right w:val="none" w:sz="0" w:space="0" w:color="auto"/>
              </w:divBdr>
            </w:div>
            <w:div w:id="291640945">
              <w:marLeft w:val="0"/>
              <w:marRight w:val="0"/>
              <w:marTop w:val="0"/>
              <w:marBottom w:val="0"/>
              <w:divBdr>
                <w:top w:val="none" w:sz="0" w:space="0" w:color="auto"/>
                <w:left w:val="none" w:sz="0" w:space="0" w:color="auto"/>
                <w:bottom w:val="none" w:sz="0" w:space="0" w:color="auto"/>
                <w:right w:val="none" w:sz="0" w:space="0" w:color="auto"/>
              </w:divBdr>
            </w:div>
            <w:div w:id="506554397">
              <w:marLeft w:val="0"/>
              <w:marRight w:val="0"/>
              <w:marTop w:val="0"/>
              <w:marBottom w:val="0"/>
              <w:divBdr>
                <w:top w:val="none" w:sz="0" w:space="0" w:color="auto"/>
                <w:left w:val="none" w:sz="0" w:space="0" w:color="auto"/>
                <w:bottom w:val="none" w:sz="0" w:space="0" w:color="auto"/>
                <w:right w:val="none" w:sz="0" w:space="0" w:color="auto"/>
              </w:divBdr>
            </w:div>
            <w:div w:id="612859610">
              <w:marLeft w:val="0"/>
              <w:marRight w:val="0"/>
              <w:marTop w:val="0"/>
              <w:marBottom w:val="0"/>
              <w:divBdr>
                <w:top w:val="none" w:sz="0" w:space="0" w:color="auto"/>
                <w:left w:val="none" w:sz="0" w:space="0" w:color="auto"/>
                <w:bottom w:val="none" w:sz="0" w:space="0" w:color="auto"/>
                <w:right w:val="none" w:sz="0" w:space="0" w:color="auto"/>
              </w:divBdr>
            </w:div>
            <w:div w:id="637103158">
              <w:marLeft w:val="0"/>
              <w:marRight w:val="0"/>
              <w:marTop w:val="0"/>
              <w:marBottom w:val="0"/>
              <w:divBdr>
                <w:top w:val="none" w:sz="0" w:space="0" w:color="auto"/>
                <w:left w:val="none" w:sz="0" w:space="0" w:color="auto"/>
                <w:bottom w:val="none" w:sz="0" w:space="0" w:color="auto"/>
                <w:right w:val="none" w:sz="0" w:space="0" w:color="auto"/>
              </w:divBdr>
            </w:div>
            <w:div w:id="652414967">
              <w:marLeft w:val="0"/>
              <w:marRight w:val="0"/>
              <w:marTop w:val="0"/>
              <w:marBottom w:val="0"/>
              <w:divBdr>
                <w:top w:val="none" w:sz="0" w:space="0" w:color="auto"/>
                <w:left w:val="none" w:sz="0" w:space="0" w:color="auto"/>
                <w:bottom w:val="none" w:sz="0" w:space="0" w:color="auto"/>
                <w:right w:val="none" w:sz="0" w:space="0" w:color="auto"/>
              </w:divBdr>
            </w:div>
            <w:div w:id="708458330">
              <w:marLeft w:val="0"/>
              <w:marRight w:val="0"/>
              <w:marTop w:val="0"/>
              <w:marBottom w:val="0"/>
              <w:divBdr>
                <w:top w:val="none" w:sz="0" w:space="0" w:color="auto"/>
                <w:left w:val="none" w:sz="0" w:space="0" w:color="auto"/>
                <w:bottom w:val="none" w:sz="0" w:space="0" w:color="auto"/>
                <w:right w:val="none" w:sz="0" w:space="0" w:color="auto"/>
              </w:divBdr>
            </w:div>
            <w:div w:id="777061377">
              <w:marLeft w:val="0"/>
              <w:marRight w:val="0"/>
              <w:marTop w:val="0"/>
              <w:marBottom w:val="0"/>
              <w:divBdr>
                <w:top w:val="none" w:sz="0" w:space="0" w:color="auto"/>
                <w:left w:val="none" w:sz="0" w:space="0" w:color="auto"/>
                <w:bottom w:val="none" w:sz="0" w:space="0" w:color="auto"/>
                <w:right w:val="none" w:sz="0" w:space="0" w:color="auto"/>
              </w:divBdr>
            </w:div>
            <w:div w:id="820191490">
              <w:marLeft w:val="0"/>
              <w:marRight w:val="0"/>
              <w:marTop w:val="0"/>
              <w:marBottom w:val="0"/>
              <w:divBdr>
                <w:top w:val="none" w:sz="0" w:space="0" w:color="auto"/>
                <w:left w:val="none" w:sz="0" w:space="0" w:color="auto"/>
                <w:bottom w:val="none" w:sz="0" w:space="0" w:color="auto"/>
                <w:right w:val="none" w:sz="0" w:space="0" w:color="auto"/>
              </w:divBdr>
            </w:div>
            <w:div w:id="837690269">
              <w:marLeft w:val="0"/>
              <w:marRight w:val="0"/>
              <w:marTop w:val="0"/>
              <w:marBottom w:val="0"/>
              <w:divBdr>
                <w:top w:val="none" w:sz="0" w:space="0" w:color="auto"/>
                <w:left w:val="none" w:sz="0" w:space="0" w:color="auto"/>
                <w:bottom w:val="none" w:sz="0" w:space="0" w:color="auto"/>
                <w:right w:val="none" w:sz="0" w:space="0" w:color="auto"/>
              </w:divBdr>
            </w:div>
            <w:div w:id="1298991647">
              <w:marLeft w:val="0"/>
              <w:marRight w:val="0"/>
              <w:marTop w:val="0"/>
              <w:marBottom w:val="0"/>
              <w:divBdr>
                <w:top w:val="none" w:sz="0" w:space="0" w:color="auto"/>
                <w:left w:val="none" w:sz="0" w:space="0" w:color="auto"/>
                <w:bottom w:val="none" w:sz="0" w:space="0" w:color="auto"/>
                <w:right w:val="none" w:sz="0" w:space="0" w:color="auto"/>
              </w:divBdr>
            </w:div>
            <w:div w:id="1311834224">
              <w:marLeft w:val="0"/>
              <w:marRight w:val="0"/>
              <w:marTop w:val="0"/>
              <w:marBottom w:val="0"/>
              <w:divBdr>
                <w:top w:val="none" w:sz="0" w:space="0" w:color="auto"/>
                <w:left w:val="none" w:sz="0" w:space="0" w:color="auto"/>
                <w:bottom w:val="none" w:sz="0" w:space="0" w:color="auto"/>
                <w:right w:val="none" w:sz="0" w:space="0" w:color="auto"/>
              </w:divBdr>
            </w:div>
            <w:div w:id="1428191205">
              <w:marLeft w:val="0"/>
              <w:marRight w:val="0"/>
              <w:marTop w:val="0"/>
              <w:marBottom w:val="0"/>
              <w:divBdr>
                <w:top w:val="none" w:sz="0" w:space="0" w:color="auto"/>
                <w:left w:val="none" w:sz="0" w:space="0" w:color="auto"/>
                <w:bottom w:val="none" w:sz="0" w:space="0" w:color="auto"/>
                <w:right w:val="none" w:sz="0" w:space="0" w:color="auto"/>
              </w:divBdr>
            </w:div>
            <w:div w:id="1446459327">
              <w:marLeft w:val="0"/>
              <w:marRight w:val="0"/>
              <w:marTop w:val="0"/>
              <w:marBottom w:val="0"/>
              <w:divBdr>
                <w:top w:val="none" w:sz="0" w:space="0" w:color="auto"/>
                <w:left w:val="none" w:sz="0" w:space="0" w:color="auto"/>
                <w:bottom w:val="none" w:sz="0" w:space="0" w:color="auto"/>
                <w:right w:val="none" w:sz="0" w:space="0" w:color="auto"/>
              </w:divBdr>
            </w:div>
            <w:div w:id="1469206197">
              <w:marLeft w:val="0"/>
              <w:marRight w:val="0"/>
              <w:marTop w:val="0"/>
              <w:marBottom w:val="0"/>
              <w:divBdr>
                <w:top w:val="none" w:sz="0" w:space="0" w:color="auto"/>
                <w:left w:val="none" w:sz="0" w:space="0" w:color="auto"/>
                <w:bottom w:val="none" w:sz="0" w:space="0" w:color="auto"/>
                <w:right w:val="none" w:sz="0" w:space="0" w:color="auto"/>
              </w:divBdr>
            </w:div>
            <w:div w:id="1471634355">
              <w:marLeft w:val="0"/>
              <w:marRight w:val="0"/>
              <w:marTop w:val="0"/>
              <w:marBottom w:val="0"/>
              <w:divBdr>
                <w:top w:val="none" w:sz="0" w:space="0" w:color="auto"/>
                <w:left w:val="none" w:sz="0" w:space="0" w:color="auto"/>
                <w:bottom w:val="none" w:sz="0" w:space="0" w:color="auto"/>
                <w:right w:val="none" w:sz="0" w:space="0" w:color="auto"/>
              </w:divBdr>
            </w:div>
            <w:div w:id="1491822720">
              <w:marLeft w:val="0"/>
              <w:marRight w:val="0"/>
              <w:marTop w:val="0"/>
              <w:marBottom w:val="0"/>
              <w:divBdr>
                <w:top w:val="none" w:sz="0" w:space="0" w:color="auto"/>
                <w:left w:val="none" w:sz="0" w:space="0" w:color="auto"/>
                <w:bottom w:val="none" w:sz="0" w:space="0" w:color="auto"/>
                <w:right w:val="none" w:sz="0" w:space="0" w:color="auto"/>
              </w:divBdr>
            </w:div>
            <w:div w:id="1783958197">
              <w:marLeft w:val="0"/>
              <w:marRight w:val="0"/>
              <w:marTop w:val="0"/>
              <w:marBottom w:val="0"/>
              <w:divBdr>
                <w:top w:val="none" w:sz="0" w:space="0" w:color="auto"/>
                <w:left w:val="none" w:sz="0" w:space="0" w:color="auto"/>
                <w:bottom w:val="none" w:sz="0" w:space="0" w:color="auto"/>
                <w:right w:val="none" w:sz="0" w:space="0" w:color="auto"/>
              </w:divBdr>
            </w:div>
          </w:divsChild>
        </w:div>
        <w:div w:id="431166613">
          <w:marLeft w:val="0"/>
          <w:marRight w:val="0"/>
          <w:marTop w:val="0"/>
          <w:marBottom w:val="0"/>
          <w:divBdr>
            <w:top w:val="none" w:sz="0" w:space="0" w:color="auto"/>
            <w:left w:val="none" w:sz="0" w:space="0" w:color="auto"/>
            <w:bottom w:val="none" w:sz="0" w:space="0" w:color="auto"/>
            <w:right w:val="none" w:sz="0" w:space="0" w:color="auto"/>
          </w:divBdr>
          <w:divsChild>
            <w:div w:id="1714232109">
              <w:marLeft w:val="-75"/>
              <w:marRight w:val="0"/>
              <w:marTop w:val="30"/>
              <w:marBottom w:val="30"/>
              <w:divBdr>
                <w:top w:val="none" w:sz="0" w:space="0" w:color="auto"/>
                <w:left w:val="none" w:sz="0" w:space="0" w:color="auto"/>
                <w:bottom w:val="none" w:sz="0" w:space="0" w:color="auto"/>
                <w:right w:val="none" w:sz="0" w:space="0" w:color="auto"/>
              </w:divBdr>
              <w:divsChild>
                <w:div w:id="416246900">
                  <w:marLeft w:val="0"/>
                  <w:marRight w:val="0"/>
                  <w:marTop w:val="0"/>
                  <w:marBottom w:val="0"/>
                  <w:divBdr>
                    <w:top w:val="none" w:sz="0" w:space="0" w:color="auto"/>
                    <w:left w:val="none" w:sz="0" w:space="0" w:color="auto"/>
                    <w:bottom w:val="none" w:sz="0" w:space="0" w:color="auto"/>
                    <w:right w:val="none" w:sz="0" w:space="0" w:color="auto"/>
                  </w:divBdr>
                  <w:divsChild>
                    <w:div w:id="1540243217">
                      <w:marLeft w:val="0"/>
                      <w:marRight w:val="0"/>
                      <w:marTop w:val="0"/>
                      <w:marBottom w:val="0"/>
                      <w:divBdr>
                        <w:top w:val="none" w:sz="0" w:space="0" w:color="auto"/>
                        <w:left w:val="none" w:sz="0" w:space="0" w:color="auto"/>
                        <w:bottom w:val="none" w:sz="0" w:space="0" w:color="auto"/>
                        <w:right w:val="none" w:sz="0" w:space="0" w:color="auto"/>
                      </w:divBdr>
                    </w:div>
                  </w:divsChild>
                </w:div>
                <w:div w:id="439885323">
                  <w:marLeft w:val="0"/>
                  <w:marRight w:val="0"/>
                  <w:marTop w:val="0"/>
                  <w:marBottom w:val="0"/>
                  <w:divBdr>
                    <w:top w:val="none" w:sz="0" w:space="0" w:color="auto"/>
                    <w:left w:val="none" w:sz="0" w:space="0" w:color="auto"/>
                    <w:bottom w:val="none" w:sz="0" w:space="0" w:color="auto"/>
                    <w:right w:val="none" w:sz="0" w:space="0" w:color="auto"/>
                  </w:divBdr>
                  <w:divsChild>
                    <w:div w:id="1610235912">
                      <w:marLeft w:val="0"/>
                      <w:marRight w:val="0"/>
                      <w:marTop w:val="0"/>
                      <w:marBottom w:val="0"/>
                      <w:divBdr>
                        <w:top w:val="none" w:sz="0" w:space="0" w:color="auto"/>
                        <w:left w:val="none" w:sz="0" w:space="0" w:color="auto"/>
                        <w:bottom w:val="none" w:sz="0" w:space="0" w:color="auto"/>
                        <w:right w:val="none" w:sz="0" w:space="0" w:color="auto"/>
                      </w:divBdr>
                    </w:div>
                  </w:divsChild>
                </w:div>
                <w:div w:id="444930516">
                  <w:marLeft w:val="0"/>
                  <w:marRight w:val="0"/>
                  <w:marTop w:val="0"/>
                  <w:marBottom w:val="0"/>
                  <w:divBdr>
                    <w:top w:val="none" w:sz="0" w:space="0" w:color="auto"/>
                    <w:left w:val="none" w:sz="0" w:space="0" w:color="auto"/>
                    <w:bottom w:val="none" w:sz="0" w:space="0" w:color="auto"/>
                    <w:right w:val="none" w:sz="0" w:space="0" w:color="auto"/>
                  </w:divBdr>
                  <w:divsChild>
                    <w:div w:id="203443776">
                      <w:marLeft w:val="0"/>
                      <w:marRight w:val="0"/>
                      <w:marTop w:val="0"/>
                      <w:marBottom w:val="0"/>
                      <w:divBdr>
                        <w:top w:val="none" w:sz="0" w:space="0" w:color="auto"/>
                        <w:left w:val="none" w:sz="0" w:space="0" w:color="auto"/>
                        <w:bottom w:val="none" w:sz="0" w:space="0" w:color="auto"/>
                        <w:right w:val="none" w:sz="0" w:space="0" w:color="auto"/>
                      </w:divBdr>
                    </w:div>
                  </w:divsChild>
                </w:div>
                <w:div w:id="450830869">
                  <w:marLeft w:val="0"/>
                  <w:marRight w:val="0"/>
                  <w:marTop w:val="0"/>
                  <w:marBottom w:val="0"/>
                  <w:divBdr>
                    <w:top w:val="none" w:sz="0" w:space="0" w:color="auto"/>
                    <w:left w:val="none" w:sz="0" w:space="0" w:color="auto"/>
                    <w:bottom w:val="none" w:sz="0" w:space="0" w:color="auto"/>
                    <w:right w:val="none" w:sz="0" w:space="0" w:color="auto"/>
                  </w:divBdr>
                  <w:divsChild>
                    <w:div w:id="304969994">
                      <w:marLeft w:val="0"/>
                      <w:marRight w:val="0"/>
                      <w:marTop w:val="0"/>
                      <w:marBottom w:val="0"/>
                      <w:divBdr>
                        <w:top w:val="none" w:sz="0" w:space="0" w:color="auto"/>
                        <w:left w:val="none" w:sz="0" w:space="0" w:color="auto"/>
                        <w:bottom w:val="none" w:sz="0" w:space="0" w:color="auto"/>
                        <w:right w:val="none" w:sz="0" w:space="0" w:color="auto"/>
                      </w:divBdr>
                    </w:div>
                  </w:divsChild>
                </w:div>
                <w:div w:id="489295558">
                  <w:marLeft w:val="0"/>
                  <w:marRight w:val="0"/>
                  <w:marTop w:val="0"/>
                  <w:marBottom w:val="0"/>
                  <w:divBdr>
                    <w:top w:val="none" w:sz="0" w:space="0" w:color="auto"/>
                    <w:left w:val="none" w:sz="0" w:space="0" w:color="auto"/>
                    <w:bottom w:val="none" w:sz="0" w:space="0" w:color="auto"/>
                    <w:right w:val="none" w:sz="0" w:space="0" w:color="auto"/>
                  </w:divBdr>
                  <w:divsChild>
                    <w:div w:id="510292841">
                      <w:marLeft w:val="0"/>
                      <w:marRight w:val="0"/>
                      <w:marTop w:val="0"/>
                      <w:marBottom w:val="0"/>
                      <w:divBdr>
                        <w:top w:val="none" w:sz="0" w:space="0" w:color="auto"/>
                        <w:left w:val="none" w:sz="0" w:space="0" w:color="auto"/>
                        <w:bottom w:val="none" w:sz="0" w:space="0" w:color="auto"/>
                        <w:right w:val="none" w:sz="0" w:space="0" w:color="auto"/>
                      </w:divBdr>
                    </w:div>
                  </w:divsChild>
                </w:div>
                <w:div w:id="555434606">
                  <w:marLeft w:val="0"/>
                  <w:marRight w:val="0"/>
                  <w:marTop w:val="0"/>
                  <w:marBottom w:val="0"/>
                  <w:divBdr>
                    <w:top w:val="none" w:sz="0" w:space="0" w:color="auto"/>
                    <w:left w:val="none" w:sz="0" w:space="0" w:color="auto"/>
                    <w:bottom w:val="none" w:sz="0" w:space="0" w:color="auto"/>
                    <w:right w:val="none" w:sz="0" w:space="0" w:color="auto"/>
                  </w:divBdr>
                  <w:divsChild>
                    <w:div w:id="2068338134">
                      <w:marLeft w:val="0"/>
                      <w:marRight w:val="0"/>
                      <w:marTop w:val="0"/>
                      <w:marBottom w:val="0"/>
                      <w:divBdr>
                        <w:top w:val="none" w:sz="0" w:space="0" w:color="auto"/>
                        <w:left w:val="none" w:sz="0" w:space="0" w:color="auto"/>
                        <w:bottom w:val="none" w:sz="0" w:space="0" w:color="auto"/>
                        <w:right w:val="none" w:sz="0" w:space="0" w:color="auto"/>
                      </w:divBdr>
                    </w:div>
                  </w:divsChild>
                </w:div>
                <w:div w:id="632054861">
                  <w:marLeft w:val="0"/>
                  <w:marRight w:val="0"/>
                  <w:marTop w:val="0"/>
                  <w:marBottom w:val="0"/>
                  <w:divBdr>
                    <w:top w:val="none" w:sz="0" w:space="0" w:color="auto"/>
                    <w:left w:val="none" w:sz="0" w:space="0" w:color="auto"/>
                    <w:bottom w:val="none" w:sz="0" w:space="0" w:color="auto"/>
                    <w:right w:val="none" w:sz="0" w:space="0" w:color="auto"/>
                  </w:divBdr>
                  <w:divsChild>
                    <w:div w:id="1526939323">
                      <w:marLeft w:val="0"/>
                      <w:marRight w:val="0"/>
                      <w:marTop w:val="0"/>
                      <w:marBottom w:val="0"/>
                      <w:divBdr>
                        <w:top w:val="none" w:sz="0" w:space="0" w:color="auto"/>
                        <w:left w:val="none" w:sz="0" w:space="0" w:color="auto"/>
                        <w:bottom w:val="none" w:sz="0" w:space="0" w:color="auto"/>
                        <w:right w:val="none" w:sz="0" w:space="0" w:color="auto"/>
                      </w:divBdr>
                    </w:div>
                  </w:divsChild>
                </w:div>
                <w:div w:id="650673695">
                  <w:marLeft w:val="0"/>
                  <w:marRight w:val="0"/>
                  <w:marTop w:val="0"/>
                  <w:marBottom w:val="0"/>
                  <w:divBdr>
                    <w:top w:val="none" w:sz="0" w:space="0" w:color="auto"/>
                    <w:left w:val="none" w:sz="0" w:space="0" w:color="auto"/>
                    <w:bottom w:val="none" w:sz="0" w:space="0" w:color="auto"/>
                    <w:right w:val="none" w:sz="0" w:space="0" w:color="auto"/>
                  </w:divBdr>
                  <w:divsChild>
                    <w:div w:id="2136824032">
                      <w:marLeft w:val="0"/>
                      <w:marRight w:val="0"/>
                      <w:marTop w:val="0"/>
                      <w:marBottom w:val="0"/>
                      <w:divBdr>
                        <w:top w:val="none" w:sz="0" w:space="0" w:color="auto"/>
                        <w:left w:val="none" w:sz="0" w:space="0" w:color="auto"/>
                        <w:bottom w:val="none" w:sz="0" w:space="0" w:color="auto"/>
                        <w:right w:val="none" w:sz="0" w:space="0" w:color="auto"/>
                      </w:divBdr>
                    </w:div>
                  </w:divsChild>
                </w:div>
                <w:div w:id="700135275">
                  <w:marLeft w:val="0"/>
                  <w:marRight w:val="0"/>
                  <w:marTop w:val="0"/>
                  <w:marBottom w:val="0"/>
                  <w:divBdr>
                    <w:top w:val="none" w:sz="0" w:space="0" w:color="auto"/>
                    <w:left w:val="none" w:sz="0" w:space="0" w:color="auto"/>
                    <w:bottom w:val="none" w:sz="0" w:space="0" w:color="auto"/>
                    <w:right w:val="none" w:sz="0" w:space="0" w:color="auto"/>
                  </w:divBdr>
                  <w:divsChild>
                    <w:div w:id="1288193810">
                      <w:marLeft w:val="0"/>
                      <w:marRight w:val="0"/>
                      <w:marTop w:val="0"/>
                      <w:marBottom w:val="0"/>
                      <w:divBdr>
                        <w:top w:val="none" w:sz="0" w:space="0" w:color="auto"/>
                        <w:left w:val="none" w:sz="0" w:space="0" w:color="auto"/>
                        <w:bottom w:val="none" w:sz="0" w:space="0" w:color="auto"/>
                        <w:right w:val="none" w:sz="0" w:space="0" w:color="auto"/>
                      </w:divBdr>
                    </w:div>
                  </w:divsChild>
                </w:div>
                <w:div w:id="854079559">
                  <w:marLeft w:val="0"/>
                  <w:marRight w:val="0"/>
                  <w:marTop w:val="0"/>
                  <w:marBottom w:val="0"/>
                  <w:divBdr>
                    <w:top w:val="none" w:sz="0" w:space="0" w:color="auto"/>
                    <w:left w:val="none" w:sz="0" w:space="0" w:color="auto"/>
                    <w:bottom w:val="none" w:sz="0" w:space="0" w:color="auto"/>
                    <w:right w:val="none" w:sz="0" w:space="0" w:color="auto"/>
                  </w:divBdr>
                  <w:divsChild>
                    <w:div w:id="355353723">
                      <w:marLeft w:val="0"/>
                      <w:marRight w:val="0"/>
                      <w:marTop w:val="0"/>
                      <w:marBottom w:val="0"/>
                      <w:divBdr>
                        <w:top w:val="none" w:sz="0" w:space="0" w:color="auto"/>
                        <w:left w:val="none" w:sz="0" w:space="0" w:color="auto"/>
                        <w:bottom w:val="none" w:sz="0" w:space="0" w:color="auto"/>
                        <w:right w:val="none" w:sz="0" w:space="0" w:color="auto"/>
                      </w:divBdr>
                    </w:div>
                  </w:divsChild>
                </w:div>
                <w:div w:id="982539720">
                  <w:marLeft w:val="0"/>
                  <w:marRight w:val="0"/>
                  <w:marTop w:val="0"/>
                  <w:marBottom w:val="0"/>
                  <w:divBdr>
                    <w:top w:val="none" w:sz="0" w:space="0" w:color="auto"/>
                    <w:left w:val="none" w:sz="0" w:space="0" w:color="auto"/>
                    <w:bottom w:val="none" w:sz="0" w:space="0" w:color="auto"/>
                    <w:right w:val="none" w:sz="0" w:space="0" w:color="auto"/>
                  </w:divBdr>
                  <w:divsChild>
                    <w:div w:id="1871256786">
                      <w:marLeft w:val="0"/>
                      <w:marRight w:val="0"/>
                      <w:marTop w:val="0"/>
                      <w:marBottom w:val="0"/>
                      <w:divBdr>
                        <w:top w:val="none" w:sz="0" w:space="0" w:color="auto"/>
                        <w:left w:val="none" w:sz="0" w:space="0" w:color="auto"/>
                        <w:bottom w:val="none" w:sz="0" w:space="0" w:color="auto"/>
                        <w:right w:val="none" w:sz="0" w:space="0" w:color="auto"/>
                      </w:divBdr>
                    </w:div>
                  </w:divsChild>
                </w:div>
                <w:div w:id="1306398818">
                  <w:marLeft w:val="0"/>
                  <w:marRight w:val="0"/>
                  <w:marTop w:val="0"/>
                  <w:marBottom w:val="0"/>
                  <w:divBdr>
                    <w:top w:val="none" w:sz="0" w:space="0" w:color="auto"/>
                    <w:left w:val="none" w:sz="0" w:space="0" w:color="auto"/>
                    <w:bottom w:val="none" w:sz="0" w:space="0" w:color="auto"/>
                    <w:right w:val="none" w:sz="0" w:space="0" w:color="auto"/>
                  </w:divBdr>
                  <w:divsChild>
                    <w:div w:id="445002144">
                      <w:marLeft w:val="0"/>
                      <w:marRight w:val="0"/>
                      <w:marTop w:val="0"/>
                      <w:marBottom w:val="0"/>
                      <w:divBdr>
                        <w:top w:val="none" w:sz="0" w:space="0" w:color="auto"/>
                        <w:left w:val="none" w:sz="0" w:space="0" w:color="auto"/>
                        <w:bottom w:val="none" w:sz="0" w:space="0" w:color="auto"/>
                        <w:right w:val="none" w:sz="0" w:space="0" w:color="auto"/>
                      </w:divBdr>
                    </w:div>
                  </w:divsChild>
                </w:div>
                <w:div w:id="1395395783">
                  <w:marLeft w:val="0"/>
                  <w:marRight w:val="0"/>
                  <w:marTop w:val="0"/>
                  <w:marBottom w:val="0"/>
                  <w:divBdr>
                    <w:top w:val="none" w:sz="0" w:space="0" w:color="auto"/>
                    <w:left w:val="none" w:sz="0" w:space="0" w:color="auto"/>
                    <w:bottom w:val="none" w:sz="0" w:space="0" w:color="auto"/>
                    <w:right w:val="none" w:sz="0" w:space="0" w:color="auto"/>
                  </w:divBdr>
                  <w:divsChild>
                    <w:div w:id="231742488">
                      <w:marLeft w:val="0"/>
                      <w:marRight w:val="0"/>
                      <w:marTop w:val="0"/>
                      <w:marBottom w:val="0"/>
                      <w:divBdr>
                        <w:top w:val="none" w:sz="0" w:space="0" w:color="auto"/>
                        <w:left w:val="none" w:sz="0" w:space="0" w:color="auto"/>
                        <w:bottom w:val="none" w:sz="0" w:space="0" w:color="auto"/>
                        <w:right w:val="none" w:sz="0" w:space="0" w:color="auto"/>
                      </w:divBdr>
                    </w:div>
                  </w:divsChild>
                </w:div>
                <w:div w:id="1619409648">
                  <w:marLeft w:val="0"/>
                  <w:marRight w:val="0"/>
                  <w:marTop w:val="0"/>
                  <w:marBottom w:val="0"/>
                  <w:divBdr>
                    <w:top w:val="none" w:sz="0" w:space="0" w:color="auto"/>
                    <w:left w:val="none" w:sz="0" w:space="0" w:color="auto"/>
                    <w:bottom w:val="none" w:sz="0" w:space="0" w:color="auto"/>
                    <w:right w:val="none" w:sz="0" w:space="0" w:color="auto"/>
                  </w:divBdr>
                  <w:divsChild>
                    <w:div w:id="304241709">
                      <w:marLeft w:val="0"/>
                      <w:marRight w:val="0"/>
                      <w:marTop w:val="0"/>
                      <w:marBottom w:val="0"/>
                      <w:divBdr>
                        <w:top w:val="none" w:sz="0" w:space="0" w:color="auto"/>
                        <w:left w:val="none" w:sz="0" w:space="0" w:color="auto"/>
                        <w:bottom w:val="none" w:sz="0" w:space="0" w:color="auto"/>
                        <w:right w:val="none" w:sz="0" w:space="0" w:color="auto"/>
                      </w:divBdr>
                    </w:div>
                  </w:divsChild>
                </w:div>
                <w:div w:id="1714573133">
                  <w:marLeft w:val="0"/>
                  <w:marRight w:val="0"/>
                  <w:marTop w:val="0"/>
                  <w:marBottom w:val="0"/>
                  <w:divBdr>
                    <w:top w:val="none" w:sz="0" w:space="0" w:color="auto"/>
                    <w:left w:val="none" w:sz="0" w:space="0" w:color="auto"/>
                    <w:bottom w:val="none" w:sz="0" w:space="0" w:color="auto"/>
                    <w:right w:val="none" w:sz="0" w:space="0" w:color="auto"/>
                  </w:divBdr>
                  <w:divsChild>
                    <w:div w:id="693070318">
                      <w:marLeft w:val="0"/>
                      <w:marRight w:val="0"/>
                      <w:marTop w:val="0"/>
                      <w:marBottom w:val="0"/>
                      <w:divBdr>
                        <w:top w:val="none" w:sz="0" w:space="0" w:color="auto"/>
                        <w:left w:val="none" w:sz="0" w:space="0" w:color="auto"/>
                        <w:bottom w:val="none" w:sz="0" w:space="0" w:color="auto"/>
                        <w:right w:val="none" w:sz="0" w:space="0" w:color="auto"/>
                      </w:divBdr>
                    </w:div>
                  </w:divsChild>
                </w:div>
                <w:div w:id="1731228604">
                  <w:marLeft w:val="0"/>
                  <w:marRight w:val="0"/>
                  <w:marTop w:val="0"/>
                  <w:marBottom w:val="0"/>
                  <w:divBdr>
                    <w:top w:val="none" w:sz="0" w:space="0" w:color="auto"/>
                    <w:left w:val="none" w:sz="0" w:space="0" w:color="auto"/>
                    <w:bottom w:val="none" w:sz="0" w:space="0" w:color="auto"/>
                    <w:right w:val="none" w:sz="0" w:space="0" w:color="auto"/>
                  </w:divBdr>
                  <w:divsChild>
                    <w:div w:id="1069881352">
                      <w:marLeft w:val="0"/>
                      <w:marRight w:val="0"/>
                      <w:marTop w:val="0"/>
                      <w:marBottom w:val="0"/>
                      <w:divBdr>
                        <w:top w:val="none" w:sz="0" w:space="0" w:color="auto"/>
                        <w:left w:val="none" w:sz="0" w:space="0" w:color="auto"/>
                        <w:bottom w:val="none" w:sz="0" w:space="0" w:color="auto"/>
                        <w:right w:val="none" w:sz="0" w:space="0" w:color="auto"/>
                      </w:divBdr>
                    </w:div>
                  </w:divsChild>
                </w:div>
                <w:div w:id="1756783545">
                  <w:marLeft w:val="0"/>
                  <w:marRight w:val="0"/>
                  <w:marTop w:val="0"/>
                  <w:marBottom w:val="0"/>
                  <w:divBdr>
                    <w:top w:val="none" w:sz="0" w:space="0" w:color="auto"/>
                    <w:left w:val="none" w:sz="0" w:space="0" w:color="auto"/>
                    <w:bottom w:val="none" w:sz="0" w:space="0" w:color="auto"/>
                    <w:right w:val="none" w:sz="0" w:space="0" w:color="auto"/>
                  </w:divBdr>
                  <w:divsChild>
                    <w:div w:id="196506231">
                      <w:marLeft w:val="0"/>
                      <w:marRight w:val="0"/>
                      <w:marTop w:val="0"/>
                      <w:marBottom w:val="0"/>
                      <w:divBdr>
                        <w:top w:val="none" w:sz="0" w:space="0" w:color="auto"/>
                        <w:left w:val="none" w:sz="0" w:space="0" w:color="auto"/>
                        <w:bottom w:val="none" w:sz="0" w:space="0" w:color="auto"/>
                        <w:right w:val="none" w:sz="0" w:space="0" w:color="auto"/>
                      </w:divBdr>
                    </w:div>
                  </w:divsChild>
                </w:div>
                <w:div w:id="1872723856">
                  <w:marLeft w:val="0"/>
                  <w:marRight w:val="0"/>
                  <w:marTop w:val="0"/>
                  <w:marBottom w:val="0"/>
                  <w:divBdr>
                    <w:top w:val="none" w:sz="0" w:space="0" w:color="auto"/>
                    <w:left w:val="none" w:sz="0" w:space="0" w:color="auto"/>
                    <w:bottom w:val="none" w:sz="0" w:space="0" w:color="auto"/>
                    <w:right w:val="none" w:sz="0" w:space="0" w:color="auto"/>
                  </w:divBdr>
                  <w:divsChild>
                    <w:div w:id="1521311804">
                      <w:marLeft w:val="0"/>
                      <w:marRight w:val="0"/>
                      <w:marTop w:val="0"/>
                      <w:marBottom w:val="0"/>
                      <w:divBdr>
                        <w:top w:val="none" w:sz="0" w:space="0" w:color="auto"/>
                        <w:left w:val="none" w:sz="0" w:space="0" w:color="auto"/>
                        <w:bottom w:val="none" w:sz="0" w:space="0" w:color="auto"/>
                        <w:right w:val="none" w:sz="0" w:space="0" w:color="auto"/>
                      </w:divBdr>
                    </w:div>
                  </w:divsChild>
                </w:div>
                <w:div w:id="1875384444">
                  <w:marLeft w:val="0"/>
                  <w:marRight w:val="0"/>
                  <w:marTop w:val="0"/>
                  <w:marBottom w:val="0"/>
                  <w:divBdr>
                    <w:top w:val="none" w:sz="0" w:space="0" w:color="auto"/>
                    <w:left w:val="none" w:sz="0" w:space="0" w:color="auto"/>
                    <w:bottom w:val="none" w:sz="0" w:space="0" w:color="auto"/>
                    <w:right w:val="none" w:sz="0" w:space="0" w:color="auto"/>
                  </w:divBdr>
                  <w:divsChild>
                    <w:div w:id="1498764253">
                      <w:marLeft w:val="0"/>
                      <w:marRight w:val="0"/>
                      <w:marTop w:val="0"/>
                      <w:marBottom w:val="0"/>
                      <w:divBdr>
                        <w:top w:val="none" w:sz="0" w:space="0" w:color="auto"/>
                        <w:left w:val="none" w:sz="0" w:space="0" w:color="auto"/>
                        <w:bottom w:val="none" w:sz="0" w:space="0" w:color="auto"/>
                        <w:right w:val="none" w:sz="0" w:space="0" w:color="auto"/>
                      </w:divBdr>
                    </w:div>
                  </w:divsChild>
                </w:div>
                <w:div w:id="2070222574">
                  <w:marLeft w:val="0"/>
                  <w:marRight w:val="0"/>
                  <w:marTop w:val="0"/>
                  <w:marBottom w:val="0"/>
                  <w:divBdr>
                    <w:top w:val="none" w:sz="0" w:space="0" w:color="auto"/>
                    <w:left w:val="none" w:sz="0" w:space="0" w:color="auto"/>
                    <w:bottom w:val="none" w:sz="0" w:space="0" w:color="auto"/>
                    <w:right w:val="none" w:sz="0" w:space="0" w:color="auto"/>
                  </w:divBdr>
                  <w:divsChild>
                    <w:div w:id="1389379021">
                      <w:marLeft w:val="0"/>
                      <w:marRight w:val="0"/>
                      <w:marTop w:val="0"/>
                      <w:marBottom w:val="0"/>
                      <w:divBdr>
                        <w:top w:val="none" w:sz="0" w:space="0" w:color="auto"/>
                        <w:left w:val="none" w:sz="0" w:space="0" w:color="auto"/>
                        <w:bottom w:val="none" w:sz="0" w:space="0" w:color="auto"/>
                        <w:right w:val="none" w:sz="0" w:space="0" w:color="auto"/>
                      </w:divBdr>
                    </w:div>
                  </w:divsChild>
                </w:div>
                <w:div w:id="2076926858">
                  <w:marLeft w:val="0"/>
                  <w:marRight w:val="0"/>
                  <w:marTop w:val="0"/>
                  <w:marBottom w:val="0"/>
                  <w:divBdr>
                    <w:top w:val="none" w:sz="0" w:space="0" w:color="auto"/>
                    <w:left w:val="none" w:sz="0" w:space="0" w:color="auto"/>
                    <w:bottom w:val="none" w:sz="0" w:space="0" w:color="auto"/>
                    <w:right w:val="none" w:sz="0" w:space="0" w:color="auto"/>
                  </w:divBdr>
                  <w:divsChild>
                    <w:div w:id="17858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287927">
          <w:marLeft w:val="0"/>
          <w:marRight w:val="0"/>
          <w:marTop w:val="0"/>
          <w:marBottom w:val="0"/>
          <w:divBdr>
            <w:top w:val="none" w:sz="0" w:space="0" w:color="auto"/>
            <w:left w:val="none" w:sz="0" w:space="0" w:color="auto"/>
            <w:bottom w:val="none" w:sz="0" w:space="0" w:color="auto"/>
            <w:right w:val="none" w:sz="0" w:space="0" w:color="auto"/>
          </w:divBdr>
          <w:divsChild>
            <w:div w:id="131560912">
              <w:marLeft w:val="0"/>
              <w:marRight w:val="0"/>
              <w:marTop w:val="0"/>
              <w:marBottom w:val="0"/>
              <w:divBdr>
                <w:top w:val="none" w:sz="0" w:space="0" w:color="auto"/>
                <w:left w:val="none" w:sz="0" w:space="0" w:color="auto"/>
                <w:bottom w:val="none" w:sz="0" w:space="0" w:color="auto"/>
                <w:right w:val="none" w:sz="0" w:space="0" w:color="auto"/>
              </w:divBdr>
            </w:div>
            <w:div w:id="212080027">
              <w:marLeft w:val="0"/>
              <w:marRight w:val="0"/>
              <w:marTop w:val="0"/>
              <w:marBottom w:val="0"/>
              <w:divBdr>
                <w:top w:val="none" w:sz="0" w:space="0" w:color="auto"/>
                <w:left w:val="none" w:sz="0" w:space="0" w:color="auto"/>
                <w:bottom w:val="none" w:sz="0" w:space="0" w:color="auto"/>
                <w:right w:val="none" w:sz="0" w:space="0" w:color="auto"/>
              </w:divBdr>
            </w:div>
            <w:div w:id="269435144">
              <w:marLeft w:val="0"/>
              <w:marRight w:val="0"/>
              <w:marTop w:val="0"/>
              <w:marBottom w:val="0"/>
              <w:divBdr>
                <w:top w:val="none" w:sz="0" w:space="0" w:color="auto"/>
                <w:left w:val="none" w:sz="0" w:space="0" w:color="auto"/>
                <w:bottom w:val="none" w:sz="0" w:space="0" w:color="auto"/>
                <w:right w:val="none" w:sz="0" w:space="0" w:color="auto"/>
              </w:divBdr>
            </w:div>
            <w:div w:id="572205760">
              <w:marLeft w:val="0"/>
              <w:marRight w:val="0"/>
              <w:marTop w:val="0"/>
              <w:marBottom w:val="0"/>
              <w:divBdr>
                <w:top w:val="none" w:sz="0" w:space="0" w:color="auto"/>
                <w:left w:val="none" w:sz="0" w:space="0" w:color="auto"/>
                <w:bottom w:val="none" w:sz="0" w:space="0" w:color="auto"/>
                <w:right w:val="none" w:sz="0" w:space="0" w:color="auto"/>
              </w:divBdr>
            </w:div>
            <w:div w:id="699745299">
              <w:marLeft w:val="0"/>
              <w:marRight w:val="0"/>
              <w:marTop w:val="0"/>
              <w:marBottom w:val="0"/>
              <w:divBdr>
                <w:top w:val="none" w:sz="0" w:space="0" w:color="auto"/>
                <w:left w:val="none" w:sz="0" w:space="0" w:color="auto"/>
                <w:bottom w:val="none" w:sz="0" w:space="0" w:color="auto"/>
                <w:right w:val="none" w:sz="0" w:space="0" w:color="auto"/>
              </w:divBdr>
            </w:div>
            <w:div w:id="822547382">
              <w:marLeft w:val="0"/>
              <w:marRight w:val="0"/>
              <w:marTop w:val="0"/>
              <w:marBottom w:val="0"/>
              <w:divBdr>
                <w:top w:val="none" w:sz="0" w:space="0" w:color="auto"/>
                <w:left w:val="none" w:sz="0" w:space="0" w:color="auto"/>
                <w:bottom w:val="none" w:sz="0" w:space="0" w:color="auto"/>
                <w:right w:val="none" w:sz="0" w:space="0" w:color="auto"/>
              </w:divBdr>
            </w:div>
            <w:div w:id="1134445589">
              <w:marLeft w:val="0"/>
              <w:marRight w:val="0"/>
              <w:marTop w:val="0"/>
              <w:marBottom w:val="0"/>
              <w:divBdr>
                <w:top w:val="none" w:sz="0" w:space="0" w:color="auto"/>
                <w:left w:val="none" w:sz="0" w:space="0" w:color="auto"/>
                <w:bottom w:val="none" w:sz="0" w:space="0" w:color="auto"/>
                <w:right w:val="none" w:sz="0" w:space="0" w:color="auto"/>
              </w:divBdr>
            </w:div>
            <w:div w:id="1180196044">
              <w:marLeft w:val="0"/>
              <w:marRight w:val="0"/>
              <w:marTop w:val="0"/>
              <w:marBottom w:val="0"/>
              <w:divBdr>
                <w:top w:val="none" w:sz="0" w:space="0" w:color="auto"/>
                <w:left w:val="none" w:sz="0" w:space="0" w:color="auto"/>
                <w:bottom w:val="none" w:sz="0" w:space="0" w:color="auto"/>
                <w:right w:val="none" w:sz="0" w:space="0" w:color="auto"/>
              </w:divBdr>
            </w:div>
            <w:div w:id="1264336904">
              <w:marLeft w:val="0"/>
              <w:marRight w:val="0"/>
              <w:marTop w:val="0"/>
              <w:marBottom w:val="0"/>
              <w:divBdr>
                <w:top w:val="none" w:sz="0" w:space="0" w:color="auto"/>
                <w:left w:val="none" w:sz="0" w:space="0" w:color="auto"/>
                <w:bottom w:val="none" w:sz="0" w:space="0" w:color="auto"/>
                <w:right w:val="none" w:sz="0" w:space="0" w:color="auto"/>
              </w:divBdr>
            </w:div>
            <w:div w:id="1348604361">
              <w:marLeft w:val="0"/>
              <w:marRight w:val="0"/>
              <w:marTop w:val="0"/>
              <w:marBottom w:val="0"/>
              <w:divBdr>
                <w:top w:val="none" w:sz="0" w:space="0" w:color="auto"/>
                <w:left w:val="none" w:sz="0" w:space="0" w:color="auto"/>
                <w:bottom w:val="none" w:sz="0" w:space="0" w:color="auto"/>
                <w:right w:val="none" w:sz="0" w:space="0" w:color="auto"/>
              </w:divBdr>
            </w:div>
            <w:div w:id="1409762612">
              <w:marLeft w:val="0"/>
              <w:marRight w:val="0"/>
              <w:marTop w:val="0"/>
              <w:marBottom w:val="0"/>
              <w:divBdr>
                <w:top w:val="none" w:sz="0" w:space="0" w:color="auto"/>
                <w:left w:val="none" w:sz="0" w:space="0" w:color="auto"/>
                <w:bottom w:val="none" w:sz="0" w:space="0" w:color="auto"/>
                <w:right w:val="none" w:sz="0" w:space="0" w:color="auto"/>
              </w:divBdr>
            </w:div>
            <w:div w:id="1415278046">
              <w:marLeft w:val="0"/>
              <w:marRight w:val="0"/>
              <w:marTop w:val="0"/>
              <w:marBottom w:val="0"/>
              <w:divBdr>
                <w:top w:val="none" w:sz="0" w:space="0" w:color="auto"/>
                <w:left w:val="none" w:sz="0" w:space="0" w:color="auto"/>
                <w:bottom w:val="none" w:sz="0" w:space="0" w:color="auto"/>
                <w:right w:val="none" w:sz="0" w:space="0" w:color="auto"/>
              </w:divBdr>
            </w:div>
            <w:div w:id="1446727313">
              <w:marLeft w:val="0"/>
              <w:marRight w:val="0"/>
              <w:marTop w:val="0"/>
              <w:marBottom w:val="0"/>
              <w:divBdr>
                <w:top w:val="none" w:sz="0" w:space="0" w:color="auto"/>
                <w:left w:val="none" w:sz="0" w:space="0" w:color="auto"/>
                <w:bottom w:val="none" w:sz="0" w:space="0" w:color="auto"/>
                <w:right w:val="none" w:sz="0" w:space="0" w:color="auto"/>
              </w:divBdr>
            </w:div>
            <w:div w:id="1537503496">
              <w:marLeft w:val="0"/>
              <w:marRight w:val="0"/>
              <w:marTop w:val="0"/>
              <w:marBottom w:val="0"/>
              <w:divBdr>
                <w:top w:val="none" w:sz="0" w:space="0" w:color="auto"/>
                <w:left w:val="none" w:sz="0" w:space="0" w:color="auto"/>
                <w:bottom w:val="none" w:sz="0" w:space="0" w:color="auto"/>
                <w:right w:val="none" w:sz="0" w:space="0" w:color="auto"/>
              </w:divBdr>
            </w:div>
            <w:div w:id="1614747876">
              <w:marLeft w:val="0"/>
              <w:marRight w:val="0"/>
              <w:marTop w:val="0"/>
              <w:marBottom w:val="0"/>
              <w:divBdr>
                <w:top w:val="none" w:sz="0" w:space="0" w:color="auto"/>
                <w:left w:val="none" w:sz="0" w:space="0" w:color="auto"/>
                <w:bottom w:val="none" w:sz="0" w:space="0" w:color="auto"/>
                <w:right w:val="none" w:sz="0" w:space="0" w:color="auto"/>
              </w:divBdr>
            </w:div>
            <w:div w:id="1629584119">
              <w:marLeft w:val="0"/>
              <w:marRight w:val="0"/>
              <w:marTop w:val="0"/>
              <w:marBottom w:val="0"/>
              <w:divBdr>
                <w:top w:val="none" w:sz="0" w:space="0" w:color="auto"/>
                <w:left w:val="none" w:sz="0" w:space="0" w:color="auto"/>
                <w:bottom w:val="none" w:sz="0" w:space="0" w:color="auto"/>
                <w:right w:val="none" w:sz="0" w:space="0" w:color="auto"/>
              </w:divBdr>
            </w:div>
            <w:div w:id="1706057336">
              <w:marLeft w:val="0"/>
              <w:marRight w:val="0"/>
              <w:marTop w:val="0"/>
              <w:marBottom w:val="0"/>
              <w:divBdr>
                <w:top w:val="none" w:sz="0" w:space="0" w:color="auto"/>
                <w:left w:val="none" w:sz="0" w:space="0" w:color="auto"/>
                <w:bottom w:val="none" w:sz="0" w:space="0" w:color="auto"/>
                <w:right w:val="none" w:sz="0" w:space="0" w:color="auto"/>
              </w:divBdr>
            </w:div>
            <w:div w:id="1751927857">
              <w:marLeft w:val="0"/>
              <w:marRight w:val="0"/>
              <w:marTop w:val="0"/>
              <w:marBottom w:val="0"/>
              <w:divBdr>
                <w:top w:val="none" w:sz="0" w:space="0" w:color="auto"/>
                <w:left w:val="none" w:sz="0" w:space="0" w:color="auto"/>
                <w:bottom w:val="none" w:sz="0" w:space="0" w:color="auto"/>
                <w:right w:val="none" w:sz="0" w:space="0" w:color="auto"/>
              </w:divBdr>
            </w:div>
            <w:div w:id="1888374934">
              <w:marLeft w:val="0"/>
              <w:marRight w:val="0"/>
              <w:marTop w:val="0"/>
              <w:marBottom w:val="0"/>
              <w:divBdr>
                <w:top w:val="none" w:sz="0" w:space="0" w:color="auto"/>
                <w:left w:val="none" w:sz="0" w:space="0" w:color="auto"/>
                <w:bottom w:val="none" w:sz="0" w:space="0" w:color="auto"/>
                <w:right w:val="none" w:sz="0" w:space="0" w:color="auto"/>
              </w:divBdr>
            </w:div>
            <w:div w:id="2133664439">
              <w:marLeft w:val="0"/>
              <w:marRight w:val="0"/>
              <w:marTop w:val="0"/>
              <w:marBottom w:val="0"/>
              <w:divBdr>
                <w:top w:val="none" w:sz="0" w:space="0" w:color="auto"/>
                <w:left w:val="none" w:sz="0" w:space="0" w:color="auto"/>
                <w:bottom w:val="none" w:sz="0" w:space="0" w:color="auto"/>
                <w:right w:val="none" w:sz="0" w:space="0" w:color="auto"/>
              </w:divBdr>
            </w:div>
          </w:divsChild>
        </w:div>
        <w:div w:id="476455474">
          <w:marLeft w:val="0"/>
          <w:marRight w:val="0"/>
          <w:marTop w:val="0"/>
          <w:marBottom w:val="0"/>
          <w:divBdr>
            <w:top w:val="none" w:sz="0" w:space="0" w:color="auto"/>
            <w:left w:val="none" w:sz="0" w:space="0" w:color="auto"/>
            <w:bottom w:val="none" w:sz="0" w:space="0" w:color="auto"/>
            <w:right w:val="none" w:sz="0" w:space="0" w:color="auto"/>
          </w:divBdr>
          <w:divsChild>
            <w:div w:id="209850577">
              <w:marLeft w:val="0"/>
              <w:marRight w:val="0"/>
              <w:marTop w:val="0"/>
              <w:marBottom w:val="0"/>
              <w:divBdr>
                <w:top w:val="none" w:sz="0" w:space="0" w:color="auto"/>
                <w:left w:val="none" w:sz="0" w:space="0" w:color="auto"/>
                <w:bottom w:val="none" w:sz="0" w:space="0" w:color="auto"/>
                <w:right w:val="none" w:sz="0" w:space="0" w:color="auto"/>
              </w:divBdr>
            </w:div>
            <w:div w:id="246889630">
              <w:marLeft w:val="0"/>
              <w:marRight w:val="0"/>
              <w:marTop w:val="0"/>
              <w:marBottom w:val="0"/>
              <w:divBdr>
                <w:top w:val="none" w:sz="0" w:space="0" w:color="auto"/>
                <w:left w:val="none" w:sz="0" w:space="0" w:color="auto"/>
                <w:bottom w:val="none" w:sz="0" w:space="0" w:color="auto"/>
                <w:right w:val="none" w:sz="0" w:space="0" w:color="auto"/>
              </w:divBdr>
            </w:div>
            <w:div w:id="514422975">
              <w:marLeft w:val="0"/>
              <w:marRight w:val="0"/>
              <w:marTop w:val="0"/>
              <w:marBottom w:val="0"/>
              <w:divBdr>
                <w:top w:val="none" w:sz="0" w:space="0" w:color="auto"/>
                <w:left w:val="none" w:sz="0" w:space="0" w:color="auto"/>
                <w:bottom w:val="none" w:sz="0" w:space="0" w:color="auto"/>
                <w:right w:val="none" w:sz="0" w:space="0" w:color="auto"/>
              </w:divBdr>
            </w:div>
            <w:div w:id="614562063">
              <w:marLeft w:val="0"/>
              <w:marRight w:val="0"/>
              <w:marTop w:val="0"/>
              <w:marBottom w:val="0"/>
              <w:divBdr>
                <w:top w:val="none" w:sz="0" w:space="0" w:color="auto"/>
                <w:left w:val="none" w:sz="0" w:space="0" w:color="auto"/>
                <w:bottom w:val="none" w:sz="0" w:space="0" w:color="auto"/>
                <w:right w:val="none" w:sz="0" w:space="0" w:color="auto"/>
              </w:divBdr>
            </w:div>
            <w:div w:id="681391717">
              <w:marLeft w:val="0"/>
              <w:marRight w:val="0"/>
              <w:marTop w:val="0"/>
              <w:marBottom w:val="0"/>
              <w:divBdr>
                <w:top w:val="none" w:sz="0" w:space="0" w:color="auto"/>
                <w:left w:val="none" w:sz="0" w:space="0" w:color="auto"/>
                <w:bottom w:val="none" w:sz="0" w:space="0" w:color="auto"/>
                <w:right w:val="none" w:sz="0" w:space="0" w:color="auto"/>
              </w:divBdr>
            </w:div>
            <w:div w:id="728697537">
              <w:marLeft w:val="0"/>
              <w:marRight w:val="0"/>
              <w:marTop w:val="0"/>
              <w:marBottom w:val="0"/>
              <w:divBdr>
                <w:top w:val="none" w:sz="0" w:space="0" w:color="auto"/>
                <w:left w:val="none" w:sz="0" w:space="0" w:color="auto"/>
                <w:bottom w:val="none" w:sz="0" w:space="0" w:color="auto"/>
                <w:right w:val="none" w:sz="0" w:space="0" w:color="auto"/>
              </w:divBdr>
            </w:div>
            <w:div w:id="786047044">
              <w:marLeft w:val="0"/>
              <w:marRight w:val="0"/>
              <w:marTop w:val="0"/>
              <w:marBottom w:val="0"/>
              <w:divBdr>
                <w:top w:val="none" w:sz="0" w:space="0" w:color="auto"/>
                <w:left w:val="none" w:sz="0" w:space="0" w:color="auto"/>
                <w:bottom w:val="none" w:sz="0" w:space="0" w:color="auto"/>
                <w:right w:val="none" w:sz="0" w:space="0" w:color="auto"/>
              </w:divBdr>
            </w:div>
            <w:div w:id="788203980">
              <w:marLeft w:val="0"/>
              <w:marRight w:val="0"/>
              <w:marTop w:val="0"/>
              <w:marBottom w:val="0"/>
              <w:divBdr>
                <w:top w:val="none" w:sz="0" w:space="0" w:color="auto"/>
                <w:left w:val="none" w:sz="0" w:space="0" w:color="auto"/>
                <w:bottom w:val="none" w:sz="0" w:space="0" w:color="auto"/>
                <w:right w:val="none" w:sz="0" w:space="0" w:color="auto"/>
              </w:divBdr>
            </w:div>
            <w:div w:id="847863687">
              <w:marLeft w:val="0"/>
              <w:marRight w:val="0"/>
              <w:marTop w:val="0"/>
              <w:marBottom w:val="0"/>
              <w:divBdr>
                <w:top w:val="none" w:sz="0" w:space="0" w:color="auto"/>
                <w:left w:val="none" w:sz="0" w:space="0" w:color="auto"/>
                <w:bottom w:val="none" w:sz="0" w:space="0" w:color="auto"/>
                <w:right w:val="none" w:sz="0" w:space="0" w:color="auto"/>
              </w:divBdr>
            </w:div>
            <w:div w:id="878126818">
              <w:marLeft w:val="0"/>
              <w:marRight w:val="0"/>
              <w:marTop w:val="0"/>
              <w:marBottom w:val="0"/>
              <w:divBdr>
                <w:top w:val="none" w:sz="0" w:space="0" w:color="auto"/>
                <w:left w:val="none" w:sz="0" w:space="0" w:color="auto"/>
                <w:bottom w:val="none" w:sz="0" w:space="0" w:color="auto"/>
                <w:right w:val="none" w:sz="0" w:space="0" w:color="auto"/>
              </w:divBdr>
            </w:div>
            <w:div w:id="947811449">
              <w:marLeft w:val="0"/>
              <w:marRight w:val="0"/>
              <w:marTop w:val="0"/>
              <w:marBottom w:val="0"/>
              <w:divBdr>
                <w:top w:val="none" w:sz="0" w:space="0" w:color="auto"/>
                <w:left w:val="none" w:sz="0" w:space="0" w:color="auto"/>
                <w:bottom w:val="none" w:sz="0" w:space="0" w:color="auto"/>
                <w:right w:val="none" w:sz="0" w:space="0" w:color="auto"/>
              </w:divBdr>
            </w:div>
            <w:div w:id="1034430467">
              <w:marLeft w:val="0"/>
              <w:marRight w:val="0"/>
              <w:marTop w:val="0"/>
              <w:marBottom w:val="0"/>
              <w:divBdr>
                <w:top w:val="none" w:sz="0" w:space="0" w:color="auto"/>
                <w:left w:val="none" w:sz="0" w:space="0" w:color="auto"/>
                <w:bottom w:val="none" w:sz="0" w:space="0" w:color="auto"/>
                <w:right w:val="none" w:sz="0" w:space="0" w:color="auto"/>
              </w:divBdr>
            </w:div>
            <w:div w:id="1083071422">
              <w:marLeft w:val="0"/>
              <w:marRight w:val="0"/>
              <w:marTop w:val="0"/>
              <w:marBottom w:val="0"/>
              <w:divBdr>
                <w:top w:val="none" w:sz="0" w:space="0" w:color="auto"/>
                <w:left w:val="none" w:sz="0" w:space="0" w:color="auto"/>
                <w:bottom w:val="none" w:sz="0" w:space="0" w:color="auto"/>
                <w:right w:val="none" w:sz="0" w:space="0" w:color="auto"/>
              </w:divBdr>
            </w:div>
            <w:div w:id="1473710856">
              <w:marLeft w:val="0"/>
              <w:marRight w:val="0"/>
              <w:marTop w:val="0"/>
              <w:marBottom w:val="0"/>
              <w:divBdr>
                <w:top w:val="none" w:sz="0" w:space="0" w:color="auto"/>
                <w:left w:val="none" w:sz="0" w:space="0" w:color="auto"/>
                <w:bottom w:val="none" w:sz="0" w:space="0" w:color="auto"/>
                <w:right w:val="none" w:sz="0" w:space="0" w:color="auto"/>
              </w:divBdr>
            </w:div>
            <w:div w:id="1522819453">
              <w:marLeft w:val="0"/>
              <w:marRight w:val="0"/>
              <w:marTop w:val="0"/>
              <w:marBottom w:val="0"/>
              <w:divBdr>
                <w:top w:val="none" w:sz="0" w:space="0" w:color="auto"/>
                <w:left w:val="none" w:sz="0" w:space="0" w:color="auto"/>
                <w:bottom w:val="none" w:sz="0" w:space="0" w:color="auto"/>
                <w:right w:val="none" w:sz="0" w:space="0" w:color="auto"/>
              </w:divBdr>
            </w:div>
            <w:div w:id="1522888194">
              <w:marLeft w:val="0"/>
              <w:marRight w:val="0"/>
              <w:marTop w:val="0"/>
              <w:marBottom w:val="0"/>
              <w:divBdr>
                <w:top w:val="none" w:sz="0" w:space="0" w:color="auto"/>
                <w:left w:val="none" w:sz="0" w:space="0" w:color="auto"/>
                <w:bottom w:val="none" w:sz="0" w:space="0" w:color="auto"/>
                <w:right w:val="none" w:sz="0" w:space="0" w:color="auto"/>
              </w:divBdr>
            </w:div>
            <w:div w:id="1785733393">
              <w:marLeft w:val="0"/>
              <w:marRight w:val="0"/>
              <w:marTop w:val="0"/>
              <w:marBottom w:val="0"/>
              <w:divBdr>
                <w:top w:val="none" w:sz="0" w:space="0" w:color="auto"/>
                <w:left w:val="none" w:sz="0" w:space="0" w:color="auto"/>
                <w:bottom w:val="none" w:sz="0" w:space="0" w:color="auto"/>
                <w:right w:val="none" w:sz="0" w:space="0" w:color="auto"/>
              </w:divBdr>
            </w:div>
            <w:div w:id="1847741076">
              <w:marLeft w:val="0"/>
              <w:marRight w:val="0"/>
              <w:marTop w:val="0"/>
              <w:marBottom w:val="0"/>
              <w:divBdr>
                <w:top w:val="none" w:sz="0" w:space="0" w:color="auto"/>
                <w:left w:val="none" w:sz="0" w:space="0" w:color="auto"/>
                <w:bottom w:val="none" w:sz="0" w:space="0" w:color="auto"/>
                <w:right w:val="none" w:sz="0" w:space="0" w:color="auto"/>
              </w:divBdr>
            </w:div>
            <w:div w:id="1974557705">
              <w:marLeft w:val="0"/>
              <w:marRight w:val="0"/>
              <w:marTop w:val="0"/>
              <w:marBottom w:val="0"/>
              <w:divBdr>
                <w:top w:val="none" w:sz="0" w:space="0" w:color="auto"/>
                <w:left w:val="none" w:sz="0" w:space="0" w:color="auto"/>
                <w:bottom w:val="none" w:sz="0" w:space="0" w:color="auto"/>
                <w:right w:val="none" w:sz="0" w:space="0" w:color="auto"/>
              </w:divBdr>
            </w:div>
            <w:div w:id="2054649149">
              <w:marLeft w:val="0"/>
              <w:marRight w:val="0"/>
              <w:marTop w:val="0"/>
              <w:marBottom w:val="0"/>
              <w:divBdr>
                <w:top w:val="none" w:sz="0" w:space="0" w:color="auto"/>
                <w:left w:val="none" w:sz="0" w:space="0" w:color="auto"/>
                <w:bottom w:val="none" w:sz="0" w:space="0" w:color="auto"/>
                <w:right w:val="none" w:sz="0" w:space="0" w:color="auto"/>
              </w:divBdr>
            </w:div>
          </w:divsChild>
        </w:div>
        <w:div w:id="584843468">
          <w:marLeft w:val="0"/>
          <w:marRight w:val="0"/>
          <w:marTop w:val="0"/>
          <w:marBottom w:val="0"/>
          <w:divBdr>
            <w:top w:val="none" w:sz="0" w:space="0" w:color="auto"/>
            <w:left w:val="none" w:sz="0" w:space="0" w:color="auto"/>
            <w:bottom w:val="none" w:sz="0" w:space="0" w:color="auto"/>
            <w:right w:val="none" w:sz="0" w:space="0" w:color="auto"/>
          </w:divBdr>
          <w:divsChild>
            <w:div w:id="194583966">
              <w:marLeft w:val="0"/>
              <w:marRight w:val="0"/>
              <w:marTop w:val="0"/>
              <w:marBottom w:val="0"/>
              <w:divBdr>
                <w:top w:val="none" w:sz="0" w:space="0" w:color="auto"/>
                <w:left w:val="none" w:sz="0" w:space="0" w:color="auto"/>
                <w:bottom w:val="none" w:sz="0" w:space="0" w:color="auto"/>
                <w:right w:val="none" w:sz="0" w:space="0" w:color="auto"/>
              </w:divBdr>
            </w:div>
            <w:div w:id="244461074">
              <w:marLeft w:val="0"/>
              <w:marRight w:val="0"/>
              <w:marTop w:val="0"/>
              <w:marBottom w:val="0"/>
              <w:divBdr>
                <w:top w:val="none" w:sz="0" w:space="0" w:color="auto"/>
                <w:left w:val="none" w:sz="0" w:space="0" w:color="auto"/>
                <w:bottom w:val="none" w:sz="0" w:space="0" w:color="auto"/>
                <w:right w:val="none" w:sz="0" w:space="0" w:color="auto"/>
              </w:divBdr>
            </w:div>
            <w:div w:id="831141442">
              <w:marLeft w:val="0"/>
              <w:marRight w:val="0"/>
              <w:marTop w:val="0"/>
              <w:marBottom w:val="0"/>
              <w:divBdr>
                <w:top w:val="none" w:sz="0" w:space="0" w:color="auto"/>
                <w:left w:val="none" w:sz="0" w:space="0" w:color="auto"/>
                <w:bottom w:val="none" w:sz="0" w:space="0" w:color="auto"/>
                <w:right w:val="none" w:sz="0" w:space="0" w:color="auto"/>
              </w:divBdr>
            </w:div>
            <w:div w:id="1344936759">
              <w:marLeft w:val="0"/>
              <w:marRight w:val="0"/>
              <w:marTop w:val="0"/>
              <w:marBottom w:val="0"/>
              <w:divBdr>
                <w:top w:val="none" w:sz="0" w:space="0" w:color="auto"/>
                <w:left w:val="none" w:sz="0" w:space="0" w:color="auto"/>
                <w:bottom w:val="none" w:sz="0" w:space="0" w:color="auto"/>
                <w:right w:val="none" w:sz="0" w:space="0" w:color="auto"/>
              </w:divBdr>
            </w:div>
            <w:div w:id="1628464812">
              <w:marLeft w:val="0"/>
              <w:marRight w:val="0"/>
              <w:marTop w:val="0"/>
              <w:marBottom w:val="0"/>
              <w:divBdr>
                <w:top w:val="none" w:sz="0" w:space="0" w:color="auto"/>
                <w:left w:val="none" w:sz="0" w:space="0" w:color="auto"/>
                <w:bottom w:val="none" w:sz="0" w:space="0" w:color="auto"/>
                <w:right w:val="none" w:sz="0" w:space="0" w:color="auto"/>
              </w:divBdr>
            </w:div>
            <w:div w:id="2037849250">
              <w:marLeft w:val="0"/>
              <w:marRight w:val="0"/>
              <w:marTop w:val="0"/>
              <w:marBottom w:val="0"/>
              <w:divBdr>
                <w:top w:val="none" w:sz="0" w:space="0" w:color="auto"/>
                <w:left w:val="none" w:sz="0" w:space="0" w:color="auto"/>
                <w:bottom w:val="none" w:sz="0" w:space="0" w:color="auto"/>
                <w:right w:val="none" w:sz="0" w:space="0" w:color="auto"/>
              </w:divBdr>
            </w:div>
          </w:divsChild>
        </w:div>
        <w:div w:id="693773903">
          <w:marLeft w:val="0"/>
          <w:marRight w:val="0"/>
          <w:marTop w:val="0"/>
          <w:marBottom w:val="0"/>
          <w:divBdr>
            <w:top w:val="none" w:sz="0" w:space="0" w:color="auto"/>
            <w:left w:val="none" w:sz="0" w:space="0" w:color="auto"/>
            <w:bottom w:val="none" w:sz="0" w:space="0" w:color="auto"/>
            <w:right w:val="none" w:sz="0" w:space="0" w:color="auto"/>
          </w:divBdr>
          <w:divsChild>
            <w:div w:id="6559974">
              <w:marLeft w:val="0"/>
              <w:marRight w:val="0"/>
              <w:marTop w:val="0"/>
              <w:marBottom w:val="0"/>
              <w:divBdr>
                <w:top w:val="none" w:sz="0" w:space="0" w:color="auto"/>
                <w:left w:val="none" w:sz="0" w:space="0" w:color="auto"/>
                <w:bottom w:val="none" w:sz="0" w:space="0" w:color="auto"/>
                <w:right w:val="none" w:sz="0" w:space="0" w:color="auto"/>
              </w:divBdr>
            </w:div>
            <w:div w:id="276907678">
              <w:marLeft w:val="0"/>
              <w:marRight w:val="0"/>
              <w:marTop w:val="0"/>
              <w:marBottom w:val="0"/>
              <w:divBdr>
                <w:top w:val="none" w:sz="0" w:space="0" w:color="auto"/>
                <w:left w:val="none" w:sz="0" w:space="0" w:color="auto"/>
                <w:bottom w:val="none" w:sz="0" w:space="0" w:color="auto"/>
                <w:right w:val="none" w:sz="0" w:space="0" w:color="auto"/>
              </w:divBdr>
            </w:div>
            <w:div w:id="303580612">
              <w:marLeft w:val="0"/>
              <w:marRight w:val="0"/>
              <w:marTop w:val="0"/>
              <w:marBottom w:val="0"/>
              <w:divBdr>
                <w:top w:val="none" w:sz="0" w:space="0" w:color="auto"/>
                <w:left w:val="none" w:sz="0" w:space="0" w:color="auto"/>
                <w:bottom w:val="none" w:sz="0" w:space="0" w:color="auto"/>
                <w:right w:val="none" w:sz="0" w:space="0" w:color="auto"/>
              </w:divBdr>
            </w:div>
            <w:div w:id="337738058">
              <w:marLeft w:val="0"/>
              <w:marRight w:val="0"/>
              <w:marTop w:val="0"/>
              <w:marBottom w:val="0"/>
              <w:divBdr>
                <w:top w:val="none" w:sz="0" w:space="0" w:color="auto"/>
                <w:left w:val="none" w:sz="0" w:space="0" w:color="auto"/>
                <w:bottom w:val="none" w:sz="0" w:space="0" w:color="auto"/>
                <w:right w:val="none" w:sz="0" w:space="0" w:color="auto"/>
              </w:divBdr>
            </w:div>
            <w:div w:id="365570812">
              <w:marLeft w:val="0"/>
              <w:marRight w:val="0"/>
              <w:marTop w:val="0"/>
              <w:marBottom w:val="0"/>
              <w:divBdr>
                <w:top w:val="none" w:sz="0" w:space="0" w:color="auto"/>
                <w:left w:val="none" w:sz="0" w:space="0" w:color="auto"/>
                <w:bottom w:val="none" w:sz="0" w:space="0" w:color="auto"/>
                <w:right w:val="none" w:sz="0" w:space="0" w:color="auto"/>
              </w:divBdr>
            </w:div>
            <w:div w:id="415059584">
              <w:marLeft w:val="0"/>
              <w:marRight w:val="0"/>
              <w:marTop w:val="0"/>
              <w:marBottom w:val="0"/>
              <w:divBdr>
                <w:top w:val="none" w:sz="0" w:space="0" w:color="auto"/>
                <w:left w:val="none" w:sz="0" w:space="0" w:color="auto"/>
                <w:bottom w:val="none" w:sz="0" w:space="0" w:color="auto"/>
                <w:right w:val="none" w:sz="0" w:space="0" w:color="auto"/>
              </w:divBdr>
            </w:div>
            <w:div w:id="756244879">
              <w:marLeft w:val="0"/>
              <w:marRight w:val="0"/>
              <w:marTop w:val="0"/>
              <w:marBottom w:val="0"/>
              <w:divBdr>
                <w:top w:val="none" w:sz="0" w:space="0" w:color="auto"/>
                <w:left w:val="none" w:sz="0" w:space="0" w:color="auto"/>
                <w:bottom w:val="none" w:sz="0" w:space="0" w:color="auto"/>
                <w:right w:val="none" w:sz="0" w:space="0" w:color="auto"/>
              </w:divBdr>
            </w:div>
            <w:div w:id="759371735">
              <w:marLeft w:val="0"/>
              <w:marRight w:val="0"/>
              <w:marTop w:val="0"/>
              <w:marBottom w:val="0"/>
              <w:divBdr>
                <w:top w:val="none" w:sz="0" w:space="0" w:color="auto"/>
                <w:left w:val="none" w:sz="0" w:space="0" w:color="auto"/>
                <w:bottom w:val="none" w:sz="0" w:space="0" w:color="auto"/>
                <w:right w:val="none" w:sz="0" w:space="0" w:color="auto"/>
              </w:divBdr>
            </w:div>
            <w:div w:id="841627788">
              <w:marLeft w:val="0"/>
              <w:marRight w:val="0"/>
              <w:marTop w:val="0"/>
              <w:marBottom w:val="0"/>
              <w:divBdr>
                <w:top w:val="none" w:sz="0" w:space="0" w:color="auto"/>
                <w:left w:val="none" w:sz="0" w:space="0" w:color="auto"/>
                <w:bottom w:val="none" w:sz="0" w:space="0" w:color="auto"/>
                <w:right w:val="none" w:sz="0" w:space="0" w:color="auto"/>
              </w:divBdr>
            </w:div>
            <w:div w:id="884028387">
              <w:marLeft w:val="0"/>
              <w:marRight w:val="0"/>
              <w:marTop w:val="0"/>
              <w:marBottom w:val="0"/>
              <w:divBdr>
                <w:top w:val="none" w:sz="0" w:space="0" w:color="auto"/>
                <w:left w:val="none" w:sz="0" w:space="0" w:color="auto"/>
                <w:bottom w:val="none" w:sz="0" w:space="0" w:color="auto"/>
                <w:right w:val="none" w:sz="0" w:space="0" w:color="auto"/>
              </w:divBdr>
            </w:div>
            <w:div w:id="895505295">
              <w:marLeft w:val="0"/>
              <w:marRight w:val="0"/>
              <w:marTop w:val="0"/>
              <w:marBottom w:val="0"/>
              <w:divBdr>
                <w:top w:val="none" w:sz="0" w:space="0" w:color="auto"/>
                <w:left w:val="none" w:sz="0" w:space="0" w:color="auto"/>
                <w:bottom w:val="none" w:sz="0" w:space="0" w:color="auto"/>
                <w:right w:val="none" w:sz="0" w:space="0" w:color="auto"/>
              </w:divBdr>
            </w:div>
            <w:div w:id="911818201">
              <w:marLeft w:val="0"/>
              <w:marRight w:val="0"/>
              <w:marTop w:val="0"/>
              <w:marBottom w:val="0"/>
              <w:divBdr>
                <w:top w:val="none" w:sz="0" w:space="0" w:color="auto"/>
                <w:left w:val="none" w:sz="0" w:space="0" w:color="auto"/>
                <w:bottom w:val="none" w:sz="0" w:space="0" w:color="auto"/>
                <w:right w:val="none" w:sz="0" w:space="0" w:color="auto"/>
              </w:divBdr>
            </w:div>
            <w:div w:id="1024333024">
              <w:marLeft w:val="0"/>
              <w:marRight w:val="0"/>
              <w:marTop w:val="0"/>
              <w:marBottom w:val="0"/>
              <w:divBdr>
                <w:top w:val="none" w:sz="0" w:space="0" w:color="auto"/>
                <w:left w:val="none" w:sz="0" w:space="0" w:color="auto"/>
                <w:bottom w:val="none" w:sz="0" w:space="0" w:color="auto"/>
                <w:right w:val="none" w:sz="0" w:space="0" w:color="auto"/>
              </w:divBdr>
            </w:div>
            <w:div w:id="1068916822">
              <w:marLeft w:val="0"/>
              <w:marRight w:val="0"/>
              <w:marTop w:val="0"/>
              <w:marBottom w:val="0"/>
              <w:divBdr>
                <w:top w:val="none" w:sz="0" w:space="0" w:color="auto"/>
                <w:left w:val="none" w:sz="0" w:space="0" w:color="auto"/>
                <w:bottom w:val="none" w:sz="0" w:space="0" w:color="auto"/>
                <w:right w:val="none" w:sz="0" w:space="0" w:color="auto"/>
              </w:divBdr>
            </w:div>
            <w:div w:id="1153521293">
              <w:marLeft w:val="0"/>
              <w:marRight w:val="0"/>
              <w:marTop w:val="0"/>
              <w:marBottom w:val="0"/>
              <w:divBdr>
                <w:top w:val="none" w:sz="0" w:space="0" w:color="auto"/>
                <w:left w:val="none" w:sz="0" w:space="0" w:color="auto"/>
                <w:bottom w:val="none" w:sz="0" w:space="0" w:color="auto"/>
                <w:right w:val="none" w:sz="0" w:space="0" w:color="auto"/>
              </w:divBdr>
            </w:div>
            <w:div w:id="1544444845">
              <w:marLeft w:val="0"/>
              <w:marRight w:val="0"/>
              <w:marTop w:val="0"/>
              <w:marBottom w:val="0"/>
              <w:divBdr>
                <w:top w:val="none" w:sz="0" w:space="0" w:color="auto"/>
                <w:left w:val="none" w:sz="0" w:space="0" w:color="auto"/>
                <w:bottom w:val="none" w:sz="0" w:space="0" w:color="auto"/>
                <w:right w:val="none" w:sz="0" w:space="0" w:color="auto"/>
              </w:divBdr>
            </w:div>
            <w:div w:id="1546987537">
              <w:marLeft w:val="0"/>
              <w:marRight w:val="0"/>
              <w:marTop w:val="0"/>
              <w:marBottom w:val="0"/>
              <w:divBdr>
                <w:top w:val="none" w:sz="0" w:space="0" w:color="auto"/>
                <w:left w:val="none" w:sz="0" w:space="0" w:color="auto"/>
                <w:bottom w:val="none" w:sz="0" w:space="0" w:color="auto"/>
                <w:right w:val="none" w:sz="0" w:space="0" w:color="auto"/>
              </w:divBdr>
            </w:div>
            <w:div w:id="1912808989">
              <w:marLeft w:val="0"/>
              <w:marRight w:val="0"/>
              <w:marTop w:val="0"/>
              <w:marBottom w:val="0"/>
              <w:divBdr>
                <w:top w:val="none" w:sz="0" w:space="0" w:color="auto"/>
                <w:left w:val="none" w:sz="0" w:space="0" w:color="auto"/>
                <w:bottom w:val="none" w:sz="0" w:space="0" w:color="auto"/>
                <w:right w:val="none" w:sz="0" w:space="0" w:color="auto"/>
              </w:divBdr>
            </w:div>
            <w:div w:id="1915554598">
              <w:marLeft w:val="0"/>
              <w:marRight w:val="0"/>
              <w:marTop w:val="0"/>
              <w:marBottom w:val="0"/>
              <w:divBdr>
                <w:top w:val="none" w:sz="0" w:space="0" w:color="auto"/>
                <w:left w:val="none" w:sz="0" w:space="0" w:color="auto"/>
                <w:bottom w:val="none" w:sz="0" w:space="0" w:color="auto"/>
                <w:right w:val="none" w:sz="0" w:space="0" w:color="auto"/>
              </w:divBdr>
            </w:div>
            <w:div w:id="1956669189">
              <w:marLeft w:val="0"/>
              <w:marRight w:val="0"/>
              <w:marTop w:val="0"/>
              <w:marBottom w:val="0"/>
              <w:divBdr>
                <w:top w:val="none" w:sz="0" w:space="0" w:color="auto"/>
                <w:left w:val="none" w:sz="0" w:space="0" w:color="auto"/>
                <w:bottom w:val="none" w:sz="0" w:space="0" w:color="auto"/>
                <w:right w:val="none" w:sz="0" w:space="0" w:color="auto"/>
              </w:divBdr>
            </w:div>
          </w:divsChild>
        </w:div>
        <w:div w:id="823740692">
          <w:marLeft w:val="0"/>
          <w:marRight w:val="0"/>
          <w:marTop w:val="0"/>
          <w:marBottom w:val="0"/>
          <w:divBdr>
            <w:top w:val="none" w:sz="0" w:space="0" w:color="auto"/>
            <w:left w:val="none" w:sz="0" w:space="0" w:color="auto"/>
            <w:bottom w:val="none" w:sz="0" w:space="0" w:color="auto"/>
            <w:right w:val="none" w:sz="0" w:space="0" w:color="auto"/>
          </w:divBdr>
        </w:div>
        <w:div w:id="837617474">
          <w:marLeft w:val="0"/>
          <w:marRight w:val="0"/>
          <w:marTop w:val="0"/>
          <w:marBottom w:val="0"/>
          <w:divBdr>
            <w:top w:val="none" w:sz="0" w:space="0" w:color="auto"/>
            <w:left w:val="none" w:sz="0" w:space="0" w:color="auto"/>
            <w:bottom w:val="none" w:sz="0" w:space="0" w:color="auto"/>
            <w:right w:val="none" w:sz="0" w:space="0" w:color="auto"/>
          </w:divBdr>
          <w:divsChild>
            <w:div w:id="104007079">
              <w:marLeft w:val="0"/>
              <w:marRight w:val="0"/>
              <w:marTop w:val="0"/>
              <w:marBottom w:val="0"/>
              <w:divBdr>
                <w:top w:val="none" w:sz="0" w:space="0" w:color="auto"/>
                <w:left w:val="none" w:sz="0" w:space="0" w:color="auto"/>
                <w:bottom w:val="none" w:sz="0" w:space="0" w:color="auto"/>
                <w:right w:val="none" w:sz="0" w:space="0" w:color="auto"/>
              </w:divBdr>
            </w:div>
            <w:div w:id="119884048">
              <w:marLeft w:val="0"/>
              <w:marRight w:val="0"/>
              <w:marTop w:val="0"/>
              <w:marBottom w:val="0"/>
              <w:divBdr>
                <w:top w:val="none" w:sz="0" w:space="0" w:color="auto"/>
                <w:left w:val="none" w:sz="0" w:space="0" w:color="auto"/>
                <w:bottom w:val="none" w:sz="0" w:space="0" w:color="auto"/>
                <w:right w:val="none" w:sz="0" w:space="0" w:color="auto"/>
              </w:divBdr>
            </w:div>
            <w:div w:id="135685717">
              <w:marLeft w:val="0"/>
              <w:marRight w:val="0"/>
              <w:marTop w:val="0"/>
              <w:marBottom w:val="0"/>
              <w:divBdr>
                <w:top w:val="none" w:sz="0" w:space="0" w:color="auto"/>
                <w:left w:val="none" w:sz="0" w:space="0" w:color="auto"/>
                <w:bottom w:val="none" w:sz="0" w:space="0" w:color="auto"/>
                <w:right w:val="none" w:sz="0" w:space="0" w:color="auto"/>
              </w:divBdr>
            </w:div>
            <w:div w:id="260115191">
              <w:marLeft w:val="0"/>
              <w:marRight w:val="0"/>
              <w:marTop w:val="0"/>
              <w:marBottom w:val="0"/>
              <w:divBdr>
                <w:top w:val="none" w:sz="0" w:space="0" w:color="auto"/>
                <w:left w:val="none" w:sz="0" w:space="0" w:color="auto"/>
                <w:bottom w:val="none" w:sz="0" w:space="0" w:color="auto"/>
                <w:right w:val="none" w:sz="0" w:space="0" w:color="auto"/>
              </w:divBdr>
            </w:div>
            <w:div w:id="354237722">
              <w:marLeft w:val="0"/>
              <w:marRight w:val="0"/>
              <w:marTop w:val="0"/>
              <w:marBottom w:val="0"/>
              <w:divBdr>
                <w:top w:val="none" w:sz="0" w:space="0" w:color="auto"/>
                <w:left w:val="none" w:sz="0" w:space="0" w:color="auto"/>
                <w:bottom w:val="none" w:sz="0" w:space="0" w:color="auto"/>
                <w:right w:val="none" w:sz="0" w:space="0" w:color="auto"/>
              </w:divBdr>
            </w:div>
            <w:div w:id="362172617">
              <w:marLeft w:val="0"/>
              <w:marRight w:val="0"/>
              <w:marTop w:val="0"/>
              <w:marBottom w:val="0"/>
              <w:divBdr>
                <w:top w:val="none" w:sz="0" w:space="0" w:color="auto"/>
                <w:left w:val="none" w:sz="0" w:space="0" w:color="auto"/>
                <w:bottom w:val="none" w:sz="0" w:space="0" w:color="auto"/>
                <w:right w:val="none" w:sz="0" w:space="0" w:color="auto"/>
              </w:divBdr>
            </w:div>
            <w:div w:id="372313678">
              <w:marLeft w:val="0"/>
              <w:marRight w:val="0"/>
              <w:marTop w:val="0"/>
              <w:marBottom w:val="0"/>
              <w:divBdr>
                <w:top w:val="none" w:sz="0" w:space="0" w:color="auto"/>
                <w:left w:val="none" w:sz="0" w:space="0" w:color="auto"/>
                <w:bottom w:val="none" w:sz="0" w:space="0" w:color="auto"/>
                <w:right w:val="none" w:sz="0" w:space="0" w:color="auto"/>
              </w:divBdr>
            </w:div>
            <w:div w:id="593128883">
              <w:marLeft w:val="0"/>
              <w:marRight w:val="0"/>
              <w:marTop w:val="0"/>
              <w:marBottom w:val="0"/>
              <w:divBdr>
                <w:top w:val="none" w:sz="0" w:space="0" w:color="auto"/>
                <w:left w:val="none" w:sz="0" w:space="0" w:color="auto"/>
                <w:bottom w:val="none" w:sz="0" w:space="0" w:color="auto"/>
                <w:right w:val="none" w:sz="0" w:space="0" w:color="auto"/>
              </w:divBdr>
            </w:div>
            <w:div w:id="613250170">
              <w:marLeft w:val="0"/>
              <w:marRight w:val="0"/>
              <w:marTop w:val="0"/>
              <w:marBottom w:val="0"/>
              <w:divBdr>
                <w:top w:val="none" w:sz="0" w:space="0" w:color="auto"/>
                <w:left w:val="none" w:sz="0" w:space="0" w:color="auto"/>
                <w:bottom w:val="none" w:sz="0" w:space="0" w:color="auto"/>
                <w:right w:val="none" w:sz="0" w:space="0" w:color="auto"/>
              </w:divBdr>
            </w:div>
            <w:div w:id="852651778">
              <w:marLeft w:val="0"/>
              <w:marRight w:val="0"/>
              <w:marTop w:val="0"/>
              <w:marBottom w:val="0"/>
              <w:divBdr>
                <w:top w:val="none" w:sz="0" w:space="0" w:color="auto"/>
                <w:left w:val="none" w:sz="0" w:space="0" w:color="auto"/>
                <w:bottom w:val="none" w:sz="0" w:space="0" w:color="auto"/>
                <w:right w:val="none" w:sz="0" w:space="0" w:color="auto"/>
              </w:divBdr>
            </w:div>
            <w:div w:id="866025086">
              <w:marLeft w:val="0"/>
              <w:marRight w:val="0"/>
              <w:marTop w:val="0"/>
              <w:marBottom w:val="0"/>
              <w:divBdr>
                <w:top w:val="none" w:sz="0" w:space="0" w:color="auto"/>
                <w:left w:val="none" w:sz="0" w:space="0" w:color="auto"/>
                <w:bottom w:val="none" w:sz="0" w:space="0" w:color="auto"/>
                <w:right w:val="none" w:sz="0" w:space="0" w:color="auto"/>
              </w:divBdr>
            </w:div>
            <w:div w:id="879366293">
              <w:marLeft w:val="0"/>
              <w:marRight w:val="0"/>
              <w:marTop w:val="0"/>
              <w:marBottom w:val="0"/>
              <w:divBdr>
                <w:top w:val="none" w:sz="0" w:space="0" w:color="auto"/>
                <w:left w:val="none" w:sz="0" w:space="0" w:color="auto"/>
                <w:bottom w:val="none" w:sz="0" w:space="0" w:color="auto"/>
                <w:right w:val="none" w:sz="0" w:space="0" w:color="auto"/>
              </w:divBdr>
            </w:div>
            <w:div w:id="910967941">
              <w:marLeft w:val="0"/>
              <w:marRight w:val="0"/>
              <w:marTop w:val="0"/>
              <w:marBottom w:val="0"/>
              <w:divBdr>
                <w:top w:val="none" w:sz="0" w:space="0" w:color="auto"/>
                <w:left w:val="none" w:sz="0" w:space="0" w:color="auto"/>
                <w:bottom w:val="none" w:sz="0" w:space="0" w:color="auto"/>
                <w:right w:val="none" w:sz="0" w:space="0" w:color="auto"/>
              </w:divBdr>
            </w:div>
            <w:div w:id="1025907344">
              <w:marLeft w:val="0"/>
              <w:marRight w:val="0"/>
              <w:marTop w:val="0"/>
              <w:marBottom w:val="0"/>
              <w:divBdr>
                <w:top w:val="none" w:sz="0" w:space="0" w:color="auto"/>
                <w:left w:val="none" w:sz="0" w:space="0" w:color="auto"/>
                <w:bottom w:val="none" w:sz="0" w:space="0" w:color="auto"/>
                <w:right w:val="none" w:sz="0" w:space="0" w:color="auto"/>
              </w:divBdr>
            </w:div>
            <w:div w:id="1028680261">
              <w:marLeft w:val="0"/>
              <w:marRight w:val="0"/>
              <w:marTop w:val="0"/>
              <w:marBottom w:val="0"/>
              <w:divBdr>
                <w:top w:val="none" w:sz="0" w:space="0" w:color="auto"/>
                <w:left w:val="none" w:sz="0" w:space="0" w:color="auto"/>
                <w:bottom w:val="none" w:sz="0" w:space="0" w:color="auto"/>
                <w:right w:val="none" w:sz="0" w:space="0" w:color="auto"/>
              </w:divBdr>
            </w:div>
            <w:div w:id="1329141342">
              <w:marLeft w:val="0"/>
              <w:marRight w:val="0"/>
              <w:marTop w:val="0"/>
              <w:marBottom w:val="0"/>
              <w:divBdr>
                <w:top w:val="none" w:sz="0" w:space="0" w:color="auto"/>
                <w:left w:val="none" w:sz="0" w:space="0" w:color="auto"/>
                <w:bottom w:val="none" w:sz="0" w:space="0" w:color="auto"/>
                <w:right w:val="none" w:sz="0" w:space="0" w:color="auto"/>
              </w:divBdr>
            </w:div>
            <w:div w:id="1612737702">
              <w:marLeft w:val="0"/>
              <w:marRight w:val="0"/>
              <w:marTop w:val="0"/>
              <w:marBottom w:val="0"/>
              <w:divBdr>
                <w:top w:val="none" w:sz="0" w:space="0" w:color="auto"/>
                <w:left w:val="none" w:sz="0" w:space="0" w:color="auto"/>
                <w:bottom w:val="none" w:sz="0" w:space="0" w:color="auto"/>
                <w:right w:val="none" w:sz="0" w:space="0" w:color="auto"/>
              </w:divBdr>
            </w:div>
            <w:div w:id="1766612032">
              <w:marLeft w:val="0"/>
              <w:marRight w:val="0"/>
              <w:marTop w:val="0"/>
              <w:marBottom w:val="0"/>
              <w:divBdr>
                <w:top w:val="none" w:sz="0" w:space="0" w:color="auto"/>
                <w:left w:val="none" w:sz="0" w:space="0" w:color="auto"/>
                <w:bottom w:val="none" w:sz="0" w:space="0" w:color="auto"/>
                <w:right w:val="none" w:sz="0" w:space="0" w:color="auto"/>
              </w:divBdr>
            </w:div>
            <w:div w:id="1906063021">
              <w:marLeft w:val="0"/>
              <w:marRight w:val="0"/>
              <w:marTop w:val="0"/>
              <w:marBottom w:val="0"/>
              <w:divBdr>
                <w:top w:val="none" w:sz="0" w:space="0" w:color="auto"/>
                <w:left w:val="none" w:sz="0" w:space="0" w:color="auto"/>
                <w:bottom w:val="none" w:sz="0" w:space="0" w:color="auto"/>
                <w:right w:val="none" w:sz="0" w:space="0" w:color="auto"/>
              </w:divBdr>
            </w:div>
            <w:div w:id="2053537639">
              <w:marLeft w:val="0"/>
              <w:marRight w:val="0"/>
              <w:marTop w:val="0"/>
              <w:marBottom w:val="0"/>
              <w:divBdr>
                <w:top w:val="none" w:sz="0" w:space="0" w:color="auto"/>
                <w:left w:val="none" w:sz="0" w:space="0" w:color="auto"/>
                <w:bottom w:val="none" w:sz="0" w:space="0" w:color="auto"/>
                <w:right w:val="none" w:sz="0" w:space="0" w:color="auto"/>
              </w:divBdr>
            </w:div>
          </w:divsChild>
        </w:div>
        <w:div w:id="837890660">
          <w:marLeft w:val="0"/>
          <w:marRight w:val="0"/>
          <w:marTop w:val="0"/>
          <w:marBottom w:val="0"/>
          <w:divBdr>
            <w:top w:val="none" w:sz="0" w:space="0" w:color="auto"/>
            <w:left w:val="none" w:sz="0" w:space="0" w:color="auto"/>
            <w:bottom w:val="none" w:sz="0" w:space="0" w:color="auto"/>
            <w:right w:val="none" w:sz="0" w:space="0" w:color="auto"/>
          </w:divBdr>
          <w:divsChild>
            <w:div w:id="51929438">
              <w:marLeft w:val="0"/>
              <w:marRight w:val="0"/>
              <w:marTop w:val="0"/>
              <w:marBottom w:val="0"/>
              <w:divBdr>
                <w:top w:val="none" w:sz="0" w:space="0" w:color="auto"/>
                <w:left w:val="none" w:sz="0" w:space="0" w:color="auto"/>
                <w:bottom w:val="none" w:sz="0" w:space="0" w:color="auto"/>
                <w:right w:val="none" w:sz="0" w:space="0" w:color="auto"/>
              </w:divBdr>
            </w:div>
            <w:div w:id="218169456">
              <w:marLeft w:val="0"/>
              <w:marRight w:val="0"/>
              <w:marTop w:val="0"/>
              <w:marBottom w:val="0"/>
              <w:divBdr>
                <w:top w:val="none" w:sz="0" w:space="0" w:color="auto"/>
                <w:left w:val="none" w:sz="0" w:space="0" w:color="auto"/>
                <w:bottom w:val="none" w:sz="0" w:space="0" w:color="auto"/>
                <w:right w:val="none" w:sz="0" w:space="0" w:color="auto"/>
              </w:divBdr>
            </w:div>
            <w:div w:id="240070584">
              <w:marLeft w:val="0"/>
              <w:marRight w:val="0"/>
              <w:marTop w:val="0"/>
              <w:marBottom w:val="0"/>
              <w:divBdr>
                <w:top w:val="none" w:sz="0" w:space="0" w:color="auto"/>
                <w:left w:val="none" w:sz="0" w:space="0" w:color="auto"/>
                <w:bottom w:val="none" w:sz="0" w:space="0" w:color="auto"/>
                <w:right w:val="none" w:sz="0" w:space="0" w:color="auto"/>
              </w:divBdr>
            </w:div>
            <w:div w:id="252903868">
              <w:marLeft w:val="0"/>
              <w:marRight w:val="0"/>
              <w:marTop w:val="0"/>
              <w:marBottom w:val="0"/>
              <w:divBdr>
                <w:top w:val="none" w:sz="0" w:space="0" w:color="auto"/>
                <w:left w:val="none" w:sz="0" w:space="0" w:color="auto"/>
                <w:bottom w:val="none" w:sz="0" w:space="0" w:color="auto"/>
                <w:right w:val="none" w:sz="0" w:space="0" w:color="auto"/>
              </w:divBdr>
            </w:div>
            <w:div w:id="384062456">
              <w:marLeft w:val="0"/>
              <w:marRight w:val="0"/>
              <w:marTop w:val="0"/>
              <w:marBottom w:val="0"/>
              <w:divBdr>
                <w:top w:val="none" w:sz="0" w:space="0" w:color="auto"/>
                <w:left w:val="none" w:sz="0" w:space="0" w:color="auto"/>
                <w:bottom w:val="none" w:sz="0" w:space="0" w:color="auto"/>
                <w:right w:val="none" w:sz="0" w:space="0" w:color="auto"/>
              </w:divBdr>
            </w:div>
            <w:div w:id="692078956">
              <w:marLeft w:val="0"/>
              <w:marRight w:val="0"/>
              <w:marTop w:val="0"/>
              <w:marBottom w:val="0"/>
              <w:divBdr>
                <w:top w:val="none" w:sz="0" w:space="0" w:color="auto"/>
                <w:left w:val="none" w:sz="0" w:space="0" w:color="auto"/>
                <w:bottom w:val="none" w:sz="0" w:space="0" w:color="auto"/>
                <w:right w:val="none" w:sz="0" w:space="0" w:color="auto"/>
              </w:divBdr>
            </w:div>
            <w:div w:id="767240200">
              <w:marLeft w:val="0"/>
              <w:marRight w:val="0"/>
              <w:marTop w:val="0"/>
              <w:marBottom w:val="0"/>
              <w:divBdr>
                <w:top w:val="none" w:sz="0" w:space="0" w:color="auto"/>
                <w:left w:val="none" w:sz="0" w:space="0" w:color="auto"/>
                <w:bottom w:val="none" w:sz="0" w:space="0" w:color="auto"/>
                <w:right w:val="none" w:sz="0" w:space="0" w:color="auto"/>
              </w:divBdr>
            </w:div>
            <w:div w:id="1094745229">
              <w:marLeft w:val="0"/>
              <w:marRight w:val="0"/>
              <w:marTop w:val="0"/>
              <w:marBottom w:val="0"/>
              <w:divBdr>
                <w:top w:val="none" w:sz="0" w:space="0" w:color="auto"/>
                <w:left w:val="none" w:sz="0" w:space="0" w:color="auto"/>
                <w:bottom w:val="none" w:sz="0" w:space="0" w:color="auto"/>
                <w:right w:val="none" w:sz="0" w:space="0" w:color="auto"/>
              </w:divBdr>
            </w:div>
            <w:div w:id="1177580458">
              <w:marLeft w:val="0"/>
              <w:marRight w:val="0"/>
              <w:marTop w:val="0"/>
              <w:marBottom w:val="0"/>
              <w:divBdr>
                <w:top w:val="none" w:sz="0" w:space="0" w:color="auto"/>
                <w:left w:val="none" w:sz="0" w:space="0" w:color="auto"/>
                <w:bottom w:val="none" w:sz="0" w:space="0" w:color="auto"/>
                <w:right w:val="none" w:sz="0" w:space="0" w:color="auto"/>
              </w:divBdr>
            </w:div>
            <w:div w:id="1240210261">
              <w:marLeft w:val="0"/>
              <w:marRight w:val="0"/>
              <w:marTop w:val="0"/>
              <w:marBottom w:val="0"/>
              <w:divBdr>
                <w:top w:val="none" w:sz="0" w:space="0" w:color="auto"/>
                <w:left w:val="none" w:sz="0" w:space="0" w:color="auto"/>
                <w:bottom w:val="none" w:sz="0" w:space="0" w:color="auto"/>
                <w:right w:val="none" w:sz="0" w:space="0" w:color="auto"/>
              </w:divBdr>
            </w:div>
            <w:div w:id="1245532283">
              <w:marLeft w:val="0"/>
              <w:marRight w:val="0"/>
              <w:marTop w:val="0"/>
              <w:marBottom w:val="0"/>
              <w:divBdr>
                <w:top w:val="none" w:sz="0" w:space="0" w:color="auto"/>
                <w:left w:val="none" w:sz="0" w:space="0" w:color="auto"/>
                <w:bottom w:val="none" w:sz="0" w:space="0" w:color="auto"/>
                <w:right w:val="none" w:sz="0" w:space="0" w:color="auto"/>
              </w:divBdr>
            </w:div>
            <w:div w:id="1611739025">
              <w:marLeft w:val="0"/>
              <w:marRight w:val="0"/>
              <w:marTop w:val="0"/>
              <w:marBottom w:val="0"/>
              <w:divBdr>
                <w:top w:val="none" w:sz="0" w:space="0" w:color="auto"/>
                <w:left w:val="none" w:sz="0" w:space="0" w:color="auto"/>
                <w:bottom w:val="none" w:sz="0" w:space="0" w:color="auto"/>
                <w:right w:val="none" w:sz="0" w:space="0" w:color="auto"/>
              </w:divBdr>
            </w:div>
            <w:div w:id="1616671687">
              <w:marLeft w:val="0"/>
              <w:marRight w:val="0"/>
              <w:marTop w:val="0"/>
              <w:marBottom w:val="0"/>
              <w:divBdr>
                <w:top w:val="none" w:sz="0" w:space="0" w:color="auto"/>
                <w:left w:val="none" w:sz="0" w:space="0" w:color="auto"/>
                <w:bottom w:val="none" w:sz="0" w:space="0" w:color="auto"/>
                <w:right w:val="none" w:sz="0" w:space="0" w:color="auto"/>
              </w:divBdr>
            </w:div>
            <w:div w:id="1659261598">
              <w:marLeft w:val="0"/>
              <w:marRight w:val="0"/>
              <w:marTop w:val="0"/>
              <w:marBottom w:val="0"/>
              <w:divBdr>
                <w:top w:val="none" w:sz="0" w:space="0" w:color="auto"/>
                <w:left w:val="none" w:sz="0" w:space="0" w:color="auto"/>
                <w:bottom w:val="none" w:sz="0" w:space="0" w:color="auto"/>
                <w:right w:val="none" w:sz="0" w:space="0" w:color="auto"/>
              </w:divBdr>
            </w:div>
            <w:div w:id="1688361412">
              <w:marLeft w:val="0"/>
              <w:marRight w:val="0"/>
              <w:marTop w:val="0"/>
              <w:marBottom w:val="0"/>
              <w:divBdr>
                <w:top w:val="none" w:sz="0" w:space="0" w:color="auto"/>
                <w:left w:val="none" w:sz="0" w:space="0" w:color="auto"/>
                <w:bottom w:val="none" w:sz="0" w:space="0" w:color="auto"/>
                <w:right w:val="none" w:sz="0" w:space="0" w:color="auto"/>
              </w:divBdr>
            </w:div>
            <w:div w:id="1791120587">
              <w:marLeft w:val="0"/>
              <w:marRight w:val="0"/>
              <w:marTop w:val="0"/>
              <w:marBottom w:val="0"/>
              <w:divBdr>
                <w:top w:val="none" w:sz="0" w:space="0" w:color="auto"/>
                <w:left w:val="none" w:sz="0" w:space="0" w:color="auto"/>
                <w:bottom w:val="none" w:sz="0" w:space="0" w:color="auto"/>
                <w:right w:val="none" w:sz="0" w:space="0" w:color="auto"/>
              </w:divBdr>
            </w:div>
            <w:div w:id="1824546377">
              <w:marLeft w:val="0"/>
              <w:marRight w:val="0"/>
              <w:marTop w:val="0"/>
              <w:marBottom w:val="0"/>
              <w:divBdr>
                <w:top w:val="none" w:sz="0" w:space="0" w:color="auto"/>
                <w:left w:val="none" w:sz="0" w:space="0" w:color="auto"/>
                <w:bottom w:val="none" w:sz="0" w:space="0" w:color="auto"/>
                <w:right w:val="none" w:sz="0" w:space="0" w:color="auto"/>
              </w:divBdr>
            </w:div>
            <w:div w:id="1875383494">
              <w:marLeft w:val="0"/>
              <w:marRight w:val="0"/>
              <w:marTop w:val="0"/>
              <w:marBottom w:val="0"/>
              <w:divBdr>
                <w:top w:val="none" w:sz="0" w:space="0" w:color="auto"/>
                <w:left w:val="none" w:sz="0" w:space="0" w:color="auto"/>
                <w:bottom w:val="none" w:sz="0" w:space="0" w:color="auto"/>
                <w:right w:val="none" w:sz="0" w:space="0" w:color="auto"/>
              </w:divBdr>
            </w:div>
            <w:div w:id="2041514386">
              <w:marLeft w:val="0"/>
              <w:marRight w:val="0"/>
              <w:marTop w:val="0"/>
              <w:marBottom w:val="0"/>
              <w:divBdr>
                <w:top w:val="none" w:sz="0" w:space="0" w:color="auto"/>
                <w:left w:val="none" w:sz="0" w:space="0" w:color="auto"/>
                <w:bottom w:val="none" w:sz="0" w:space="0" w:color="auto"/>
                <w:right w:val="none" w:sz="0" w:space="0" w:color="auto"/>
              </w:divBdr>
            </w:div>
            <w:div w:id="2130199636">
              <w:marLeft w:val="0"/>
              <w:marRight w:val="0"/>
              <w:marTop w:val="0"/>
              <w:marBottom w:val="0"/>
              <w:divBdr>
                <w:top w:val="none" w:sz="0" w:space="0" w:color="auto"/>
                <w:left w:val="none" w:sz="0" w:space="0" w:color="auto"/>
                <w:bottom w:val="none" w:sz="0" w:space="0" w:color="auto"/>
                <w:right w:val="none" w:sz="0" w:space="0" w:color="auto"/>
              </w:divBdr>
            </w:div>
          </w:divsChild>
        </w:div>
        <w:div w:id="976035415">
          <w:marLeft w:val="0"/>
          <w:marRight w:val="0"/>
          <w:marTop w:val="0"/>
          <w:marBottom w:val="0"/>
          <w:divBdr>
            <w:top w:val="none" w:sz="0" w:space="0" w:color="auto"/>
            <w:left w:val="none" w:sz="0" w:space="0" w:color="auto"/>
            <w:bottom w:val="none" w:sz="0" w:space="0" w:color="auto"/>
            <w:right w:val="none" w:sz="0" w:space="0" w:color="auto"/>
          </w:divBdr>
          <w:divsChild>
            <w:div w:id="60829053">
              <w:marLeft w:val="0"/>
              <w:marRight w:val="0"/>
              <w:marTop w:val="0"/>
              <w:marBottom w:val="0"/>
              <w:divBdr>
                <w:top w:val="none" w:sz="0" w:space="0" w:color="auto"/>
                <w:left w:val="none" w:sz="0" w:space="0" w:color="auto"/>
                <w:bottom w:val="none" w:sz="0" w:space="0" w:color="auto"/>
                <w:right w:val="none" w:sz="0" w:space="0" w:color="auto"/>
              </w:divBdr>
            </w:div>
            <w:div w:id="173230683">
              <w:marLeft w:val="0"/>
              <w:marRight w:val="0"/>
              <w:marTop w:val="0"/>
              <w:marBottom w:val="0"/>
              <w:divBdr>
                <w:top w:val="none" w:sz="0" w:space="0" w:color="auto"/>
                <w:left w:val="none" w:sz="0" w:space="0" w:color="auto"/>
                <w:bottom w:val="none" w:sz="0" w:space="0" w:color="auto"/>
                <w:right w:val="none" w:sz="0" w:space="0" w:color="auto"/>
              </w:divBdr>
            </w:div>
            <w:div w:id="337972629">
              <w:marLeft w:val="0"/>
              <w:marRight w:val="0"/>
              <w:marTop w:val="0"/>
              <w:marBottom w:val="0"/>
              <w:divBdr>
                <w:top w:val="none" w:sz="0" w:space="0" w:color="auto"/>
                <w:left w:val="none" w:sz="0" w:space="0" w:color="auto"/>
                <w:bottom w:val="none" w:sz="0" w:space="0" w:color="auto"/>
                <w:right w:val="none" w:sz="0" w:space="0" w:color="auto"/>
              </w:divBdr>
            </w:div>
            <w:div w:id="412550427">
              <w:marLeft w:val="0"/>
              <w:marRight w:val="0"/>
              <w:marTop w:val="0"/>
              <w:marBottom w:val="0"/>
              <w:divBdr>
                <w:top w:val="none" w:sz="0" w:space="0" w:color="auto"/>
                <w:left w:val="none" w:sz="0" w:space="0" w:color="auto"/>
                <w:bottom w:val="none" w:sz="0" w:space="0" w:color="auto"/>
                <w:right w:val="none" w:sz="0" w:space="0" w:color="auto"/>
              </w:divBdr>
            </w:div>
            <w:div w:id="429811032">
              <w:marLeft w:val="0"/>
              <w:marRight w:val="0"/>
              <w:marTop w:val="0"/>
              <w:marBottom w:val="0"/>
              <w:divBdr>
                <w:top w:val="none" w:sz="0" w:space="0" w:color="auto"/>
                <w:left w:val="none" w:sz="0" w:space="0" w:color="auto"/>
                <w:bottom w:val="none" w:sz="0" w:space="0" w:color="auto"/>
                <w:right w:val="none" w:sz="0" w:space="0" w:color="auto"/>
              </w:divBdr>
            </w:div>
            <w:div w:id="537354588">
              <w:marLeft w:val="0"/>
              <w:marRight w:val="0"/>
              <w:marTop w:val="0"/>
              <w:marBottom w:val="0"/>
              <w:divBdr>
                <w:top w:val="none" w:sz="0" w:space="0" w:color="auto"/>
                <w:left w:val="none" w:sz="0" w:space="0" w:color="auto"/>
                <w:bottom w:val="none" w:sz="0" w:space="0" w:color="auto"/>
                <w:right w:val="none" w:sz="0" w:space="0" w:color="auto"/>
              </w:divBdr>
            </w:div>
            <w:div w:id="581260683">
              <w:marLeft w:val="0"/>
              <w:marRight w:val="0"/>
              <w:marTop w:val="0"/>
              <w:marBottom w:val="0"/>
              <w:divBdr>
                <w:top w:val="none" w:sz="0" w:space="0" w:color="auto"/>
                <w:left w:val="none" w:sz="0" w:space="0" w:color="auto"/>
                <w:bottom w:val="none" w:sz="0" w:space="0" w:color="auto"/>
                <w:right w:val="none" w:sz="0" w:space="0" w:color="auto"/>
              </w:divBdr>
            </w:div>
            <w:div w:id="679816586">
              <w:marLeft w:val="0"/>
              <w:marRight w:val="0"/>
              <w:marTop w:val="0"/>
              <w:marBottom w:val="0"/>
              <w:divBdr>
                <w:top w:val="none" w:sz="0" w:space="0" w:color="auto"/>
                <w:left w:val="none" w:sz="0" w:space="0" w:color="auto"/>
                <w:bottom w:val="none" w:sz="0" w:space="0" w:color="auto"/>
                <w:right w:val="none" w:sz="0" w:space="0" w:color="auto"/>
              </w:divBdr>
            </w:div>
            <w:div w:id="726103861">
              <w:marLeft w:val="0"/>
              <w:marRight w:val="0"/>
              <w:marTop w:val="0"/>
              <w:marBottom w:val="0"/>
              <w:divBdr>
                <w:top w:val="none" w:sz="0" w:space="0" w:color="auto"/>
                <w:left w:val="none" w:sz="0" w:space="0" w:color="auto"/>
                <w:bottom w:val="none" w:sz="0" w:space="0" w:color="auto"/>
                <w:right w:val="none" w:sz="0" w:space="0" w:color="auto"/>
              </w:divBdr>
            </w:div>
            <w:div w:id="922688608">
              <w:marLeft w:val="0"/>
              <w:marRight w:val="0"/>
              <w:marTop w:val="0"/>
              <w:marBottom w:val="0"/>
              <w:divBdr>
                <w:top w:val="none" w:sz="0" w:space="0" w:color="auto"/>
                <w:left w:val="none" w:sz="0" w:space="0" w:color="auto"/>
                <w:bottom w:val="none" w:sz="0" w:space="0" w:color="auto"/>
                <w:right w:val="none" w:sz="0" w:space="0" w:color="auto"/>
              </w:divBdr>
            </w:div>
            <w:div w:id="1036348190">
              <w:marLeft w:val="0"/>
              <w:marRight w:val="0"/>
              <w:marTop w:val="0"/>
              <w:marBottom w:val="0"/>
              <w:divBdr>
                <w:top w:val="none" w:sz="0" w:space="0" w:color="auto"/>
                <w:left w:val="none" w:sz="0" w:space="0" w:color="auto"/>
                <w:bottom w:val="none" w:sz="0" w:space="0" w:color="auto"/>
                <w:right w:val="none" w:sz="0" w:space="0" w:color="auto"/>
              </w:divBdr>
            </w:div>
            <w:div w:id="1288776754">
              <w:marLeft w:val="0"/>
              <w:marRight w:val="0"/>
              <w:marTop w:val="0"/>
              <w:marBottom w:val="0"/>
              <w:divBdr>
                <w:top w:val="none" w:sz="0" w:space="0" w:color="auto"/>
                <w:left w:val="none" w:sz="0" w:space="0" w:color="auto"/>
                <w:bottom w:val="none" w:sz="0" w:space="0" w:color="auto"/>
                <w:right w:val="none" w:sz="0" w:space="0" w:color="auto"/>
              </w:divBdr>
            </w:div>
            <w:div w:id="1293749445">
              <w:marLeft w:val="0"/>
              <w:marRight w:val="0"/>
              <w:marTop w:val="0"/>
              <w:marBottom w:val="0"/>
              <w:divBdr>
                <w:top w:val="none" w:sz="0" w:space="0" w:color="auto"/>
                <w:left w:val="none" w:sz="0" w:space="0" w:color="auto"/>
                <w:bottom w:val="none" w:sz="0" w:space="0" w:color="auto"/>
                <w:right w:val="none" w:sz="0" w:space="0" w:color="auto"/>
              </w:divBdr>
            </w:div>
            <w:div w:id="1508398261">
              <w:marLeft w:val="0"/>
              <w:marRight w:val="0"/>
              <w:marTop w:val="0"/>
              <w:marBottom w:val="0"/>
              <w:divBdr>
                <w:top w:val="none" w:sz="0" w:space="0" w:color="auto"/>
                <w:left w:val="none" w:sz="0" w:space="0" w:color="auto"/>
                <w:bottom w:val="none" w:sz="0" w:space="0" w:color="auto"/>
                <w:right w:val="none" w:sz="0" w:space="0" w:color="auto"/>
              </w:divBdr>
            </w:div>
            <w:div w:id="1518042090">
              <w:marLeft w:val="0"/>
              <w:marRight w:val="0"/>
              <w:marTop w:val="0"/>
              <w:marBottom w:val="0"/>
              <w:divBdr>
                <w:top w:val="none" w:sz="0" w:space="0" w:color="auto"/>
                <w:left w:val="none" w:sz="0" w:space="0" w:color="auto"/>
                <w:bottom w:val="none" w:sz="0" w:space="0" w:color="auto"/>
                <w:right w:val="none" w:sz="0" w:space="0" w:color="auto"/>
              </w:divBdr>
            </w:div>
            <w:div w:id="1613129447">
              <w:marLeft w:val="0"/>
              <w:marRight w:val="0"/>
              <w:marTop w:val="0"/>
              <w:marBottom w:val="0"/>
              <w:divBdr>
                <w:top w:val="none" w:sz="0" w:space="0" w:color="auto"/>
                <w:left w:val="none" w:sz="0" w:space="0" w:color="auto"/>
                <w:bottom w:val="none" w:sz="0" w:space="0" w:color="auto"/>
                <w:right w:val="none" w:sz="0" w:space="0" w:color="auto"/>
              </w:divBdr>
            </w:div>
            <w:div w:id="1636063747">
              <w:marLeft w:val="0"/>
              <w:marRight w:val="0"/>
              <w:marTop w:val="0"/>
              <w:marBottom w:val="0"/>
              <w:divBdr>
                <w:top w:val="none" w:sz="0" w:space="0" w:color="auto"/>
                <w:left w:val="none" w:sz="0" w:space="0" w:color="auto"/>
                <w:bottom w:val="none" w:sz="0" w:space="0" w:color="auto"/>
                <w:right w:val="none" w:sz="0" w:space="0" w:color="auto"/>
              </w:divBdr>
            </w:div>
            <w:div w:id="1792937326">
              <w:marLeft w:val="0"/>
              <w:marRight w:val="0"/>
              <w:marTop w:val="0"/>
              <w:marBottom w:val="0"/>
              <w:divBdr>
                <w:top w:val="none" w:sz="0" w:space="0" w:color="auto"/>
                <w:left w:val="none" w:sz="0" w:space="0" w:color="auto"/>
                <w:bottom w:val="none" w:sz="0" w:space="0" w:color="auto"/>
                <w:right w:val="none" w:sz="0" w:space="0" w:color="auto"/>
              </w:divBdr>
            </w:div>
            <w:div w:id="2057511119">
              <w:marLeft w:val="0"/>
              <w:marRight w:val="0"/>
              <w:marTop w:val="0"/>
              <w:marBottom w:val="0"/>
              <w:divBdr>
                <w:top w:val="none" w:sz="0" w:space="0" w:color="auto"/>
                <w:left w:val="none" w:sz="0" w:space="0" w:color="auto"/>
                <w:bottom w:val="none" w:sz="0" w:space="0" w:color="auto"/>
                <w:right w:val="none" w:sz="0" w:space="0" w:color="auto"/>
              </w:divBdr>
            </w:div>
            <w:div w:id="2094735194">
              <w:marLeft w:val="0"/>
              <w:marRight w:val="0"/>
              <w:marTop w:val="0"/>
              <w:marBottom w:val="0"/>
              <w:divBdr>
                <w:top w:val="none" w:sz="0" w:space="0" w:color="auto"/>
                <w:left w:val="none" w:sz="0" w:space="0" w:color="auto"/>
                <w:bottom w:val="none" w:sz="0" w:space="0" w:color="auto"/>
                <w:right w:val="none" w:sz="0" w:space="0" w:color="auto"/>
              </w:divBdr>
            </w:div>
          </w:divsChild>
        </w:div>
        <w:div w:id="990864240">
          <w:marLeft w:val="0"/>
          <w:marRight w:val="0"/>
          <w:marTop w:val="0"/>
          <w:marBottom w:val="0"/>
          <w:divBdr>
            <w:top w:val="none" w:sz="0" w:space="0" w:color="auto"/>
            <w:left w:val="none" w:sz="0" w:space="0" w:color="auto"/>
            <w:bottom w:val="none" w:sz="0" w:space="0" w:color="auto"/>
            <w:right w:val="none" w:sz="0" w:space="0" w:color="auto"/>
          </w:divBdr>
          <w:divsChild>
            <w:div w:id="40710930">
              <w:marLeft w:val="0"/>
              <w:marRight w:val="0"/>
              <w:marTop w:val="0"/>
              <w:marBottom w:val="0"/>
              <w:divBdr>
                <w:top w:val="none" w:sz="0" w:space="0" w:color="auto"/>
                <w:left w:val="none" w:sz="0" w:space="0" w:color="auto"/>
                <w:bottom w:val="none" w:sz="0" w:space="0" w:color="auto"/>
                <w:right w:val="none" w:sz="0" w:space="0" w:color="auto"/>
              </w:divBdr>
            </w:div>
            <w:div w:id="131993315">
              <w:marLeft w:val="0"/>
              <w:marRight w:val="0"/>
              <w:marTop w:val="0"/>
              <w:marBottom w:val="0"/>
              <w:divBdr>
                <w:top w:val="none" w:sz="0" w:space="0" w:color="auto"/>
                <w:left w:val="none" w:sz="0" w:space="0" w:color="auto"/>
                <w:bottom w:val="none" w:sz="0" w:space="0" w:color="auto"/>
                <w:right w:val="none" w:sz="0" w:space="0" w:color="auto"/>
              </w:divBdr>
            </w:div>
            <w:div w:id="352729942">
              <w:marLeft w:val="0"/>
              <w:marRight w:val="0"/>
              <w:marTop w:val="0"/>
              <w:marBottom w:val="0"/>
              <w:divBdr>
                <w:top w:val="none" w:sz="0" w:space="0" w:color="auto"/>
                <w:left w:val="none" w:sz="0" w:space="0" w:color="auto"/>
                <w:bottom w:val="none" w:sz="0" w:space="0" w:color="auto"/>
                <w:right w:val="none" w:sz="0" w:space="0" w:color="auto"/>
              </w:divBdr>
            </w:div>
            <w:div w:id="467820469">
              <w:marLeft w:val="0"/>
              <w:marRight w:val="0"/>
              <w:marTop w:val="0"/>
              <w:marBottom w:val="0"/>
              <w:divBdr>
                <w:top w:val="none" w:sz="0" w:space="0" w:color="auto"/>
                <w:left w:val="none" w:sz="0" w:space="0" w:color="auto"/>
                <w:bottom w:val="none" w:sz="0" w:space="0" w:color="auto"/>
                <w:right w:val="none" w:sz="0" w:space="0" w:color="auto"/>
              </w:divBdr>
            </w:div>
            <w:div w:id="942423597">
              <w:marLeft w:val="0"/>
              <w:marRight w:val="0"/>
              <w:marTop w:val="0"/>
              <w:marBottom w:val="0"/>
              <w:divBdr>
                <w:top w:val="none" w:sz="0" w:space="0" w:color="auto"/>
                <w:left w:val="none" w:sz="0" w:space="0" w:color="auto"/>
                <w:bottom w:val="none" w:sz="0" w:space="0" w:color="auto"/>
                <w:right w:val="none" w:sz="0" w:space="0" w:color="auto"/>
              </w:divBdr>
            </w:div>
            <w:div w:id="948394882">
              <w:marLeft w:val="0"/>
              <w:marRight w:val="0"/>
              <w:marTop w:val="0"/>
              <w:marBottom w:val="0"/>
              <w:divBdr>
                <w:top w:val="none" w:sz="0" w:space="0" w:color="auto"/>
                <w:left w:val="none" w:sz="0" w:space="0" w:color="auto"/>
                <w:bottom w:val="none" w:sz="0" w:space="0" w:color="auto"/>
                <w:right w:val="none" w:sz="0" w:space="0" w:color="auto"/>
              </w:divBdr>
            </w:div>
            <w:div w:id="1005980214">
              <w:marLeft w:val="0"/>
              <w:marRight w:val="0"/>
              <w:marTop w:val="0"/>
              <w:marBottom w:val="0"/>
              <w:divBdr>
                <w:top w:val="none" w:sz="0" w:space="0" w:color="auto"/>
                <w:left w:val="none" w:sz="0" w:space="0" w:color="auto"/>
                <w:bottom w:val="none" w:sz="0" w:space="0" w:color="auto"/>
                <w:right w:val="none" w:sz="0" w:space="0" w:color="auto"/>
              </w:divBdr>
            </w:div>
            <w:div w:id="1318608013">
              <w:marLeft w:val="0"/>
              <w:marRight w:val="0"/>
              <w:marTop w:val="0"/>
              <w:marBottom w:val="0"/>
              <w:divBdr>
                <w:top w:val="none" w:sz="0" w:space="0" w:color="auto"/>
                <w:left w:val="none" w:sz="0" w:space="0" w:color="auto"/>
                <w:bottom w:val="none" w:sz="0" w:space="0" w:color="auto"/>
                <w:right w:val="none" w:sz="0" w:space="0" w:color="auto"/>
              </w:divBdr>
            </w:div>
            <w:div w:id="1337197343">
              <w:marLeft w:val="0"/>
              <w:marRight w:val="0"/>
              <w:marTop w:val="0"/>
              <w:marBottom w:val="0"/>
              <w:divBdr>
                <w:top w:val="none" w:sz="0" w:space="0" w:color="auto"/>
                <w:left w:val="none" w:sz="0" w:space="0" w:color="auto"/>
                <w:bottom w:val="none" w:sz="0" w:space="0" w:color="auto"/>
                <w:right w:val="none" w:sz="0" w:space="0" w:color="auto"/>
              </w:divBdr>
            </w:div>
            <w:div w:id="1410349636">
              <w:marLeft w:val="0"/>
              <w:marRight w:val="0"/>
              <w:marTop w:val="0"/>
              <w:marBottom w:val="0"/>
              <w:divBdr>
                <w:top w:val="none" w:sz="0" w:space="0" w:color="auto"/>
                <w:left w:val="none" w:sz="0" w:space="0" w:color="auto"/>
                <w:bottom w:val="none" w:sz="0" w:space="0" w:color="auto"/>
                <w:right w:val="none" w:sz="0" w:space="0" w:color="auto"/>
              </w:divBdr>
            </w:div>
            <w:div w:id="1421872884">
              <w:marLeft w:val="0"/>
              <w:marRight w:val="0"/>
              <w:marTop w:val="0"/>
              <w:marBottom w:val="0"/>
              <w:divBdr>
                <w:top w:val="none" w:sz="0" w:space="0" w:color="auto"/>
                <w:left w:val="none" w:sz="0" w:space="0" w:color="auto"/>
                <w:bottom w:val="none" w:sz="0" w:space="0" w:color="auto"/>
                <w:right w:val="none" w:sz="0" w:space="0" w:color="auto"/>
              </w:divBdr>
            </w:div>
            <w:div w:id="1479804045">
              <w:marLeft w:val="0"/>
              <w:marRight w:val="0"/>
              <w:marTop w:val="0"/>
              <w:marBottom w:val="0"/>
              <w:divBdr>
                <w:top w:val="none" w:sz="0" w:space="0" w:color="auto"/>
                <w:left w:val="none" w:sz="0" w:space="0" w:color="auto"/>
                <w:bottom w:val="none" w:sz="0" w:space="0" w:color="auto"/>
                <w:right w:val="none" w:sz="0" w:space="0" w:color="auto"/>
              </w:divBdr>
            </w:div>
            <w:div w:id="1499614263">
              <w:marLeft w:val="0"/>
              <w:marRight w:val="0"/>
              <w:marTop w:val="0"/>
              <w:marBottom w:val="0"/>
              <w:divBdr>
                <w:top w:val="none" w:sz="0" w:space="0" w:color="auto"/>
                <w:left w:val="none" w:sz="0" w:space="0" w:color="auto"/>
                <w:bottom w:val="none" w:sz="0" w:space="0" w:color="auto"/>
                <w:right w:val="none" w:sz="0" w:space="0" w:color="auto"/>
              </w:divBdr>
            </w:div>
            <w:div w:id="1542396172">
              <w:marLeft w:val="0"/>
              <w:marRight w:val="0"/>
              <w:marTop w:val="0"/>
              <w:marBottom w:val="0"/>
              <w:divBdr>
                <w:top w:val="none" w:sz="0" w:space="0" w:color="auto"/>
                <w:left w:val="none" w:sz="0" w:space="0" w:color="auto"/>
                <w:bottom w:val="none" w:sz="0" w:space="0" w:color="auto"/>
                <w:right w:val="none" w:sz="0" w:space="0" w:color="auto"/>
              </w:divBdr>
            </w:div>
            <w:div w:id="1577015749">
              <w:marLeft w:val="0"/>
              <w:marRight w:val="0"/>
              <w:marTop w:val="0"/>
              <w:marBottom w:val="0"/>
              <w:divBdr>
                <w:top w:val="none" w:sz="0" w:space="0" w:color="auto"/>
                <w:left w:val="none" w:sz="0" w:space="0" w:color="auto"/>
                <w:bottom w:val="none" w:sz="0" w:space="0" w:color="auto"/>
                <w:right w:val="none" w:sz="0" w:space="0" w:color="auto"/>
              </w:divBdr>
            </w:div>
            <w:div w:id="1665549006">
              <w:marLeft w:val="0"/>
              <w:marRight w:val="0"/>
              <w:marTop w:val="0"/>
              <w:marBottom w:val="0"/>
              <w:divBdr>
                <w:top w:val="none" w:sz="0" w:space="0" w:color="auto"/>
                <w:left w:val="none" w:sz="0" w:space="0" w:color="auto"/>
                <w:bottom w:val="none" w:sz="0" w:space="0" w:color="auto"/>
                <w:right w:val="none" w:sz="0" w:space="0" w:color="auto"/>
              </w:divBdr>
            </w:div>
            <w:div w:id="1806463142">
              <w:marLeft w:val="0"/>
              <w:marRight w:val="0"/>
              <w:marTop w:val="0"/>
              <w:marBottom w:val="0"/>
              <w:divBdr>
                <w:top w:val="none" w:sz="0" w:space="0" w:color="auto"/>
                <w:left w:val="none" w:sz="0" w:space="0" w:color="auto"/>
                <w:bottom w:val="none" w:sz="0" w:space="0" w:color="auto"/>
                <w:right w:val="none" w:sz="0" w:space="0" w:color="auto"/>
              </w:divBdr>
            </w:div>
            <w:div w:id="1990089871">
              <w:marLeft w:val="0"/>
              <w:marRight w:val="0"/>
              <w:marTop w:val="0"/>
              <w:marBottom w:val="0"/>
              <w:divBdr>
                <w:top w:val="none" w:sz="0" w:space="0" w:color="auto"/>
                <w:left w:val="none" w:sz="0" w:space="0" w:color="auto"/>
                <w:bottom w:val="none" w:sz="0" w:space="0" w:color="auto"/>
                <w:right w:val="none" w:sz="0" w:space="0" w:color="auto"/>
              </w:divBdr>
            </w:div>
            <w:div w:id="2013995146">
              <w:marLeft w:val="0"/>
              <w:marRight w:val="0"/>
              <w:marTop w:val="0"/>
              <w:marBottom w:val="0"/>
              <w:divBdr>
                <w:top w:val="none" w:sz="0" w:space="0" w:color="auto"/>
                <w:left w:val="none" w:sz="0" w:space="0" w:color="auto"/>
                <w:bottom w:val="none" w:sz="0" w:space="0" w:color="auto"/>
                <w:right w:val="none" w:sz="0" w:space="0" w:color="auto"/>
              </w:divBdr>
            </w:div>
            <w:div w:id="2095201778">
              <w:marLeft w:val="0"/>
              <w:marRight w:val="0"/>
              <w:marTop w:val="0"/>
              <w:marBottom w:val="0"/>
              <w:divBdr>
                <w:top w:val="none" w:sz="0" w:space="0" w:color="auto"/>
                <w:left w:val="none" w:sz="0" w:space="0" w:color="auto"/>
                <w:bottom w:val="none" w:sz="0" w:space="0" w:color="auto"/>
                <w:right w:val="none" w:sz="0" w:space="0" w:color="auto"/>
              </w:divBdr>
            </w:div>
          </w:divsChild>
        </w:div>
        <w:div w:id="1031538143">
          <w:marLeft w:val="0"/>
          <w:marRight w:val="0"/>
          <w:marTop w:val="0"/>
          <w:marBottom w:val="0"/>
          <w:divBdr>
            <w:top w:val="none" w:sz="0" w:space="0" w:color="auto"/>
            <w:left w:val="none" w:sz="0" w:space="0" w:color="auto"/>
            <w:bottom w:val="none" w:sz="0" w:space="0" w:color="auto"/>
            <w:right w:val="none" w:sz="0" w:space="0" w:color="auto"/>
          </w:divBdr>
          <w:divsChild>
            <w:div w:id="52046476">
              <w:marLeft w:val="0"/>
              <w:marRight w:val="0"/>
              <w:marTop w:val="0"/>
              <w:marBottom w:val="0"/>
              <w:divBdr>
                <w:top w:val="none" w:sz="0" w:space="0" w:color="auto"/>
                <w:left w:val="none" w:sz="0" w:space="0" w:color="auto"/>
                <w:bottom w:val="none" w:sz="0" w:space="0" w:color="auto"/>
                <w:right w:val="none" w:sz="0" w:space="0" w:color="auto"/>
              </w:divBdr>
            </w:div>
            <w:div w:id="65960913">
              <w:marLeft w:val="0"/>
              <w:marRight w:val="0"/>
              <w:marTop w:val="0"/>
              <w:marBottom w:val="0"/>
              <w:divBdr>
                <w:top w:val="none" w:sz="0" w:space="0" w:color="auto"/>
                <w:left w:val="none" w:sz="0" w:space="0" w:color="auto"/>
                <w:bottom w:val="none" w:sz="0" w:space="0" w:color="auto"/>
                <w:right w:val="none" w:sz="0" w:space="0" w:color="auto"/>
              </w:divBdr>
            </w:div>
            <w:div w:id="236745570">
              <w:marLeft w:val="0"/>
              <w:marRight w:val="0"/>
              <w:marTop w:val="0"/>
              <w:marBottom w:val="0"/>
              <w:divBdr>
                <w:top w:val="none" w:sz="0" w:space="0" w:color="auto"/>
                <w:left w:val="none" w:sz="0" w:space="0" w:color="auto"/>
                <w:bottom w:val="none" w:sz="0" w:space="0" w:color="auto"/>
                <w:right w:val="none" w:sz="0" w:space="0" w:color="auto"/>
              </w:divBdr>
            </w:div>
            <w:div w:id="261687050">
              <w:marLeft w:val="0"/>
              <w:marRight w:val="0"/>
              <w:marTop w:val="0"/>
              <w:marBottom w:val="0"/>
              <w:divBdr>
                <w:top w:val="none" w:sz="0" w:space="0" w:color="auto"/>
                <w:left w:val="none" w:sz="0" w:space="0" w:color="auto"/>
                <w:bottom w:val="none" w:sz="0" w:space="0" w:color="auto"/>
                <w:right w:val="none" w:sz="0" w:space="0" w:color="auto"/>
              </w:divBdr>
            </w:div>
            <w:div w:id="444623108">
              <w:marLeft w:val="0"/>
              <w:marRight w:val="0"/>
              <w:marTop w:val="0"/>
              <w:marBottom w:val="0"/>
              <w:divBdr>
                <w:top w:val="none" w:sz="0" w:space="0" w:color="auto"/>
                <w:left w:val="none" w:sz="0" w:space="0" w:color="auto"/>
                <w:bottom w:val="none" w:sz="0" w:space="0" w:color="auto"/>
                <w:right w:val="none" w:sz="0" w:space="0" w:color="auto"/>
              </w:divBdr>
            </w:div>
            <w:div w:id="516962049">
              <w:marLeft w:val="0"/>
              <w:marRight w:val="0"/>
              <w:marTop w:val="0"/>
              <w:marBottom w:val="0"/>
              <w:divBdr>
                <w:top w:val="none" w:sz="0" w:space="0" w:color="auto"/>
                <w:left w:val="none" w:sz="0" w:space="0" w:color="auto"/>
                <w:bottom w:val="none" w:sz="0" w:space="0" w:color="auto"/>
                <w:right w:val="none" w:sz="0" w:space="0" w:color="auto"/>
              </w:divBdr>
            </w:div>
            <w:div w:id="633830932">
              <w:marLeft w:val="0"/>
              <w:marRight w:val="0"/>
              <w:marTop w:val="0"/>
              <w:marBottom w:val="0"/>
              <w:divBdr>
                <w:top w:val="none" w:sz="0" w:space="0" w:color="auto"/>
                <w:left w:val="none" w:sz="0" w:space="0" w:color="auto"/>
                <w:bottom w:val="none" w:sz="0" w:space="0" w:color="auto"/>
                <w:right w:val="none" w:sz="0" w:space="0" w:color="auto"/>
              </w:divBdr>
            </w:div>
            <w:div w:id="656953770">
              <w:marLeft w:val="0"/>
              <w:marRight w:val="0"/>
              <w:marTop w:val="0"/>
              <w:marBottom w:val="0"/>
              <w:divBdr>
                <w:top w:val="none" w:sz="0" w:space="0" w:color="auto"/>
                <w:left w:val="none" w:sz="0" w:space="0" w:color="auto"/>
                <w:bottom w:val="none" w:sz="0" w:space="0" w:color="auto"/>
                <w:right w:val="none" w:sz="0" w:space="0" w:color="auto"/>
              </w:divBdr>
            </w:div>
            <w:div w:id="691884014">
              <w:marLeft w:val="0"/>
              <w:marRight w:val="0"/>
              <w:marTop w:val="0"/>
              <w:marBottom w:val="0"/>
              <w:divBdr>
                <w:top w:val="none" w:sz="0" w:space="0" w:color="auto"/>
                <w:left w:val="none" w:sz="0" w:space="0" w:color="auto"/>
                <w:bottom w:val="none" w:sz="0" w:space="0" w:color="auto"/>
                <w:right w:val="none" w:sz="0" w:space="0" w:color="auto"/>
              </w:divBdr>
            </w:div>
            <w:div w:id="710571397">
              <w:marLeft w:val="0"/>
              <w:marRight w:val="0"/>
              <w:marTop w:val="0"/>
              <w:marBottom w:val="0"/>
              <w:divBdr>
                <w:top w:val="none" w:sz="0" w:space="0" w:color="auto"/>
                <w:left w:val="none" w:sz="0" w:space="0" w:color="auto"/>
                <w:bottom w:val="none" w:sz="0" w:space="0" w:color="auto"/>
                <w:right w:val="none" w:sz="0" w:space="0" w:color="auto"/>
              </w:divBdr>
            </w:div>
            <w:div w:id="773522075">
              <w:marLeft w:val="0"/>
              <w:marRight w:val="0"/>
              <w:marTop w:val="0"/>
              <w:marBottom w:val="0"/>
              <w:divBdr>
                <w:top w:val="none" w:sz="0" w:space="0" w:color="auto"/>
                <w:left w:val="none" w:sz="0" w:space="0" w:color="auto"/>
                <w:bottom w:val="none" w:sz="0" w:space="0" w:color="auto"/>
                <w:right w:val="none" w:sz="0" w:space="0" w:color="auto"/>
              </w:divBdr>
            </w:div>
            <w:div w:id="790246380">
              <w:marLeft w:val="0"/>
              <w:marRight w:val="0"/>
              <w:marTop w:val="0"/>
              <w:marBottom w:val="0"/>
              <w:divBdr>
                <w:top w:val="none" w:sz="0" w:space="0" w:color="auto"/>
                <w:left w:val="none" w:sz="0" w:space="0" w:color="auto"/>
                <w:bottom w:val="none" w:sz="0" w:space="0" w:color="auto"/>
                <w:right w:val="none" w:sz="0" w:space="0" w:color="auto"/>
              </w:divBdr>
            </w:div>
            <w:div w:id="917638752">
              <w:marLeft w:val="0"/>
              <w:marRight w:val="0"/>
              <w:marTop w:val="0"/>
              <w:marBottom w:val="0"/>
              <w:divBdr>
                <w:top w:val="none" w:sz="0" w:space="0" w:color="auto"/>
                <w:left w:val="none" w:sz="0" w:space="0" w:color="auto"/>
                <w:bottom w:val="none" w:sz="0" w:space="0" w:color="auto"/>
                <w:right w:val="none" w:sz="0" w:space="0" w:color="auto"/>
              </w:divBdr>
            </w:div>
            <w:div w:id="1171219160">
              <w:marLeft w:val="0"/>
              <w:marRight w:val="0"/>
              <w:marTop w:val="0"/>
              <w:marBottom w:val="0"/>
              <w:divBdr>
                <w:top w:val="none" w:sz="0" w:space="0" w:color="auto"/>
                <w:left w:val="none" w:sz="0" w:space="0" w:color="auto"/>
                <w:bottom w:val="none" w:sz="0" w:space="0" w:color="auto"/>
                <w:right w:val="none" w:sz="0" w:space="0" w:color="auto"/>
              </w:divBdr>
            </w:div>
            <w:div w:id="1268345899">
              <w:marLeft w:val="0"/>
              <w:marRight w:val="0"/>
              <w:marTop w:val="0"/>
              <w:marBottom w:val="0"/>
              <w:divBdr>
                <w:top w:val="none" w:sz="0" w:space="0" w:color="auto"/>
                <w:left w:val="none" w:sz="0" w:space="0" w:color="auto"/>
                <w:bottom w:val="none" w:sz="0" w:space="0" w:color="auto"/>
                <w:right w:val="none" w:sz="0" w:space="0" w:color="auto"/>
              </w:divBdr>
            </w:div>
            <w:div w:id="1347488633">
              <w:marLeft w:val="0"/>
              <w:marRight w:val="0"/>
              <w:marTop w:val="0"/>
              <w:marBottom w:val="0"/>
              <w:divBdr>
                <w:top w:val="none" w:sz="0" w:space="0" w:color="auto"/>
                <w:left w:val="none" w:sz="0" w:space="0" w:color="auto"/>
                <w:bottom w:val="none" w:sz="0" w:space="0" w:color="auto"/>
                <w:right w:val="none" w:sz="0" w:space="0" w:color="auto"/>
              </w:divBdr>
            </w:div>
            <w:div w:id="1381126930">
              <w:marLeft w:val="0"/>
              <w:marRight w:val="0"/>
              <w:marTop w:val="0"/>
              <w:marBottom w:val="0"/>
              <w:divBdr>
                <w:top w:val="none" w:sz="0" w:space="0" w:color="auto"/>
                <w:left w:val="none" w:sz="0" w:space="0" w:color="auto"/>
                <w:bottom w:val="none" w:sz="0" w:space="0" w:color="auto"/>
                <w:right w:val="none" w:sz="0" w:space="0" w:color="auto"/>
              </w:divBdr>
            </w:div>
            <w:div w:id="1623076083">
              <w:marLeft w:val="0"/>
              <w:marRight w:val="0"/>
              <w:marTop w:val="0"/>
              <w:marBottom w:val="0"/>
              <w:divBdr>
                <w:top w:val="none" w:sz="0" w:space="0" w:color="auto"/>
                <w:left w:val="none" w:sz="0" w:space="0" w:color="auto"/>
                <w:bottom w:val="none" w:sz="0" w:space="0" w:color="auto"/>
                <w:right w:val="none" w:sz="0" w:space="0" w:color="auto"/>
              </w:divBdr>
            </w:div>
            <w:div w:id="1795639392">
              <w:marLeft w:val="0"/>
              <w:marRight w:val="0"/>
              <w:marTop w:val="0"/>
              <w:marBottom w:val="0"/>
              <w:divBdr>
                <w:top w:val="none" w:sz="0" w:space="0" w:color="auto"/>
                <w:left w:val="none" w:sz="0" w:space="0" w:color="auto"/>
                <w:bottom w:val="none" w:sz="0" w:space="0" w:color="auto"/>
                <w:right w:val="none" w:sz="0" w:space="0" w:color="auto"/>
              </w:divBdr>
            </w:div>
            <w:div w:id="2118718721">
              <w:marLeft w:val="0"/>
              <w:marRight w:val="0"/>
              <w:marTop w:val="0"/>
              <w:marBottom w:val="0"/>
              <w:divBdr>
                <w:top w:val="none" w:sz="0" w:space="0" w:color="auto"/>
                <w:left w:val="none" w:sz="0" w:space="0" w:color="auto"/>
                <w:bottom w:val="none" w:sz="0" w:space="0" w:color="auto"/>
                <w:right w:val="none" w:sz="0" w:space="0" w:color="auto"/>
              </w:divBdr>
            </w:div>
          </w:divsChild>
        </w:div>
        <w:div w:id="1040789067">
          <w:marLeft w:val="0"/>
          <w:marRight w:val="0"/>
          <w:marTop w:val="0"/>
          <w:marBottom w:val="0"/>
          <w:divBdr>
            <w:top w:val="none" w:sz="0" w:space="0" w:color="auto"/>
            <w:left w:val="none" w:sz="0" w:space="0" w:color="auto"/>
            <w:bottom w:val="none" w:sz="0" w:space="0" w:color="auto"/>
            <w:right w:val="none" w:sz="0" w:space="0" w:color="auto"/>
          </w:divBdr>
          <w:divsChild>
            <w:div w:id="61294636">
              <w:marLeft w:val="0"/>
              <w:marRight w:val="0"/>
              <w:marTop w:val="0"/>
              <w:marBottom w:val="0"/>
              <w:divBdr>
                <w:top w:val="none" w:sz="0" w:space="0" w:color="auto"/>
                <w:left w:val="none" w:sz="0" w:space="0" w:color="auto"/>
                <w:bottom w:val="none" w:sz="0" w:space="0" w:color="auto"/>
                <w:right w:val="none" w:sz="0" w:space="0" w:color="auto"/>
              </w:divBdr>
            </w:div>
            <w:div w:id="122113172">
              <w:marLeft w:val="0"/>
              <w:marRight w:val="0"/>
              <w:marTop w:val="0"/>
              <w:marBottom w:val="0"/>
              <w:divBdr>
                <w:top w:val="none" w:sz="0" w:space="0" w:color="auto"/>
                <w:left w:val="none" w:sz="0" w:space="0" w:color="auto"/>
                <w:bottom w:val="none" w:sz="0" w:space="0" w:color="auto"/>
                <w:right w:val="none" w:sz="0" w:space="0" w:color="auto"/>
              </w:divBdr>
            </w:div>
            <w:div w:id="134107560">
              <w:marLeft w:val="0"/>
              <w:marRight w:val="0"/>
              <w:marTop w:val="0"/>
              <w:marBottom w:val="0"/>
              <w:divBdr>
                <w:top w:val="none" w:sz="0" w:space="0" w:color="auto"/>
                <w:left w:val="none" w:sz="0" w:space="0" w:color="auto"/>
                <w:bottom w:val="none" w:sz="0" w:space="0" w:color="auto"/>
                <w:right w:val="none" w:sz="0" w:space="0" w:color="auto"/>
              </w:divBdr>
            </w:div>
            <w:div w:id="135881277">
              <w:marLeft w:val="0"/>
              <w:marRight w:val="0"/>
              <w:marTop w:val="0"/>
              <w:marBottom w:val="0"/>
              <w:divBdr>
                <w:top w:val="none" w:sz="0" w:space="0" w:color="auto"/>
                <w:left w:val="none" w:sz="0" w:space="0" w:color="auto"/>
                <w:bottom w:val="none" w:sz="0" w:space="0" w:color="auto"/>
                <w:right w:val="none" w:sz="0" w:space="0" w:color="auto"/>
              </w:divBdr>
            </w:div>
            <w:div w:id="180051277">
              <w:marLeft w:val="0"/>
              <w:marRight w:val="0"/>
              <w:marTop w:val="0"/>
              <w:marBottom w:val="0"/>
              <w:divBdr>
                <w:top w:val="none" w:sz="0" w:space="0" w:color="auto"/>
                <w:left w:val="none" w:sz="0" w:space="0" w:color="auto"/>
                <w:bottom w:val="none" w:sz="0" w:space="0" w:color="auto"/>
                <w:right w:val="none" w:sz="0" w:space="0" w:color="auto"/>
              </w:divBdr>
            </w:div>
            <w:div w:id="391806036">
              <w:marLeft w:val="0"/>
              <w:marRight w:val="0"/>
              <w:marTop w:val="0"/>
              <w:marBottom w:val="0"/>
              <w:divBdr>
                <w:top w:val="none" w:sz="0" w:space="0" w:color="auto"/>
                <w:left w:val="none" w:sz="0" w:space="0" w:color="auto"/>
                <w:bottom w:val="none" w:sz="0" w:space="0" w:color="auto"/>
                <w:right w:val="none" w:sz="0" w:space="0" w:color="auto"/>
              </w:divBdr>
            </w:div>
            <w:div w:id="647518464">
              <w:marLeft w:val="0"/>
              <w:marRight w:val="0"/>
              <w:marTop w:val="0"/>
              <w:marBottom w:val="0"/>
              <w:divBdr>
                <w:top w:val="none" w:sz="0" w:space="0" w:color="auto"/>
                <w:left w:val="none" w:sz="0" w:space="0" w:color="auto"/>
                <w:bottom w:val="none" w:sz="0" w:space="0" w:color="auto"/>
                <w:right w:val="none" w:sz="0" w:space="0" w:color="auto"/>
              </w:divBdr>
            </w:div>
            <w:div w:id="727804141">
              <w:marLeft w:val="0"/>
              <w:marRight w:val="0"/>
              <w:marTop w:val="0"/>
              <w:marBottom w:val="0"/>
              <w:divBdr>
                <w:top w:val="none" w:sz="0" w:space="0" w:color="auto"/>
                <w:left w:val="none" w:sz="0" w:space="0" w:color="auto"/>
                <w:bottom w:val="none" w:sz="0" w:space="0" w:color="auto"/>
                <w:right w:val="none" w:sz="0" w:space="0" w:color="auto"/>
              </w:divBdr>
            </w:div>
            <w:div w:id="1054819040">
              <w:marLeft w:val="0"/>
              <w:marRight w:val="0"/>
              <w:marTop w:val="0"/>
              <w:marBottom w:val="0"/>
              <w:divBdr>
                <w:top w:val="none" w:sz="0" w:space="0" w:color="auto"/>
                <w:left w:val="none" w:sz="0" w:space="0" w:color="auto"/>
                <w:bottom w:val="none" w:sz="0" w:space="0" w:color="auto"/>
                <w:right w:val="none" w:sz="0" w:space="0" w:color="auto"/>
              </w:divBdr>
            </w:div>
            <w:div w:id="1063597420">
              <w:marLeft w:val="0"/>
              <w:marRight w:val="0"/>
              <w:marTop w:val="0"/>
              <w:marBottom w:val="0"/>
              <w:divBdr>
                <w:top w:val="none" w:sz="0" w:space="0" w:color="auto"/>
                <w:left w:val="none" w:sz="0" w:space="0" w:color="auto"/>
                <w:bottom w:val="none" w:sz="0" w:space="0" w:color="auto"/>
                <w:right w:val="none" w:sz="0" w:space="0" w:color="auto"/>
              </w:divBdr>
            </w:div>
            <w:div w:id="1076316788">
              <w:marLeft w:val="0"/>
              <w:marRight w:val="0"/>
              <w:marTop w:val="0"/>
              <w:marBottom w:val="0"/>
              <w:divBdr>
                <w:top w:val="none" w:sz="0" w:space="0" w:color="auto"/>
                <w:left w:val="none" w:sz="0" w:space="0" w:color="auto"/>
                <w:bottom w:val="none" w:sz="0" w:space="0" w:color="auto"/>
                <w:right w:val="none" w:sz="0" w:space="0" w:color="auto"/>
              </w:divBdr>
            </w:div>
            <w:div w:id="1284799453">
              <w:marLeft w:val="0"/>
              <w:marRight w:val="0"/>
              <w:marTop w:val="0"/>
              <w:marBottom w:val="0"/>
              <w:divBdr>
                <w:top w:val="none" w:sz="0" w:space="0" w:color="auto"/>
                <w:left w:val="none" w:sz="0" w:space="0" w:color="auto"/>
                <w:bottom w:val="none" w:sz="0" w:space="0" w:color="auto"/>
                <w:right w:val="none" w:sz="0" w:space="0" w:color="auto"/>
              </w:divBdr>
            </w:div>
            <w:div w:id="1293900966">
              <w:marLeft w:val="0"/>
              <w:marRight w:val="0"/>
              <w:marTop w:val="0"/>
              <w:marBottom w:val="0"/>
              <w:divBdr>
                <w:top w:val="none" w:sz="0" w:space="0" w:color="auto"/>
                <w:left w:val="none" w:sz="0" w:space="0" w:color="auto"/>
                <w:bottom w:val="none" w:sz="0" w:space="0" w:color="auto"/>
                <w:right w:val="none" w:sz="0" w:space="0" w:color="auto"/>
              </w:divBdr>
            </w:div>
            <w:div w:id="1485511443">
              <w:marLeft w:val="0"/>
              <w:marRight w:val="0"/>
              <w:marTop w:val="0"/>
              <w:marBottom w:val="0"/>
              <w:divBdr>
                <w:top w:val="none" w:sz="0" w:space="0" w:color="auto"/>
                <w:left w:val="none" w:sz="0" w:space="0" w:color="auto"/>
                <w:bottom w:val="none" w:sz="0" w:space="0" w:color="auto"/>
                <w:right w:val="none" w:sz="0" w:space="0" w:color="auto"/>
              </w:divBdr>
            </w:div>
            <w:div w:id="1688360791">
              <w:marLeft w:val="0"/>
              <w:marRight w:val="0"/>
              <w:marTop w:val="0"/>
              <w:marBottom w:val="0"/>
              <w:divBdr>
                <w:top w:val="none" w:sz="0" w:space="0" w:color="auto"/>
                <w:left w:val="none" w:sz="0" w:space="0" w:color="auto"/>
                <w:bottom w:val="none" w:sz="0" w:space="0" w:color="auto"/>
                <w:right w:val="none" w:sz="0" w:space="0" w:color="auto"/>
              </w:divBdr>
            </w:div>
            <w:div w:id="1733504056">
              <w:marLeft w:val="0"/>
              <w:marRight w:val="0"/>
              <w:marTop w:val="0"/>
              <w:marBottom w:val="0"/>
              <w:divBdr>
                <w:top w:val="none" w:sz="0" w:space="0" w:color="auto"/>
                <w:left w:val="none" w:sz="0" w:space="0" w:color="auto"/>
                <w:bottom w:val="none" w:sz="0" w:space="0" w:color="auto"/>
                <w:right w:val="none" w:sz="0" w:space="0" w:color="auto"/>
              </w:divBdr>
            </w:div>
            <w:div w:id="1740518522">
              <w:marLeft w:val="0"/>
              <w:marRight w:val="0"/>
              <w:marTop w:val="0"/>
              <w:marBottom w:val="0"/>
              <w:divBdr>
                <w:top w:val="none" w:sz="0" w:space="0" w:color="auto"/>
                <w:left w:val="none" w:sz="0" w:space="0" w:color="auto"/>
                <w:bottom w:val="none" w:sz="0" w:space="0" w:color="auto"/>
                <w:right w:val="none" w:sz="0" w:space="0" w:color="auto"/>
              </w:divBdr>
            </w:div>
            <w:div w:id="1844859714">
              <w:marLeft w:val="0"/>
              <w:marRight w:val="0"/>
              <w:marTop w:val="0"/>
              <w:marBottom w:val="0"/>
              <w:divBdr>
                <w:top w:val="none" w:sz="0" w:space="0" w:color="auto"/>
                <w:left w:val="none" w:sz="0" w:space="0" w:color="auto"/>
                <w:bottom w:val="none" w:sz="0" w:space="0" w:color="auto"/>
                <w:right w:val="none" w:sz="0" w:space="0" w:color="auto"/>
              </w:divBdr>
            </w:div>
            <w:div w:id="1950701296">
              <w:marLeft w:val="0"/>
              <w:marRight w:val="0"/>
              <w:marTop w:val="0"/>
              <w:marBottom w:val="0"/>
              <w:divBdr>
                <w:top w:val="none" w:sz="0" w:space="0" w:color="auto"/>
                <w:left w:val="none" w:sz="0" w:space="0" w:color="auto"/>
                <w:bottom w:val="none" w:sz="0" w:space="0" w:color="auto"/>
                <w:right w:val="none" w:sz="0" w:space="0" w:color="auto"/>
              </w:divBdr>
            </w:div>
            <w:div w:id="2102528705">
              <w:marLeft w:val="0"/>
              <w:marRight w:val="0"/>
              <w:marTop w:val="0"/>
              <w:marBottom w:val="0"/>
              <w:divBdr>
                <w:top w:val="none" w:sz="0" w:space="0" w:color="auto"/>
                <w:left w:val="none" w:sz="0" w:space="0" w:color="auto"/>
                <w:bottom w:val="none" w:sz="0" w:space="0" w:color="auto"/>
                <w:right w:val="none" w:sz="0" w:space="0" w:color="auto"/>
              </w:divBdr>
            </w:div>
          </w:divsChild>
        </w:div>
        <w:div w:id="1057557933">
          <w:marLeft w:val="0"/>
          <w:marRight w:val="0"/>
          <w:marTop w:val="0"/>
          <w:marBottom w:val="0"/>
          <w:divBdr>
            <w:top w:val="none" w:sz="0" w:space="0" w:color="auto"/>
            <w:left w:val="none" w:sz="0" w:space="0" w:color="auto"/>
            <w:bottom w:val="none" w:sz="0" w:space="0" w:color="auto"/>
            <w:right w:val="none" w:sz="0" w:space="0" w:color="auto"/>
          </w:divBdr>
          <w:divsChild>
            <w:div w:id="39213300">
              <w:marLeft w:val="0"/>
              <w:marRight w:val="0"/>
              <w:marTop w:val="0"/>
              <w:marBottom w:val="0"/>
              <w:divBdr>
                <w:top w:val="none" w:sz="0" w:space="0" w:color="auto"/>
                <w:left w:val="none" w:sz="0" w:space="0" w:color="auto"/>
                <w:bottom w:val="none" w:sz="0" w:space="0" w:color="auto"/>
                <w:right w:val="none" w:sz="0" w:space="0" w:color="auto"/>
              </w:divBdr>
            </w:div>
            <w:div w:id="241842117">
              <w:marLeft w:val="0"/>
              <w:marRight w:val="0"/>
              <w:marTop w:val="0"/>
              <w:marBottom w:val="0"/>
              <w:divBdr>
                <w:top w:val="none" w:sz="0" w:space="0" w:color="auto"/>
                <w:left w:val="none" w:sz="0" w:space="0" w:color="auto"/>
                <w:bottom w:val="none" w:sz="0" w:space="0" w:color="auto"/>
                <w:right w:val="none" w:sz="0" w:space="0" w:color="auto"/>
              </w:divBdr>
            </w:div>
            <w:div w:id="267200076">
              <w:marLeft w:val="0"/>
              <w:marRight w:val="0"/>
              <w:marTop w:val="0"/>
              <w:marBottom w:val="0"/>
              <w:divBdr>
                <w:top w:val="none" w:sz="0" w:space="0" w:color="auto"/>
                <w:left w:val="none" w:sz="0" w:space="0" w:color="auto"/>
                <w:bottom w:val="none" w:sz="0" w:space="0" w:color="auto"/>
                <w:right w:val="none" w:sz="0" w:space="0" w:color="auto"/>
              </w:divBdr>
            </w:div>
            <w:div w:id="399518290">
              <w:marLeft w:val="0"/>
              <w:marRight w:val="0"/>
              <w:marTop w:val="0"/>
              <w:marBottom w:val="0"/>
              <w:divBdr>
                <w:top w:val="none" w:sz="0" w:space="0" w:color="auto"/>
                <w:left w:val="none" w:sz="0" w:space="0" w:color="auto"/>
                <w:bottom w:val="none" w:sz="0" w:space="0" w:color="auto"/>
                <w:right w:val="none" w:sz="0" w:space="0" w:color="auto"/>
              </w:divBdr>
            </w:div>
            <w:div w:id="555433683">
              <w:marLeft w:val="0"/>
              <w:marRight w:val="0"/>
              <w:marTop w:val="0"/>
              <w:marBottom w:val="0"/>
              <w:divBdr>
                <w:top w:val="none" w:sz="0" w:space="0" w:color="auto"/>
                <w:left w:val="none" w:sz="0" w:space="0" w:color="auto"/>
                <w:bottom w:val="none" w:sz="0" w:space="0" w:color="auto"/>
                <w:right w:val="none" w:sz="0" w:space="0" w:color="auto"/>
              </w:divBdr>
            </w:div>
            <w:div w:id="568614410">
              <w:marLeft w:val="0"/>
              <w:marRight w:val="0"/>
              <w:marTop w:val="0"/>
              <w:marBottom w:val="0"/>
              <w:divBdr>
                <w:top w:val="none" w:sz="0" w:space="0" w:color="auto"/>
                <w:left w:val="none" w:sz="0" w:space="0" w:color="auto"/>
                <w:bottom w:val="none" w:sz="0" w:space="0" w:color="auto"/>
                <w:right w:val="none" w:sz="0" w:space="0" w:color="auto"/>
              </w:divBdr>
            </w:div>
            <w:div w:id="605044403">
              <w:marLeft w:val="0"/>
              <w:marRight w:val="0"/>
              <w:marTop w:val="0"/>
              <w:marBottom w:val="0"/>
              <w:divBdr>
                <w:top w:val="none" w:sz="0" w:space="0" w:color="auto"/>
                <w:left w:val="none" w:sz="0" w:space="0" w:color="auto"/>
                <w:bottom w:val="none" w:sz="0" w:space="0" w:color="auto"/>
                <w:right w:val="none" w:sz="0" w:space="0" w:color="auto"/>
              </w:divBdr>
            </w:div>
            <w:div w:id="650525357">
              <w:marLeft w:val="0"/>
              <w:marRight w:val="0"/>
              <w:marTop w:val="0"/>
              <w:marBottom w:val="0"/>
              <w:divBdr>
                <w:top w:val="none" w:sz="0" w:space="0" w:color="auto"/>
                <w:left w:val="none" w:sz="0" w:space="0" w:color="auto"/>
                <w:bottom w:val="none" w:sz="0" w:space="0" w:color="auto"/>
                <w:right w:val="none" w:sz="0" w:space="0" w:color="auto"/>
              </w:divBdr>
            </w:div>
            <w:div w:id="688794637">
              <w:marLeft w:val="0"/>
              <w:marRight w:val="0"/>
              <w:marTop w:val="0"/>
              <w:marBottom w:val="0"/>
              <w:divBdr>
                <w:top w:val="none" w:sz="0" w:space="0" w:color="auto"/>
                <w:left w:val="none" w:sz="0" w:space="0" w:color="auto"/>
                <w:bottom w:val="none" w:sz="0" w:space="0" w:color="auto"/>
                <w:right w:val="none" w:sz="0" w:space="0" w:color="auto"/>
              </w:divBdr>
            </w:div>
            <w:div w:id="736513109">
              <w:marLeft w:val="0"/>
              <w:marRight w:val="0"/>
              <w:marTop w:val="0"/>
              <w:marBottom w:val="0"/>
              <w:divBdr>
                <w:top w:val="none" w:sz="0" w:space="0" w:color="auto"/>
                <w:left w:val="none" w:sz="0" w:space="0" w:color="auto"/>
                <w:bottom w:val="none" w:sz="0" w:space="0" w:color="auto"/>
                <w:right w:val="none" w:sz="0" w:space="0" w:color="auto"/>
              </w:divBdr>
            </w:div>
            <w:div w:id="813369800">
              <w:marLeft w:val="0"/>
              <w:marRight w:val="0"/>
              <w:marTop w:val="0"/>
              <w:marBottom w:val="0"/>
              <w:divBdr>
                <w:top w:val="none" w:sz="0" w:space="0" w:color="auto"/>
                <w:left w:val="none" w:sz="0" w:space="0" w:color="auto"/>
                <w:bottom w:val="none" w:sz="0" w:space="0" w:color="auto"/>
                <w:right w:val="none" w:sz="0" w:space="0" w:color="auto"/>
              </w:divBdr>
            </w:div>
            <w:div w:id="878708983">
              <w:marLeft w:val="0"/>
              <w:marRight w:val="0"/>
              <w:marTop w:val="0"/>
              <w:marBottom w:val="0"/>
              <w:divBdr>
                <w:top w:val="none" w:sz="0" w:space="0" w:color="auto"/>
                <w:left w:val="none" w:sz="0" w:space="0" w:color="auto"/>
                <w:bottom w:val="none" w:sz="0" w:space="0" w:color="auto"/>
                <w:right w:val="none" w:sz="0" w:space="0" w:color="auto"/>
              </w:divBdr>
            </w:div>
            <w:div w:id="891699050">
              <w:marLeft w:val="0"/>
              <w:marRight w:val="0"/>
              <w:marTop w:val="0"/>
              <w:marBottom w:val="0"/>
              <w:divBdr>
                <w:top w:val="none" w:sz="0" w:space="0" w:color="auto"/>
                <w:left w:val="none" w:sz="0" w:space="0" w:color="auto"/>
                <w:bottom w:val="none" w:sz="0" w:space="0" w:color="auto"/>
                <w:right w:val="none" w:sz="0" w:space="0" w:color="auto"/>
              </w:divBdr>
            </w:div>
            <w:div w:id="925767425">
              <w:marLeft w:val="0"/>
              <w:marRight w:val="0"/>
              <w:marTop w:val="0"/>
              <w:marBottom w:val="0"/>
              <w:divBdr>
                <w:top w:val="none" w:sz="0" w:space="0" w:color="auto"/>
                <w:left w:val="none" w:sz="0" w:space="0" w:color="auto"/>
                <w:bottom w:val="none" w:sz="0" w:space="0" w:color="auto"/>
                <w:right w:val="none" w:sz="0" w:space="0" w:color="auto"/>
              </w:divBdr>
            </w:div>
            <w:div w:id="1071007299">
              <w:marLeft w:val="0"/>
              <w:marRight w:val="0"/>
              <w:marTop w:val="0"/>
              <w:marBottom w:val="0"/>
              <w:divBdr>
                <w:top w:val="none" w:sz="0" w:space="0" w:color="auto"/>
                <w:left w:val="none" w:sz="0" w:space="0" w:color="auto"/>
                <w:bottom w:val="none" w:sz="0" w:space="0" w:color="auto"/>
                <w:right w:val="none" w:sz="0" w:space="0" w:color="auto"/>
              </w:divBdr>
            </w:div>
            <w:div w:id="1750535417">
              <w:marLeft w:val="0"/>
              <w:marRight w:val="0"/>
              <w:marTop w:val="0"/>
              <w:marBottom w:val="0"/>
              <w:divBdr>
                <w:top w:val="none" w:sz="0" w:space="0" w:color="auto"/>
                <w:left w:val="none" w:sz="0" w:space="0" w:color="auto"/>
                <w:bottom w:val="none" w:sz="0" w:space="0" w:color="auto"/>
                <w:right w:val="none" w:sz="0" w:space="0" w:color="auto"/>
              </w:divBdr>
            </w:div>
            <w:div w:id="1864006308">
              <w:marLeft w:val="0"/>
              <w:marRight w:val="0"/>
              <w:marTop w:val="0"/>
              <w:marBottom w:val="0"/>
              <w:divBdr>
                <w:top w:val="none" w:sz="0" w:space="0" w:color="auto"/>
                <w:left w:val="none" w:sz="0" w:space="0" w:color="auto"/>
                <w:bottom w:val="none" w:sz="0" w:space="0" w:color="auto"/>
                <w:right w:val="none" w:sz="0" w:space="0" w:color="auto"/>
              </w:divBdr>
            </w:div>
            <w:div w:id="1875732652">
              <w:marLeft w:val="0"/>
              <w:marRight w:val="0"/>
              <w:marTop w:val="0"/>
              <w:marBottom w:val="0"/>
              <w:divBdr>
                <w:top w:val="none" w:sz="0" w:space="0" w:color="auto"/>
                <w:left w:val="none" w:sz="0" w:space="0" w:color="auto"/>
                <w:bottom w:val="none" w:sz="0" w:space="0" w:color="auto"/>
                <w:right w:val="none" w:sz="0" w:space="0" w:color="auto"/>
              </w:divBdr>
            </w:div>
            <w:div w:id="2028483983">
              <w:marLeft w:val="0"/>
              <w:marRight w:val="0"/>
              <w:marTop w:val="0"/>
              <w:marBottom w:val="0"/>
              <w:divBdr>
                <w:top w:val="none" w:sz="0" w:space="0" w:color="auto"/>
                <w:left w:val="none" w:sz="0" w:space="0" w:color="auto"/>
                <w:bottom w:val="none" w:sz="0" w:space="0" w:color="auto"/>
                <w:right w:val="none" w:sz="0" w:space="0" w:color="auto"/>
              </w:divBdr>
            </w:div>
            <w:div w:id="2143844278">
              <w:marLeft w:val="0"/>
              <w:marRight w:val="0"/>
              <w:marTop w:val="0"/>
              <w:marBottom w:val="0"/>
              <w:divBdr>
                <w:top w:val="none" w:sz="0" w:space="0" w:color="auto"/>
                <w:left w:val="none" w:sz="0" w:space="0" w:color="auto"/>
                <w:bottom w:val="none" w:sz="0" w:space="0" w:color="auto"/>
                <w:right w:val="none" w:sz="0" w:space="0" w:color="auto"/>
              </w:divBdr>
            </w:div>
          </w:divsChild>
        </w:div>
        <w:div w:id="1094479075">
          <w:marLeft w:val="0"/>
          <w:marRight w:val="0"/>
          <w:marTop w:val="0"/>
          <w:marBottom w:val="0"/>
          <w:divBdr>
            <w:top w:val="none" w:sz="0" w:space="0" w:color="auto"/>
            <w:left w:val="none" w:sz="0" w:space="0" w:color="auto"/>
            <w:bottom w:val="none" w:sz="0" w:space="0" w:color="auto"/>
            <w:right w:val="none" w:sz="0" w:space="0" w:color="auto"/>
          </w:divBdr>
          <w:divsChild>
            <w:div w:id="112869581">
              <w:marLeft w:val="0"/>
              <w:marRight w:val="0"/>
              <w:marTop w:val="0"/>
              <w:marBottom w:val="0"/>
              <w:divBdr>
                <w:top w:val="none" w:sz="0" w:space="0" w:color="auto"/>
                <w:left w:val="none" w:sz="0" w:space="0" w:color="auto"/>
                <w:bottom w:val="none" w:sz="0" w:space="0" w:color="auto"/>
                <w:right w:val="none" w:sz="0" w:space="0" w:color="auto"/>
              </w:divBdr>
            </w:div>
            <w:div w:id="123819493">
              <w:marLeft w:val="0"/>
              <w:marRight w:val="0"/>
              <w:marTop w:val="0"/>
              <w:marBottom w:val="0"/>
              <w:divBdr>
                <w:top w:val="none" w:sz="0" w:space="0" w:color="auto"/>
                <w:left w:val="none" w:sz="0" w:space="0" w:color="auto"/>
                <w:bottom w:val="none" w:sz="0" w:space="0" w:color="auto"/>
                <w:right w:val="none" w:sz="0" w:space="0" w:color="auto"/>
              </w:divBdr>
            </w:div>
            <w:div w:id="211550336">
              <w:marLeft w:val="0"/>
              <w:marRight w:val="0"/>
              <w:marTop w:val="0"/>
              <w:marBottom w:val="0"/>
              <w:divBdr>
                <w:top w:val="none" w:sz="0" w:space="0" w:color="auto"/>
                <w:left w:val="none" w:sz="0" w:space="0" w:color="auto"/>
                <w:bottom w:val="none" w:sz="0" w:space="0" w:color="auto"/>
                <w:right w:val="none" w:sz="0" w:space="0" w:color="auto"/>
              </w:divBdr>
            </w:div>
            <w:div w:id="291595198">
              <w:marLeft w:val="0"/>
              <w:marRight w:val="0"/>
              <w:marTop w:val="0"/>
              <w:marBottom w:val="0"/>
              <w:divBdr>
                <w:top w:val="none" w:sz="0" w:space="0" w:color="auto"/>
                <w:left w:val="none" w:sz="0" w:space="0" w:color="auto"/>
                <w:bottom w:val="none" w:sz="0" w:space="0" w:color="auto"/>
                <w:right w:val="none" w:sz="0" w:space="0" w:color="auto"/>
              </w:divBdr>
            </w:div>
            <w:div w:id="486092954">
              <w:marLeft w:val="0"/>
              <w:marRight w:val="0"/>
              <w:marTop w:val="0"/>
              <w:marBottom w:val="0"/>
              <w:divBdr>
                <w:top w:val="none" w:sz="0" w:space="0" w:color="auto"/>
                <w:left w:val="none" w:sz="0" w:space="0" w:color="auto"/>
                <w:bottom w:val="none" w:sz="0" w:space="0" w:color="auto"/>
                <w:right w:val="none" w:sz="0" w:space="0" w:color="auto"/>
              </w:divBdr>
            </w:div>
            <w:div w:id="584144886">
              <w:marLeft w:val="0"/>
              <w:marRight w:val="0"/>
              <w:marTop w:val="0"/>
              <w:marBottom w:val="0"/>
              <w:divBdr>
                <w:top w:val="none" w:sz="0" w:space="0" w:color="auto"/>
                <w:left w:val="none" w:sz="0" w:space="0" w:color="auto"/>
                <w:bottom w:val="none" w:sz="0" w:space="0" w:color="auto"/>
                <w:right w:val="none" w:sz="0" w:space="0" w:color="auto"/>
              </w:divBdr>
            </w:div>
            <w:div w:id="642585463">
              <w:marLeft w:val="0"/>
              <w:marRight w:val="0"/>
              <w:marTop w:val="0"/>
              <w:marBottom w:val="0"/>
              <w:divBdr>
                <w:top w:val="none" w:sz="0" w:space="0" w:color="auto"/>
                <w:left w:val="none" w:sz="0" w:space="0" w:color="auto"/>
                <w:bottom w:val="none" w:sz="0" w:space="0" w:color="auto"/>
                <w:right w:val="none" w:sz="0" w:space="0" w:color="auto"/>
              </w:divBdr>
            </w:div>
            <w:div w:id="756363781">
              <w:marLeft w:val="0"/>
              <w:marRight w:val="0"/>
              <w:marTop w:val="0"/>
              <w:marBottom w:val="0"/>
              <w:divBdr>
                <w:top w:val="none" w:sz="0" w:space="0" w:color="auto"/>
                <w:left w:val="none" w:sz="0" w:space="0" w:color="auto"/>
                <w:bottom w:val="none" w:sz="0" w:space="0" w:color="auto"/>
                <w:right w:val="none" w:sz="0" w:space="0" w:color="auto"/>
              </w:divBdr>
            </w:div>
            <w:div w:id="883175403">
              <w:marLeft w:val="0"/>
              <w:marRight w:val="0"/>
              <w:marTop w:val="0"/>
              <w:marBottom w:val="0"/>
              <w:divBdr>
                <w:top w:val="none" w:sz="0" w:space="0" w:color="auto"/>
                <w:left w:val="none" w:sz="0" w:space="0" w:color="auto"/>
                <w:bottom w:val="none" w:sz="0" w:space="0" w:color="auto"/>
                <w:right w:val="none" w:sz="0" w:space="0" w:color="auto"/>
              </w:divBdr>
            </w:div>
            <w:div w:id="891116290">
              <w:marLeft w:val="0"/>
              <w:marRight w:val="0"/>
              <w:marTop w:val="0"/>
              <w:marBottom w:val="0"/>
              <w:divBdr>
                <w:top w:val="none" w:sz="0" w:space="0" w:color="auto"/>
                <w:left w:val="none" w:sz="0" w:space="0" w:color="auto"/>
                <w:bottom w:val="none" w:sz="0" w:space="0" w:color="auto"/>
                <w:right w:val="none" w:sz="0" w:space="0" w:color="auto"/>
              </w:divBdr>
            </w:div>
            <w:div w:id="1009679769">
              <w:marLeft w:val="0"/>
              <w:marRight w:val="0"/>
              <w:marTop w:val="0"/>
              <w:marBottom w:val="0"/>
              <w:divBdr>
                <w:top w:val="none" w:sz="0" w:space="0" w:color="auto"/>
                <w:left w:val="none" w:sz="0" w:space="0" w:color="auto"/>
                <w:bottom w:val="none" w:sz="0" w:space="0" w:color="auto"/>
                <w:right w:val="none" w:sz="0" w:space="0" w:color="auto"/>
              </w:divBdr>
            </w:div>
            <w:div w:id="1076782970">
              <w:marLeft w:val="0"/>
              <w:marRight w:val="0"/>
              <w:marTop w:val="0"/>
              <w:marBottom w:val="0"/>
              <w:divBdr>
                <w:top w:val="none" w:sz="0" w:space="0" w:color="auto"/>
                <w:left w:val="none" w:sz="0" w:space="0" w:color="auto"/>
                <w:bottom w:val="none" w:sz="0" w:space="0" w:color="auto"/>
                <w:right w:val="none" w:sz="0" w:space="0" w:color="auto"/>
              </w:divBdr>
            </w:div>
            <w:div w:id="1201288654">
              <w:marLeft w:val="0"/>
              <w:marRight w:val="0"/>
              <w:marTop w:val="0"/>
              <w:marBottom w:val="0"/>
              <w:divBdr>
                <w:top w:val="none" w:sz="0" w:space="0" w:color="auto"/>
                <w:left w:val="none" w:sz="0" w:space="0" w:color="auto"/>
                <w:bottom w:val="none" w:sz="0" w:space="0" w:color="auto"/>
                <w:right w:val="none" w:sz="0" w:space="0" w:color="auto"/>
              </w:divBdr>
            </w:div>
            <w:div w:id="1349213992">
              <w:marLeft w:val="0"/>
              <w:marRight w:val="0"/>
              <w:marTop w:val="0"/>
              <w:marBottom w:val="0"/>
              <w:divBdr>
                <w:top w:val="none" w:sz="0" w:space="0" w:color="auto"/>
                <w:left w:val="none" w:sz="0" w:space="0" w:color="auto"/>
                <w:bottom w:val="none" w:sz="0" w:space="0" w:color="auto"/>
                <w:right w:val="none" w:sz="0" w:space="0" w:color="auto"/>
              </w:divBdr>
            </w:div>
            <w:div w:id="1349286025">
              <w:marLeft w:val="0"/>
              <w:marRight w:val="0"/>
              <w:marTop w:val="0"/>
              <w:marBottom w:val="0"/>
              <w:divBdr>
                <w:top w:val="none" w:sz="0" w:space="0" w:color="auto"/>
                <w:left w:val="none" w:sz="0" w:space="0" w:color="auto"/>
                <w:bottom w:val="none" w:sz="0" w:space="0" w:color="auto"/>
                <w:right w:val="none" w:sz="0" w:space="0" w:color="auto"/>
              </w:divBdr>
            </w:div>
            <w:div w:id="1443115532">
              <w:marLeft w:val="0"/>
              <w:marRight w:val="0"/>
              <w:marTop w:val="0"/>
              <w:marBottom w:val="0"/>
              <w:divBdr>
                <w:top w:val="none" w:sz="0" w:space="0" w:color="auto"/>
                <w:left w:val="none" w:sz="0" w:space="0" w:color="auto"/>
                <w:bottom w:val="none" w:sz="0" w:space="0" w:color="auto"/>
                <w:right w:val="none" w:sz="0" w:space="0" w:color="auto"/>
              </w:divBdr>
            </w:div>
            <w:div w:id="1513763198">
              <w:marLeft w:val="0"/>
              <w:marRight w:val="0"/>
              <w:marTop w:val="0"/>
              <w:marBottom w:val="0"/>
              <w:divBdr>
                <w:top w:val="none" w:sz="0" w:space="0" w:color="auto"/>
                <w:left w:val="none" w:sz="0" w:space="0" w:color="auto"/>
                <w:bottom w:val="none" w:sz="0" w:space="0" w:color="auto"/>
                <w:right w:val="none" w:sz="0" w:space="0" w:color="auto"/>
              </w:divBdr>
            </w:div>
            <w:div w:id="1613517145">
              <w:marLeft w:val="0"/>
              <w:marRight w:val="0"/>
              <w:marTop w:val="0"/>
              <w:marBottom w:val="0"/>
              <w:divBdr>
                <w:top w:val="none" w:sz="0" w:space="0" w:color="auto"/>
                <w:left w:val="none" w:sz="0" w:space="0" w:color="auto"/>
                <w:bottom w:val="none" w:sz="0" w:space="0" w:color="auto"/>
                <w:right w:val="none" w:sz="0" w:space="0" w:color="auto"/>
              </w:divBdr>
            </w:div>
            <w:div w:id="1702438836">
              <w:marLeft w:val="0"/>
              <w:marRight w:val="0"/>
              <w:marTop w:val="0"/>
              <w:marBottom w:val="0"/>
              <w:divBdr>
                <w:top w:val="none" w:sz="0" w:space="0" w:color="auto"/>
                <w:left w:val="none" w:sz="0" w:space="0" w:color="auto"/>
                <w:bottom w:val="none" w:sz="0" w:space="0" w:color="auto"/>
                <w:right w:val="none" w:sz="0" w:space="0" w:color="auto"/>
              </w:divBdr>
            </w:div>
            <w:div w:id="1894653702">
              <w:marLeft w:val="0"/>
              <w:marRight w:val="0"/>
              <w:marTop w:val="0"/>
              <w:marBottom w:val="0"/>
              <w:divBdr>
                <w:top w:val="none" w:sz="0" w:space="0" w:color="auto"/>
                <w:left w:val="none" w:sz="0" w:space="0" w:color="auto"/>
                <w:bottom w:val="none" w:sz="0" w:space="0" w:color="auto"/>
                <w:right w:val="none" w:sz="0" w:space="0" w:color="auto"/>
              </w:divBdr>
            </w:div>
          </w:divsChild>
        </w:div>
        <w:div w:id="1242444568">
          <w:marLeft w:val="0"/>
          <w:marRight w:val="0"/>
          <w:marTop w:val="0"/>
          <w:marBottom w:val="0"/>
          <w:divBdr>
            <w:top w:val="none" w:sz="0" w:space="0" w:color="auto"/>
            <w:left w:val="none" w:sz="0" w:space="0" w:color="auto"/>
            <w:bottom w:val="none" w:sz="0" w:space="0" w:color="auto"/>
            <w:right w:val="none" w:sz="0" w:space="0" w:color="auto"/>
          </w:divBdr>
          <w:divsChild>
            <w:div w:id="77796458">
              <w:marLeft w:val="0"/>
              <w:marRight w:val="0"/>
              <w:marTop w:val="0"/>
              <w:marBottom w:val="0"/>
              <w:divBdr>
                <w:top w:val="none" w:sz="0" w:space="0" w:color="auto"/>
                <w:left w:val="none" w:sz="0" w:space="0" w:color="auto"/>
                <w:bottom w:val="none" w:sz="0" w:space="0" w:color="auto"/>
                <w:right w:val="none" w:sz="0" w:space="0" w:color="auto"/>
              </w:divBdr>
            </w:div>
            <w:div w:id="113209575">
              <w:marLeft w:val="0"/>
              <w:marRight w:val="0"/>
              <w:marTop w:val="0"/>
              <w:marBottom w:val="0"/>
              <w:divBdr>
                <w:top w:val="none" w:sz="0" w:space="0" w:color="auto"/>
                <w:left w:val="none" w:sz="0" w:space="0" w:color="auto"/>
                <w:bottom w:val="none" w:sz="0" w:space="0" w:color="auto"/>
                <w:right w:val="none" w:sz="0" w:space="0" w:color="auto"/>
              </w:divBdr>
            </w:div>
            <w:div w:id="183205499">
              <w:marLeft w:val="0"/>
              <w:marRight w:val="0"/>
              <w:marTop w:val="0"/>
              <w:marBottom w:val="0"/>
              <w:divBdr>
                <w:top w:val="none" w:sz="0" w:space="0" w:color="auto"/>
                <w:left w:val="none" w:sz="0" w:space="0" w:color="auto"/>
                <w:bottom w:val="none" w:sz="0" w:space="0" w:color="auto"/>
                <w:right w:val="none" w:sz="0" w:space="0" w:color="auto"/>
              </w:divBdr>
            </w:div>
            <w:div w:id="232667277">
              <w:marLeft w:val="0"/>
              <w:marRight w:val="0"/>
              <w:marTop w:val="0"/>
              <w:marBottom w:val="0"/>
              <w:divBdr>
                <w:top w:val="none" w:sz="0" w:space="0" w:color="auto"/>
                <w:left w:val="none" w:sz="0" w:space="0" w:color="auto"/>
                <w:bottom w:val="none" w:sz="0" w:space="0" w:color="auto"/>
                <w:right w:val="none" w:sz="0" w:space="0" w:color="auto"/>
              </w:divBdr>
            </w:div>
            <w:div w:id="240219068">
              <w:marLeft w:val="0"/>
              <w:marRight w:val="0"/>
              <w:marTop w:val="0"/>
              <w:marBottom w:val="0"/>
              <w:divBdr>
                <w:top w:val="none" w:sz="0" w:space="0" w:color="auto"/>
                <w:left w:val="none" w:sz="0" w:space="0" w:color="auto"/>
                <w:bottom w:val="none" w:sz="0" w:space="0" w:color="auto"/>
                <w:right w:val="none" w:sz="0" w:space="0" w:color="auto"/>
              </w:divBdr>
            </w:div>
            <w:div w:id="334264970">
              <w:marLeft w:val="0"/>
              <w:marRight w:val="0"/>
              <w:marTop w:val="0"/>
              <w:marBottom w:val="0"/>
              <w:divBdr>
                <w:top w:val="none" w:sz="0" w:space="0" w:color="auto"/>
                <w:left w:val="none" w:sz="0" w:space="0" w:color="auto"/>
                <w:bottom w:val="none" w:sz="0" w:space="0" w:color="auto"/>
                <w:right w:val="none" w:sz="0" w:space="0" w:color="auto"/>
              </w:divBdr>
            </w:div>
            <w:div w:id="370149655">
              <w:marLeft w:val="0"/>
              <w:marRight w:val="0"/>
              <w:marTop w:val="0"/>
              <w:marBottom w:val="0"/>
              <w:divBdr>
                <w:top w:val="none" w:sz="0" w:space="0" w:color="auto"/>
                <w:left w:val="none" w:sz="0" w:space="0" w:color="auto"/>
                <w:bottom w:val="none" w:sz="0" w:space="0" w:color="auto"/>
                <w:right w:val="none" w:sz="0" w:space="0" w:color="auto"/>
              </w:divBdr>
            </w:div>
            <w:div w:id="433794469">
              <w:marLeft w:val="0"/>
              <w:marRight w:val="0"/>
              <w:marTop w:val="0"/>
              <w:marBottom w:val="0"/>
              <w:divBdr>
                <w:top w:val="none" w:sz="0" w:space="0" w:color="auto"/>
                <w:left w:val="none" w:sz="0" w:space="0" w:color="auto"/>
                <w:bottom w:val="none" w:sz="0" w:space="0" w:color="auto"/>
                <w:right w:val="none" w:sz="0" w:space="0" w:color="auto"/>
              </w:divBdr>
            </w:div>
            <w:div w:id="455873990">
              <w:marLeft w:val="0"/>
              <w:marRight w:val="0"/>
              <w:marTop w:val="0"/>
              <w:marBottom w:val="0"/>
              <w:divBdr>
                <w:top w:val="none" w:sz="0" w:space="0" w:color="auto"/>
                <w:left w:val="none" w:sz="0" w:space="0" w:color="auto"/>
                <w:bottom w:val="none" w:sz="0" w:space="0" w:color="auto"/>
                <w:right w:val="none" w:sz="0" w:space="0" w:color="auto"/>
              </w:divBdr>
            </w:div>
            <w:div w:id="857737208">
              <w:marLeft w:val="0"/>
              <w:marRight w:val="0"/>
              <w:marTop w:val="0"/>
              <w:marBottom w:val="0"/>
              <w:divBdr>
                <w:top w:val="none" w:sz="0" w:space="0" w:color="auto"/>
                <w:left w:val="none" w:sz="0" w:space="0" w:color="auto"/>
                <w:bottom w:val="none" w:sz="0" w:space="0" w:color="auto"/>
                <w:right w:val="none" w:sz="0" w:space="0" w:color="auto"/>
              </w:divBdr>
            </w:div>
            <w:div w:id="939412829">
              <w:marLeft w:val="0"/>
              <w:marRight w:val="0"/>
              <w:marTop w:val="0"/>
              <w:marBottom w:val="0"/>
              <w:divBdr>
                <w:top w:val="none" w:sz="0" w:space="0" w:color="auto"/>
                <w:left w:val="none" w:sz="0" w:space="0" w:color="auto"/>
                <w:bottom w:val="none" w:sz="0" w:space="0" w:color="auto"/>
                <w:right w:val="none" w:sz="0" w:space="0" w:color="auto"/>
              </w:divBdr>
            </w:div>
            <w:div w:id="1161115004">
              <w:marLeft w:val="0"/>
              <w:marRight w:val="0"/>
              <w:marTop w:val="0"/>
              <w:marBottom w:val="0"/>
              <w:divBdr>
                <w:top w:val="none" w:sz="0" w:space="0" w:color="auto"/>
                <w:left w:val="none" w:sz="0" w:space="0" w:color="auto"/>
                <w:bottom w:val="none" w:sz="0" w:space="0" w:color="auto"/>
                <w:right w:val="none" w:sz="0" w:space="0" w:color="auto"/>
              </w:divBdr>
            </w:div>
            <w:div w:id="1235772448">
              <w:marLeft w:val="0"/>
              <w:marRight w:val="0"/>
              <w:marTop w:val="0"/>
              <w:marBottom w:val="0"/>
              <w:divBdr>
                <w:top w:val="none" w:sz="0" w:space="0" w:color="auto"/>
                <w:left w:val="none" w:sz="0" w:space="0" w:color="auto"/>
                <w:bottom w:val="none" w:sz="0" w:space="0" w:color="auto"/>
                <w:right w:val="none" w:sz="0" w:space="0" w:color="auto"/>
              </w:divBdr>
            </w:div>
            <w:div w:id="1422407190">
              <w:marLeft w:val="0"/>
              <w:marRight w:val="0"/>
              <w:marTop w:val="0"/>
              <w:marBottom w:val="0"/>
              <w:divBdr>
                <w:top w:val="none" w:sz="0" w:space="0" w:color="auto"/>
                <w:left w:val="none" w:sz="0" w:space="0" w:color="auto"/>
                <w:bottom w:val="none" w:sz="0" w:space="0" w:color="auto"/>
                <w:right w:val="none" w:sz="0" w:space="0" w:color="auto"/>
              </w:divBdr>
            </w:div>
            <w:div w:id="1642534003">
              <w:marLeft w:val="0"/>
              <w:marRight w:val="0"/>
              <w:marTop w:val="0"/>
              <w:marBottom w:val="0"/>
              <w:divBdr>
                <w:top w:val="none" w:sz="0" w:space="0" w:color="auto"/>
                <w:left w:val="none" w:sz="0" w:space="0" w:color="auto"/>
                <w:bottom w:val="none" w:sz="0" w:space="0" w:color="auto"/>
                <w:right w:val="none" w:sz="0" w:space="0" w:color="auto"/>
              </w:divBdr>
            </w:div>
            <w:div w:id="1795711190">
              <w:marLeft w:val="0"/>
              <w:marRight w:val="0"/>
              <w:marTop w:val="0"/>
              <w:marBottom w:val="0"/>
              <w:divBdr>
                <w:top w:val="none" w:sz="0" w:space="0" w:color="auto"/>
                <w:left w:val="none" w:sz="0" w:space="0" w:color="auto"/>
                <w:bottom w:val="none" w:sz="0" w:space="0" w:color="auto"/>
                <w:right w:val="none" w:sz="0" w:space="0" w:color="auto"/>
              </w:divBdr>
            </w:div>
            <w:div w:id="1806852346">
              <w:marLeft w:val="0"/>
              <w:marRight w:val="0"/>
              <w:marTop w:val="0"/>
              <w:marBottom w:val="0"/>
              <w:divBdr>
                <w:top w:val="none" w:sz="0" w:space="0" w:color="auto"/>
                <w:left w:val="none" w:sz="0" w:space="0" w:color="auto"/>
                <w:bottom w:val="none" w:sz="0" w:space="0" w:color="auto"/>
                <w:right w:val="none" w:sz="0" w:space="0" w:color="auto"/>
              </w:divBdr>
            </w:div>
            <w:div w:id="1808014484">
              <w:marLeft w:val="0"/>
              <w:marRight w:val="0"/>
              <w:marTop w:val="0"/>
              <w:marBottom w:val="0"/>
              <w:divBdr>
                <w:top w:val="none" w:sz="0" w:space="0" w:color="auto"/>
                <w:left w:val="none" w:sz="0" w:space="0" w:color="auto"/>
                <w:bottom w:val="none" w:sz="0" w:space="0" w:color="auto"/>
                <w:right w:val="none" w:sz="0" w:space="0" w:color="auto"/>
              </w:divBdr>
            </w:div>
            <w:div w:id="1847936301">
              <w:marLeft w:val="0"/>
              <w:marRight w:val="0"/>
              <w:marTop w:val="0"/>
              <w:marBottom w:val="0"/>
              <w:divBdr>
                <w:top w:val="none" w:sz="0" w:space="0" w:color="auto"/>
                <w:left w:val="none" w:sz="0" w:space="0" w:color="auto"/>
                <w:bottom w:val="none" w:sz="0" w:space="0" w:color="auto"/>
                <w:right w:val="none" w:sz="0" w:space="0" w:color="auto"/>
              </w:divBdr>
            </w:div>
            <w:div w:id="1967004014">
              <w:marLeft w:val="0"/>
              <w:marRight w:val="0"/>
              <w:marTop w:val="0"/>
              <w:marBottom w:val="0"/>
              <w:divBdr>
                <w:top w:val="none" w:sz="0" w:space="0" w:color="auto"/>
                <w:left w:val="none" w:sz="0" w:space="0" w:color="auto"/>
                <w:bottom w:val="none" w:sz="0" w:space="0" w:color="auto"/>
                <w:right w:val="none" w:sz="0" w:space="0" w:color="auto"/>
              </w:divBdr>
            </w:div>
          </w:divsChild>
        </w:div>
        <w:div w:id="1252544283">
          <w:marLeft w:val="0"/>
          <w:marRight w:val="0"/>
          <w:marTop w:val="0"/>
          <w:marBottom w:val="0"/>
          <w:divBdr>
            <w:top w:val="none" w:sz="0" w:space="0" w:color="auto"/>
            <w:left w:val="none" w:sz="0" w:space="0" w:color="auto"/>
            <w:bottom w:val="none" w:sz="0" w:space="0" w:color="auto"/>
            <w:right w:val="none" w:sz="0" w:space="0" w:color="auto"/>
          </w:divBdr>
          <w:divsChild>
            <w:div w:id="117452043">
              <w:marLeft w:val="0"/>
              <w:marRight w:val="0"/>
              <w:marTop w:val="0"/>
              <w:marBottom w:val="0"/>
              <w:divBdr>
                <w:top w:val="none" w:sz="0" w:space="0" w:color="auto"/>
                <w:left w:val="none" w:sz="0" w:space="0" w:color="auto"/>
                <w:bottom w:val="none" w:sz="0" w:space="0" w:color="auto"/>
                <w:right w:val="none" w:sz="0" w:space="0" w:color="auto"/>
              </w:divBdr>
            </w:div>
            <w:div w:id="179513777">
              <w:marLeft w:val="0"/>
              <w:marRight w:val="0"/>
              <w:marTop w:val="0"/>
              <w:marBottom w:val="0"/>
              <w:divBdr>
                <w:top w:val="none" w:sz="0" w:space="0" w:color="auto"/>
                <w:left w:val="none" w:sz="0" w:space="0" w:color="auto"/>
                <w:bottom w:val="none" w:sz="0" w:space="0" w:color="auto"/>
                <w:right w:val="none" w:sz="0" w:space="0" w:color="auto"/>
              </w:divBdr>
            </w:div>
            <w:div w:id="397945395">
              <w:marLeft w:val="0"/>
              <w:marRight w:val="0"/>
              <w:marTop w:val="0"/>
              <w:marBottom w:val="0"/>
              <w:divBdr>
                <w:top w:val="none" w:sz="0" w:space="0" w:color="auto"/>
                <w:left w:val="none" w:sz="0" w:space="0" w:color="auto"/>
                <w:bottom w:val="none" w:sz="0" w:space="0" w:color="auto"/>
                <w:right w:val="none" w:sz="0" w:space="0" w:color="auto"/>
              </w:divBdr>
            </w:div>
            <w:div w:id="435754085">
              <w:marLeft w:val="0"/>
              <w:marRight w:val="0"/>
              <w:marTop w:val="0"/>
              <w:marBottom w:val="0"/>
              <w:divBdr>
                <w:top w:val="none" w:sz="0" w:space="0" w:color="auto"/>
                <w:left w:val="none" w:sz="0" w:space="0" w:color="auto"/>
                <w:bottom w:val="none" w:sz="0" w:space="0" w:color="auto"/>
                <w:right w:val="none" w:sz="0" w:space="0" w:color="auto"/>
              </w:divBdr>
            </w:div>
            <w:div w:id="437987032">
              <w:marLeft w:val="0"/>
              <w:marRight w:val="0"/>
              <w:marTop w:val="0"/>
              <w:marBottom w:val="0"/>
              <w:divBdr>
                <w:top w:val="none" w:sz="0" w:space="0" w:color="auto"/>
                <w:left w:val="none" w:sz="0" w:space="0" w:color="auto"/>
                <w:bottom w:val="none" w:sz="0" w:space="0" w:color="auto"/>
                <w:right w:val="none" w:sz="0" w:space="0" w:color="auto"/>
              </w:divBdr>
            </w:div>
            <w:div w:id="659963042">
              <w:marLeft w:val="0"/>
              <w:marRight w:val="0"/>
              <w:marTop w:val="0"/>
              <w:marBottom w:val="0"/>
              <w:divBdr>
                <w:top w:val="none" w:sz="0" w:space="0" w:color="auto"/>
                <w:left w:val="none" w:sz="0" w:space="0" w:color="auto"/>
                <w:bottom w:val="none" w:sz="0" w:space="0" w:color="auto"/>
                <w:right w:val="none" w:sz="0" w:space="0" w:color="auto"/>
              </w:divBdr>
            </w:div>
            <w:div w:id="685517353">
              <w:marLeft w:val="0"/>
              <w:marRight w:val="0"/>
              <w:marTop w:val="0"/>
              <w:marBottom w:val="0"/>
              <w:divBdr>
                <w:top w:val="none" w:sz="0" w:space="0" w:color="auto"/>
                <w:left w:val="none" w:sz="0" w:space="0" w:color="auto"/>
                <w:bottom w:val="none" w:sz="0" w:space="0" w:color="auto"/>
                <w:right w:val="none" w:sz="0" w:space="0" w:color="auto"/>
              </w:divBdr>
            </w:div>
            <w:div w:id="1002706109">
              <w:marLeft w:val="0"/>
              <w:marRight w:val="0"/>
              <w:marTop w:val="0"/>
              <w:marBottom w:val="0"/>
              <w:divBdr>
                <w:top w:val="none" w:sz="0" w:space="0" w:color="auto"/>
                <w:left w:val="none" w:sz="0" w:space="0" w:color="auto"/>
                <w:bottom w:val="none" w:sz="0" w:space="0" w:color="auto"/>
                <w:right w:val="none" w:sz="0" w:space="0" w:color="auto"/>
              </w:divBdr>
            </w:div>
            <w:div w:id="1072853710">
              <w:marLeft w:val="0"/>
              <w:marRight w:val="0"/>
              <w:marTop w:val="0"/>
              <w:marBottom w:val="0"/>
              <w:divBdr>
                <w:top w:val="none" w:sz="0" w:space="0" w:color="auto"/>
                <w:left w:val="none" w:sz="0" w:space="0" w:color="auto"/>
                <w:bottom w:val="none" w:sz="0" w:space="0" w:color="auto"/>
                <w:right w:val="none" w:sz="0" w:space="0" w:color="auto"/>
              </w:divBdr>
            </w:div>
            <w:div w:id="1125079734">
              <w:marLeft w:val="0"/>
              <w:marRight w:val="0"/>
              <w:marTop w:val="0"/>
              <w:marBottom w:val="0"/>
              <w:divBdr>
                <w:top w:val="none" w:sz="0" w:space="0" w:color="auto"/>
                <w:left w:val="none" w:sz="0" w:space="0" w:color="auto"/>
                <w:bottom w:val="none" w:sz="0" w:space="0" w:color="auto"/>
                <w:right w:val="none" w:sz="0" w:space="0" w:color="auto"/>
              </w:divBdr>
            </w:div>
            <w:div w:id="1144279214">
              <w:marLeft w:val="0"/>
              <w:marRight w:val="0"/>
              <w:marTop w:val="0"/>
              <w:marBottom w:val="0"/>
              <w:divBdr>
                <w:top w:val="none" w:sz="0" w:space="0" w:color="auto"/>
                <w:left w:val="none" w:sz="0" w:space="0" w:color="auto"/>
                <w:bottom w:val="none" w:sz="0" w:space="0" w:color="auto"/>
                <w:right w:val="none" w:sz="0" w:space="0" w:color="auto"/>
              </w:divBdr>
            </w:div>
            <w:div w:id="1178887077">
              <w:marLeft w:val="0"/>
              <w:marRight w:val="0"/>
              <w:marTop w:val="0"/>
              <w:marBottom w:val="0"/>
              <w:divBdr>
                <w:top w:val="none" w:sz="0" w:space="0" w:color="auto"/>
                <w:left w:val="none" w:sz="0" w:space="0" w:color="auto"/>
                <w:bottom w:val="none" w:sz="0" w:space="0" w:color="auto"/>
                <w:right w:val="none" w:sz="0" w:space="0" w:color="auto"/>
              </w:divBdr>
            </w:div>
            <w:div w:id="1356927046">
              <w:marLeft w:val="0"/>
              <w:marRight w:val="0"/>
              <w:marTop w:val="0"/>
              <w:marBottom w:val="0"/>
              <w:divBdr>
                <w:top w:val="none" w:sz="0" w:space="0" w:color="auto"/>
                <w:left w:val="none" w:sz="0" w:space="0" w:color="auto"/>
                <w:bottom w:val="none" w:sz="0" w:space="0" w:color="auto"/>
                <w:right w:val="none" w:sz="0" w:space="0" w:color="auto"/>
              </w:divBdr>
            </w:div>
            <w:div w:id="1656641694">
              <w:marLeft w:val="0"/>
              <w:marRight w:val="0"/>
              <w:marTop w:val="0"/>
              <w:marBottom w:val="0"/>
              <w:divBdr>
                <w:top w:val="none" w:sz="0" w:space="0" w:color="auto"/>
                <w:left w:val="none" w:sz="0" w:space="0" w:color="auto"/>
                <w:bottom w:val="none" w:sz="0" w:space="0" w:color="auto"/>
                <w:right w:val="none" w:sz="0" w:space="0" w:color="auto"/>
              </w:divBdr>
            </w:div>
            <w:div w:id="1659576787">
              <w:marLeft w:val="0"/>
              <w:marRight w:val="0"/>
              <w:marTop w:val="0"/>
              <w:marBottom w:val="0"/>
              <w:divBdr>
                <w:top w:val="none" w:sz="0" w:space="0" w:color="auto"/>
                <w:left w:val="none" w:sz="0" w:space="0" w:color="auto"/>
                <w:bottom w:val="none" w:sz="0" w:space="0" w:color="auto"/>
                <w:right w:val="none" w:sz="0" w:space="0" w:color="auto"/>
              </w:divBdr>
            </w:div>
            <w:div w:id="1708262986">
              <w:marLeft w:val="0"/>
              <w:marRight w:val="0"/>
              <w:marTop w:val="0"/>
              <w:marBottom w:val="0"/>
              <w:divBdr>
                <w:top w:val="none" w:sz="0" w:space="0" w:color="auto"/>
                <w:left w:val="none" w:sz="0" w:space="0" w:color="auto"/>
                <w:bottom w:val="none" w:sz="0" w:space="0" w:color="auto"/>
                <w:right w:val="none" w:sz="0" w:space="0" w:color="auto"/>
              </w:divBdr>
            </w:div>
            <w:div w:id="1789397521">
              <w:marLeft w:val="0"/>
              <w:marRight w:val="0"/>
              <w:marTop w:val="0"/>
              <w:marBottom w:val="0"/>
              <w:divBdr>
                <w:top w:val="none" w:sz="0" w:space="0" w:color="auto"/>
                <w:left w:val="none" w:sz="0" w:space="0" w:color="auto"/>
                <w:bottom w:val="none" w:sz="0" w:space="0" w:color="auto"/>
                <w:right w:val="none" w:sz="0" w:space="0" w:color="auto"/>
              </w:divBdr>
            </w:div>
            <w:div w:id="1861819438">
              <w:marLeft w:val="0"/>
              <w:marRight w:val="0"/>
              <w:marTop w:val="0"/>
              <w:marBottom w:val="0"/>
              <w:divBdr>
                <w:top w:val="none" w:sz="0" w:space="0" w:color="auto"/>
                <w:left w:val="none" w:sz="0" w:space="0" w:color="auto"/>
                <w:bottom w:val="none" w:sz="0" w:space="0" w:color="auto"/>
                <w:right w:val="none" w:sz="0" w:space="0" w:color="auto"/>
              </w:divBdr>
            </w:div>
            <w:div w:id="1948388952">
              <w:marLeft w:val="0"/>
              <w:marRight w:val="0"/>
              <w:marTop w:val="0"/>
              <w:marBottom w:val="0"/>
              <w:divBdr>
                <w:top w:val="none" w:sz="0" w:space="0" w:color="auto"/>
                <w:left w:val="none" w:sz="0" w:space="0" w:color="auto"/>
                <w:bottom w:val="none" w:sz="0" w:space="0" w:color="auto"/>
                <w:right w:val="none" w:sz="0" w:space="0" w:color="auto"/>
              </w:divBdr>
            </w:div>
            <w:div w:id="2082217907">
              <w:marLeft w:val="0"/>
              <w:marRight w:val="0"/>
              <w:marTop w:val="0"/>
              <w:marBottom w:val="0"/>
              <w:divBdr>
                <w:top w:val="none" w:sz="0" w:space="0" w:color="auto"/>
                <w:left w:val="none" w:sz="0" w:space="0" w:color="auto"/>
                <w:bottom w:val="none" w:sz="0" w:space="0" w:color="auto"/>
                <w:right w:val="none" w:sz="0" w:space="0" w:color="auto"/>
              </w:divBdr>
            </w:div>
          </w:divsChild>
        </w:div>
        <w:div w:id="132955511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
            <w:div w:id="254288601">
              <w:marLeft w:val="0"/>
              <w:marRight w:val="0"/>
              <w:marTop w:val="0"/>
              <w:marBottom w:val="0"/>
              <w:divBdr>
                <w:top w:val="none" w:sz="0" w:space="0" w:color="auto"/>
                <w:left w:val="none" w:sz="0" w:space="0" w:color="auto"/>
                <w:bottom w:val="none" w:sz="0" w:space="0" w:color="auto"/>
                <w:right w:val="none" w:sz="0" w:space="0" w:color="auto"/>
              </w:divBdr>
            </w:div>
            <w:div w:id="382099581">
              <w:marLeft w:val="0"/>
              <w:marRight w:val="0"/>
              <w:marTop w:val="0"/>
              <w:marBottom w:val="0"/>
              <w:divBdr>
                <w:top w:val="none" w:sz="0" w:space="0" w:color="auto"/>
                <w:left w:val="none" w:sz="0" w:space="0" w:color="auto"/>
                <w:bottom w:val="none" w:sz="0" w:space="0" w:color="auto"/>
                <w:right w:val="none" w:sz="0" w:space="0" w:color="auto"/>
              </w:divBdr>
            </w:div>
            <w:div w:id="427888433">
              <w:marLeft w:val="0"/>
              <w:marRight w:val="0"/>
              <w:marTop w:val="0"/>
              <w:marBottom w:val="0"/>
              <w:divBdr>
                <w:top w:val="none" w:sz="0" w:space="0" w:color="auto"/>
                <w:left w:val="none" w:sz="0" w:space="0" w:color="auto"/>
                <w:bottom w:val="none" w:sz="0" w:space="0" w:color="auto"/>
                <w:right w:val="none" w:sz="0" w:space="0" w:color="auto"/>
              </w:divBdr>
            </w:div>
            <w:div w:id="499538893">
              <w:marLeft w:val="0"/>
              <w:marRight w:val="0"/>
              <w:marTop w:val="0"/>
              <w:marBottom w:val="0"/>
              <w:divBdr>
                <w:top w:val="none" w:sz="0" w:space="0" w:color="auto"/>
                <w:left w:val="none" w:sz="0" w:space="0" w:color="auto"/>
                <w:bottom w:val="none" w:sz="0" w:space="0" w:color="auto"/>
                <w:right w:val="none" w:sz="0" w:space="0" w:color="auto"/>
              </w:divBdr>
            </w:div>
            <w:div w:id="734158460">
              <w:marLeft w:val="0"/>
              <w:marRight w:val="0"/>
              <w:marTop w:val="0"/>
              <w:marBottom w:val="0"/>
              <w:divBdr>
                <w:top w:val="none" w:sz="0" w:space="0" w:color="auto"/>
                <w:left w:val="none" w:sz="0" w:space="0" w:color="auto"/>
                <w:bottom w:val="none" w:sz="0" w:space="0" w:color="auto"/>
                <w:right w:val="none" w:sz="0" w:space="0" w:color="auto"/>
              </w:divBdr>
            </w:div>
            <w:div w:id="941912808">
              <w:marLeft w:val="0"/>
              <w:marRight w:val="0"/>
              <w:marTop w:val="0"/>
              <w:marBottom w:val="0"/>
              <w:divBdr>
                <w:top w:val="none" w:sz="0" w:space="0" w:color="auto"/>
                <w:left w:val="none" w:sz="0" w:space="0" w:color="auto"/>
                <w:bottom w:val="none" w:sz="0" w:space="0" w:color="auto"/>
                <w:right w:val="none" w:sz="0" w:space="0" w:color="auto"/>
              </w:divBdr>
            </w:div>
            <w:div w:id="1015300632">
              <w:marLeft w:val="0"/>
              <w:marRight w:val="0"/>
              <w:marTop w:val="0"/>
              <w:marBottom w:val="0"/>
              <w:divBdr>
                <w:top w:val="none" w:sz="0" w:space="0" w:color="auto"/>
                <w:left w:val="none" w:sz="0" w:space="0" w:color="auto"/>
                <w:bottom w:val="none" w:sz="0" w:space="0" w:color="auto"/>
                <w:right w:val="none" w:sz="0" w:space="0" w:color="auto"/>
              </w:divBdr>
            </w:div>
            <w:div w:id="1119493558">
              <w:marLeft w:val="0"/>
              <w:marRight w:val="0"/>
              <w:marTop w:val="0"/>
              <w:marBottom w:val="0"/>
              <w:divBdr>
                <w:top w:val="none" w:sz="0" w:space="0" w:color="auto"/>
                <w:left w:val="none" w:sz="0" w:space="0" w:color="auto"/>
                <w:bottom w:val="none" w:sz="0" w:space="0" w:color="auto"/>
                <w:right w:val="none" w:sz="0" w:space="0" w:color="auto"/>
              </w:divBdr>
            </w:div>
            <w:div w:id="1164778924">
              <w:marLeft w:val="0"/>
              <w:marRight w:val="0"/>
              <w:marTop w:val="0"/>
              <w:marBottom w:val="0"/>
              <w:divBdr>
                <w:top w:val="none" w:sz="0" w:space="0" w:color="auto"/>
                <w:left w:val="none" w:sz="0" w:space="0" w:color="auto"/>
                <w:bottom w:val="none" w:sz="0" w:space="0" w:color="auto"/>
                <w:right w:val="none" w:sz="0" w:space="0" w:color="auto"/>
              </w:divBdr>
            </w:div>
            <w:div w:id="1347442620">
              <w:marLeft w:val="0"/>
              <w:marRight w:val="0"/>
              <w:marTop w:val="0"/>
              <w:marBottom w:val="0"/>
              <w:divBdr>
                <w:top w:val="none" w:sz="0" w:space="0" w:color="auto"/>
                <w:left w:val="none" w:sz="0" w:space="0" w:color="auto"/>
                <w:bottom w:val="none" w:sz="0" w:space="0" w:color="auto"/>
                <w:right w:val="none" w:sz="0" w:space="0" w:color="auto"/>
              </w:divBdr>
            </w:div>
            <w:div w:id="1351833403">
              <w:marLeft w:val="0"/>
              <w:marRight w:val="0"/>
              <w:marTop w:val="0"/>
              <w:marBottom w:val="0"/>
              <w:divBdr>
                <w:top w:val="none" w:sz="0" w:space="0" w:color="auto"/>
                <w:left w:val="none" w:sz="0" w:space="0" w:color="auto"/>
                <w:bottom w:val="none" w:sz="0" w:space="0" w:color="auto"/>
                <w:right w:val="none" w:sz="0" w:space="0" w:color="auto"/>
              </w:divBdr>
            </w:div>
            <w:div w:id="1480682892">
              <w:marLeft w:val="0"/>
              <w:marRight w:val="0"/>
              <w:marTop w:val="0"/>
              <w:marBottom w:val="0"/>
              <w:divBdr>
                <w:top w:val="none" w:sz="0" w:space="0" w:color="auto"/>
                <w:left w:val="none" w:sz="0" w:space="0" w:color="auto"/>
                <w:bottom w:val="none" w:sz="0" w:space="0" w:color="auto"/>
                <w:right w:val="none" w:sz="0" w:space="0" w:color="auto"/>
              </w:divBdr>
            </w:div>
            <w:div w:id="1577470724">
              <w:marLeft w:val="0"/>
              <w:marRight w:val="0"/>
              <w:marTop w:val="0"/>
              <w:marBottom w:val="0"/>
              <w:divBdr>
                <w:top w:val="none" w:sz="0" w:space="0" w:color="auto"/>
                <w:left w:val="none" w:sz="0" w:space="0" w:color="auto"/>
                <w:bottom w:val="none" w:sz="0" w:space="0" w:color="auto"/>
                <w:right w:val="none" w:sz="0" w:space="0" w:color="auto"/>
              </w:divBdr>
            </w:div>
            <w:div w:id="1603106649">
              <w:marLeft w:val="0"/>
              <w:marRight w:val="0"/>
              <w:marTop w:val="0"/>
              <w:marBottom w:val="0"/>
              <w:divBdr>
                <w:top w:val="none" w:sz="0" w:space="0" w:color="auto"/>
                <w:left w:val="none" w:sz="0" w:space="0" w:color="auto"/>
                <w:bottom w:val="none" w:sz="0" w:space="0" w:color="auto"/>
                <w:right w:val="none" w:sz="0" w:space="0" w:color="auto"/>
              </w:divBdr>
            </w:div>
            <w:div w:id="1676112909">
              <w:marLeft w:val="0"/>
              <w:marRight w:val="0"/>
              <w:marTop w:val="0"/>
              <w:marBottom w:val="0"/>
              <w:divBdr>
                <w:top w:val="none" w:sz="0" w:space="0" w:color="auto"/>
                <w:left w:val="none" w:sz="0" w:space="0" w:color="auto"/>
                <w:bottom w:val="none" w:sz="0" w:space="0" w:color="auto"/>
                <w:right w:val="none" w:sz="0" w:space="0" w:color="auto"/>
              </w:divBdr>
            </w:div>
            <w:div w:id="1739522889">
              <w:marLeft w:val="0"/>
              <w:marRight w:val="0"/>
              <w:marTop w:val="0"/>
              <w:marBottom w:val="0"/>
              <w:divBdr>
                <w:top w:val="none" w:sz="0" w:space="0" w:color="auto"/>
                <w:left w:val="none" w:sz="0" w:space="0" w:color="auto"/>
                <w:bottom w:val="none" w:sz="0" w:space="0" w:color="auto"/>
                <w:right w:val="none" w:sz="0" w:space="0" w:color="auto"/>
              </w:divBdr>
            </w:div>
            <w:div w:id="1748070815">
              <w:marLeft w:val="0"/>
              <w:marRight w:val="0"/>
              <w:marTop w:val="0"/>
              <w:marBottom w:val="0"/>
              <w:divBdr>
                <w:top w:val="none" w:sz="0" w:space="0" w:color="auto"/>
                <w:left w:val="none" w:sz="0" w:space="0" w:color="auto"/>
                <w:bottom w:val="none" w:sz="0" w:space="0" w:color="auto"/>
                <w:right w:val="none" w:sz="0" w:space="0" w:color="auto"/>
              </w:divBdr>
            </w:div>
            <w:div w:id="1760373576">
              <w:marLeft w:val="0"/>
              <w:marRight w:val="0"/>
              <w:marTop w:val="0"/>
              <w:marBottom w:val="0"/>
              <w:divBdr>
                <w:top w:val="none" w:sz="0" w:space="0" w:color="auto"/>
                <w:left w:val="none" w:sz="0" w:space="0" w:color="auto"/>
                <w:bottom w:val="none" w:sz="0" w:space="0" w:color="auto"/>
                <w:right w:val="none" w:sz="0" w:space="0" w:color="auto"/>
              </w:divBdr>
            </w:div>
            <w:div w:id="1760636698">
              <w:marLeft w:val="0"/>
              <w:marRight w:val="0"/>
              <w:marTop w:val="0"/>
              <w:marBottom w:val="0"/>
              <w:divBdr>
                <w:top w:val="none" w:sz="0" w:space="0" w:color="auto"/>
                <w:left w:val="none" w:sz="0" w:space="0" w:color="auto"/>
                <w:bottom w:val="none" w:sz="0" w:space="0" w:color="auto"/>
                <w:right w:val="none" w:sz="0" w:space="0" w:color="auto"/>
              </w:divBdr>
            </w:div>
          </w:divsChild>
        </w:div>
        <w:div w:id="1457793990">
          <w:marLeft w:val="0"/>
          <w:marRight w:val="0"/>
          <w:marTop w:val="0"/>
          <w:marBottom w:val="0"/>
          <w:divBdr>
            <w:top w:val="none" w:sz="0" w:space="0" w:color="auto"/>
            <w:left w:val="none" w:sz="0" w:space="0" w:color="auto"/>
            <w:bottom w:val="none" w:sz="0" w:space="0" w:color="auto"/>
            <w:right w:val="none" w:sz="0" w:space="0" w:color="auto"/>
          </w:divBdr>
          <w:divsChild>
            <w:div w:id="21592064">
              <w:marLeft w:val="0"/>
              <w:marRight w:val="0"/>
              <w:marTop w:val="0"/>
              <w:marBottom w:val="0"/>
              <w:divBdr>
                <w:top w:val="none" w:sz="0" w:space="0" w:color="auto"/>
                <w:left w:val="none" w:sz="0" w:space="0" w:color="auto"/>
                <w:bottom w:val="none" w:sz="0" w:space="0" w:color="auto"/>
                <w:right w:val="none" w:sz="0" w:space="0" w:color="auto"/>
              </w:divBdr>
            </w:div>
            <w:div w:id="75517333">
              <w:marLeft w:val="0"/>
              <w:marRight w:val="0"/>
              <w:marTop w:val="0"/>
              <w:marBottom w:val="0"/>
              <w:divBdr>
                <w:top w:val="none" w:sz="0" w:space="0" w:color="auto"/>
                <w:left w:val="none" w:sz="0" w:space="0" w:color="auto"/>
                <w:bottom w:val="none" w:sz="0" w:space="0" w:color="auto"/>
                <w:right w:val="none" w:sz="0" w:space="0" w:color="auto"/>
              </w:divBdr>
            </w:div>
            <w:div w:id="258367762">
              <w:marLeft w:val="0"/>
              <w:marRight w:val="0"/>
              <w:marTop w:val="0"/>
              <w:marBottom w:val="0"/>
              <w:divBdr>
                <w:top w:val="none" w:sz="0" w:space="0" w:color="auto"/>
                <w:left w:val="none" w:sz="0" w:space="0" w:color="auto"/>
                <w:bottom w:val="none" w:sz="0" w:space="0" w:color="auto"/>
                <w:right w:val="none" w:sz="0" w:space="0" w:color="auto"/>
              </w:divBdr>
            </w:div>
            <w:div w:id="284242805">
              <w:marLeft w:val="0"/>
              <w:marRight w:val="0"/>
              <w:marTop w:val="0"/>
              <w:marBottom w:val="0"/>
              <w:divBdr>
                <w:top w:val="none" w:sz="0" w:space="0" w:color="auto"/>
                <w:left w:val="none" w:sz="0" w:space="0" w:color="auto"/>
                <w:bottom w:val="none" w:sz="0" w:space="0" w:color="auto"/>
                <w:right w:val="none" w:sz="0" w:space="0" w:color="auto"/>
              </w:divBdr>
            </w:div>
            <w:div w:id="579293823">
              <w:marLeft w:val="0"/>
              <w:marRight w:val="0"/>
              <w:marTop w:val="0"/>
              <w:marBottom w:val="0"/>
              <w:divBdr>
                <w:top w:val="none" w:sz="0" w:space="0" w:color="auto"/>
                <w:left w:val="none" w:sz="0" w:space="0" w:color="auto"/>
                <w:bottom w:val="none" w:sz="0" w:space="0" w:color="auto"/>
                <w:right w:val="none" w:sz="0" w:space="0" w:color="auto"/>
              </w:divBdr>
            </w:div>
            <w:div w:id="856309779">
              <w:marLeft w:val="0"/>
              <w:marRight w:val="0"/>
              <w:marTop w:val="0"/>
              <w:marBottom w:val="0"/>
              <w:divBdr>
                <w:top w:val="none" w:sz="0" w:space="0" w:color="auto"/>
                <w:left w:val="none" w:sz="0" w:space="0" w:color="auto"/>
                <w:bottom w:val="none" w:sz="0" w:space="0" w:color="auto"/>
                <w:right w:val="none" w:sz="0" w:space="0" w:color="auto"/>
              </w:divBdr>
            </w:div>
            <w:div w:id="867639597">
              <w:marLeft w:val="0"/>
              <w:marRight w:val="0"/>
              <w:marTop w:val="0"/>
              <w:marBottom w:val="0"/>
              <w:divBdr>
                <w:top w:val="none" w:sz="0" w:space="0" w:color="auto"/>
                <w:left w:val="none" w:sz="0" w:space="0" w:color="auto"/>
                <w:bottom w:val="none" w:sz="0" w:space="0" w:color="auto"/>
                <w:right w:val="none" w:sz="0" w:space="0" w:color="auto"/>
              </w:divBdr>
            </w:div>
            <w:div w:id="902326835">
              <w:marLeft w:val="0"/>
              <w:marRight w:val="0"/>
              <w:marTop w:val="0"/>
              <w:marBottom w:val="0"/>
              <w:divBdr>
                <w:top w:val="none" w:sz="0" w:space="0" w:color="auto"/>
                <w:left w:val="none" w:sz="0" w:space="0" w:color="auto"/>
                <w:bottom w:val="none" w:sz="0" w:space="0" w:color="auto"/>
                <w:right w:val="none" w:sz="0" w:space="0" w:color="auto"/>
              </w:divBdr>
            </w:div>
            <w:div w:id="946809895">
              <w:marLeft w:val="0"/>
              <w:marRight w:val="0"/>
              <w:marTop w:val="0"/>
              <w:marBottom w:val="0"/>
              <w:divBdr>
                <w:top w:val="none" w:sz="0" w:space="0" w:color="auto"/>
                <w:left w:val="none" w:sz="0" w:space="0" w:color="auto"/>
                <w:bottom w:val="none" w:sz="0" w:space="0" w:color="auto"/>
                <w:right w:val="none" w:sz="0" w:space="0" w:color="auto"/>
              </w:divBdr>
            </w:div>
            <w:div w:id="1152411194">
              <w:marLeft w:val="0"/>
              <w:marRight w:val="0"/>
              <w:marTop w:val="0"/>
              <w:marBottom w:val="0"/>
              <w:divBdr>
                <w:top w:val="none" w:sz="0" w:space="0" w:color="auto"/>
                <w:left w:val="none" w:sz="0" w:space="0" w:color="auto"/>
                <w:bottom w:val="none" w:sz="0" w:space="0" w:color="auto"/>
                <w:right w:val="none" w:sz="0" w:space="0" w:color="auto"/>
              </w:divBdr>
            </w:div>
            <w:div w:id="1186556849">
              <w:marLeft w:val="0"/>
              <w:marRight w:val="0"/>
              <w:marTop w:val="0"/>
              <w:marBottom w:val="0"/>
              <w:divBdr>
                <w:top w:val="none" w:sz="0" w:space="0" w:color="auto"/>
                <w:left w:val="none" w:sz="0" w:space="0" w:color="auto"/>
                <w:bottom w:val="none" w:sz="0" w:space="0" w:color="auto"/>
                <w:right w:val="none" w:sz="0" w:space="0" w:color="auto"/>
              </w:divBdr>
            </w:div>
            <w:div w:id="1222402182">
              <w:marLeft w:val="0"/>
              <w:marRight w:val="0"/>
              <w:marTop w:val="0"/>
              <w:marBottom w:val="0"/>
              <w:divBdr>
                <w:top w:val="none" w:sz="0" w:space="0" w:color="auto"/>
                <w:left w:val="none" w:sz="0" w:space="0" w:color="auto"/>
                <w:bottom w:val="none" w:sz="0" w:space="0" w:color="auto"/>
                <w:right w:val="none" w:sz="0" w:space="0" w:color="auto"/>
              </w:divBdr>
            </w:div>
            <w:div w:id="1244725399">
              <w:marLeft w:val="0"/>
              <w:marRight w:val="0"/>
              <w:marTop w:val="0"/>
              <w:marBottom w:val="0"/>
              <w:divBdr>
                <w:top w:val="none" w:sz="0" w:space="0" w:color="auto"/>
                <w:left w:val="none" w:sz="0" w:space="0" w:color="auto"/>
                <w:bottom w:val="none" w:sz="0" w:space="0" w:color="auto"/>
                <w:right w:val="none" w:sz="0" w:space="0" w:color="auto"/>
              </w:divBdr>
            </w:div>
            <w:div w:id="1378120956">
              <w:marLeft w:val="0"/>
              <w:marRight w:val="0"/>
              <w:marTop w:val="0"/>
              <w:marBottom w:val="0"/>
              <w:divBdr>
                <w:top w:val="none" w:sz="0" w:space="0" w:color="auto"/>
                <w:left w:val="none" w:sz="0" w:space="0" w:color="auto"/>
                <w:bottom w:val="none" w:sz="0" w:space="0" w:color="auto"/>
                <w:right w:val="none" w:sz="0" w:space="0" w:color="auto"/>
              </w:divBdr>
            </w:div>
            <w:div w:id="1472478696">
              <w:marLeft w:val="0"/>
              <w:marRight w:val="0"/>
              <w:marTop w:val="0"/>
              <w:marBottom w:val="0"/>
              <w:divBdr>
                <w:top w:val="none" w:sz="0" w:space="0" w:color="auto"/>
                <w:left w:val="none" w:sz="0" w:space="0" w:color="auto"/>
                <w:bottom w:val="none" w:sz="0" w:space="0" w:color="auto"/>
                <w:right w:val="none" w:sz="0" w:space="0" w:color="auto"/>
              </w:divBdr>
            </w:div>
            <w:div w:id="1616716641">
              <w:marLeft w:val="0"/>
              <w:marRight w:val="0"/>
              <w:marTop w:val="0"/>
              <w:marBottom w:val="0"/>
              <w:divBdr>
                <w:top w:val="none" w:sz="0" w:space="0" w:color="auto"/>
                <w:left w:val="none" w:sz="0" w:space="0" w:color="auto"/>
                <w:bottom w:val="none" w:sz="0" w:space="0" w:color="auto"/>
                <w:right w:val="none" w:sz="0" w:space="0" w:color="auto"/>
              </w:divBdr>
            </w:div>
            <w:div w:id="1835796645">
              <w:marLeft w:val="0"/>
              <w:marRight w:val="0"/>
              <w:marTop w:val="0"/>
              <w:marBottom w:val="0"/>
              <w:divBdr>
                <w:top w:val="none" w:sz="0" w:space="0" w:color="auto"/>
                <w:left w:val="none" w:sz="0" w:space="0" w:color="auto"/>
                <w:bottom w:val="none" w:sz="0" w:space="0" w:color="auto"/>
                <w:right w:val="none" w:sz="0" w:space="0" w:color="auto"/>
              </w:divBdr>
            </w:div>
            <w:div w:id="2027899435">
              <w:marLeft w:val="0"/>
              <w:marRight w:val="0"/>
              <w:marTop w:val="0"/>
              <w:marBottom w:val="0"/>
              <w:divBdr>
                <w:top w:val="none" w:sz="0" w:space="0" w:color="auto"/>
                <w:left w:val="none" w:sz="0" w:space="0" w:color="auto"/>
                <w:bottom w:val="none" w:sz="0" w:space="0" w:color="auto"/>
                <w:right w:val="none" w:sz="0" w:space="0" w:color="auto"/>
              </w:divBdr>
            </w:div>
            <w:div w:id="2065131085">
              <w:marLeft w:val="0"/>
              <w:marRight w:val="0"/>
              <w:marTop w:val="0"/>
              <w:marBottom w:val="0"/>
              <w:divBdr>
                <w:top w:val="none" w:sz="0" w:space="0" w:color="auto"/>
                <w:left w:val="none" w:sz="0" w:space="0" w:color="auto"/>
                <w:bottom w:val="none" w:sz="0" w:space="0" w:color="auto"/>
                <w:right w:val="none" w:sz="0" w:space="0" w:color="auto"/>
              </w:divBdr>
            </w:div>
            <w:div w:id="2088723084">
              <w:marLeft w:val="0"/>
              <w:marRight w:val="0"/>
              <w:marTop w:val="0"/>
              <w:marBottom w:val="0"/>
              <w:divBdr>
                <w:top w:val="none" w:sz="0" w:space="0" w:color="auto"/>
                <w:left w:val="none" w:sz="0" w:space="0" w:color="auto"/>
                <w:bottom w:val="none" w:sz="0" w:space="0" w:color="auto"/>
                <w:right w:val="none" w:sz="0" w:space="0" w:color="auto"/>
              </w:divBdr>
            </w:div>
          </w:divsChild>
        </w:div>
        <w:div w:id="1539466657">
          <w:marLeft w:val="0"/>
          <w:marRight w:val="0"/>
          <w:marTop w:val="0"/>
          <w:marBottom w:val="0"/>
          <w:divBdr>
            <w:top w:val="none" w:sz="0" w:space="0" w:color="auto"/>
            <w:left w:val="none" w:sz="0" w:space="0" w:color="auto"/>
            <w:bottom w:val="none" w:sz="0" w:space="0" w:color="auto"/>
            <w:right w:val="none" w:sz="0" w:space="0" w:color="auto"/>
          </w:divBdr>
        </w:div>
        <w:div w:id="1563786992">
          <w:marLeft w:val="0"/>
          <w:marRight w:val="0"/>
          <w:marTop w:val="0"/>
          <w:marBottom w:val="0"/>
          <w:divBdr>
            <w:top w:val="none" w:sz="0" w:space="0" w:color="auto"/>
            <w:left w:val="none" w:sz="0" w:space="0" w:color="auto"/>
            <w:bottom w:val="none" w:sz="0" w:space="0" w:color="auto"/>
            <w:right w:val="none" w:sz="0" w:space="0" w:color="auto"/>
          </w:divBdr>
          <w:divsChild>
            <w:div w:id="41443938">
              <w:marLeft w:val="0"/>
              <w:marRight w:val="0"/>
              <w:marTop w:val="0"/>
              <w:marBottom w:val="0"/>
              <w:divBdr>
                <w:top w:val="none" w:sz="0" w:space="0" w:color="auto"/>
                <w:left w:val="none" w:sz="0" w:space="0" w:color="auto"/>
                <w:bottom w:val="none" w:sz="0" w:space="0" w:color="auto"/>
                <w:right w:val="none" w:sz="0" w:space="0" w:color="auto"/>
              </w:divBdr>
            </w:div>
            <w:div w:id="98647975">
              <w:marLeft w:val="0"/>
              <w:marRight w:val="0"/>
              <w:marTop w:val="0"/>
              <w:marBottom w:val="0"/>
              <w:divBdr>
                <w:top w:val="none" w:sz="0" w:space="0" w:color="auto"/>
                <w:left w:val="none" w:sz="0" w:space="0" w:color="auto"/>
                <w:bottom w:val="none" w:sz="0" w:space="0" w:color="auto"/>
                <w:right w:val="none" w:sz="0" w:space="0" w:color="auto"/>
              </w:divBdr>
            </w:div>
            <w:div w:id="107626136">
              <w:marLeft w:val="0"/>
              <w:marRight w:val="0"/>
              <w:marTop w:val="0"/>
              <w:marBottom w:val="0"/>
              <w:divBdr>
                <w:top w:val="none" w:sz="0" w:space="0" w:color="auto"/>
                <w:left w:val="none" w:sz="0" w:space="0" w:color="auto"/>
                <w:bottom w:val="none" w:sz="0" w:space="0" w:color="auto"/>
                <w:right w:val="none" w:sz="0" w:space="0" w:color="auto"/>
              </w:divBdr>
            </w:div>
            <w:div w:id="129523573">
              <w:marLeft w:val="0"/>
              <w:marRight w:val="0"/>
              <w:marTop w:val="0"/>
              <w:marBottom w:val="0"/>
              <w:divBdr>
                <w:top w:val="none" w:sz="0" w:space="0" w:color="auto"/>
                <w:left w:val="none" w:sz="0" w:space="0" w:color="auto"/>
                <w:bottom w:val="none" w:sz="0" w:space="0" w:color="auto"/>
                <w:right w:val="none" w:sz="0" w:space="0" w:color="auto"/>
              </w:divBdr>
            </w:div>
            <w:div w:id="208802344">
              <w:marLeft w:val="0"/>
              <w:marRight w:val="0"/>
              <w:marTop w:val="0"/>
              <w:marBottom w:val="0"/>
              <w:divBdr>
                <w:top w:val="none" w:sz="0" w:space="0" w:color="auto"/>
                <w:left w:val="none" w:sz="0" w:space="0" w:color="auto"/>
                <w:bottom w:val="none" w:sz="0" w:space="0" w:color="auto"/>
                <w:right w:val="none" w:sz="0" w:space="0" w:color="auto"/>
              </w:divBdr>
            </w:div>
            <w:div w:id="213347390">
              <w:marLeft w:val="0"/>
              <w:marRight w:val="0"/>
              <w:marTop w:val="0"/>
              <w:marBottom w:val="0"/>
              <w:divBdr>
                <w:top w:val="none" w:sz="0" w:space="0" w:color="auto"/>
                <w:left w:val="none" w:sz="0" w:space="0" w:color="auto"/>
                <w:bottom w:val="none" w:sz="0" w:space="0" w:color="auto"/>
                <w:right w:val="none" w:sz="0" w:space="0" w:color="auto"/>
              </w:divBdr>
            </w:div>
            <w:div w:id="235090342">
              <w:marLeft w:val="0"/>
              <w:marRight w:val="0"/>
              <w:marTop w:val="0"/>
              <w:marBottom w:val="0"/>
              <w:divBdr>
                <w:top w:val="none" w:sz="0" w:space="0" w:color="auto"/>
                <w:left w:val="none" w:sz="0" w:space="0" w:color="auto"/>
                <w:bottom w:val="none" w:sz="0" w:space="0" w:color="auto"/>
                <w:right w:val="none" w:sz="0" w:space="0" w:color="auto"/>
              </w:divBdr>
            </w:div>
            <w:div w:id="323437597">
              <w:marLeft w:val="0"/>
              <w:marRight w:val="0"/>
              <w:marTop w:val="0"/>
              <w:marBottom w:val="0"/>
              <w:divBdr>
                <w:top w:val="none" w:sz="0" w:space="0" w:color="auto"/>
                <w:left w:val="none" w:sz="0" w:space="0" w:color="auto"/>
                <w:bottom w:val="none" w:sz="0" w:space="0" w:color="auto"/>
                <w:right w:val="none" w:sz="0" w:space="0" w:color="auto"/>
              </w:divBdr>
            </w:div>
            <w:div w:id="396512076">
              <w:marLeft w:val="0"/>
              <w:marRight w:val="0"/>
              <w:marTop w:val="0"/>
              <w:marBottom w:val="0"/>
              <w:divBdr>
                <w:top w:val="none" w:sz="0" w:space="0" w:color="auto"/>
                <w:left w:val="none" w:sz="0" w:space="0" w:color="auto"/>
                <w:bottom w:val="none" w:sz="0" w:space="0" w:color="auto"/>
                <w:right w:val="none" w:sz="0" w:space="0" w:color="auto"/>
              </w:divBdr>
            </w:div>
            <w:div w:id="480653372">
              <w:marLeft w:val="0"/>
              <w:marRight w:val="0"/>
              <w:marTop w:val="0"/>
              <w:marBottom w:val="0"/>
              <w:divBdr>
                <w:top w:val="none" w:sz="0" w:space="0" w:color="auto"/>
                <w:left w:val="none" w:sz="0" w:space="0" w:color="auto"/>
                <w:bottom w:val="none" w:sz="0" w:space="0" w:color="auto"/>
                <w:right w:val="none" w:sz="0" w:space="0" w:color="auto"/>
              </w:divBdr>
            </w:div>
            <w:div w:id="695498460">
              <w:marLeft w:val="0"/>
              <w:marRight w:val="0"/>
              <w:marTop w:val="0"/>
              <w:marBottom w:val="0"/>
              <w:divBdr>
                <w:top w:val="none" w:sz="0" w:space="0" w:color="auto"/>
                <w:left w:val="none" w:sz="0" w:space="0" w:color="auto"/>
                <w:bottom w:val="none" w:sz="0" w:space="0" w:color="auto"/>
                <w:right w:val="none" w:sz="0" w:space="0" w:color="auto"/>
              </w:divBdr>
            </w:div>
            <w:div w:id="718360136">
              <w:marLeft w:val="0"/>
              <w:marRight w:val="0"/>
              <w:marTop w:val="0"/>
              <w:marBottom w:val="0"/>
              <w:divBdr>
                <w:top w:val="none" w:sz="0" w:space="0" w:color="auto"/>
                <w:left w:val="none" w:sz="0" w:space="0" w:color="auto"/>
                <w:bottom w:val="none" w:sz="0" w:space="0" w:color="auto"/>
                <w:right w:val="none" w:sz="0" w:space="0" w:color="auto"/>
              </w:divBdr>
            </w:div>
            <w:div w:id="920676698">
              <w:marLeft w:val="0"/>
              <w:marRight w:val="0"/>
              <w:marTop w:val="0"/>
              <w:marBottom w:val="0"/>
              <w:divBdr>
                <w:top w:val="none" w:sz="0" w:space="0" w:color="auto"/>
                <w:left w:val="none" w:sz="0" w:space="0" w:color="auto"/>
                <w:bottom w:val="none" w:sz="0" w:space="0" w:color="auto"/>
                <w:right w:val="none" w:sz="0" w:space="0" w:color="auto"/>
              </w:divBdr>
            </w:div>
            <w:div w:id="1061825516">
              <w:marLeft w:val="0"/>
              <w:marRight w:val="0"/>
              <w:marTop w:val="0"/>
              <w:marBottom w:val="0"/>
              <w:divBdr>
                <w:top w:val="none" w:sz="0" w:space="0" w:color="auto"/>
                <w:left w:val="none" w:sz="0" w:space="0" w:color="auto"/>
                <w:bottom w:val="none" w:sz="0" w:space="0" w:color="auto"/>
                <w:right w:val="none" w:sz="0" w:space="0" w:color="auto"/>
              </w:divBdr>
            </w:div>
            <w:div w:id="1267957005">
              <w:marLeft w:val="0"/>
              <w:marRight w:val="0"/>
              <w:marTop w:val="0"/>
              <w:marBottom w:val="0"/>
              <w:divBdr>
                <w:top w:val="none" w:sz="0" w:space="0" w:color="auto"/>
                <w:left w:val="none" w:sz="0" w:space="0" w:color="auto"/>
                <w:bottom w:val="none" w:sz="0" w:space="0" w:color="auto"/>
                <w:right w:val="none" w:sz="0" w:space="0" w:color="auto"/>
              </w:divBdr>
            </w:div>
            <w:div w:id="1298223505">
              <w:marLeft w:val="0"/>
              <w:marRight w:val="0"/>
              <w:marTop w:val="0"/>
              <w:marBottom w:val="0"/>
              <w:divBdr>
                <w:top w:val="none" w:sz="0" w:space="0" w:color="auto"/>
                <w:left w:val="none" w:sz="0" w:space="0" w:color="auto"/>
                <w:bottom w:val="none" w:sz="0" w:space="0" w:color="auto"/>
                <w:right w:val="none" w:sz="0" w:space="0" w:color="auto"/>
              </w:divBdr>
            </w:div>
            <w:div w:id="1930652273">
              <w:marLeft w:val="0"/>
              <w:marRight w:val="0"/>
              <w:marTop w:val="0"/>
              <w:marBottom w:val="0"/>
              <w:divBdr>
                <w:top w:val="none" w:sz="0" w:space="0" w:color="auto"/>
                <w:left w:val="none" w:sz="0" w:space="0" w:color="auto"/>
                <w:bottom w:val="none" w:sz="0" w:space="0" w:color="auto"/>
                <w:right w:val="none" w:sz="0" w:space="0" w:color="auto"/>
              </w:divBdr>
            </w:div>
            <w:div w:id="1973635134">
              <w:marLeft w:val="0"/>
              <w:marRight w:val="0"/>
              <w:marTop w:val="0"/>
              <w:marBottom w:val="0"/>
              <w:divBdr>
                <w:top w:val="none" w:sz="0" w:space="0" w:color="auto"/>
                <w:left w:val="none" w:sz="0" w:space="0" w:color="auto"/>
                <w:bottom w:val="none" w:sz="0" w:space="0" w:color="auto"/>
                <w:right w:val="none" w:sz="0" w:space="0" w:color="auto"/>
              </w:divBdr>
            </w:div>
            <w:div w:id="2042630159">
              <w:marLeft w:val="0"/>
              <w:marRight w:val="0"/>
              <w:marTop w:val="0"/>
              <w:marBottom w:val="0"/>
              <w:divBdr>
                <w:top w:val="none" w:sz="0" w:space="0" w:color="auto"/>
                <w:left w:val="none" w:sz="0" w:space="0" w:color="auto"/>
                <w:bottom w:val="none" w:sz="0" w:space="0" w:color="auto"/>
                <w:right w:val="none" w:sz="0" w:space="0" w:color="auto"/>
              </w:divBdr>
            </w:div>
            <w:div w:id="2067798787">
              <w:marLeft w:val="0"/>
              <w:marRight w:val="0"/>
              <w:marTop w:val="0"/>
              <w:marBottom w:val="0"/>
              <w:divBdr>
                <w:top w:val="none" w:sz="0" w:space="0" w:color="auto"/>
                <w:left w:val="none" w:sz="0" w:space="0" w:color="auto"/>
                <w:bottom w:val="none" w:sz="0" w:space="0" w:color="auto"/>
                <w:right w:val="none" w:sz="0" w:space="0" w:color="auto"/>
              </w:divBdr>
            </w:div>
          </w:divsChild>
        </w:div>
        <w:div w:id="1599412925">
          <w:marLeft w:val="0"/>
          <w:marRight w:val="0"/>
          <w:marTop w:val="0"/>
          <w:marBottom w:val="0"/>
          <w:divBdr>
            <w:top w:val="none" w:sz="0" w:space="0" w:color="auto"/>
            <w:left w:val="none" w:sz="0" w:space="0" w:color="auto"/>
            <w:bottom w:val="none" w:sz="0" w:space="0" w:color="auto"/>
            <w:right w:val="none" w:sz="0" w:space="0" w:color="auto"/>
          </w:divBdr>
          <w:divsChild>
            <w:div w:id="314796138">
              <w:marLeft w:val="0"/>
              <w:marRight w:val="0"/>
              <w:marTop w:val="0"/>
              <w:marBottom w:val="0"/>
              <w:divBdr>
                <w:top w:val="none" w:sz="0" w:space="0" w:color="auto"/>
                <w:left w:val="none" w:sz="0" w:space="0" w:color="auto"/>
                <w:bottom w:val="none" w:sz="0" w:space="0" w:color="auto"/>
                <w:right w:val="none" w:sz="0" w:space="0" w:color="auto"/>
              </w:divBdr>
            </w:div>
            <w:div w:id="343290686">
              <w:marLeft w:val="0"/>
              <w:marRight w:val="0"/>
              <w:marTop w:val="0"/>
              <w:marBottom w:val="0"/>
              <w:divBdr>
                <w:top w:val="none" w:sz="0" w:space="0" w:color="auto"/>
                <w:left w:val="none" w:sz="0" w:space="0" w:color="auto"/>
                <w:bottom w:val="none" w:sz="0" w:space="0" w:color="auto"/>
                <w:right w:val="none" w:sz="0" w:space="0" w:color="auto"/>
              </w:divBdr>
            </w:div>
            <w:div w:id="379323611">
              <w:marLeft w:val="0"/>
              <w:marRight w:val="0"/>
              <w:marTop w:val="0"/>
              <w:marBottom w:val="0"/>
              <w:divBdr>
                <w:top w:val="none" w:sz="0" w:space="0" w:color="auto"/>
                <w:left w:val="none" w:sz="0" w:space="0" w:color="auto"/>
                <w:bottom w:val="none" w:sz="0" w:space="0" w:color="auto"/>
                <w:right w:val="none" w:sz="0" w:space="0" w:color="auto"/>
              </w:divBdr>
            </w:div>
            <w:div w:id="398140354">
              <w:marLeft w:val="0"/>
              <w:marRight w:val="0"/>
              <w:marTop w:val="0"/>
              <w:marBottom w:val="0"/>
              <w:divBdr>
                <w:top w:val="none" w:sz="0" w:space="0" w:color="auto"/>
                <w:left w:val="none" w:sz="0" w:space="0" w:color="auto"/>
                <w:bottom w:val="none" w:sz="0" w:space="0" w:color="auto"/>
                <w:right w:val="none" w:sz="0" w:space="0" w:color="auto"/>
              </w:divBdr>
            </w:div>
            <w:div w:id="427891272">
              <w:marLeft w:val="0"/>
              <w:marRight w:val="0"/>
              <w:marTop w:val="0"/>
              <w:marBottom w:val="0"/>
              <w:divBdr>
                <w:top w:val="none" w:sz="0" w:space="0" w:color="auto"/>
                <w:left w:val="none" w:sz="0" w:space="0" w:color="auto"/>
                <w:bottom w:val="none" w:sz="0" w:space="0" w:color="auto"/>
                <w:right w:val="none" w:sz="0" w:space="0" w:color="auto"/>
              </w:divBdr>
            </w:div>
            <w:div w:id="494344821">
              <w:marLeft w:val="0"/>
              <w:marRight w:val="0"/>
              <w:marTop w:val="0"/>
              <w:marBottom w:val="0"/>
              <w:divBdr>
                <w:top w:val="none" w:sz="0" w:space="0" w:color="auto"/>
                <w:left w:val="none" w:sz="0" w:space="0" w:color="auto"/>
                <w:bottom w:val="none" w:sz="0" w:space="0" w:color="auto"/>
                <w:right w:val="none" w:sz="0" w:space="0" w:color="auto"/>
              </w:divBdr>
            </w:div>
            <w:div w:id="612633288">
              <w:marLeft w:val="0"/>
              <w:marRight w:val="0"/>
              <w:marTop w:val="0"/>
              <w:marBottom w:val="0"/>
              <w:divBdr>
                <w:top w:val="none" w:sz="0" w:space="0" w:color="auto"/>
                <w:left w:val="none" w:sz="0" w:space="0" w:color="auto"/>
                <w:bottom w:val="none" w:sz="0" w:space="0" w:color="auto"/>
                <w:right w:val="none" w:sz="0" w:space="0" w:color="auto"/>
              </w:divBdr>
            </w:div>
            <w:div w:id="962885892">
              <w:marLeft w:val="0"/>
              <w:marRight w:val="0"/>
              <w:marTop w:val="0"/>
              <w:marBottom w:val="0"/>
              <w:divBdr>
                <w:top w:val="none" w:sz="0" w:space="0" w:color="auto"/>
                <w:left w:val="none" w:sz="0" w:space="0" w:color="auto"/>
                <w:bottom w:val="none" w:sz="0" w:space="0" w:color="auto"/>
                <w:right w:val="none" w:sz="0" w:space="0" w:color="auto"/>
              </w:divBdr>
            </w:div>
            <w:div w:id="971442826">
              <w:marLeft w:val="0"/>
              <w:marRight w:val="0"/>
              <w:marTop w:val="0"/>
              <w:marBottom w:val="0"/>
              <w:divBdr>
                <w:top w:val="none" w:sz="0" w:space="0" w:color="auto"/>
                <w:left w:val="none" w:sz="0" w:space="0" w:color="auto"/>
                <w:bottom w:val="none" w:sz="0" w:space="0" w:color="auto"/>
                <w:right w:val="none" w:sz="0" w:space="0" w:color="auto"/>
              </w:divBdr>
            </w:div>
            <w:div w:id="1009529895">
              <w:marLeft w:val="0"/>
              <w:marRight w:val="0"/>
              <w:marTop w:val="0"/>
              <w:marBottom w:val="0"/>
              <w:divBdr>
                <w:top w:val="none" w:sz="0" w:space="0" w:color="auto"/>
                <w:left w:val="none" w:sz="0" w:space="0" w:color="auto"/>
                <w:bottom w:val="none" w:sz="0" w:space="0" w:color="auto"/>
                <w:right w:val="none" w:sz="0" w:space="0" w:color="auto"/>
              </w:divBdr>
            </w:div>
            <w:div w:id="1170758213">
              <w:marLeft w:val="0"/>
              <w:marRight w:val="0"/>
              <w:marTop w:val="0"/>
              <w:marBottom w:val="0"/>
              <w:divBdr>
                <w:top w:val="none" w:sz="0" w:space="0" w:color="auto"/>
                <w:left w:val="none" w:sz="0" w:space="0" w:color="auto"/>
                <w:bottom w:val="none" w:sz="0" w:space="0" w:color="auto"/>
                <w:right w:val="none" w:sz="0" w:space="0" w:color="auto"/>
              </w:divBdr>
            </w:div>
            <w:div w:id="1373114089">
              <w:marLeft w:val="0"/>
              <w:marRight w:val="0"/>
              <w:marTop w:val="0"/>
              <w:marBottom w:val="0"/>
              <w:divBdr>
                <w:top w:val="none" w:sz="0" w:space="0" w:color="auto"/>
                <w:left w:val="none" w:sz="0" w:space="0" w:color="auto"/>
                <w:bottom w:val="none" w:sz="0" w:space="0" w:color="auto"/>
                <w:right w:val="none" w:sz="0" w:space="0" w:color="auto"/>
              </w:divBdr>
            </w:div>
            <w:div w:id="1479305177">
              <w:marLeft w:val="0"/>
              <w:marRight w:val="0"/>
              <w:marTop w:val="0"/>
              <w:marBottom w:val="0"/>
              <w:divBdr>
                <w:top w:val="none" w:sz="0" w:space="0" w:color="auto"/>
                <w:left w:val="none" w:sz="0" w:space="0" w:color="auto"/>
                <w:bottom w:val="none" w:sz="0" w:space="0" w:color="auto"/>
                <w:right w:val="none" w:sz="0" w:space="0" w:color="auto"/>
              </w:divBdr>
            </w:div>
            <w:div w:id="1505977924">
              <w:marLeft w:val="0"/>
              <w:marRight w:val="0"/>
              <w:marTop w:val="0"/>
              <w:marBottom w:val="0"/>
              <w:divBdr>
                <w:top w:val="none" w:sz="0" w:space="0" w:color="auto"/>
                <w:left w:val="none" w:sz="0" w:space="0" w:color="auto"/>
                <w:bottom w:val="none" w:sz="0" w:space="0" w:color="auto"/>
                <w:right w:val="none" w:sz="0" w:space="0" w:color="auto"/>
              </w:divBdr>
            </w:div>
            <w:div w:id="1597322952">
              <w:marLeft w:val="0"/>
              <w:marRight w:val="0"/>
              <w:marTop w:val="0"/>
              <w:marBottom w:val="0"/>
              <w:divBdr>
                <w:top w:val="none" w:sz="0" w:space="0" w:color="auto"/>
                <w:left w:val="none" w:sz="0" w:space="0" w:color="auto"/>
                <w:bottom w:val="none" w:sz="0" w:space="0" w:color="auto"/>
                <w:right w:val="none" w:sz="0" w:space="0" w:color="auto"/>
              </w:divBdr>
            </w:div>
            <w:div w:id="1609656154">
              <w:marLeft w:val="0"/>
              <w:marRight w:val="0"/>
              <w:marTop w:val="0"/>
              <w:marBottom w:val="0"/>
              <w:divBdr>
                <w:top w:val="none" w:sz="0" w:space="0" w:color="auto"/>
                <w:left w:val="none" w:sz="0" w:space="0" w:color="auto"/>
                <w:bottom w:val="none" w:sz="0" w:space="0" w:color="auto"/>
                <w:right w:val="none" w:sz="0" w:space="0" w:color="auto"/>
              </w:divBdr>
            </w:div>
            <w:div w:id="1641491933">
              <w:marLeft w:val="0"/>
              <w:marRight w:val="0"/>
              <w:marTop w:val="0"/>
              <w:marBottom w:val="0"/>
              <w:divBdr>
                <w:top w:val="none" w:sz="0" w:space="0" w:color="auto"/>
                <w:left w:val="none" w:sz="0" w:space="0" w:color="auto"/>
                <w:bottom w:val="none" w:sz="0" w:space="0" w:color="auto"/>
                <w:right w:val="none" w:sz="0" w:space="0" w:color="auto"/>
              </w:divBdr>
            </w:div>
            <w:div w:id="1720858833">
              <w:marLeft w:val="0"/>
              <w:marRight w:val="0"/>
              <w:marTop w:val="0"/>
              <w:marBottom w:val="0"/>
              <w:divBdr>
                <w:top w:val="none" w:sz="0" w:space="0" w:color="auto"/>
                <w:left w:val="none" w:sz="0" w:space="0" w:color="auto"/>
                <w:bottom w:val="none" w:sz="0" w:space="0" w:color="auto"/>
                <w:right w:val="none" w:sz="0" w:space="0" w:color="auto"/>
              </w:divBdr>
            </w:div>
            <w:div w:id="1931885769">
              <w:marLeft w:val="0"/>
              <w:marRight w:val="0"/>
              <w:marTop w:val="0"/>
              <w:marBottom w:val="0"/>
              <w:divBdr>
                <w:top w:val="none" w:sz="0" w:space="0" w:color="auto"/>
                <w:left w:val="none" w:sz="0" w:space="0" w:color="auto"/>
                <w:bottom w:val="none" w:sz="0" w:space="0" w:color="auto"/>
                <w:right w:val="none" w:sz="0" w:space="0" w:color="auto"/>
              </w:divBdr>
            </w:div>
            <w:div w:id="1950315877">
              <w:marLeft w:val="0"/>
              <w:marRight w:val="0"/>
              <w:marTop w:val="0"/>
              <w:marBottom w:val="0"/>
              <w:divBdr>
                <w:top w:val="none" w:sz="0" w:space="0" w:color="auto"/>
                <w:left w:val="none" w:sz="0" w:space="0" w:color="auto"/>
                <w:bottom w:val="none" w:sz="0" w:space="0" w:color="auto"/>
                <w:right w:val="none" w:sz="0" w:space="0" w:color="auto"/>
              </w:divBdr>
            </w:div>
          </w:divsChild>
        </w:div>
        <w:div w:id="1696807695">
          <w:marLeft w:val="0"/>
          <w:marRight w:val="0"/>
          <w:marTop w:val="0"/>
          <w:marBottom w:val="0"/>
          <w:divBdr>
            <w:top w:val="none" w:sz="0" w:space="0" w:color="auto"/>
            <w:left w:val="none" w:sz="0" w:space="0" w:color="auto"/>
            <w:bottom w:val="none" w:sz="0" w:space="0" w:color="auto"/>
            <w:right w:val="none" w:sz="0" w:space="0" w:color="auto"/>
          </w:divBdr>
          <w:divsChild>
            <w:div w:id="6954175">
              <w:marLeft w:val="0"/>
              <w:marRight w:val="0"/>
              <w:marTop w:val="0"/>
              <w:marBottom w:val="0"/>
              <w:divBdr>
                <w:top w:val="none" w:sz="0" w:space="0" w:color="auto"/>
                <w:left w:val="none" w:sz="0" w:space="0" w:color="auto"/>
                <w:bottom w:val="none" w:sz="0" w:space="0" w:color="auto"/>
                <w:right w:val="none" w:sz="0" w:space="0" w:color="auto"/>
              </w:divBdr>
            </w:div>
            <w:div w:id="90052409">
              <w:marLeft w:val="0"/>
              <w:marRight w:val="0"/>
              <w:marTop w:val="0"/>
              <w:marBottom w:val="0"/>
              <w:divBdr>
                <w:top w:val="none" w:sz="0" w:space="0" w:color="auto"/>
                <w:left w:val="none" w:sz="0" w:space="0" w:color="auto"/>
                <w:bottom w:val="none" w:sz="0" w:space="0" w:color="auto"/>
                <w:right w:val="none" w:sz="0" w:space="0" w:color="auto"/>
              </w:divBdr>
            </w:div>
            <w:div w:id="268707970">
              <w:marLeft w:val="0"/>
              <w:marRight w:val="0"/>
              <w:marTop w:val="0"/>
              <w:marBottom w:val="0"/>
              <w:divBdr>
                <w:top w:val="none" w:sz="0" w:space="0" w:color="auto"/>
                <w:left w:val="none" w:sz="0" w:space="0" w:color="auto"/>
                <w:bottom w:val="none" w:sz="0" w:space="0" w:color="auto"/>
                <w:right w:val="none" w:sz="0" w:space="0" w:color="auto"/>
              </w:divBdr>
            </w:div>
            <w:div w:id="394203920">
              <w:marLeft w:val="0"/>
              <w:marRight w:val="0"/>
              <w:marTop w:val="0"/>
              <w:marBottom w:val="0"/>
              <w:divBdr>
                <w:top w:val="none" w:sz="0" w:space="0" w:color="auto"/>
                <w:left w:val="none" w:sz="0" w:space="0" w:color="auto"/>
                <w:bottom w:val="none" w:sz="0" w:space="0" w:color="auto"/>
                <w:right w:val="none" w:sz="0" w:space="0" w:color="auto"/>
              </w:divBdr>
            </w:div>
            <w:div w:id="524295368">
              <w:marLeft w:val="0"/>
              <w:marRight w:val="0"/>
              <w:marTop w:val="0"/>
              <w:marBottom w:val="0"/>
              <w:divBdr>
                <w:top w:val="none" w:sz="0" w:space="0" w:color="auto"/>
                <w:left w:val="none" w:sz="0" w:space="0" w:color="auto"/>
                <w:bottom w:val="none" w:sz="0" w:space="0" w:color="auto"/>
                <w:right w:val="none" w:sz="0" w:space="0" w:color="auto"/>
              </w:divBdr>
            </w:div>
            <w:div w:id="550583510">
              <w:marLeft w:val="0"/>
              <w:marRight w:val="0"/>
              <w:marTop w:val="0"/>
              <w:marBottom w:val="0"/>
              <w:divBdr>
                <w:top w:val="none" w:sz="0" w:space="0" w:color="auto"/>
                <w:left w:val="none" w:sz="0" w:space="0" w:color="auto"/>
                <w:bottom w:val="none" w:sz="0" w:space="0" w:color="auto"/>
                <w:right w:val="none" w:sz="0" w:space="0" w:color="auto"/>
              </w:divBdr>
            </w:div>
            <w:div w:id="698430583">
              <w:marLeft w:val="0"/>
              <w:marRight w:val="0"/>
              <w:marTop w:val="0"/>
              <w:marBottom w:val="0"/>
              <w:divBdr>
                <w:top w:val="none" w:sz="0" w:space="0" w:color="auto"/>
                <w:left w:val="none" w:sz="0" w:space="0" w:color="auto"/>
                <w:bottom w:val="none" w:sz="0" w:space="0" w:color="auto"/>
                <w:right w:val="none" w:sz="0" w:space="0" w:color="auto"/>
              </w:divBdr>
            </w:div>
            <w:div w:id="863792131">
              <w:marLeft w:val="0"/>
              <w:marRight w:val="0"/>
              <w:marTop w:val="0"/>
              <w:marBottom w:val="0"/>
              <w:divBdr>
                <w:top w:val="none" w:sz="0" w:space="0" w:color="auto"/>
                <w:left w:val="none" w:sz="0" w:space="0" w:color="auto"/>
                <w:bottom w:val="none" w:sz="0" w:space="0" w:color="auto"/>
                <w:right w:val="none" w:sz="0" w:space="0" w:color="auto"/>
              </w:divBdr>
            </w:div>
            <w:div w:id="870386830">
              <w:marLeft w:val="0"/>
              <w:marRight w:val="0"/>
              <w:marTop w:val="0"/>
              <w:marBottom w:val="0"/>
              <w:divBdr>
                <w:top w:val="none" w:sz="0" w:space="0" w:color="auto"/>
                <w:left w:val="none" w:sz="0" w:space="0" w:color="auto"/>
                <w:bottom w:val="none" w:sz="0" w:space="0" w:color="auto"/>
                <w:right w:val="none" w:sz="0" w:space="0" w:color="auto"/>
              </w:divBdr>
            </w:div>
            <w:div w:id="1054349971">
              <w:marLeft w:val="0"/>
              <w:marRight w:val="0"/>
              <w:marTop w:val="0"/>
              <w:marBottom w:val="0"/>
              <w:divBdr>
                <w:top w:val="none" w:sz="0" w:space="0" w:color="auto"/>
                <w:left w:val="none" w:sz="0" w:space="0" w:color="auto"/>
                <w:bottom w:val="none" w:sz="0" w:space="0" w:color="auto"/>
                <w:right w:val="none" w:sz="0" w:space="0" w:color="auto"/>
              </w:divBdr>
            </w:div>
            <w:div w:id="1110661199">
              <w:marLeft w:val="0"/>
              <w:marRight w:val="0"/>
              <w:marTop w:val="0"/>
              <w:marBottom w:val="0"/>
              <w:divBdr>
                <w:top w:val="none" w:sz="0" w:space="0" w:color="auto"/>
                <w:left w:val="none" w:sz="0" w:space="0" w:color="auto"/>
                <w:bottom w:val="none" w:sz="0" w:space="0" w:color="auto"/>
                <w:right w:val="none" w:sz="0" w:space="0" w:color="auto"/>
              </w:divBdr>
            </w:div>
            <w:div w:id="1112827017">
              <w:marLeft w:val="0"/>
              <w:marRight w:val="0"/>
              <w:marTop w:val="0"/>
              <w:marBottom w:val="0"/>
              <w:divBdr>
                <w:top w:val="none" w:sz="0" w:space="0" w:color="auto"/>
                <w:left w:val="none" w:sz="0" w:space="0" w:color="auto"/>
                <w:bottom w:val="none" w:sz="0" w:space="0" w:color="auto"/>
                <w:right w:val="none" w:sz="0" w:space="0" w:color="auto"/>
              </w:divBdr>
            </w:div>
            <w:div w:id="1260870375">
              <w:marLeft w:val="0"/>
              <w:marRight w:val="0"/>
              <w:marTop w:val="0"/>
              <w:marBottom w:val="0"/>
              <w:divBdr>
                <w:top w:val="none" w:sz="0" w:space="0" w:color="auto"/>
                <w:left w:val="none" w:sz="0" w:space="0" w:color="auto"/>
                <w:bottom w:val="none" w:sz="0" w:space="0" w:color="auto"/>
                <w:right w:val="none" w:sz="0" w:space="0" w:color="auto"/>
              </w:divBdr>
            </w:div>
            <w:div w:id="1618638504">
              <w:marLeft w:val="0"/>
              <w:marRight w:val="0"/>
              <w:marTop w:val="0"/>
              <w:marBottom w:val="0"/>
              <w:divBdr>
                <w:top w:val="none" w:sz="0" w:space="0" w:color="auto"/>
                <w:left w:val="none" w:sz="0" w:space="0" w:color="auto"/>
                <w:bottom w:val="none" w:sz="0" w:space="0" w:color="auto"/>
                <w:right w:val="none" w:sz="0" w:space="0" w:color="auto"/>
              </w:divBdr>
            </w:div>
            <w:div w:id="1625506536">
              <w:marLeft w:val="0"/>
              <w:marRight w:val="0"/>
              <w:marTop w:val="0"/>
              <w:marBottom w:val="0"/>
              <w:divBdr>
                <w:top w:val="none" w:sz="0" w:space="0" w:color="auto"/>
                <w:left w:val="none" w:sz="0" w:space="0" w:color="auto"/>
                <w:bottom w:val="none" w:sz="0" w:space="0" w:color="auto"/>
                <w:right w:val="none" w:sz="0" w:space="0" w:color="auto"/>
              </w:divBdr>
            </w:div>
            <w:div w:id="1638948024">
              <w:marLeft w:val="0"/>
              <w:marRight w:val="0"/>
              <w:marTop w:val="0"/>
              <w:marBottom w:val="0"/>
              <w:divBdr>
                <w:top w:val="none" w:sz="0" w:space="0" w:color="auto"/>
                <w:left w:val="none" w:sz="0" w:space="0" w:color="auto"/>
                <w:bottom w:val="none" w:sz="0" w:space="0" w:color="auto"/>
                <w:right w:val="none" w:sz="0" w:space="0" w:color="auto"/>
              </w:divBdr>
            </w:div>
            <w:div w:id="1650402501">
              <w:marLeft w:val="0"/>
              <w:marRight w:val="0"/>
              <w:marTop w:val="0"/>
              <w:marBottom w:val="0"/>
              <w:divBdr>
                <w:top w:val="none" w:sz="0" w:space="0" w:color="auto"/>
                <w:left w:val="none" w:sz="0" w:space="0" w:color="auto"/>
                <w:bottom w:val="none" w:sz="0" w:space="0" w:color="auto"/>
                <w:right w:val="none" w:sz="0" w:space="0" w:color="auto"/>
              </w:divBdr>
            </w:div>
            <w:div w:id="1721903819">
              <w:marLeft w:val="0"/>
              <w:marRight w:val="0"/>
              <w:marTop w:val="0"/>
              <w:marBottom w:val="0"/>
              <w:divBdr>
                <w:top w:val="none" w:sz="0" w:space="0" w:color="auto"/>
                <w:left w:val="none" w:sz="0" w:space="0" w:color="auto"/>
                <w:bottom w:val="none" w:sz="0" w:space="0" w:color="auto"/>
                <w:right w:val="none" w:sz="0" w:space="0" w:color="auto"/>
              </w:divBdr>
            </w:div>
            <w:div w:id="1793209791">
              <w:marLeft w:val="0"/>
              <w:marRight w:val="0"/>
              <w:marTop w:val="0"/>
              <w:marBottom w:val="0"/>
              <w:divBdr>
                <w:top w:val="none" w:sz="0" w:space="0" w:color="auto"/>
                <w:left w:val="none" w:sz="0" w:space="0" w:color="auto"/>
                <w:bottom w:val="none" w:sz="0" w:space="0" w:color="auto"/>
                <w:right w:val="none" w:sz="0" w:space="0" w:color="auto"/>
              </w:divBdr>
            </w:div>
            <w:div w:id="2100180012">
              <w:marLeft w:val="0"/>
              <w:marRight w:val="0"/>
              <w:marTop w:val="0"/>
              <w:marBottom w:val="0"/>
              <w:divBdr>
                <w:top w:val="none" w:sz="0" w:space="0" w:color="auto"/>
                <w:left w:val="none" w:sz="0" w:space="0" w:color="auto"/>
                <w:bottom w:val="none" w:sz="0" w:space="0" w:color="auto"/>
                <w:right w:val="none" w:sz="0" w:space="0" w:color="auto"/>
              </w:divBdr>
            </w:div>
          </w:divsChild>
        </w:div>
        <w:div w:id="1712075858">
          <w:marLeft w:val="0"/>
          <w:marRight w:val="0"/>
          <w:marTop w:val="0"/>
          <w:marBottom w:val="0"/>
          <w:divBdr>
            <w:top w:val="none" w:sz="0" w:space="0" w:color="auto"/>
            <w:left w:val="none" w:sz="0" w:space="0" w:color="auto"/>
            <w:bottom w:val="none" w:sz="0" w:space="0" w:color="auto"/>
            <w:right w:val="none" w:sz="0" w:space="0" w:color="auto"/>
          </w:divBdr>
          <w:divsChild>
            <w:div w:id="135808003">
              <w:marLeft w:val="0"/>
              <w:marRight w:val="0"/>
              <w:marTop w:val="0"/>
              <w:marBottom w:val="0"/>
              <w:divBdr>
                <w:top w:val="none" w:sz="0" w:space="0" w:color="auto"/>
                <w:left w:val="none" w:sz="0" w:space="0" w:color="auto"/>
                <w:bottom w:val="none" w:sz="0" w:space="0" w:color="auto"/>
                <w:right w:val="none" w:sz="0" w:space="0" w:color="auto"/>
              </w:divBdr>
            </w:div>
            <w:div w:id="146091332">
              <w:marLeft w:val="0"/>
              <w:marRight w:val="0"/>
              <w:marTop w:val="0"/>
              <w:marBottom w:val="0"/>
              <w:divBdr>
                <w:top w:val="none" w:sz="0" w:space="0" w:color="auto"/>
                <w:left w:val="none" w:sz="0" w:space="0" w:color="auto"/>
                <w:bottom w:val="none" w:sz="0" w:space="0" w:color="auto"/>
                <w:right w:val="none" w:sz="0" w:space="0" w:color="auto"/>
              </w:divBdr>
            </w:div>
            <w:div w:id="191502589">
              <w:marLeft w:val="0"/>
              <w:marRight w:val="0"/>
              <w:marTop w:val="0"/>
              <w:marBottom w:val="0"/>
              <w:divBdr>
                <w:top w:val="none" w:sz="0" w:space="0" w:color="auto"/>
                <w:left w:val="none" w:sz="0" w:space="0" w:color="auto"/>
                <w:bottom w:val="none" w:sz="0" w:space="0" w:color="auto"/>
                <w:right w:val="none" w:sz="0" w:space="0" w:color="auto"/>
              </w:divBdr>
            </w:div>
            <w:div w:id="264508319">
              <w:marLeft w:val="0"/>
              <w:marRight w:val="0"/>
              <w:marTop w:val="0"/>
              <w:marBottom w:val="0"/>
              <w:divBdr>
                <w:top w:val="none" w:sz="0" w:space="0" w:color="auto"/>
                <w:left w:val="none" w:sz="0" w:space="0" w:color="auto"/>
                <w:bottom w:val="none" w:sz="0" w:space="0" w:color="auto"/>
                <w:right w:val="none" w:sz="0" w:space="0" w:color="auto"/>
              </w:divBdr>
            </w:div>
            <w:div w:id="305402535">
              <w:marLeft w:val="0"/>
              <w:marRight w:val="0"/>
              <w:marTop w:val="0"/>
              <w:marBottom w:val="0"/>
              <w:divBdr>
                <w:top w:val="none" w:sz="0" w:space="0" w:color="auto"/>
                <w:left w:val="none" w:sz="0" w:space="0" w:color="auto"/>
                <w:bottom w:val="none" w:sz="0" w:space="0" w:color="auto"/>
                <w:right w:val="none" w:sz="0" w:space="0" w:color="auto"/>
              </w:divBdr>
            </w:div>
            <w:div w:id="465974772">
              <w:marLeft w:val="0"/>
              <w:marRight w:val="0"/>
              <w:marTop w:val="0"/>
              <w:marBottom w:val="0"/>
              <w:divBdr>
                <w:top w:val="none" w:sz="0" w:space="0" w:color="auto"/>
                <w:left w:val="none" w:sz="0" w:space="0" w:color="auto"/>
                <w:bottom w:val="none" w:sz="0" w:space="0" w:color="auto"/>
                <w:right w:val="none" w:sz="0" w:space="0" w:color="auto"/>
              </w:divBdr>
            </w:div>
            <w:div w:id="508719823">
              <w:marLeft w:val="0"/>
              <w:marRight w:val="0"/>
              <w:marTop w:val="0"/>
              <w:marBottom w:val="0"/>
              <w:divBdr>
                <w:top w:val="none" w:sz="0" w:space="0" w:color="auto"/>
                <w:left w:val="none" w:sz="0" w:space="0" w:color="auto"/>
                <w:bottom w:val="none" w:sz="0" w:space="0" w:color="auto"/>
                <w:right w:val="none" w:sz="0" w:space="0" w:color="auto"/>
              </w:divBdr>
            </w:div>
            <w:div w:id="549998191">
              <w:marLeft w:val="0"/>
              <w:marRight w:val="0"/>
              <w:marTop w:val="0"/>
              <w:marBottom w:val="0"/>
              <w:divBdr>
                <w:top w:val="none" w:sz="0" w:space="0" w:color="auto"/>
                <w:left w:val="none" w:sz="0" w:space="0" w:color="auto"/>
                <w:bottom w:val="none" w:sz="0" w:space="0" w:color="auto"/>
                <w:right w:val="none" w:sz="0" w:space="0" w:color="auto"/>
              </w:divBdr>
            </w:div>
            <w:div w:id="760567181">
              <w:marLeft w:val="0"/>
              <w:marRight w:val="0"/>
              <w:marTop w:val="0"/>
              <w:marBottom w:val="0"/>
              <w:divBdr>
                <w:top w:val="none" w:sz="0" w:space="0" w:color="auto"/>
                <w:left w:val="none" w:sz="0" w:space="0" w:color="auto"/>
                <w:bottom w:val="none" w:sz="0" w:space="0" w:color="auto"/>
                <w:right w:val="none" w:sz="0" w:space="0" w:color="auto"/>
              </w:divBdr>
            </w:div>
            <w:div w:id="797187887">
              <w:marLeft w:val="0"/>
              <w:marRight w:val="0"/>
              <w:marTop w:val="0"/>
              <w:marBottom w:val="0"/>
              <w:divBdr>
                <w:top w:val="none" w:sz="0" w:space="0" w:color="auto"/>
                <w:left w:val="none" w:sz="0" w:space="0" w:color="auto"/>
                <w:bottom w:val="none" w:sz="0" w:space="0" w:color="auto"/>
                <w:right w:val="none" w:sz="0" w:space="0" w:color="auto"/>
              </w:divBdr>
            </w:div>
            <w:div w:id="889154143">
              <w:marLeft w:val="0"/>
              <w:marRight w:val="0"/>
              <w:marTop w:val="0"/>
              <w:marBottom w:val="0"/>
              <w:divBdr>
                <w:top w:val="none" w:sz="0" w:space="0" w:color="auto"/>
                <w:left w:val="none" w:sz="0" w:space="0" w:color="auto"/>
                <w:bottom w:val="none" w:sz="0" w:space="0" w:color="auto"/>
                <w:right w:val="none" w:sz="0" w:space="0" w:color="auto"/>
              </w:divBdr>
            </w:div>
            <w:div w:id="938948038">
              <w:marLeft w:val="0"/>
              <w:marRight w:val="0"/>
              <w:marTop w:val="0"/>
              <w:marBottom w:val="0"/>
              <w:divBdr>
                <w:top w:val="none" w:sz="0" w:space="0" w:color="auto"/>
                <w:left w:val="none" w:sz="0" w:space="0" w:color="auto"/>
                <w:bottom w:val="none" w:sz="0" w:space="0" w:color="auto"/>
                <w:right w:val="none" w:sz="0" w:space="0" w:color="auto"/>
              </w:divBdr>
            </w:div>
            <w:div w:id="969093858">
              <w:marLeft w:val="0"/>
              <w:marRight w:val="0"/>
              <w:marTop w:val="0"/>
              <w:marBottom w:val="0"/>
              <w:divBdr>
                <w:top w:val="none" w:sz="0" w:space="0" w:color="auto"/>
                <w:left w:val="none" w:sz="0" w:space="0" w:color="auto"/>
                <w:bottom w:val="none" w:sz="0" w:space="0" w:color="auto"/>
                <w:right w:val="none" w:sz="0" w:space="0" w:color="auto"/>
              </w:divBdr>
            </w:div>
            <w:div w:id="1504393913">
              <w:marLeft w:val="0"/>
              <w:marRight w:val="0"/>
              <w:marTop w:val="0"/>
              <w:marBottom w:val="0"/>
              <w:divBdr>
                <w:top w:val="none" w:sz="0" w:space="0" w:color="auto"/>
                <w:left w:val="none" w:sz="0" w:space="0" w:color="auto"/>
                <w:bottom w:val="none" w:sz="0" w:space="0" w:color="auto"/>
                <w:right w:val="none" w:sz="0" w:space="0" w:color="auto"/>
              </w:divBdr>
            </w:div>
            <w:div w:id="1507788012">
              <w:marLeft w:val="0"/>
              <w:marRight w:val="0"/>
              <w:marTop w:val="0"/>
              <w:marBottom w:val="0"/>
              <w:divBdr>
                <w:top w:val="none" w:sz="0" w:space="0" w:color="auto"/>
                <w:left w:val="none" w:sz="0" w:space="0" w:color="auto"/>
                <w:bottom w:val="none" w:sz="0" w:space="0" w:color="auto"/>
                <w:right w:val="none" w:sz="0" w:space="0" w:color="auto"/>
              </w:divBdr>
            </w:div>
            <w:div w:id="1664358449">
              <w:marLeft w:val="0"/>
              <w:marRight w:val="0"/>
              <w:marTop w:val="0"/>
              <w:marBottom w:val="0"/>
              <w:divBdr>
                <w:top w:val="none" w:sz="0" w:space="0" w:color="auto"/>
                <w:left w:val="none" w:sz="0" w:space="0" w:color="auto"/>
                <w:bottom w:val="none" w:sz="0" w:space="0" w:color="auto"/>
                <w:right w:val="none" w:sz="0" w:space="0" w:color="auto"/>
              </w:divBdr>
            </w:div>
            <w:div w:id="1755317326">
              <w:marLeft w:val="0"/>
              <w:marRight w:val="0"/>
              <w:marTop w:val="0"/>
              <w:marBottom w:val="0"/>
              <w:divBdr>
                <w:top w:val="none" w:sz="0" w:space="0" w:color="auto"/>
                <w:left w:val="none" w:sz="0" w:space="0" w:color="auto"/>
                <w:bottom w:val="none" w:sz="0" w:space="0" w:color="auto"/>
                <w:right w:val="none" w:sz="0" w:space="0" w:color="auto"/>
              </w:divBdr>
            </w:div>
            <w:div w:id="1804345353">
              <w:marLeft w:val="0"/>
              <w:marRight w:val="0"/>
              <w:marTop w:val="0"/>
              <w:marBottom w:val="0"/>
              <w:divBdr>
                <w:top w:val="none" w:sz="0" w:space="0" w:color="auto"/>
                <w:left w:val="none" w:sz="0" w:space="0" w:color="auto"/>
                <w:bottom w:val="none" w:sz="0" w:space="0" w:color="auto"/>
                <w:right w:val="none" w:sz="0" w:space="0" w:color="auto"/>
              </w:divBdr>
            </w:div>
            <w:div w:id="2042851446">
              <w:marLeft w:val="0"/>
              <w:marRight w:val="0"/>
              <w:marTop w:val="0"/>
              <w:marBottom w:val="0"/>
              <w:divBdr>
                <w:top w:val="none" w:sz="0" w:space="0" w:color="auto"/>
                <w:left w:val="none" w:sz="0" w:space="0" w:color="auto"/>
                <w:bottom w:val="none" w:sz="0" w:space="0" w:color="auto"/>
                <w:right w:val="none" w:sz="0" w:space="0" w:color="auto"/>
              </w:divBdr>
            </w:div>
            <w:div w:id="2092268744">
              <w:marLeft w:val="0"/>
              <w:marRight w:val="0"/>
              <w:marTop w:val="0"/>
              <w:marBottom w:val="0"/>
              <w:divBdr>
                <w:top w:val="none" w:sz="0" w:space="0" w:color="auto"/>
                <w:left w:val="none" w:sz="0" w:space="0" w:color="auto"/>
                <w:bottom w:val="none" w:sz="0" w:space="0" w:color="auto"/>
                <w:right w:val="none" w:sz="0" w:space="0" w:color="auto"/>
              </w:divBdr>
            </w:div>
          </w:divsChild>
        </w:div>
        <w:div w:id="1784305138">
          <w:marLeft w:val="0"/>
          <w:marRight w:val="0"/>
          <w:marTop w:val="0"/>
          <w:marBottom w:val="0"/>
          <w:divBdr>
            <w:top w:val="none" w:sz="0" w:space="0" w:color="auto"/>
            <w:left w:val="none" w:sz="0" w:space="0" w:color="auto"/>
            <w:bottom w:val="none" w:sz="0" w:space="0" w:color="auto"/>
            <w:right w:val="none" w:sz="0" w:space="0" w:color="auto"/>
          </w:divBdr>
          <w:divsChild>
            <w:div w:id="118569813">
              <w:marLeft w:val="0"/>
              <w:marRight w:val="0"/>
              <w:marTop w:val="0"/>
              <w:marBottom w:val="0"/>
              <w:divBdr>
                <w:top w:val="none" w:sz="0" w:space="0" w:color="auto"/>
                <w:left w:val="none" w:sz="0" w:space="0" w:color="auto"/>
                <w:bottom w:val="none" w:sz="0" w:space="0" w:color="auto"/>
                <w:right w:val="none" w:sz="0" w:space="0" w:color="auto"/>
              </w:divBdr>
            </w:div>
            <w:div w:id="336546280">
              <w:marLeft w:val="0"/>
              <w:marRight w:val="0"/>
              <w:marTop w:val="0"/>
              <w:marBottom w:val="0"/>
              <w:divBdr>
                <w:top w:val="none" w:sz="0" w:space="0" w:color="auto"/>
                <w:left w:val="none" w:sz="0" w:space="0" w:color="auto"/>
                <w:bottom w:val="none" w:sz="0" w:space="0" w:color="auto"/>
                <w:right w:val="none" w:sz="0" w:space="0" w:color="auto"/>
              </w:divBdr>
            </w:div>
            <w:div w:id="623345078">
              <w:marLeft w:val="0"/>
              <w:marRight w:val="0"/>
              <w:marTop w:val="0"/>
              <w:marBottom w:val="0"/>
              <w:divBdr>
                <w:top w:val="none" w:sz="0" w:space="0" w:color="auto"/>
                <w:left w:val="none" w:sz="0" w:space="0" w:color="auto"/>
                <w:bottom w:val="none" w:sz="0" w:space="0" w:color="auto"/>
                <w:right w:val="none" w:sz="0" w:space="0" w:color="auto"/>
              </w:divBdr>
            </w:div>
            <w:div w:id="644507609">
              <w:marLeft w:val="0"/>
              <w:marRight w:val="0"/>
              <w:marTop w:val="0"/>
              <w:marBottom w:val="0"/>
              <w:divBdr>
                <w:top w:val="none" w:sz="0" w:space="0" w:color="auto"/>
                <w:left w:val="none" w:sz="0" w:space="0" w:color="auto"/>
                <w:bottom w:val="none" w:sz="0" w:space="0" w:color="auto"/>
                <w:right w:val="none" w:sz="0" w:space="0" w:color="auto"/>
              </w:divBdr>
            </w:div>
            <w:div w:id="644623571">
              <w:marLeft w:val="0"/>
              <w:marRight w:val="0"/>
              <w:marTop w:val="0"/>
              <w:marBottom w:val="0"/>
              <w:divBdr>
                <w:top w:val="none" w:sz="0" w:space="0" w:color="auto"/>
                <w:left w:val="none" w:sz="0" w:space="0" w:color="auto"/>
                <w:bottom w:val="none" w:sz="0" w:space="0" w:color="auto"/>
                <w:right w:val="none" w:sz="0" w:space="0" w:color="auto"/>
              </w:divBdr>
            </w:div>
            <w:div w:id="809326390">
              <w:marLeft w:val="0"/>
              <w:marRight w:val="0"/>
              <w:marTop w:val="0"/>
              <w:marBottom w:val="0"/>
              <w:divBdr>
                <w:top w:val="none" w:sz="0" w:space="0" w:color="auto"/>
                <w:left w:val="none" w:sz="0" w:space="0" w:color="auto"/>
                <w:bottom w:val="none" w:sz="0" w:space="0" w:color="auto"/>
                <w:right w:val="none" w:sz="0" w:space="0" w:color="auto"/>
              </w:divBdr>
            </w:div>
            <w:div w:id="892539491">
              <w:marLeft w:val="0"/>
              <w:marRight w:val="0"/>
              <w:marTop w:val="0"/>
              <w:marBottom w:val="0"/>
              <w:divBdr>
                <w:top w:val="none" w:sz="0" w:space="0" w:color="auto"/>
                <w:left w:val="none" w:sz="0" w:space="0" w:color="auto"/>
                <w:bottom w:val="none" w:sz="0" w:space="0" w:color="auto"/>
                <w:right w:val="none" w:sz="0" w:space="0" w:color="auto"/>
              </w:divBdr>
            </w:div>
            <w:div w:id="1026178861">
              <w:marLeft w:val="0"/>
              <w:marRight w:val="0"/>
              <w:marTop w:val="0"/>
              <w:marBottom w:val="0"/>
              <w:divBdr>
                <w:top w:val="none" w:sz="0" w:space="0" w:color="auto"/>
                <w:left w:val="none" w:sz="0" w:space="0" w:color="auto"/>
                <w:bottom w:val="none" w:sz="0" w:space="0" w:color="auto"/>
                <w:right w:val="none" w:sz="0" w:space="0" w:color="auto"/>
              </w:divBdr>
            </w:div>
            <w:div w:id="1083800135">
              <w:marLeft w:val="0"/>
              <w:marRight w:val="0"/>
              <w:marTop w:val="0"/>
              <w:marBottom w:val="0"/>
              <w:divBdr>
                <w:top w:val="none" w:sz="0" w:space="0" w:color="auto"/>
                <w:left w:val="none" w:sz="0" w:space="0" w:color="auto"/>
                <w:bottom w:val="none" w:sz="0" w:space="0" w:color="auto"/>
                <w:right w:val="none" w:sz="0" w:space="0" w:color="auto"/>
              </w:divBdr>
            </w:div>
            <w:div w:id="1190214748">
              <w:marLeft w:val="0"/>
              <w:marRight w:val="0"/>
              <w:marTop w:val="0"/>
              <w:marBottom w:val="0"/>
              <w:divBdr>
                <w:top w:val="none" w:sz="0" w:space="0" w:color="auto"/>
                <w:left w:val="none" w:sz="0" w:space="0" w:color="auto"/>
                <w:bottom w:val="none" w:sz="0" w:space="0" w:color="auto"/>
                <w:right w:val="none" w:sz="0" w:space="0" w:color="auto"/>
              </w:divBdr>
            </w:div>
            <w:div w:id="1222718103">
              <w:marLeft w:val="0"/>
              <w:marRight w:val="0"/>
              <w:marTop w:val="0"/>
              <w:marBottom w:val="0"/>
              <w:divBdr>
                <w:top w:val="none" w:sz="0" w:space="0" w:color="auto"/>
                <w:left w:val="none" w:sz="0" w:space="0" w:color="auto"/>
                <w:bottom w:val="none" w:sz="0" w:space="0" w:color="auto"/>
                <w:right w:val="none" w:sz="0" w:space="0" w:color="auto"/>
              </w:divBdr>
            </w:div>
            <w:div w:id="1268275954">
              <w:marLeft w:val="0"/>
              <w:marRight w:val="0"/>
              <w:marTop w:val="0"/>
              <w:marBottom w:val="0"/>
              <w:divBdr>
                <w:top w:val="none" w:sz="0" w:space="0" w:color="auto"/>
                <w:left w:val="none" w:sz="0" w:space="0" w:color="auto"/>
                <w:bottom w:val="none" w:sz="0" w:space="0" w:color="auto"/>
                <w:right w:val="none" w:sz="0" w:space="0" w:color="auto"/>
              </w:divBdr>
            </w:div>
            <w:div w:id="1381057987">
              <w:marLeft w:val="0"/>
              <w:marRight w:val="0"/>
              <w:marTop w:val="0"/>
              <w:marBottom w:val="0"/>
              <w:divBdr>
                <w:top w:val="none" w:sz="0" w:space="0" w:color="auto"/>
                <w:left w:val="none" w:sz="0" w:space="0" w:color="auto"/>
                <w:bottom w:val="none" w:sz="0" w:space="0" w:color="auto"/>
                <w:right w:val="none" w:sz="0" w:space="0" w:color="auto"/>
              </w:divBdr>
            </w:div>
            <w:div w:id="1501386534">
              <w:marLeft w:val="0"/>
              <w:marRight w:val="0"/>
              <w:marTop w:val="0"/>
              <w:marBottom w:val="0"/>
              <w:divBdr>
                <w:top w:val="none" w:sz="0" w:space="0" w:color="auto"/>
                <w:left w:val="none" w:sz="0" w:space="0" w:color="auto"/>
                <w:bottom w:val="none" w:sz="0" w:space="0" w:color="auto"/>
                <w:right w:val="none" w:sz="0" w:space="0" w:color="auto"/>
              </w:divBdr>
            </w:div>
            <w:div w:id="1559433650">
              <w:marLeft w:val="0"/>
              <w:marRight w:val="0"/>
              <w:marTop w:val="0"/>
              <w:marBottom w:val="0"/>
              <w:divBdr>
                <w:top w:val="none" w:sz="0" w:space="0" w:color="auto"/>
                <w:left w:val="none" w:sz="0" w:space="0" w:color="auto"/>
                <w:bottom w:val="none" w:sz="0" w:space="0" w:color="auto"/>
                <w:right w:val="none" w:sz="0" w:space="0" w:color="auto"/>
              </w:divBdr>
            </w:div>
            <w:div w:id="1592004619">
              <w:marLeft w:val="0"/>
              <w:marRight w:val="0"/>
              <w:marTop w:val="0"/>
              <w:marBottom w:val="0"/>
              <w:divBdr>
                <w:top w:val="none" w:sz="0" w:space="0" w:color="auto"/>
                <w:left w:val="none" w:sz="0" w:space="0" w:color="auto"/>
                <w:bottom w:val="none" w:sz="0" w:space="0" w:color="auto"/>
                <w:right w:val="none" w:sz="0" w:space="0" w:color="auto"/>
              </w:divBdr>
            </w:div>
            <w:div w:id="1854025565">
              <w:marLeft w:val="0"/>
              <w:marRight w:val="0"/>
              <w:marTop w:val="0"/>
              <w:marBottom w:val="0"/>
              <w:divBdr>
                <w:top w:val="none" w:sz="0" w:space="0" w:color="auto"/>
                <w:left w:val="none" w:sz="0" w:space="0" w:color="auto"/>
                <w:bottom w:val="none" w:sz="0" w:space="0" w:color="auto"/>
                <w:right w:val="none" w:sz="0" w:space="0" w:color="auto"/>
              </w:divBdr>
            </w:div>
            <w:div w:id="1877887659">
              <w:marLeft w:val="0"/>
              <w:marRight w:val="0"/>
              <w:marTop w:val="0"/>
              <w:marBottom w:val="0"/>
              <w:divBdr>
                <w:top w:val="none" w:sz="0" w:space="0" w:color="auto"/>
                <w:left w:val="none" w:sz="0" w:space="0" w:color="auto"/>
                <w:bottom w:val="none" w:sz="0" w:space="0" w:color="auto"/>
                <w:right w:val="none" w:sz="0" w:space="0" w:color="auto"/>
              </w:divBdr>
            </w:div>
            <w:div w:id="1930309304">
              <w:marLeft w:val="0"/>
              <w:marRight w:val="0"/>
              <w:marTop w:val="0"/>
              <w:marBottom w:val="0"/>
              <w:divBdr>
                <w:top w:val="none" w:sz="0" w:space="0" w:color="auto"/>
                <w:left w:val="none" w:sz="0" w:space="0" w:color="auto"/>
                <w:bottom w:val="none" w:sz="0" w:space="0" w:color="auto"/>
                <w:right w:val="none" w:sz="0" w:space="0" w:color="auto"/>
              </w:divBdr>
            </w:div>
            <w:div w:id="2085837389">
              <w:marLeft w:val="0"/>
              <w:marRight w:val="0"/>
              <w:marTop w:val="0"/>
              <w:marBottom w:val="0"/>
              <w:divBdr>
                <w:top w:val="none" w:sz="0" w:space="0" w:color="auto"/>
                <w:left w:val="none" w:sz="0" w:space="0" w:color="auto"/>
                <w:bottom w:val="none" w:sz="0" w:space="0" w:color="auto"/>
                <w:right w:val="none" w:sz="0" w:space="0" w:color="auto"/>
              </w:divBdr>
            </w:div>
          </w:divsChild>
        </w:div>
        <w:div w:id="1807964751">
          <w:marLeft w:val="0"/>
          <w:marRight w:val="0"/>
          <w:marTop w:val="0"/>
          <w:marBottom w:val="0"/>
          <w:divBdr>
            <w:top w:val="none" w:sz="0" w:space="0" w:color="auto"/>
            <w:left w:val="none" w:sz="0" w:space="0" w:color="auto"/>
            <w:bottom w:val="none" w:sz="0" w:space="0" w:color="auto"/>
            <w:right w:val="none" w:sz="0" w:space="0" w:color="auto"/>
          </w:divBdr>
          <w:divsChild>
            <w:div w:id="222757582">
              <w:marLeft w:val="0"/>
              <w:marRight w:val="0"/>
              <w:marTop w:val="0"/>
              <w:marBottom w:val="0"/>
              <w:divBdr>
                <w:top w:val="none" w:sz="0" w:space="0" w:color="auto"/>
                <w:left w:val="none" w:sz="0" w:space="0" w:color="auto"/>
                <w:bottom w:val="none" w:sz="0" w:space="0" w:color="auto"/>
                <w:right w:val="none" w:sz="0" w:space="0" w:color="auto"/>
              </w:divBdr>
            </w:div>
            <w:div w:id="296110283">
              <w:marLeft w:val="0"/>
              <w:marRight w:val="0"/>
              <w:marTop w:val="0"/>
              <w:marBottom w:val="0"/>
              <w:divBdr>
                <w:top w:val="none" w:sz="0" w:space="0" w:color="auto"/>
                <w:left w:val="none" w:sz="0" w:space="0" w:color="auto"/>
                <w:bottom w:val="none" w:sz="0" w:space="0" w:color="auto"/>
                <w:right w:val="none" w:sz="0" w:space="0" w:color="auto"/>
              </w:divBdr>
            </w:div>
            <w:div w:id="567348283">
              <w:marLeft w:val="0"/>
              <w:marRight w:val="0"/>
              <w:marTop w:val="0"/>
              <w:marBottom w:val="0"/>
              <w:divBdr>
                <w:top w:val="none" w:sz="0" w:space="0" w:color="auto"/>
                <w:left w:val="none" w:sz="0" w:space="0" w:color="auto"/>
                <w:bottom w:val="none" w:sz="0" w:space="0" w:color="auto"/>
                <w:right w:val="none" w:sz="0" w:space="0" w:color="auto"/>
              </w:divBdr>
            </w:div>
            <w:div w:id="568730125">
              <w:marLeft w:val="0"/>
              <w:marRight w:val="0"/>
              <w:marTop w:val="0"/>
              <w:marBottom w:val="0"/>
              <w:divBdr>
                <w:top w:val="none" w:sz="0" w:space="0" w:color="auto"/>
                <w:left w:val="none" w:sz="0" w:space="0" w:color="auto"/>
                <w:bottom w:val="none" w:sz="0" w:space="0" w:color="auto"/>
                <w:right w:val="none" w:sz="0" w:space="0" w:color="auto"/>
              </w:divBdr>
            </w:div>
            <w:div w:id="602498008">
              <w:marLeft w:val="0"/>
              <w:marRight w:val="0"/>
              <w:marTop w:val="0"/>
              <w:marBottom w:val="0"/>
              <w:divBdr>
                <w:top w:val="none" w:sz="0" w:space="0" w:color="auto"/>
                <w:left w:val="none" w:sz="0" w:space="0" w:color="auto"/>
                <w:bottom w:val="none" w:sz="0" w:space="0" w:color="auto"/>
                <w:right w:val="none" w:sz="0" w:space="0" w:color="auto"/>
              </w:divBdr>
            </w:div>
            <w:div w:id="795636899">
              <w:marLeft w:val="0"/>
              <w:marRight w:val="0"/>
              <w:marTop w:val="0"/>
              <w:marBottom w:val="0"/>
              <w:divBdr>
                <w:top w:val="none" w:sz="0" w:space="0" w:color="auto"/>
                <w:left w:val="none" w:sz="0" w:space="0" w:color="auto"/>
                <w:bottom w:val="none" w:sz="0" w:space="0" w:color="auto"/>
                <w:right w:val="none" w:sz="0" w:space="0" w:color="auto"/>
              </w:divBdr>
            </w:div>
            <w:div w:id="977222559">
              <w:marLeft w:val="0"/>
              <w:marRight w:val="0"/>
              <w:marTop w:val="0"/>
              <w:marBottom w:val="0"/>
              <w:divBdr>
                <w:top w:val="none" w:sz="0" w:space="0" w:color="auto"/>
                <w:left w:val="none" w:sz="0" w:space="0" w:color="auto"/>
                <w:bottom w:val="none" w:sz="0" w:space="0" w:color="auto"/>
                <w:right w:val="none" w:sz="0" w:space="0" w:color="auto"/>
              </w:divBdr>
            </w:div>
            <w:div w:id="1008599726">
              <w:marLeft w:val="0"/>
              <w:marRight w:val="0"/>
              <w:marTop w:val="0"/>
              <w:marBottom w:val="0"/>
              <w:divBdr>
                <w:top w:val="none" w:sz="0" w:space="0" w:color="auto"/>
                <w:left w:val="none" w:sz="0" w:space="0" w:color="auto"/>
                <w:bottom w:val="none" w:sz="0" w:space="0" w:color="auto"/>
                <w:right w:val="none" w:sz="0" w:space="0" w:color="auto"/>
              </w:divBdr>
            </w:div>
            <w:div w:id="1078210224">
              <w:marLeft w:val="0"/>
              <w:marRight w:val="0"/>
              <w:marTop w:val="0"/>
              <w:marBottom w:val="0"/>
              <w:divBdr>
                <w:top w:val="none" w:sz="0" w:space="0" w:color="auto"/>
                <w:left w:val="none" w:sz="0" w:space="0" w:color="auto"/>
                <w:bottom w:val="none" w:sz="0" w:space="0" w:color="auto"/>
                <w:right w:val="none" w:sz="0" w:space="0" w:color="auto"/>
              </w:divBdr>
            </w:div>
            <w:div w:id="1090737511">
              <w:marLeft w:val="0"/>
              <w:marRight w:val="0"/>
              <w:marTop w:val="0"/>
              <w:marBottom w:val="0"/>
              <w:divBdr>
                <w:top w:val="none" w:sz="0" w:space="0" w:color="auto"/>
                <w:left w:val="none" w:sz="0" w:space="0" w:color="auto"/>
                <w:bottom w:val="none" w:sz="0" w:space="0" w:color="auto"/>
                <w:right w:val="none" w:sz="0" w:space="0" w:color="auto"/>
              </w:divBdr>
            </w:div>
            <w:div w:id="1104690522">
              <w:marLeft w:val="0"/>
              <w:marRight w:val="0"/>
              <w:marTop w:val="0"/>
              <w:marBottom w:val="0"/>
              <w:divBdr>
                <w:top w:val="none" w:sz="0" w:space="0" w:color="auto"/>
                <w:left w:val="none" w:sz="0" w:space="0" w:color="auto"/>
                <w:bottom w:val="none" w:sz="0" w:space="0" w:color="auto"/>
                <w:right w:val="none" w:sz="0" w:space="0" w:color="auto"/>
              </w:divBdr>
            </w:div>
            <w:div w:id="1124739769">
              <w:marLeft w:val="0"/>
              <w:marRight w:val="0"/>
              <w:marTop w:val="0"/>
              <w:marBottom w:val="0"/>
              <w:divBdr>
                <w:top w:val="none" w:sz="0" w:space="0" w:color="auto"/>
                <w:left w:val="none" w:sz="0" w:space="0" w:color="auto"/>
                <w:bottom w:val="none" w:sz="0" w:space="0" w:color="auto"/>
                <w:right w:val="none" w:sz="0" w:space="0" w:color="auto"/>
              </w:divBdr>
            </w:div>
            <w:div w:id="1304046985">
              <w:marLeft w:val="0"/>
              <w:marRight w:val="0"/>
              <w:marTop w:val="0"/>
              <w:marBottom w:val="0"/>
              <w:divBdr>
                <w:top w:val="none" w:sz="0" w:space="0" w:color="auto"/>
                <w:left w:val="none" w:sz="0" w:space="0" w:color="auto"/>
                <w:bottom w:val="none" w:sz="0" w:space="0" w:color="auto"/>
                <w:right w:val="none" w:sz="0" w:space="0" w:color="auto"/>
              </w:divBdr>
            </w:div>
            <w:div w:id="1412510486">
              <w:marLeft w:val="0"/>
              <w:marRight w:val="0"/>
              <w:marTop w:val="0"/>
              <w:marBottom w:val="0"/>
              <w:divBdr>
                <w:top w:val="none" w:sz="0" w:space="0" w:color="auto"/>
                <w:left w:val="none" w:sz="0" w:space="0" w:color="auto"/>
                <w:bottom w:val="none" w:sz="0" w:space="0" w:color="auto"/>
                <w:right w:val="none" w:sz="0" w:space="0" w:color="auto"/>
              </w:divBdr>
            </w:div>
            <w:div w:id="1567253659">
              <w:marLeft w:val="0"/>
              <w:marRight w:val="0"/>
              <w:marTop w:val="0"/>
              <w:marBottom w:val="0"/>
              <w:divBdr>
                <w:top w:val="none" w:sz="0" w:space="0" w:color="auto"/>
                <w:left w:val="none" w:sz="0" w:space="0" w:color="auto"/>
                <w:bottom w:val="none" w:sz="0" w:space="0" w:color="auto"/>
                <w:right w:val="none" w:sz="0" w:space="0" w:color="auto"/>
              </w:divBdr>
            </w:div>
            <w:div w:id="1724064347">
              <w:marLeft w:val="0"/>
              <w:marRight w:val="0"/>
              <w:marTop w:val="0"/>
              <w:marBottom w:val="0"/>
              <w:divBdr>
                <w:top w:val="none" w:sz="0" w:space="0" w:color="auto"/>
                <w:left w:val="none" w:sz="0" w:space="0" w:color="auto"/>
                <w:bottom w:val="none" w:sz="0" w:space="0" w:color="auto"/>
                <w:right w:val="none" w:sz="0" w:space="0" w:color="auto"/>
              </w:divBdr>
            </w:div>
            <w:div w:id="2054193077">
              <w:marLeft w:val="0"/>
              <w:marRight w:val="0"/>
              <w:marTop w:val="0"/>
              <w:marBottom w:val="0"/>
              <w:divBdr>
                <w:top w:val="none" w:sz="0" w:space="0" w:color="auto"/>
                <w:left w:val="none" w:sz="0" w:space="0" w:color="auto"/>
                <w:bottom w:val="none" w:sz="0" w:space="0" w:color="auto"/>
                <w:right w:val="none" w:sz="0" w:space="0" w:color="auto"/>
              </w:divBdr>
            </w:div>
            <w:div w:id="2087535467">
              <w:marLeft w:val="0"/>
              <w:marRight w:val="0"/>
              <w:marTop w:val="0"/>
              <w:marBottom w:val="0"/>
              <w:divBdr>
                <w:top w:val="none" w:sz="0" w:space="0" w:color="auto"/>
                <w:left w:val="none" w:sz="0" w:space="0" w:color="auto"/>
                <w:bottom w:val="none" w:sz="0" w:space="0" w:color="auto"/>
                <w:right w:val="none" w:sz="0" w:space="0" w:color="auto"/>
              </w:divBdr>
            </w:div>
            <w:div w:id="2117208296">
              <w:marLeft w:val="0"/>
              <w:marRight w:val="0"/>
              <w:marTop w:val="0"/>
              <w:marBottom w:val="0"/>
              <w:divBdr>
                <w:top w:val="none" w:sz="0" w:space="0" w:color="auto"/>
                <w:left w:val="none" w:sz="0" w:space="0" w:color="auto"/>
                <w:bottom w:val="none" w:sz="0" w:space="0" w:color="auto"/>
                <w:right w:val="none" w:sz="0" w:space="0" w:color="auto"/>
              </w:divBdr>
            </w:div>
            <w:div w:id="2121870854">
              <w:marLeft w:val="0"/>
              <w:marRight w:val="0"/>
              <w:marTop w:val="0"/>
              <w:marBottom w:val="0"/>
              <w:divBdr>
                <w:top w:val="none" w:sz="0" w:space="0" w:color="auto"/>
                <w:left w:val="none" w:sz="0" w:space="0" w:color="auto"/>
                <w:bottom w:val="none" w:sz="0" w:space="0" w:color="auto"/>
                <w:right w:val="none" w:sz="0" w:space="0" w:color="auto"/>
              </w:divBdr>
            </w:div>
          </w:divsChild>
        </w:div>
        <w:div w:id="1849252209">
          <w:marLeft w:val="0"/>
          <w:marRight w:val="0"/>
          <w:marTop w:val="0"/>
          <w:marBottom w:val="0"/>
          <w:divBdr>
            <w:top w:val="none" w:sz="0" w:space="0" w:color="auto"/>
            <w:left w:val="none" w:sz="0" w:space="0" w:color="auto"/>
            <w:bottom w:val="none" w:sz="0" w:space="0" w:color="auto"/>
            <w:right w:val="none" w:sz="0" w:space="0" w:color="auto"/>
          </w:divBdr>
          <w:divsChild>
            <w:div w:id="19941224">
              <w:marLeft w:val="0"/>
              <w:marRight w:val="0"/>
              <w:marTop w:val="0"/>
              <w:marBottom w:val="0"/>
              <w:divBdr>
                <w:top w:val="none" w:sz="0" w:space="0" w:color="auto"/>
                <w:left w:val="none" w:sz="0" w:space="0" w:color="auto"/>
                <w:bottom w:val="none" w:sz="0" w:space="0" w:color="auto"/>
                <w:right w:val="none" w:sz="0" w:space="0" w:color="auto"/>
              </w:divBdr>
            </w:div>
            <w:div w:id="41026398">
              <w:marLeft w:val="0"/>
              <w:marRight w:val="0"/>
              <w:marTop w:val="0"/>
              <w:marBottom w:val="0"/>
              <w:divBdr>
                <w:top w:val="none" w:sz="0" w:space="0" w:color="auto"/>
                <w:left w:val="none" w:sz="0" w:space="0" w:color="auto"/>
                <w:bottom w:val="none" w:sz="0" w:space="0" w:color="auto"/>
                <w:right w:val="none" w:sz="0" w:space="0" w:color="auto"/>
              </w:divBdr>
            </w:div>
            <w:div w:id="41095716">
              <w:marLeft w:val="0"/>
              <w:marRight w:val="0"/>
              <w:marTop w:val="0"/>
              <w:marBottom w:val="0"/>
              <w:divBdr>
                <w:top w:val="none" w:sz="0" w:space="0" w:color="auto"/>
                <w:left w:val="none" w:sz="0" w:space="0" w:color="auto"/>
                <w:bottom w:val="none" w:sz="0" w:space="0" w:color="auto"/>
                <w:right w:val="none" w:sz="0" w:space="0" w:color="auto"/>
              </w:divBdr>
            </w:div>
            <w:div w:id="117262628">
              <w:marLeft w:val="0"/>
              <w:marRight w:val="0"/>
              <w:marTop w:val="0"/>
              <w:marBottom w:val="0"/>
              <w:divBdr>
                <w:top w:val="none" w:sz="0" w:space="0" w:color="auto"/>
                <w:left w:val="none" w:sz="0" w:space="0" w:color="auto"/>
                <w:bottom w:val="none" w:sz="0" w:space="0" w:color="auto"/>
                <w:right w:val="none" w:sz="0" w:space="0" w:color="auto"/>
              </w:divBdr>
            </w:div>
            <w:div w:id="278339555">
              <w:marLeft w:val="0"/>
              <w:marRight w:val="0"/>
              <w:marTop w:val="0"/>
              <w:marBottom w:val="0"/>
              <w:divBdr>
                <w:top w:val="none" w:sz="0" w:space="0" w:color="auto"/>
                <w:left w:val="none" w:sz="0" w:space="0" w:color="auto"/>
                <w:bottom w:val="none" w:sz="0" w:space="0" w:color="auto"/>
                <w:right w:val="none" w:sz="0" w:space="0" w:color="auto"/>
              </w:divBdr>
            </w:div>
            <w:div w:id="353698886">
              <w:marLeft w:val="0"/>
              <w:marRight w:val="0"/>
              <w:marTop w:val="0"/>
              <w:marBottom w:val="0"/>
              <w:divBdr>
                <w:top w:val="none" w:sz="0" w:space="0" w:color="auto"/>
                <w:left w:val="none" w:sz="0" w:space="0" w:color="auto"/>
                <w:bottom w:val="none" w:sz="0" w:space="0" w:color="auto"/>
                <w:right w:val="none" w:sz="0" w:space="0" w:color="auto"/>
              </w:divBdr>
            </w:div>
            <w:div w:id="496045323">
              <w:marLeft w:val="0"/>
              <w:marRight w:val="0"/>
              <w:marTop w:val="0"/>
              <w:marBottom w:val="0"/>
              <w:divBdr>
                <w:top w:val="none" w:sz="0" w:space="0" w:color="auto"/>
                <w:left w:val="none" w:sz="0" w:space="0" w:color="auto"/>
                <w:bottom w:val="none" w:sz="0" w:space="0" w:color="auto"/>
                <w:right w:val="none" w:sz="0" w:space="0" w:color="auto"/>
              </w:divBdr>
            </w:div>
            <w:div w:id="525141805">
              <w:marLeft w:val="0"/>
              <w:marRight w:val="0"/>
              <w:marTop w:val="0"/>
              <w:marBottom w:val="0"/>
              <w:divBdr>
                <w:top w:val="none" w:sz="0" w:space="0" w:color="auto"/>
                <w:left w:val="none" w:sz="0" w:space="0" w:color="auto"/>
                <w:bottom w:val="none" w:sz="0" w:space="0" w:color="auto"/>
                <w:right w:val="none" w:sz="0" w:space="0" w:color="auto"/>
              </w:divBdr>
            </w:div>
            <w:div w:id="802768285">
              <w:marLeft w:val="0"/>
              <w:marRight w:val="0"/>
              <w:marTop w:val="0"/>
              <w:marBottom w:val="0"/>
              <w:divBdr>
                <w:top w:val="none" w:sz="0" w:space="0" w:color="auto"/>
                <w:left w:val="none" w:sz="0" w:space="0" w:color="auto"/>
                <w:bottom w:val="none" w:sz="0" w:space="0" w:color="auto"/>
                <w:right w:val="none" w:sz="0" w:space="0" w:color="auto"/>
              </w:divBdr>
            </w:div>
            <w:div w:id="825513616">
              <w:marLeft w:val="0"/>
              <w:marRight w:val="0"/>
              <w:marTop w:val="0"/>
              <w:marBottom w:val="0"/>
              <w:divBdr>
                <w:top w:val="none" w:sz="0" w:space="0" w:color="auto"/>
                <w:left w:val="none" w:sz="0" w:space="0" w:color="auto"/>
                <w:bottom w:val="none" w:sz="0" w:space="0" w:color="auto"/>
                <w:right w:val="none" w:sz="0" w:space="0" w:color="auto"/>
              </w:divBdr>
            </w:div>
            <w:div w:id="1075739716">
              <w:marLeft w:val="0"/>
              <w:marRight w:val="0"/>
              <w:marTop w:val="0"/>
              <w:marBottom w:val="0"/>
              <w:divBdr>
                <w:top w:val="none" w:sz="0" w:space="0" w:color="auto"/>
                <w:left w:val="none" w:sz="0" w:space="0" w:color="auto"/>
                <w:bottom w:val="none" w:sz="0" w:space="0" w:color="auto"/>
                <w:right w:val="none" w:sz="0" w:space="0" w:color="auto"/>
              </w:divBdr>
            </w:div>
            <w:div w:id="1166093345">
              <w:marLeft w:val="0"/>
              <w:marRight w:val="0"/>
              <w:marTop w:val="0"/>
              <w:marBottom w:val="0"/>
              <w:divBdr>
                <w:top w:val="none" w:sz="0" w:space="0" w:color="auto"/>
                <w:left w:val="none" w:sz="0" w:space="0" w:color="auto"/>
                <w:bottom w:val="none" w:sz="0" w:space="0" w:color="auto"/>
                <w:right w:val="none" w:sz="0" w:space="0" w:color="auto"/>
              </w:divBdr>
            </w:div>
            <w:div w:id="1315139983">
              <w:marLeft w:val="0"/>
              <w:marRight w:val="0"/>
              <w:marTop w:val="0"/>
              <w:marBottom w:val="0"/>
              <w:divBdr>
                <w:top w:val="none" w:sz="0" w:space="0" w:color="auto"/>
                <w:left w:val="none" w:sz="0" w:space="0" w:color="auto"/>
                <w:bottom w:val="none" w:sz="0" w:space="0" w:color="auto"/>
                <w:right w:val="none" w:sz="0" w:space="0" w:color="auto"/>
              </w:divBdr>
            </w:div>
            <w:div w:id="1454446906">
              <w:marLeft w:val="0"/>
              <w:marRight w:val="0"/>
              <w:marTop w:val="0"/>
              <w:marBottom w:val="0"/>
              <w:divBdr>
                <w:top w:val="none" w:sz="0" w:space="0" w:color="auto"/>
                <w:left w:val="none" w:sz="0" w:space="0" w:color="auto"/>
                <w:bottom w:val="none" w:sz="0" w:space="0" w:color="auto"/>
                <w:right w:val="none" w:sz="0" w:space="0" w:color="auto"/>
              </w:divBdr>
            </w:div>
            <w:div w:id="1604805523">
              <w:marLeft w:val="0"/>
              <w:marRight w:val="0"/>
              <w:marTop w:val="0"/>
              <w:marBottom w:val="0"/>
              <w:divBdr>
                <w:top w:val="none" w:sz="0" w:space="0" w:color="auto"/>
                <w:left w:val="none" w:sz="0" w:space="0" w:color="auto"/>
                <w:bottom w:val="none" w:sz="0" w:space="0" w:color="auto"/>
                <w:right w:val="none" w:sz="0" w:space="0" w:color="auto"/>
              </w:divBdr>
            </w:div>
            <w:div w:id="1686201444">
              <w:marLeft w:val="0"/>
              <w:marRight w:val="0"/>
              <w:marTop w:val="0"/>
              <w:marBottom w:val="0"/>
              <w:divBdr>
                <w:top w:val="none" w:sz="0" w:space="0" w:color="auto"/>
                <w:left w:val="none" w:sz="0" w:space="0" w:color="auto"/>
                <w:bottom w:val="none" w:sz="0" w:space="0" w:color="auto"/>
                <w:right w:val="none" w:sz="0" w:space="0" w:color="auto"/>
              </w:divBdr>
            </w:div>
            <w:div w:id="1823041378">
              <w:marLeft w:val="0"/>
              <w:marRight w:val="0"/>
              <w:marTop w:val="0"/>
              <w:marBottom w:val="0"/>
              <w:divBdr>
                <w:top w:val="none" w:sz="0" w:space="0" w:color="auto"/>
                <w:left w:val="none" w:sz="0" w:space="0" w:color="auto"/>
                <w:bottom w:val="none" w:sz="0" w:space="0" w:color="auto"/>
                <w:right w:val="none" w:sz="0" w:space="0" w:color="auto"/>
              </w:divBdr>
            </w:div>
            <w:div w:id="1977954854">
              <w:marLeft w:val="0"/>
              <w:marRight w:val="0"/>
              <w:marTop w:val="0"/>
              <w:marBottom w:val="0"/>
              <w:divBdr>
                <w:top w:val="none" w:sz="0" w:space="0" w:color="auto"/>
                <w:left w:val="none" w:sz="0" w:space="0" w:color="auto"/>
                <w:bottom w:val="none" w:sz="0" w:space="0" w:color="auto"/>
                <w:right w:val="none" w:sz="0" w:space="0" w:color="auto"/>
              </w:divBdr>
            </w:div>
            <w:div w:id="2071030911">
              <w:marLeft w:val="0"/>
              <w:marRight w:val="0"/>
              <w:marTop w:val="0"/>
              <w:marBottom w:val="0"/>
              <w:divBdr>
                <w:top w:val="none" w:sz="0" w:space="0" w:color="auto"/>
                <w:left w:val="none" w:sz="0" w:space="0" w:color="auto"/>
                <w:bottom w:val="none" w:sz="0" w:space="0" w:color="auto"/>
                <w:right w:val="none" w:sz="0" w:space="0" w:color="auto"/>
              </w:divBdr>
            </w:div>
            <w:div w:id="2129932001">
              <w:marLeft w:val="0"/>
              <w:marRight w:val="0"/>
              <w:marTop w:val="0"/>
              <w:marBottom w:val="0"/>
              <w:divBdr>
                <w:top w:val="none" w:sz="0" w:space="0" w:color="auto"/>
                <w:left w:val="none" w:sz="0" w:space="0" w:color="auto"/>
                <w:bottom w:val="none" w:sz="0" w:space="0" w:color="auto"/>
                <w:right w:val="none" w:sz="0" w:space="0" w:color="auto"/>
              </w:divBdr>
            </w:div>
          </w:divsChild>
        </w:div>
        <w:div w:id="1959749740">
          <w:marLeft w:val="0"/>
          <w:marRight w:val="0"/>
          <w:marTop w:val="0"/>
          <w:marBottom w:val="0"/>
          <w:divBdr>
            <w:top w:val="none" w:sz="0" w:space="0" w:color="auto"/>
            <w:left w:val="none" w:sz="0" w:space="0" w:color="auto"/>
            <w:bottom w:val="none" w:sz="0" w:space="0" w:color="auto"/>
            <w:right w:val="none" w:sz="0" w:space="0" w:color="auto"/>
          </w:divBdr>
        </w:div>
        <w:div w:id="1990355044">
          <w:marLeft w:val="0"/>
          <w:marRight w:val="0"/>
          <w:marTop w:val="0"/>
          <w:marBottom w:val="0"/>
          <w:divBdr>
            <w:top w:val="none" w:sz="0" w:space="0" w:color="auto"/>
            <w:left w:val="none" w:sz="0" w:space="0" w:color="auto"/>
            <w:bottom w:val="none" w:sz="0" w:space="0" w:color="auto"/>
            <w:right w:val="none" w:sz="0" w:space="0" w:color="auto"/>
          </w:divBdr>
          <w:divsChild>
            <w:div w:id="150223584">
              <w:marLeft w:val="0"/>
              <w:marRight w:val="0"/>
              <w:marTop w:val="0"/>
              <w:marBottom w:val="0"/>
              <w:divBdr>
                <w:top w:val="none" w:sz="0" w:space="0" w:color="auto"/>
                <w:left w:val="none" w:sz="0" w:space="0" w:color="auto"/>
                <w:bottom w:val="none" w:sz="0" w:space="0" w:color="auto"/>
                <w:right w:val="none" w:sz="0" w:space="0" w:color="auto"/>
              </w:divBdr>
            </w:div>
            <w:div w:id="221261705">
              <w:marLeft w:val="0"/>
              <w:marRight w:val="0"/>
              <w:marTop w:val="0"/>
              <w:marBottom w:val="0"/>
              <w:divBdr>
                <w:top w:val="none" w:sz="0" w:space="0" w:color="auto"/>
                <w:left w:val="none" w:sz="0" w:space="0" w:color="auto"/>
                <w:bottom w:val="none" w:sz="0" w:space="0" w:color="auto"/>
                <w:right w:val="none" w:sz="0" w:space="0" w:color="auto"/>
              </w:divBdr>
            </w:div>
            <w:div w:id="335770089">
              <w:marLeft w:val="0"/>
              <w:marRight w:val="0"/>
              <w:marTop w:val="0"/>
              <w:marBottom w:val="0"/>
              <w:divBdr>
                <w:top w:val="none" w:sz="0" w:space="0" w:color="auto"/>
                <w:left w:val="none" w:sz="0" w:space="0" w:color="auto"/>
                <w:bottom w:val="none" w:sz="0" w:space="0" w:color="auto"/>
                <w:right w:val="none" w:sz="0" w:space="0" w:color="auto"/>
              </w:divBdr>
            </w:div>
            <w:div w:id="357046689">
              <w:marLeft w:val="0"/>
              <w:marRight w:val="0"/>
              <w:marTop w:val="0"/>
              <w:marBottom w:val="0"/>
              <w:divBdr>
                <w:top w:val="none" w:sz="0" w:space="0" w:color="auto"/>
                <w:left w:val="none" w:sz="0" w:space="0" w:color="auto"/>
                <w:bottom w:val="none" w:sz="0" w:space="0" w:color="auto"/>
                <w:right w:val="none" w:sz="0" w:space="0" w:color="auto"/>
              </w:divBdr>
            </w:div>
            <w:div w:id="402724194">
              <w:marLeft w:val="0"/>
              <w:marRight w:val="0"/>
              <w:marTop w:val="0"/>
              <w:marBottom w:val="0"/>
              <w:divBdr>
                <w:top w:val="none" w:sz="0" w:space="0" w:color="auto"/>
                <w:left w:val="none" w:sz="0" w:space="0" w:color="auto"/>
                <w:bottom w:val="none" w:sz="0" w:space="0" w:color="auto"/>
                <w:right w:val="none" w:sz="0" w:space="0" w:color="auto"/>
              </w:divBdr>
            </w:div>
            <w:div w:id="636642686">
              <w:marLeft w:val="0"/>
              <w:marRight w:val="0"/>
              <w:marTop w:val="0"/>
              <w:marBottom w:val="0"/>
              <w:divBdr>
                <w:top w:val="none" w:sz="0" w:space="0" w:color="auto"/>
                <w:left w:val="none" w:sz="0" w:space="0" w:color="auto"/>
                <w:bottom w:val="none" w:sz="0" w:space="0" w:color="auto"/>
                <w:right w:val="none" w:sz="0" w:space="0" w:color="auto"/>
              </w:divBdr>
            </w:div>
            <w:div w:id="729351919">
              <w:marLeft w:val="0"/>
              <w:marRight w:val="0"/>
              <w:marTop w:val="0"/>
              <w:marBottom w:val="0"/>
              <w:divBdr>
                <w:top w:val="none" w:sz="0" w:space="0" w:color="auto"/>
                <w:left w:val="none" w:sz="0" w:space="0" w:color="auto"/>
                <w:bottom w:val="none" w:sz="0" w:space="0" w:color="auto"/>
                <w:right w:val="none" w:sz="0" w:space="0" w:color="auto"/>
              </w:divBdr>
            </w:div>
            <w:div w:id="744573063">
              <w:marLeft w:val="0"/>
              <w:marRight w:val="0"/>
              <w:marTop w:val="0"/>
              <w:marBottom w:val="0"/>
              <w:divBdr>
                <w:top w:val="none" w:sz="0" w:space="0" w:color="auto"/>
                <w:left w:val="none" w:sz="0" w:space="0" w:color="auto"/>
                <w:bottom w:val="none" w:sz="0" w:space="0" w:color="auto"/>
                <w:right w:val="none" w:sz="0" w:space="0" w:color="auto"/>
              </w:divBdr>
            </w:div>
            <w:div w:id="836772722">
              <w:marLeft w:val="0"/>
              <w:marRight w:val="0"/>
              <w:marTop w:val="0"/>
              <w:marBottom w:val="0"/>
              <w:divBdr>
                <w:top w:val="none" w:sz="0" w:space="0" w:color="auto"/>
                <w:left w:val="none" w:sz="0" w:space="0" w:color="auto"/>
                <w:bottom w:val="none" w:sz="0" w:space="0" w:color="auto"/>
                <w:right w:val="none" w:sz="0" w:space="0" w:color="auto"/>
              </w:divBdr>
            </w:div>
            <w:div w:id="1100684781">
              <w:marLeft w:val="0"/>
              <w:marRight w:val="0"/>
              <w:marTop w:val="0"/>
              <w:marBottom w:val="0"/>
              <w:divBdr>
                <w:top w:val="none" w:sz="0" w:space="0" w:color="auto"/>
                <w:left w:val="none" w:sz="0" w:space="0" w:color="auto"/>
                <w:bottom w:val="none" w:sz="0" w:space="0" w:color="auto"/>
                <w:right w:val="none" w:sz="0" w:space="0" w:color="auto"/>
              </w:divBdr>
            </w:div>
            <w:div w:id="1471442358">
              <w:marLeft w:val="0"/>
              <w:marRight w:val="0"/>
              <w:marTop w:val="0"/>
              <w:marBottom w:val="0"/>
              <w:divBdr>
                <w:top w:val="none" w:sz="0" w:space="0" w:color="auto"/>
                <w:left w:val="none" w:sz="0" w:space="0" w:color="auto"/>
                <w:bottom w:val="none" w:sz="0" w:space="0" w:color="auto"/>
                <w:right w:val="none" w:sz="0" w:space="0" w:color="auto"/>
              </w:divBdr>
            </w:div>
            <w:div w:id="1488205675">
              <w:marLeft w:val="0"/>
              <w:marRight w:val="0"/>
              <w:marTop w:val="0"/>
              <w:marBottom w:val="0"/>
              <w:divBdr>
                <w:top w:val="none" w:sz="0" w:space="0" w:color="auto"/>
                <w:left w:val="none" w:sz="0" w:space="0" w:color="auto"/>
                <w:bottom w:val="none" w:sz="0" w:space="0" w:color="auto"/>
                <w:right w:val="none" w:sz="0" w:space="0" w:color="auto"/>
              </w:divBdr>
            </w:div>
            <w:div w:id="1630477063">
              <w:marLeft w:val="0"/>
              <w:marRight w:val="0"/>
              <w:marTop w:val="0"/>
              <w:marBottom w:val="0"/>
              <w:divBdr>
                <w:top w:val="none" w:sz="0" w:space="0" w:color="auto"/>
                <w:left w:val="none" w:sz="0" w:space="0" w:color="auto"/>
                <w:bottom w:val="none" w:sz="0" w:space="0" w:color="auto"/>
                <w:right w:val="none" w:sz="0" w:space="0" w:color="auto"/>
              </w:divBdr>
            </w:div>
            <w:div w:id="1730955854">
              <w:marLeft w:val="0"/>
              <w:marRight w:val="0"/>
              <w:marTop w:val="0"/>
              <w:marBottom w:val="0"/>
              <w:divBdr>
                <w:top w:val="none" w:sz="0" w:space="0" w:color="auto"/>
                <w:left w:val="none" w:sz="0" w:space="0" w:color="auto"/>
                <w:bottom w:val="none" w:sz="0" w:space="0" w:color="auto"/>
                <w:right w:val="none" w:sz="0" w:space="0" w:color="auto"/>
              </w:divBdr>
            </w:div>
            <w:div w:id="1737702669">
              <w:marLeft w:val="0"/>
              <w:marRight w:val="0"/>
              <w:marTop w:val="0"/>
              <w:marBottom w:val="0"/>
              <w:divBdr>
                <w:top w:val="none" w:sz="0" w:space="0" w:color="auto"/>
                <w:left w:val="none" w:sz="0" w:space="0" w:color="auto"/>
                <w:bottom w:val="none" w:sz="0" w:space="0" w:color="auto"/>
                <w:right w:val="none" w:sz="0" w:space="0" w:color="auto"/>
              </w:divBdr>
            </w:div>
            <w:div w:id="1757438958">
              <w:marLeft w:val="0"/>
              <w:marRight w:val="0"/>
              <w:marTop w:val="0"/>
              <w:marBottom w:val="0"/>
              <w:divBdr>
                <w:top w:val="none" w:sz="0" w:space="0" w:color="auto"/>
                <w:left w:val="none" w:sz="0" w:space="0" w:color="auto"/>
                <w:bottom w:val="none" w:sz="0" w:space="0" w:color="auto"/>
                <w:right w:val="none" w:sz="0" w:space="0" w:color="auto"/>
              </w:divBdr>
            </w:div>
            <w:div w:id="1918976369">
              <w:marLeft w:val="0"/>
              <w:marRight w:val="0"/>
              <w:marTop w:val="0"/>
              <w:marBottom w:val="0"/>
              <w:divBdr>
                <w:top w:val="none" w:sz="0" w:space="0" w:color="auto"/>
                <w:left w:val="none" w:sz="0" w:space="0" w:color="auto"/>
                <w:bottom w:val="none" w:sz="0" w:space="0" w:color="auto"/>
                <w:right w:val="none" w:sz="0" w:space="0" w:color="auto"/>
              </w:divBdr>
            </w:div>
            <w:div w:id="1968899192">
              <w:marLeft w:val="0"/>
              <w:marRight w:val="0"/>
              <w:marTop w:val="0"/>
              <w:marBottom w:val="0"/>
              <w:divBdr>
                <w:top w:val="none" w:sz="0" w:space="0" w:color="auto"/>
                <w:left w:val="none" w:sz="0" w:space="0" w:color="auto"/>
                <w:bottom w:val="none" w:sz="0" w:space="0" w:color="auto"/>
                <w:right w:val="none" w:sz="0" w:space="0" w:color="auto"/>
              </w:divBdr>
            </w:div>
            <w:div w:id="2015912793">
              <w:marLeft w:val="0"/>
              <w:marRight w:val="0"/>
              <w:marTop w:val="0"/>
              <w:marBottom w:val="0"/>
              <w:divBdr>
                <w:top w:val="none" w:sz="0" w:space="0" w:color="auto"/>
                <w:left w:val="none" w:sz="0" w:space="0" w:color="auto"/>
                <w:bottom w:val="none" w:sz="0" w:space="0" w:color="auto"/>
                <w:right w:val="none" w:sz="0" w:space="0" w:color="auto"/>
              </w:divBdr>
            </w:div>
            <w:div w:id="20994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84812">
      <w:bodyDiv w:val="1"/>
      <w:marLeft w:val="0"/>
      <w:marRight w:val="0"/>
      <w:marTop w:val="0"/>
      <w:marBottom w:val="0"/>
      <w:divBdr>
        <w:top w:val="none" w:sz="0" w:space="0" w:color="auto"/>
        <w:left w:val="none" w:sz="0" w:space="0" w:color="auto"/>
        <w:bottom w:val="none" w:sz="0" w:space="0" w:color="auto"/>
        <w:right w:val="none" w:sz="0" w:space="0" w:color="auto"/>
      </w:divBdr>
    </w:div>
    <w:div w:id="494690888">
      <w:bodyDiv w:val="1"/>
      <w:marLeft w:val="0"/>
      <w:marRight w:val="0"/>
      <w:marTop w:val="0"/>
      <w:marBottom w:val="0"/>
      <w:divBdr>
        <w:top w:val="none" w:sz="0" w:space="0" w:color="auto"/>
        <w:left w:val="none" w:sz="0" w:space="0" w:color="auto"/>
        <w:bottom w:val="none" w:sz="0" w:space="0" w:color="auto"/>
        <w:right w:val="none" w:sz="0" w:space="0" w:color="auto"/>
      </w:divBdr>
      <w:divsChild>
        <w:div w:id="1454910166">
          <w:marLeft w:val="0"/>
          <w:marRight w:val="0"/>
          <w:marTop w:val="0"/>
          <w:marBottom w:val="0"/>
          <w:divBdr>
            <w:top w:val="none" w:sz="0" w:space="0" w:color="auto"/>
            <w:left w:val="none" w:sz="0" w:space="0" w:color="auto"/>
            <w:bottom w:val="none" w:sz="0" w:space="0" w:color="auto"/>
            <w:right w:val="none" w:sz="0" w:space="0" w:color="auto"/>
          </w:divBdr>
          <w:divsChild>
            <w:div w:id="650326891">
              <w:marLeft w:val="0"/>
              <w:marRight w:val="0"/>
              <w:marTop w:val="0"/>
              <w:marBottom w:val="0"/>
              <w:divBdr>
                <w:top w:val="none" w:sz="0" w:space="0" w:color="auto"/>
                <w:left w:val="none" w:sz="0" w:space="0" w:color="auto"/>
                <w:bottom w:val="none" w:sz="0" w:space="0" w:color="auto"/>
                <w:right w:val="none" w:sz="0" w:space="0" w:color="auto"/>
              </w:divBdr>
            </w:div>
            <w:div w:id="772824471">
              <w:marLeft w:val="0"/>
              <w:marRight w:val="0"/>
              <w:marTop w:val="0"/>
              <w:marBottom w:val="0"/>
              <w:divBdr>
                <w:top w:val="none" w:sz="0" w:space="0" w:color="auto"/>
                <w:left w:val="none" w:sz="0" w:space="0" w:color="auto"/>
                <w:bottom w:val="none" w:sz="0" w:space="0" w:color="auto"/>
                <w:right w:val="none" w:sz="0" w:space="0" w:color="auto"/>
              </w:divBdr>
            </w:div>
            <w:div w:id="797989340">
              <w:marLeft w:val="0"/>
              <w:marRight w:val="0"/>
              <w:marTop w:val="0"/>
              <w:marBottom w:val="0"/>
              <w:divBdr>
                <w:top w:val="none" w:sz="0" w:space="0" w:color="auto"/>
                <w:left w:val="none" w:sz="0" w:space="0" w:color="auto"/>
                <w:bottom w:val="none" w:sz="0" w:space="0" w:color="auto"/>
                <w:right w:val="none" w:sz="0" w:space="0" w:color="auto"/>
              </w:divBdr>
            </w:div>
            <w:div w:id="901797515">
              <w:marLeft w:val="0"/>
              <w:marRight w:val="0"/>
              <w:marTop w:val="0"/>
              <w:marBottom w:val="0"/>
              <w:divBdr>
                <w:top w:val="none" w:sz="0" w:space="0" w:color="auto"/>
                <w:left w:val="none" w:sz="0" w:space="0" w:color="auto"/>
                <w:bottom w:val="none" w:sz="0" w:space="0" w:color="auto"/>
                <w:right w:val="none" w:sz="0" w:space="0" w:color="auto"/>
              </w:divBdr>
            </w:div>
            <w:div w:id="1006175615">
              <w:marLeft w:val="0"/>
              <w:marRight w:val="0"/>
              <w:marTop w:val="0"/>
              <w:marBottom w:val="0"/>
              <w:divBdr>
                <w:top w:val="none" w:sz="0" w:space="0" w:color="auto"/>
                <w:left w:val="none" w:sz="0" w:space="0" w:color="auto"/>
                <w:bottom w:val="none" w:sz="0" w:space="0" w:color="auto"/>
                <w:right w:val="none" w:sz="0" w:space="0" w:color="auto"/>
              </w:divBdr>
            </w:div>
            <w:div w:id="1076441707">
              <w:marLeft w:val="0"/>
              <w:marRight w:val="0"/>
              <w:marTop w:val="0"/>
              <w:marBottom w:val="0"/>
              <w:divBdr>
                <w:top w:val="none" w:sz="0" w:space="0" w:color="auto"/>
                <w:left w:val="none" w:sz="0" w:space="0" w:color="auto"/>
                <w:bottom w:val="none" w:sz="0" w:space="0" w:color="auto"/>
                <w:right w:val="none" w:sz="0" w:space="0" w:color="auto"/>
              </w:divBdr>
            </w:div>
            <w:div w:id="1146972711">
              <w:marLeft w:val="0"/>
              <w:marRight w:val="0"/>
              <w:marTop w:val="0"/>
              <w:marBottom w:val="0"/>
              <w:divBdr>
                <w:top w:val="none" w:sz="0" w:space="0" w:color="auto"/>
                <w:left w:val="none" w:sz="0" w:space="0" w:color="auto"/>
                <w:bottom w:val="none" w:sz="0" w:space="0" w:color="auto"/>
                <w:right w:val="none" w:sz="0" w:space="0" w:color="auto"/>
              </w:divBdr>
            </w:div>
            <w:div w:id="1592741285">
              <w:marLeft w:val="0"/>
              <w:marRight w:val="0"/>
              <w:marTop w:val="0"/>
              <w:marBottom w:val="0"/>
              <w:divBdr>
                <w:top w:val="none" w:sz="0" w:space="0" w:color="auto"/>
                <w:left w:val="none" w:sz="0" w:space="0" w:color="auto"/>
                <w:bottom w:val="none" w:sz="0" w:space="0" w:color="auto"/>
                <w:right w:val="none" w:sz="0" w:space="0" w:color="auto"/>
              </w:divBdr>
            </w:div>
            <w:div w:id="2074153926">
              <w:marLeft w:val="0"/>
              <w:marRight w:val="0"/>
              <w:marTop w:val="0"/>
              <w:marBottom w:val="0"/>
              <w:divBdr>
                <w:top w:val="none" w:sz="0" w:space="0" w:color="auto"/>
                <w:left w:val="none" w:sz="0" w:space="0" w:color="auto"/>
                <w:bottom w:val="none" w:sz="0" w:space="0" w:color="auto"/>
                <w:right w:val="none" w:sz="0" w:space="0" w:color="auto"/>
              </w:divBdr>
            </w:div>
          </w:divsChild>
        </w:div>
        <w:div w:id="1526481218">
          <w:marLeft w:val="0"/>
          <w:marRight w:val="0"/>
          <w:marTop w:val="0"/>
          <w:marBottom w:val="0"/>
          <w:divBdr>
            <w:top w:val="none" w:sz="0" w:space="0" w:color="auto"/>
            <w:left w:val="none" w:sz="0" w:space="0" w:color="auto"/>
            <w:bottom w:val="none" w:sz="0" w:space="0" w:color="auto"/>
            <w:right w:val="none" w:sz="0" w:space="0" w:color="auto"/>
          </w:divBdr>
          <w:divsChild>
            <w:div w:id="311258539">
              <w:marLeft w:val="0"/>
              <w:marRight w:val="0"/>
              <w:marTop w:val="0"/>
              <w:marBottom w:val="0"/>
              <w:divBdr>
                <w:top w:val="none" w:sz="0" w:space="0" w:color="auto"/>
                <w:left w:val="none" w:sz="0" w:space="0" w:color="auto"/>
                <w:bottom w:val="none" w:sz="0" w:space="0" w:color="auto"/>
                <w:right w:val="none" w:sz="0" w:space="0" w:color="auto"/>
              </w:divBdr>
            </w:div>
            <w:div w:id="1644114047">
              <w:marLeft w:val="0"/>
              <w:marRight w:val="0"/>
              <w:marTop w:val="0"/>
              <w:marBottom w:val="0"/>
              <w:divBdr>
                <w:top w:val="none" w:sz="0" w:space="0" w:color="auto"/>
                <w:left w:val="none" w:sz="0" w:space="0" w:color="auto"/>
                <w:bottom w:val="none" w:sz="0" w:space="0" w:color="auto"/>
                <w:right w:val="none" w:sz="0" w:space="0" w:color="auto"/>
              </w:divBdr>
            </w:div>
            <w:div w:id="210136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99691">
      <w:bodyDiv w:val="1"/>
      <w:marLeft w:val="0"/>
      <w:marRight w:val="0"/>
      <w:marTop w:val="0"/>
      <w:marBottom w:val="0"/>
      <w:divBdr>
        <w:top w:val="none" w:sz="0" w:space="0" w:color="auto"/>
        <w:left w:val="none" w:sz="0" w:space="0" w:color="auto"/>
        <w:bottom w:val="none" w:sz="0" w:space="0" w:color="auto"/>
        <w:right w:val="none" w:sz="0" w:space="0" w:color="auto"/>
      </w:divBdr>
    </w:div>
    <w:div w:id="558134435">
      <w:bodyDiv w:val="1"/>
      <w:marLeft w:val="0"/>
      <w:marRight w:val="0"/>
      <w:marTop w:val="0"/>
      <w:marBottom w:val="0"/>
      <w:divBdr>
        <w:top w:val="none" w:sz="0" w:space="0" w:color="auto"/>
        <w:left w:val="none" w:sz="0" w:space="0" w:color="auto"/>
        <w:bottom w:val="none" w:sz="0" w:space="0" w:color="auto"/>
        <w:right w:val="none" w:sz="0" w:space="0" w:color="auto"/>
      </w:divBdr>
    </w:div>
    <w:div w:id="563175103">
      <w:bodyDiv w:val="1"/>
      <w:marLeft w:val="0"/>
      <w:marRight w:val="0"/>
      <w:marTop w:val="0"/>
      <w:marBottom w:val="0"/>
      <w:divBdr>
        <w:top w:val="none" w:sz="0" w:space="0" w:color="auto"/>
        <w:left w:val="none" w:sz="0" w:space="0" w:color="auto"/>
        <w:bottom w:val="none" w:sz="0" w:space="0" w:color="auto"/>
        <w:right w:val="none" w:sz="0" w:space="0" w:color="auto"/>
      </w:divBdr>
      <w:divsChild>
        <w:div w:id="72506586">
          <w:marLeft w:val="0"/>
          <w:marRight w:val="0"/>
          <w:marTop w:val="0"/>
          <w:marBottom w:val="0"/>
          <w:divBdr>
            <w:top w:val="none" w:sz="0" w:space="0" w:color="auto"/>
            <w:left w:val="none" w:sz="0" w:space="0" w:color="auto"/>
            <w:bottom w:val="none" w:sz="0" w:space="0" w:color="auto"/>
            <w:right w:val="none" w:sz="0" w:space="0" w:color="auto"/>
          </w:divBdr>
        </w:div>
        <w:div w:id="1340501980">
          <w:marLeft w:val="0"/>
          <w:marRight w:val="0"/>
          <w:marTop w:val="0"/>
          <w:marBottom w:val="0"/>
          <w:divBdr>
            <w:top w:val="none" w:sz="0" w:space="0" w:color="auto"/>
            <w:left w:val="none" w:sz="0" w:space="0" w:color="auto"/>
            <w:bottom w:val="none" w:sz="0" w:space="0" w:color="auto"/>
            <w:right w:val="none" w:sz="0" w:space="0" w:color="auto"/>
          </w:divBdr>
        </w:div>
        <w:div w:id="1627346458">
          <w:marLeft w:val="0"/>
          <w:marRight w:val="0"/>
          <w:marTop w:val="0"/>
          <w:marBottom w:val="0"/>
          <w:divBdr>
            <w:top w:val="none" w:sz="0" w:space="0" w:color="auto"/>
            <w:left w:val="none" w:sz="0" w:space="0" w:color="auto"/>
            <w:bottom w:val="none" w:sz="0" w:space="0" w:color="auto"/>
            <w:right w:val="none" w:sz="0" w:space="0" w:color="auto"/>
          </w:divBdr>
        </w:div>
        <w:div w:id="1755083321">
          <w:marLeft w:val="0"/>
          <w:marRight w:val="0"/>
          <w:marTop w:val="0"/>
          <w:marBottom w:val="0"/>
          <w:divBdr>
            <w:top w:val="none" w:sz="0" w:space="0" w:color="auto"/>
            <w:left w:val="none" w:sz="0" w:space="0" w:color="auto"/>
            <w:bottom w:val="none" w:sz="0" w:space="0" w:color="auto"/>
            <w:right w:val="none" w:sz="0" w:space="0" w:color="auto"/>
          </w:divBdr>
        </w:div>
      </w:divsChild>
    </w:div>
    <w:div w:id="574701224">
      <w:bodyDiv w:val="1"/>
      <w:marLeft w:val="0"/>
      <w:marRight w:val="0"/>
      <w:marTop w:val="0"/>
      <w:marBottom w:val="0"/>
      <w:divBdr>
        <w:top w:val="none" w:sz="0" w:space="0" w:color="auto"/>
        <w:left w:val="none" w:sz="0" w:space="0" w:color="auto"/>
        <w:bottom w:val="none" w:sz="0" w:space="0" w:color="auto"/>
        <w:right w:val="none" w:sz="0" w:space="0" w:color="auto"/>
      </w:divBdr>
      <w:divsChild>
        <w:div w:id="269747105">
          <w:marLeft w:val="0"/>
          <w:marRight w:val="0"/>
          <w:marTop w:val="0"/>
          <w:marBottom w:val="0"/>
          <w:divBdr>
            <w:top w:val="none" w:sz="0" w:space="0" w:color="auto"/>
            <w:left w:val="none" w:sz="0" w:space="0" w:color="auto"/>
            <w:bottom w:val="none" w:sz="0" w:space="0" w:color="auto"/>
            <w:right w:val="none" w:sz="0" w:space="0" w:color="auto"/>
          </w:divBdr>
        </w:div>
        <w:div w:id="308167202">
          <w:marLeft w:val="0"/>
          <w:marRight w:val="0"/>
          <w:marTop w:val="0"/>
          <w:marBottom w:val="0"/>
          <w:divBdr>
            <w:top w:val="none" w:sz="0" w:space="0" w:color="auto"/>
            <w:left w:val="none" w:sz="0" w:space="0" w:color="auto"/>
            <w:bottom w:val="none" w:sz="0" w:space="0" w:color="auto"/>
            <w:right w:val="none" w:sz="0" w:space="0" w:color="auto"/>
          </w:divBdr>
        </w:div>
        <w:div w:id="310407157">
          <w:marLeft w:val="0"/>
          <w:marRight w:val="0"/>
          <w:marTop w:val="0"/>
          <w:marBottom w:val="0"/>
          <w:divBdr>
            <w:top w:val="none" w:sz="0" w:space="0" w:color="auto"/>
            <w:left w:val="none" w:sz="0" w:space="0" w:color="auto"/>
            <w:bottom w:val="none" w:sz="0" w:space="0" w:color="auto"/>
            <w:right w:val="none" w:sz="0" w:space="0" w:color="auto"/>
          </w:divBdr>
        </w:div>
        <w:div w:id="331420607">
          <w:marLeft w:val="0"/>
          <w:marRight w:val="0"/>
          <w:marTop w:val="0"/>
          <w:marBottom w:val="0"/>
          <w:divBdr>
            <w:top w:val="none" w:sz="0" w:space="0" w:color="auto"/>
            <w:left w:val="none" w:sz="0" w:space="0" w:color="auto"/>
            <w:bottom w:val="none" w:sz="0" w:space="0" w:color="auto"/>
            <w:right w:val="none" w:sz="0" w:space="0" w:color="auto"/>
          </w:divBdr>
        </w:div>
        <w:div w:id="443619665">
          <w:marLeft w:val="0"/>
          <w:marRight w:val="0"/>
          <w:marTop w:val="0"/>
          <w:marBottom w:val="0"/>
          <w:divBdr>
            <w:top w:val="none" w:sz="0" w:space="0" w:color="auto"/>
            <w:left w:val="none" w:sz="0" w:space="0" w:color="auto"/>
            <w:bottom w:val="none" w:sz="0" w:space="0" w:color="auto"/>
            <w:right w:val="none" w:sz="0" w:space="0" w:color="auto"/>
          </w:divBdr>
        </w:div>
        <w:div w:id="490289376">
          <w:marLeft w:val="0"/>
          <w:marRight w:val="0"/>
          <w:marTop w:val="0"/>
          <w:marBottom w:val="0"/>
          <w:divBdr>
            <w:top w:val="none" w:sz="0" w:space="0" w:color="auto"/>
            <w:left w:val="none" w:sz="0" w:space="0" w:color="auto"/>
            <w:bottom w:val="none" w:sz="0" w:space="0" w:color="auto"/>
            <w:right w:val="none" w:sz="0" w:space="0" w:color="auto"/>
          </w:divBdr>
        </w:div>
        <w:div w:id="636230205">
          <w:marLeft w:val="0"/>
          <w:marRight w:val="0"/>
          <w:marTop w:val="0"/>
          <w:marBottom w:val="0"/>
          <w:divBdr>
            <w:top w:val="none" w:sz="0" w:space="0" w:color="auto"/>
            <w:left w:val="none" w:sz="0" w:space="0" w:color="auto"/>
            <w:bottom w:val="none" w:sz="0" w:space="0" w:color="auto"/>
            <w:right w:val="none" w:sz="0" w:space="0" w:color="auto"/>
          </w:divBdr>
        </w:div>
        <w:div w:id="640624017">
          <w:marLeft w:val="0"/>
          <w:marRight w:val="0"/>
          <w:marTop w:val="0"/>
          <w:marBottom w:val="0"/>
          <w:divBdr>
            <w:top w:val="none" w:sz="0" w:space="0" w:color="auto"/>
            <w:left w:val="none" w:sz="0" w:space="0" w:color="auto"/>
            <w:bottom w:val="none" w:sz="0" w:space="0" w:color="auto"/>
            <w:right w:val="none" w:sz="0" w:space="0" w:color="auto"/>
          </w:divBdr>
        </w:div>
        <w:div w:id="742410066">
          <w:marLeft w:val="0"/>
          <w:marRight w:val="0"/>
          <w:marTop w:val="0"/>
          <w:marBottom w:val="0"/>
          <w:divBdr>
            <w:top w:val="none" w:sz="0" w:space="0" w:color="auto"/>
            <w:left w:val="none" w:sz="0" w:space="0" w:color="auto"/>
            <w:bottom w:val="none" w:sz="0" w:space="0" w:color="auto"/>
            <w:right w:val="none" w:sz="0" w:space="0" w:color="auto"/>
          </w:divBdr>
        </w:div>
        <w:div w:id="840894330">
          <w:marLeft w:val="0"/>
          <w:marRight w:val="0"/>
          <w:marTop w:val="0"/>
          <w:marBottom w:val="0"/>
          <w:divBdr>
            <w:top w:val="none" w:sz="0" w:space="0" w:color="auto"/>
            <w:left w:val="none" w:sz="0" w:space="0" w:color="auto"/>
            <w:bottom w:val="none" w:sz="0" w:space="0" w:color="auto"/>
            <w:right w:val="none" w:sz="0" w:space="0" w:color="auto"/>
          </w:divBdr>
        </w:div>
        <w:div w:id="872377632">
          <w:marLeft w:val="0"/>
          <w:marRight w:val="0"/>
          <w:marTop w:val="0"/>
          <w:marBottom w:val="0"/>
          <w:divBdr>
            <w:top w:val="none" w:sz="0" w:space="0" w:color="auto"/>
            <w:left w:val="none" w:sz="0" w:space="0" w:color="auto"/>
            <w:bottom w:val="none" w:sz="0" w:space="0" w:color="auto"/>
            <w:right w:val="none" w:sz="0" w:space="0" w:color="auto"/>
          </w:divBdr>
        </w:div>
        <w:div w:id="925068235">
          <w:marLeft w:val="0"/>
          <w:marRight w:val="0"/>
          <w:marTop w:val="0"/>
          <w:marBottom w:val="0"/>
          <w:divBdr>
            <w:top w:val="none" w:sz="0" w:space="0" w:color="auto"/>
            <w:left w:val="none" w:sz="0" w:space="0" w:color="auto"/>
            <w:bottom w:val="none" w:sz="0" w:space="0" w:color="auto"/>
            <w:right w:val="none" w:sz="0" w:space="0" w:color="auto"/>
          </w:divBdr>
        </w:div>
        <w:div w:id="1096679771">
          <w:marLeft w:val="0"/>
          <w:marRight w:val="0"/>
          <w:marTop w:val="0"/>
          <w:marBottom w:val="0"/>
          <w:divBdr>
            <w:top w:val="none" w:sz="0" w:space="0" w:color="auto"/>
            <w:left w:val="none" w:sz="0" w:space="0" w:color="auto"/>
            <w:bottom w:val="none" w:sz="0" w:space="0" w:color="auto"/>
            <w:right w:val="none" w:sz="0" w:space="0" w:color="auto"/>
          </w:divBdr>
        </w:div>
        <w:div w:id="1237476533">
          <w:marLeft w:val="0"/>
          <w:marRight w:val="0"/>
          <w:marTop w:val="0"/>
          <w:marBottom w:val="0"/>
          <w:divBdr>
            <w:top w:val="none" w:sz="0" w:space="0" w:color="auto"/>
            <w:left w:val="none" w:sz="0" w:space="0" w:color="auto"/>
            <w:bottom w:val="none" w:sz="0" w:space="0" w:color="auto"/>
            <w:right w:val="none" w:sz="0" w:space="0" w:color="auto"/>
          </w:divBdr>
        </w:div>
        <w:div w:id="1298145733">
          <w:marLeft w:val="0"/>
          <w:marRight w:val="0"/>
          <w:marTop w:val="0"/>
          <w:marBottom w:val="0"/>
          <w:divBdr>
            <w:top w:val="none" w:sz="0" w:space="0" w:color="auto"/>
            <w:left w:val="none" w:sz="0" w:space="0" w:color="auto"/>
            <w:bottom w:val="none" w:sz="0" w:space="0" w:color="auto"/>
            <w:right w:val="none" w:sz="0" w:space="0" w:color="auto"/>
          </w:divBdr>
        </w:div>
        <w:div w:id="1333332916">
          <w:marLeft w:val="0"/>
          <w:marRight w:val="0"/>
          <w:marTop w:val="0"/>
          <w:marBottom w:val="0"/>
          <w:divBdr>
            <w:top w:val="none" w:sz="0" w:space="0" w:color="auto"/>
            <w:left w:val="none" w:sz="0" w:space="0" w:color="auto"/>
            <w:bottom w:val="none" w:sz="0" w:space="0" w:color="auto"/>
            <w:right w:val="none" w:sz="0" w:space="0" w:color="auto"/>
          </w:divBdr>
        </w:div>
      </w:divsChild>
    </w:div>
    <w:div w:id="613901466">
      <w:bodyDiv w:val="1"/>
      <w:marLeft w:val="0"/>
      <w:marRight w:val="0"/>
      <w:marTop w:val="0"/>
      <w:marBottom w:val="0"/>
      <w:divBdr>
        <w:top w:val="none" w:sz="0" w:space="0" w:color="auto"/>
        <w:left w:val="none" w:sz="0" w:space="0" w:color="auto"/>
        <w:bottom w:val="none" w:sz="0" w:space="0" w:color="auto"/>
        <w:right w:val="none" w:sz="0" w:space="0" w:color="auto"/>
      </w:divBdr>
    </w:div>
    <w:div w:id="634456650">
      <w:bodyDiv w:val="1"/>
      <w:marLeft w:val="0"/>
      <w:marRight w:val="0"/>
      <w:marTop w:val="0"/>
      <w:marBottom w:val="0"/>
      <w:divBdr>
        <w:top w:val="none" w:sz="0" w:space="0" w:color="auto"/>
        <w:left w:val="none" w:sz="0" w:space="0" w:color="auto"/>
        <w:bottom w:val="none" w:sz="0" w:space="0" w:color="auto"/>
        <w:right w:val="none" w:sz="0" w:space="0" w:color="auto"/>
      </w:divBdr>
    </w:div>
    <w:div w:id="648096403">
      <w:bodyDiv w:val="1"/>
      <w:marLeft w:val="0"/>
      <w:marRight w:val="0"/>
      <w:marTop w:val="0"/>
      <w:marBottom w:val="0"/>
      <w:divBdr>
        <w:top w:val="none" w:sz="0" w:space="0" w:color="auto"/>
        <w:left w:val="none" w:sz="0" w:space="0" w:color="auto"/>
        <w:bottom w:val="none" w:sz="0" w:space="0" w:color="auto"/>
        <w:right w:val="none" w:sz="0" w:space="0" w:color="auto"/>
      </w:divBdr>
    </w:div>
    <w:div w:id="655063563">
      <w:bodyDiv w:val="1"/>
      <w:marLeft w:val="0"/>
      <w:marRight w:val="0"/>
      <w:marTop w:val="0"/>
      <w:marBottom w:val="0"/>
      <w:divBdr>
        <w:top w:val="none" w:sz="0" w:space="0" w:color="auto"/>
        <w:left w:val="none" w:sz="0" w:space="0" w:color="auto"/>
        <w:bottom w:val="none" w:sz="0" w:space="0" w:color="auto"/>
        <w:right w:val="none" w:sz="0" w:space="0" w:color="auto"/>
      </w:divBdr>
    </w:div>
    <w:div w:id="668748613">
      <w:bodyDiv w:val="1"/>
      <w:marLeft w:val="0"/>
      <w:marRight w:val="0"/>
      <w:marTop w:val="0"/>
      <w:marBottom w:val="0"/>
      <w:divBdr>
        <w:top w:val="none" w:sz="0" w:space="0" w:color="auto"/>
        <w:left w:val="none" w:sz="0" w:space="0" w:color="auto"/>
        <w:bottom w:val="none" w:sz="0" w:space="0" w:color="auto"/>
        <w:right w:val="none" w:sz="0" w:space="0" w:color="auto"/>
      </w:divBdr>
      <w:divsChild>
        <w:div w:id="23793669">
          <w:marLeft w:val="0"/>
          <w:marRight w:val="0"/>
          <w:marTop w:val="0"/>
          <w:marBottom w:val="0"/>
          <w:divBdr>
            <w:top w:val="none" w:sz="0" w:space="0" w:color="auto"/>
            <w:left w:val="none" w:sz="0" w:space="0" w:color="auto"/>
            <w:bottom w:val="none" w:sz="0" w:space="0" w:color="auto"/>
            <w:right w:val="none" w:sz="0" w:space="0" w:color="auto"/>
          </w:divBdr>
        </w:div>
        <w:div w:id="288125926">
          <w:marLeft w:val="0"/>
          <w:marRight w:val="0"/>
          <w:marTop w:val="0"/>
          <w:marBottom w:val="0"/>
          <w:divBdr>
            <w:top w:val="none" w:sz="0" w:space="0" w:color="auto"/>
            <w:left w:val="none" w:sz="0" w:space="0" w:color="auto"/>
            <w:bottom w:val="none" w:sz="0" w:space="0" w:color="auto"/>
            <w:right w:val="none" w:sz="0" w:space="0" w:color="auto"/>
          </w:divBdr>
        </w:div>
        <w:div w:id="1019087645">
          <w:marLeft w:val="0"/>
          <w:marRight w:val="0"/>
          <w:marTop w:val="0"/>
          <w:marBottom w:val="0"/>
          <w:divBdr>
            <w:top w:val="none" w:sz="0" w:space="0" w:color="auto"/>
            <w:left w:val="none" w:sz="0" w:space="0" w:color="auto"/>
            <w:bottom w:val="none" w:sz="0" w:space="0" w:color="auto"/>
            <w:right w:val="none" w:sz="0" w:space="0" w:color="auto"/>
          </w:divBdr>
        </w:div>
        <w:div w:id="1236664427">
          <w:marLeft w:val="0"/>
          <w:marRight w:val="0"/>
          <w:marTop w:val="0"/>
          <w:marBottom w:val="0"/>
          <w:divBdr>
            <w:top w:val="none" w:sz="0" w:space="0" w:color="auto"/>
            <w:left w:val="none" w:sz="0" w:space="0" w:color="auto"/>
            <w:bottom w:val="none" w:sz="0" w:space="0" w:color="auto"/>
            <w:right w:val="none" w:sz="0" w:space="0" w:color="auto"/>
          </w:divBdr>
        </w:div>
        <w:div w:id="1827934892">
          <w:marLeft w:val="0"/>
          <w:marRight w:val="0"/>
          <w:marTop w:val="0"/>
          <w:marBottom w:val="0"/>
          <w:divBdr>
            <w:top w:val="none" w:sz="0" w:space="0" w:color="auto"/>
            <w:left w:val="none" w:sz="0" w:space="0" w:color="auto"/>
            <w:bottom w:val="none" w:sz="0" w:space="0" w:color="auto"/>
            <w:right w:val="none" w:sz="0" w:space="0" w:color="auto"/>
          </w:divBdr>
        </w:div>
        <w:div w:id="2064281290">
          <w:marLeft w:val="0"/>
          <w:marRight w:val="0"/>
          <w:marTop w:val="0"/>
          <w:marBottom w:val="0"/>
          <w:divBdr>
            <w:top w:val="none" w:sz="0" w:space="0" w:color="auto"/>
            <w:left w:val="none" w:sz="0" w:space="0" w:color="auto"/>
            <w:bottom w:val="none" w:sz="0" w:space="0" w:color="auto"/>
            <w:right w:val="none" w:sz="0" w:space="0" w:color="auto"/>
          </w:divBdr>
        </w:div>
      </w:divsChild>
    </w:div>
    <w:div w:id="679159528">
      <w:bodyDiv w:val="1"/>
      <w:marLeft w:val="0"/>
      <w:marRight w:val="0"/>
      <w:marTop w:val="0"/>
      <w:marBottom w:val="0"/>
      <w:divBdr>
        <w:top w:val="none" w:sz="0" w:space="0" w:color="auto"/>
        <w:left w:val="none" w:sz="0" w:space="0" w:color="auto"/>
        <w:bottom w:val="none" w:sz="0" w:space="0" w:color="auto"/>
        <w:right w:val="none" w:sz="0" w:space="0" w:color="auto"/>
      </w:divBdr>
    </w:div>
    <w:div w:id="681737705">
      <w:bodyDiv w:val="1"/>
      <w:marLeft w:val="0"/>
      <w:marRight w:val="0"/>
      <w:marTop w:val="0"/>
      <w:marBottom w:val="0"/>
      <w:divBdr>
        <w:top w:val="none" w:sz="0" w:space="0" w:color="auto"/>
        <w:left w:val="none" w:sz="0" w:space="0" w:color="auto"/>
        <w:bottom w:val="none" w:sz="0" w:space="0" w:color="auto"/>
        <w:right w:val="none" w:sz="0" w:space="0" w:color="auto"/>
      </w:divBdr>
      <w:divsChild>
        <w:div w:id="944188352">
          <w:marLeft w:val="0"/>
          <w:marRight w:val="0"/>
          <w:marTop w:val="0"/>
          <w:marBottom w:val="0"/>
          <w:divBdr>
            <w:top w:val="none" w:sz="0" w:space="0" w:color="auto"/>
            <w:left w:val="none" w:sz="0" w:space="0" w:color="auto"/>
            <w:bottom w:val="none" w:sz="0" w:space="0" w:color="auto"/>
            <w:right w:val="none" w:sz="0" w:space="0" w:color="auto"/>
          </w:divBdr>
        </w:div>
        <w:div w:id="1734112092">
          <w:marLeft w:val="0"/>
          <w:marRight w:val="0"/>
          <w:marTop w:val="0"/>
          <w:marBottom w:val="0"/>
          <w:divBdr>
            <w:top w:val="none" w:sz="0" w:space="0" w:color="auto"/>
            <w:left w:val="none" w:sz="0" w:space="0" w:color="auto"/>
            <w:bottom w:val="none" w:sz="0" w:space="0" w:color="auto"/>
            <w:right w:val="none" w:sz="0" w:space="0" w:color="auto"/>
          </w:divBdr>
        </w:div>
      </w:divsChild>
    </w:div>
    <w:div w:id="686447395">
      <w:bodyDiv w:val="1"/>
      <w:marLeft w:val="0"/>
      <w:marRight w:val="0"/>
      <w:marTop w:val="0"/>
      <w:marBottom w:val="0"/>
      <w:divBdr>
        <w:top w:val="none" w:sz="0" w:space="0" w:color="auto"/>
        <w:left w:val="none" w:sz="0" w:space="0" w:color="auto"/>
        <w:bottom w:val="none" w:sz="0" w:space="0" w:color="auto"/>
        <w:right w:val="none" w:sz="0" w:space="0" w:color="auto"/>
      </w:divBdr>
      <w:divsChild>
        <w:div w:id="12343936">
          <w:marLeft w:val="0"/>
          <w:marRight w:val="0"/>
          <w:marTop w:val="0"/>
          <w:marBottom w:val="0"/>
          <w:divBdr>
            <w:top w:val="none" w:sz="0" w:space="0" w:color="auto"/>
            <w:left w:val="none" w:sz="0" w:space="0" w:color="auto"/>
            <w:bottom w:val="none" w:sz="0" w:space="0" w:color="auto"/>
            <w:right w:val="none" w:sz="0" w:space="0" w:color="auto"/>
          </w:divBdr>
        </w:div>
        <w:div w:id="444349615">
          <w:marLeft w:val="0"/>
          <w:marRight w:val="0"/>
          <w:marTop w:val="0"/>
          <w:marBottom w:val="0"/>
          <w:divBdr>
            <w:top w:val="none" w:sz="0" w:space="0" w:color="auto"/>
            <w:left w:val="none" w:sz="0" w:space="0" w:color="auto"/>
            <w:bottom w:val="none" w:sz="0" w:space="0" w:color="auto"/>
            <w:right w:val="none" w:sz="0" w:space="0" w:color="auto"/>
          </w:divBdr>
        </w:div>
        <w:div w:id="725104341">
          <w:marLeft w:val="0"/>
          <w:marRight w:val="0"/>
          <w:marTop w:val="0"/>
          <w:marBottom w:val="0"/>
          <w:divBdr>
            <w:top w:val="none" w:sz="0" w:space="0" w:color="auto"/>
            <w:left w:val="none" w:sz="0" w:space="0" w:color="auto"/>
            <w:bottom w:val="none" w:sz="0" w:space="0" w:color="auto"/>
            <w:right w:val="none" w:sz="0" w:space="0" w:color="auto"/>
          </w:divBdr>
        </w:div>
        <w:div w:id="845511726">
          <w:marLeft w:val="0"/>
          <w:marRight w:val="0"/>
          <w:marTop w:val="0"/>
          <w:marBottom w:val="0"/>
          <w:divBdr>
            <w:top w:val="none" w:sz="0" w:space="0" w:color="auto"/>
            <w:left w:val="none" w:sz="0" w:space="0" w:color="auto"/>
            <w:bottom w:val="none" w:sz="0" w:space="0" w:color="auto"/>
            <w:right w:val="none" w:sz="0" w:space="0" w:color="auto"/>
          </w:divBdr>
        </w:div>
        <w:div w:id="1973099616">
          <w:marLeft w:val="0"/>
          <w:marRight w:val="0"/>
          <w:marTop w:val="0"/>
          <w:marBottom w:val="0"/>
          <w:divBdr>
            <w:top w:val="none" w:sz="0" w:space="0" w:color="auto"/>
            <w:left w:val="none" w:sz="0" w:space="0" w:color="auto"/>
            <w:bottom w:val="none" w:sz="0" w:space="0" w:color="auto"/>
            <w:right w:val="none" w:sz="0" w:space="0" w:color="auto"/>
          </w:divBdr>
        </w:div>
      </w:divsChild>
    </w:div>
    <w:div w:id="698168359">
      <w:bodyDiv w:val="1"/>
      <w:marLeft w:val="0"/>
      <w:marRight w:val="0"/>
      <w:marTop w:val="0"/>
      <w:marBottom w:val="0"/>
      <w:divBdr>
        <w:top w:val="none" w:sz="0" w:space="0" w:color="auto"/>
        <w:left w:val="none" w:sz="0" w:space="0" w:color="auto"/>
        <w:bottom w:val="none" w:sz="0" w:space="0" w:color="auto"/>
        <w:right w:val="none" w:sz="0" w:space="0" w:color="auto"/>
      </w:divBdr>
    </w:div>
    <w:div w:id="699278589">
      <w:bodyDiv w:val="1"/>
      <w:marLeft w:val="0"/>
      <w:marRight w:val="0"/>
      <w:marTop w:val="0"/>
      <w:marBottom w:val="0"/>
      <w:divBdr>
        <w:top w:val="none" w:sz="0" w:space="0" w:color="auto"/>
        <w:left w:val="none" w:sz="0" w:space="0" w:color="auto"/>
        <w:bottom w:val="none" w:sz="0" w:space="0" w:color="auto"/>
        <w:right w:val="none" w:sz="0" w:space="0" w:color="auto"/>
      </w:divBdr>
    </w:div>
    <w:div w:id="708646501">
      <w:bodyDiv w:val="1"/>
      <w:marLeft w:val="0"/>
      <w:marRight w:val="0"/>
      <w:marTop w:val="0"/>
      <w:marBottom w:val="0"/>
      <w:divBdr>
        <w:top w:val="none" w:sz="0" w:space="0" w:color="auto"/>
        <w:left w:val="none" w:sz="0" w:space="0" w:color="auto"/>
        <w:bottom w:val="none" w:sz="0" w:space="0" w:color="auto"/>
        <w:right w:val="none" w:sz="0" w:space="0" w:color="auto"/>
      </w:divBdr>
    </w:div>
    <w:div w:id="710956895">
      <w:bodyDiv w:val="1"/>
      <w:marLeft w:val="0"/>
      <w:marRight w:val="0"/>
      <w:marTop w:val="0"/>
      <w:marBottom w:val="0"/>
      <w:divBdr>
        <w:top w:val="none" w:sz="0" w:space="0" w:color="auto"/>
        <w:left w:val="none" w:sz="0" w:space="0" w:color="auto"/>
        <w:bottom w:val="none" w:sz="0" w:space="0" w:color="auto"/>
        <w:right w:val="none" w:sz="0" w:space="0" w:color="auto"/>
      </w:divBdr>
      <w:divsChild>
        <w:div w:id="241523825">
          <w:marLeft w:val="0"/>
          <w:marRight w:val="0"/>
          <w:marTop w:val="0"/>
          <w:marBottom w:val="0"/>
          <w:divBdr>
            <w:top w:val="none" w:sz="0" w:space="0" w:color="auto"/>
            <w:left w:val="none" w:sz="0" w:space="0" w:color="auto"/>
            <w:bottom w:val="none" w:sz="0" w:space="0" w:color="auto"/>
            <w:right w:val="none" w:sz="0" w:space="0" w:color="auto"/>
          </w:divBdr>
        </w:div>
        <w:div w:id="327680669">
          <w:marLeft w:val="0"/>
          <w:marRight w:val="0"/>
          <w:marTop w:val="0"/>
          <w:marBottom w:val="0"/>
          <w:divBdr>
            <w:top w:val="none" w:sz="0" w:space="0" w:color="auto"/>
            <w:left w:val="none" w:sz="0" w:space="0" w:color="auto"/>
            <w:bottom w:val="none" w:sz="0" w:space="0" w:color="auto"/>
            <w:right w:val="none" w:sz="0" w:space="0" w:color="auto"/>
          </w:divBdr>
        </w:div>
        <w:div w:id="518813144">
          <w:marLeft w:val="0"/>
          <w:marRight w:val="0"/>
          <w:marTop w:val="0"/>
          <w:marBottom w:val="0"/>
          <w:divBdr>
            <w:top w:val="none" w:sz="0" w:space="0" w:color="auto"/>
            <w:left w:val="none" w:sz="0" w:space="0" w:color="auto"/>
            <w:bottom w:val="none" w:sz="0" w:space="0" w:color="auto"/>
            <w:right w:val="none" w:sz="0" w:space="0" w:color="auto"/>
          </w:divBdr>
        </w:div>
        <w:div w:id="623733404">
          <w:marLeft w:val="0"/>
          <w:marRight w:val="0"/>
          <w:marTop w:val="0"/>
          <w:marBottom w:val="0"/>
          <w:divBdr>
            <w:top w:val="none" w:sz="0" w:space="0" w:color="auto"/>
            <w:left w:val="none" w:sz="0" w:space="0" w:color="auto"/>
            <w:bottom w:val="none" w:sz="0" w:space="0" w:color="auto"/>
            <w:right w:val="none" w:sz="0" w:space="0" w:color="auto"/>
          </w:divBdr>
        </w:div>
        <w:div w:id="657347320">
          <w:marLeft w:val="0"/>
          <w:marRight w:val="0"/>
          <w:marTop w:val="0"/>
          <w:marBottom w:val="0"/>
          <w:divBdr>
            <w:top w:val="none" w:sz="0" w:space="0" w:color="auto"/>
            <w:left w:val="none" w:sz="0" w:space="0" w:color="auto"/>
            <w:bottom w:val="none" w:sz="0" w:space="0" w:color="auto"/>
            <w:right w:val="none" w:sz="0" w:space="0" w:color="auto"/>
          </w:divBdr>
        </w:div>
        <w:div w:id="1336805628">
          <w:marLeft w:val="0"/>
          <w:marRight w:val="0"/>
          <w:marTop w:val="0"/>
          <w:marBottom w:val="0"/>
          <w:divBdr>
            <w:top w:val="none" w:sz="0" w:space="0" w:color="auto"/>
            <w:left w:val="none" w:sz="0" w:space="0" w:color="auto"/>
            <w:bottom w:val="none" w:sz="0" w:space="0" w:color="auto"/>
            <w:right w:val="none" w:sz="0" w:space="0" w:color="auto"/>
          </w:divBdr>
        </w:div>
        <w:div w:id="1563564875">
          <w:marLeft w:val="0"/>
          <w:marRight w:val="0"/>
          <w:marTop w:val="0"/>
          <w:marBottom w:val="0"/>
          <w:divBdr>
            <w:top w:val="none" w:sz="0" w:space="0" w:color="auto"/>
            <w:left w:val="none" w:sz="0" w:space="0" w:color="auto"/>
            <w:bottom w:val="none" w:sz="0" w:space="0" w:color="auto"/>
            <w:right w:val="none" w:sz="0" w:space="0" w:color="auto"/>
          </w:divBdr>
        </w:div>
      </w:divsChild>
    </w:div>
    <w:div w:id="742407701">
      <w:bodyDiv w:val="1"/>
      <w:marLeft w:val="0"/>
      <w:marRight w:val="0"/>
      <w:marTop w:val="0"/>
      <w:marBottom w:val="0"/>
      <w:divBdr>
        <w:top w:val="none" w:sz="0" w:space="0" w:color="auto"/>
        <w:left w:val="none" w:sz="0" w:space="0" w:color="auto"/>
        <w:bottom w:val="none" w:sz="0" w:space="0" w:color="auto"/>
        <w:right w:val="none" w:sz="0" w:space="0" w:color="auto"/>
      </w:divBdr>
      <w:divsChild>
        <w:div w:id="275721877">
          <w:marLeft w:val="0"/>
          <w:marRight w:val="0"/>
          <w:marTop w:val="0"/>
          <w:marBottom w:val="0"/>
          <w:divBdr>
            <w:top w:val="none" w:sz="0" w:space="0" w:color="auto"/>
            <w:left w:val="none" w:sz="0" w:space="0" w:color="auto"/>
            <w:bottom w:val="none" w:sz="0" w:space="0" w:color="auto"/>
            <w:right w:val="none" w:sz="0" w:space="0" w:color="auto"/>
          </w:divBdr>
        </w:div>
        <w:div w:id="705325777">
          <w:marLeft w:val="0"/>
          <w:marRight w:val="0"/>
          <w:marTop w:val="0"/>
          <w:marBottom w:val="0"/>
          <w:divBdr>
            <w:top w:val="none" w:sz="0" w:space="0" w:color="auto"/>
            <w:left w:val="none" w:sz="0" w:space="0" w:color="auto"/>
            <w:bottom w:val="none" w:sz="0" w:space="0" w:color="auto"/>
            <w:right w:val="none" w:sz="0" w:space="0" w:color="auto"/>
          </w:divBdr>
        </w:div>
        <w:div w:id="769742394">
          <w:marLeft w:val="0"/>
          <w:marRight w:val="0"/>
          <w:marTop w:val="0"/>
          <w:marBottom w:val="0"/>
          <w:divBdr>
            <w:top w:val="none" w:sz="0" w:space="0" w:color="auto"/>
            <w:left w:val="none" w:sz="0" w:space="0" w:color="auto"/>
            <w:bottom w:val="none" w:sz="0" w:space="0" w:color="auto"/>
            <w:right w:val="none" w:sz="0" w:space="0" w:color="auto"/>
          </w:divBdr>
        </w:div>
        <w:div w:id="1485126536">
          <w:marLeft w:val="0"/>
          <w:marRight w:val="0"/>
          <w:marTop w:val="0"/>
          <w:marBottom w:val="0"/>
          <w:divBdr>
            <w:top w:val="none" w:sz="0" w:space="0" w:color="auto"/>
            <w:left w:val="none" w:sz="0" w:space="0" w:color="auto"/>
            <w:bottom w:val="none" w:sz="0" w:space="0" w:color="auto"/>
            <w:right w:val="none" w:sz="0" w:space="0" w:color="auto"/>
          </w:divBdr>
        </w:div>
        <w:div w:id="1700933153">
          <w:marLeft w:val="0"/>
          <w:marRight w:val="0"/>
          <w:marTop w:val="0"/>
          <w:marBottom w:val="0"/>
          <w:divBdr>
            <w:top w:val="none" w:sz="0" w:space="0" w:color="auto"/>
            <w:left w:val="none" w:sz="0" w:space="0" w:color="auto"/>
            <w:bottom w:val="none" w:sz="0" w:space="0" w:color="auto"/>
            <w:right w:val="none" w:sz="0" w:space="0" w:color="auto"/>
          </w:divBdr>
        </w:div>
        <w:div w:id="1840805801">
          <w:marLeft w:val="0"/>
          <w:marRight w:val="0"/>
          <w:marTop w:val="0"/>
          <w:marBottom w:val="0"/>
          <w:divBdr>
            <w:top w:val="none" w:sz="0" w:space="0" w:color="auto"/>
            <w:left w:val="none" w:sz="0" w:space="0" w:color="auto"/>
            <w:bottom w:val="none" w:sz="0" w:space="0" w:color="auto"/>
            <w:right w:val="none" w:sz="0" w:space="0" w:color="auto"/>
          </w:divBdr>
        </w:div>
        <w:div w:id="1936673978">
          <w:marLeft w:val="0"/>
          <w:marRight w:val="0"/>
          <w:marTop w:val="0"/>
          <w:marBottom w:val="0"/>
          <w:divBdr>
            <w:top w:val="none" w:sz="0" w:space="0" w:color="auto"/>
            <w:left w:val="none" w:sz="0" w:space="0" w:color="auto"/>
            <w:bottom w:val="none" w:sz="0" w:space="0" w:color="auto"/>
            <w:right w:val="none" w:sz="0" w:space="0" w:color="auto"/>
          </w:divBdr>
        </w:div>
      </w:divsChild>
    </w:div>
    <w:div w:id="755902597">
      <w:bodyDiv w:val="1"/>
      <w:marLeft w:val="0"/>
      <w:marRight w:val="0"/>
      <w:marTop w:val="0"/>
      <w:marBottom w:val="0"/>
      <w:divBdr>
        <w:top w:val="none" w:sz="0" w:space="0" w:color="auto"/>
        <w:left w:val="none" w:sz="0" w:space="0" w:color="auto"/>
        <w:bottom w:val="none" w:sz="0" w:space="0" w:color="auto"/>
        <w:right w:val="none" w:sz="0" w:space="0" w:color="auto"/>
      </w:divBdr>
    </w:div>
    <w:div w:id="756172380">
      <w:bodyDiv w:val="1"/>
      <w:marLeft w:val="0"/>
      <w:marRight w:val="0"/>
      <w:marTop w:val="0"/>
      <w:marBottom w:val="0"/>
      <w:divBdr>
        <w:top w:val="none" w:sz="0" w:space="0" w:color="auto"/>
        <w:left w:val="none" w:sz="0" w:space="0" w:color="auto"/>
        <w:bottom w:val="none" w:sz="0" w:space="0" w:color="auto"/>
        <w:right w:val="none" w:sz="0" w:space="0" w:color="auto"/>
      </w:divBdr>
      <w:divsChild>
        <w:div w:id="123427688">
          <w:marLeft w:val="0"/>
          <w:marRight w:val="0"/>
          <w:marTop w:val="0"/>
          <w:marBottom w:val="0"/>
          <w:divBdr>
            <w:top w:val="none" w:sz="0" w:space="0" w:color="auto"/>
            <w:left w:val="none" w:sz="0" w:space="0" w:color="auto"/>
            <w:bottom w:val="none" w:sz="0" w:space="0" w:color="auto"/>
            <w:right w:val="none" w:sz="0" w:space="0" w:color="auto"/>
          </w:divBdr>
        </w:div>
        <w:div w:id="200023023">
          <w:marLeft w:val="0"/>
          <w:marRight w:val="0"/>
          <w:marTop w:val="0"/>
          <w:marBottom w:val="0"/>
          <w:divBdr>
            <w:top w:val="none" w:sz="0" w:space="0" w:color="auto"/>
            <w:left w:val="none" w:sz="0" w:space="0" w:color="auto"/>
            <w:bottom w:val="none" w:sz="0" w:space="0" w:color="auto"/>
            <w:right w:val="none" w:sz="0" w:space="0" w:color="auto"/>
          </w:divBdr>
        </w:div>
        <w:div w:id="807166057">
          <w:marLeft w:val="0"/>
          <w:marRight w:val="0"/>
          <w:marTop w:val="0"/>
          <w:marBottom w:val="0"/>
          <w:divBdr>
            <w:top w:val="none" w:sz="0" w:space="0" w:color="auto"/>
            <w:left w:val="none" w:sz="0" w:space="0" w:color="auto"/>
            <w:bottom w:val="none" w:sz="0" w:space="0" w:color="auto"/>
            <w:right w:val="none" w:sz="0" w:space="0" w:color="auto"/>
          </w:divBdr>
        </w:div>
        <w:div w:id="844714122">
          <w:marLeft w:val="0"/>
          <w:marRight w:val="0"/>
          <w:marTop w:val="0"/>
          <w:marBottom w:val="0"/>
          <w:divBdr>
            <w:top w:val="none" w:sz="0" w:space="0" w:color="auto"/>
            <w:left w:val="none" w:sz="0" w:space="0" w:color="auto"/>
            <w:bottom w:val="none" w:sz="0" w:space="0" w:color="auto"/>
            <w:right w:val="none" w:sz="0" w:space="0" w:color="auto"/>
          </w:divBdr>
        </w:div>
        <w:div w:id="863447756">
          <w:marLeft w:val="0"/>
          <w:marRight w:val="0"/>
          <w:marTop w:val="0"/>
          <w:marBottom w:val="0"/>
          <w:divBdr>
            <w:top w:val="none" w:sz="0" w:space="0" w:color="auto"/>
            <w:left w:val="none" w:sz="0" w:space="0" w:color="auto"/>
            <w:bottom w:val="none" w:sz="0" w:space="0" w:color="auto"/>
            <w:right w:val="none" w:sz="0" w:space="0" w:color="auto"/>
          </w:divBdr>
        </w:div>
        <w:div w:id="951939243">
          <w:marLeft w:val="0"/>
          <w:marRight w:val="0"/>
          <w:marTop w:val="0"/>
          <w:marBottom w:val="0"/>
          <w:divBdr>
            <w:top w:val="none" w:sz="0" w:space="0" w:color="auto"/>
            <w:left w:val="none" w:sz="0" w:space="0" w:color="auto"/>
            <w:bottom w:val="none" w:sz="0" w:space="0" w:color="auto"/>
            <w:right w:val="none" w:sz="0" w:space="0" w:color="auto"/>
          </w:divBdr>
        </w:div>
        <w:div w:id="1069113592">
          <w:marLeft w:val="0"/>
          <w:marRight w:val="0"/>
          <w:marTop w:val="0"/>
          <w:marBottom w:val="0"/>
          <w:divBdr>
            <w:top w:val="none" w:sz="0" w:space="0" w:color="auto"/>
            <w:left w:val="none" w:sz="0" w:space="0" w:color="auto"/>
            <w:bottom w:val="none" w:sz="0" w:space="0" w:color="auto"/>
            <w:right w:val="none" w:sz="0" w:space="0" w:color="auto"/>
          </w:divBdr>
        </w:div>
        <w:div w:id="1091463303">
          <w:marLeft w:val="0"/>
          <w:marRight w:val="0"/>
          <w:marTop w:val="0"/>
          <w:marBottom w:val="0"/>
          <w:divBdr>
            <w:top w:val="none" w:sz="0" w:space="0" w:color="auto"/>
            <w:left w:val="none" w:sz="0" w:space="0" w:color="auto"/>
            <w:bottom w:val="none" w:sz="0" w:space="0" w:color="auto"/>
            <w:right w:val="none" w:sz="0" w:space="0" w:color="auto"/>
          </w:divBdr>
        </w:div>
        <w:div w:id="1110931250">
          <w:marLeft w:val="0"/>
          <w:marRight w:val="0"/>
          <w:marTop w:val="0"/>
          <w:marBottom w:val="0"/>
          <w:divBdr>
            <w:top w:val="none" w:sz="0" w:space="0" w:color="auto"/>
            <w:left w:val="none" w:sz="0" w:space="0" w:color="auto"/>
            <w:bottom w:val="none" w:sz="0" w:space="0" w:color="auto"/>
            <w:right w:val="none" w:sz="0" w:space="0" w:color="auto"/>
          </w:divBdr>
        </w:div>
        <w:div w:id="1274021266">
          <w:marLeft w:val="0"/>
          <w:marRight w:val="0"/>
          <w:marTop w:val="0"/>
          <w:marBottom w:val="0"/>
          <w:divBdr>
            <w:top w:val="none" w:sz="0" w:space="0" w:color="auto"/>
            <w:left w:val="none" w:sz="0" w:space="0" w:color="auto"/>
            <w:bottom w:val="none" w:sz="0" w:space="0" w:color="auto"/>
            <w:right w:val="none" w:sz="0" w:space="0" w:color="auto"/>
          </w:divBdr>
        </w:div>
        <w:div w:id="1823693661">
          <w:marLeft w:val="0"/>
          <w:marRight w:val="0"/>
          <w:marTop w:val="0"/>
          <w:marBottom w:val="0"/>
          <w:divBdr>
            <w:top w:val="none" w:sz="0" w:space="0" w:color="auto"/>
            <w:left w:val="none" w:sz="0" w:space="0" w:color="auto"/>
            <w:bottom w:val="none" w:sz="0" w:space="0" w:color="auto"/>
            <w:right w:val="none" w:sz="0" w:space="0" w:color="auto"/>
          </w:divBdr>
        </w:div>
      </w:divsChild>
    </w:div>
    <w:div w:id="757363861">
      <w:bodyDiv w:val="1"/>
      <w:marLeft w:val="0"/>
      <w:marRight w:val="0"/>
      <w:marTop w:val="0"/>
      <w:marBottom w:val="0"/>
      <w:divBdr>
        <w:top w:val="none" w:sz="0" w:space="0" w:color="auto"/>
        <w:left w:val="none" w:sz="0" w:space="0" w:color="auto"/>
        <w:bottom w:val="none" w:sz="0" w:space="0" w:color="auto"/>
        <w:right w:val="none" w:sz="0" w:space="0" w:color="auto"/>
      </w:divBdr>
      <w:divsChild>
        <w:div w:id="1327980396">
          <w:marLeft w:val="0"/>
          <w:marRight w:val="0"/>
          <w:marTop w:val="0"/>
          <w:marBottom w:val="0"/>
          <w:divBdr>
            <w:top w:val="none" w:sz="0" w:space="0" w:color="auto"/>
            <w:left w:val="none" w:sz="0" w:space="0" w:color="auto"/>
            <w:bottom w:val="none" w:sz="0" w:space="0" w:color="auto"/>
            <w:right w:val="none" w:sz="0" w:space="0" w:color="auto"/>
          </w:divBdr>
        </w:div>
      </w:divsChild>
    </w:div>
    <w:div w:id="789711914">
      <w:bodyDiv w:val="1"/>
      <w:marLeft w:val="0"/>
      <w:marRight w:val="0"/>
      <w:marTop w:val="0"/>
      <w:marBottom w:val="0"/>
      <w:divBdr>
        <w:top w:val="none" w:sz="0" w:space="0" w:color="auto"/>
        <w:left w:val="none" w:sz="0" w:space="0" w:color="auto"/>
        <w:bottom w:val="none" w:sz="0" w:space="0" w:color="auto"/>
        <w:right w:val="none" w:sz="0" w:space="0" w:color="auto"/>
      </w:divBdr>
      <w:divsChild>
        <w:div w:id="14550438">
          <w:marLeft w:val="0"/>
          <w:marRight w:val="0"/>
          <w:marTop w:val="0"/>
          <w:marBottom w:val="0"/>
          <w:divBdr>
            <w:top w:val="none" w:sz="0" w:space="0" w:color="auto"/>
            <w:left w:val="none" w:sz="0" w:space="0" w:color="auto"/>
            <w:bottom w:val="none" w:sz="0" w:space="0" w:color="auto"/>
            <w:right w:val="none" w:sz="0" w:space="0" w:color="auto"/>
          </w:divBdr>
        </w:div>
        <w:div w:id="151526604">
          <w:marLeft w:val="0"/>
          <w:marRight w:val="0"/>
          <w:marTop w:val="0"/>
          <w:marBottom w:val="0"/>
          <w:divBdr>
            <w:top w:val="none" w:sz="0" w:space="0" w:color="auto"/>
            <w:left w:val="none" w:sz="0" w:space="0" w:color="auto"/>
            <w:bottom w:val="none" w:sz="0" w:space="0" w:color="auto"/>
            <w:right w:val="none" w:sz="0" w:space="0" w:color="auto"/>
          </w:divBdr>
        </w:div>
        <w:div w:id="353960461">
          <w:marLeft w:val="0"/>
          <w:marRight w:val="0"/>
          <w:marTop w:val="0"/>
          <w:marBottom w:val="0"/>
          <w:divBdr>
            <w:top w:val="none" w:sz="0" w:space="0" w:color="auto"/>
            <w:left w:val="none" w:sz="0" w:space="0" w:color="auto"/>
            <w:bottom w:val="none" w:sz="0" w:space="0" w:color="auto"/>
            <w:right w:val="none" w:sz="0" w:space="0" w:color="auto"/>
          </w:divBdr>
        </w:div>
        <w:div w:id="375087494">
          <w:marLeft w:val="0"/>
          <w:marRight w:val="0"/>
          <w:marTop w:val="0"/>
          <w:marBottom w:val="0"/>
          <w:divBdr>
            <w:top w:val="none" w:sz="0" w:space="0" w:color="auto"/>
            <w:left w:val="none" w:sz="0" w:space="0" w:color="auto"/>
            <w:bottom w:val="none" w:sz="0" w:space="0" w:color="auto"/>
            <w:right w:val="none" w:sz="0" w:space="0" w:color="auto"/>
          </w:divBdr>
        </w:div>
        <w:div w:id="489909104">
          <w:marLeft w:val="0"/>
          <w:marRight w:val="0"/>
          <w:marTop w:val="0"/>
          <w:marBottom w:val="0"/>
          <w:divBdr>
            <w:top w:val="none" w:sz="0" w:space="0" w:color="auto"/>
            <w:left w:val="none" w:sz="0" w:space="0" w:color="auto"/>
            <w:bottom w:val="none" w:sz="0" w:space="0" w:color="auto"/>
            <w:right w:val="none" w:sz="0" w:space="0" w:color="auto"/>
          </w:divBdr>
        </w:div>
        <w:div w:id="701594647">
          <w:marLeft w:val="0"/>
          <w:marRight w:val="0"/>
          <w:marTop w:val="0"/>
          <w:marBottom w:val="0"/>
          <w:divBdr>
            <w:top w:val="none" w:sz="0" w:space="0" w:color="auto"/>
            <w:left w:val="none" w:sz="0" w:space="0" w:color="auto"/>
            <w:bottom w:val="none" w:sz="0" w:space="0" w:color="auto"/>
            <w:right w:val="none" w:sz="0" w:space="0" w:color="auto"/>
          </w:divBdr>
        </w:div>
        <w:div w:id="1589847993">
          <w:marLeft w:val="0"/>
          <w:marRight w:val="0"/>
          <w:marTop w:val="0"/>
          <w:marBottom w:val="0"/>
          <w:divBdr>
            <w:top w:val="none" w:sz="0" w:space="0" w:color="auto"/>
            <w:left w:val="none" w:sz="0" w:space="0" w:color="auto"/>
            <w:bottom w:val="none" w:sz="0" w:space="0" w:color="auto"/>
            <w:right w:val="none" w:sz="0" w:space="0" w:color="auto"/>
          </w:divBdr>
        </w:div>
      </w:divsChild>
    </w:div>
    <w:div w:id="802160837">
      <w:bodyDiv w:val="1"/>
      <w:marLeft w:val="0"/>
      <w:marRight w:val="0"/>
      <w:marTop w:val="0"/>
      <w:marBottom w:val="0"/>
      <w:divBdr>
        <w:top w:val="none" w:sz="0" w:space="0" w:color="auto"/>
        <w:left w:val="none" w:sz="0" w:space="0" w:color="auto"/>
        <w:bottom w:val="none" w:sz="0" w:space="0" w:color="auto"/>
        <w:right w:val="none" w:sz="0" w:space="0" w:color="auto"/>
      </w:divBdr>
      <w:divsChild>
        <w:div w:id="579828529">
          <w:marLeft w:val="0"/>
          <w:marRight w:val="0"/>
          <w:marTop w:val="0"/>
          <w:marBottom w:val="0"/>
          <w:divBdr>
            <w:top w:val="none" w:sz="0" w:space="0" w:color="auto"/>
            <w:left w:val="none" w:sz="0" w:space="0" w:color="auto"/>
            <w:bottom w:val="none" w:sz="0" w:space="0" w:color="auto"/>
            <w:right w:val="none" w:sz="0" w:space="0" w:color="auto"/>
          </w:divBdr>
          <w:divsChild>
            <w:div w:id="240337228">
              <w:marLeft w:val="0"/>
              <w:marRight w:val="0"/>
              <w:marTop w:val="0"/>
              <w:marBottom w:val="0"/>
              <w:divBdr>
                <w:top w:val="none" w:sz="0" w:space="0" w:color="auto"/>
                <w:left w:val="none" w:sz="0" w:space="0" w:color="auto"/>
                <w:bottom w:val="none" w:sz="0" w:space="0" w:color="auto"/>
                <w:right w:val="none" w:sz="0" w:space="0" w:color="auto"/>
              </w:divBdr>
            </w:div>
            <w:div w:id="289748991">
              <w:marLeft w:val="0"/>
              <w:marRight w:val="0"/>
              <w:marTop w:val="0"/>
              <w:marBottom w:val="0"/>
              <w:divBdr>
                <w:top w:val="none" w:sz="0" w:space="0" w:color="auto"/>
                <w:left w:val="none" w:sz="0" w:space="0" w:color="auto"/>
                <w:bottom w:val="none" w:sz="0" w:space="0" w:color="auto"/>
                <w:right w:val="none" w:sz="0" w:space="0" w:color="auto"/>
              </w:divBdr>
            </w:div>
            <w:div w:id="513571790">
              <w:marLeft w:val="0"/>
              <w:marRight w:val="0"/>
              <w:marTop w:val="0"/>
              <w:marBottom w:val="0"/>
              <w:divBdr>
                <w:top w:val="none" w:sz="0" w:space="0" w:color="auto"/>
                <w:left w:val="none" w:sz="0" w:space="0" w:color="auto"/>
                <w:bottom w:val="none" w:sz="0" w:space="0" w:color="auto"/>
                <w:right w:val="none" w:sz="0" w:space="0" w:color="auto"/>
              </w:divBdr>
            </w:div>
            <w:div w:id="566040454">
              <w:marLeft w:val="0"/>
              <w:marRight w:val="0"/>
              <w:marTop w:val="0"/>
              <w:marBottom w:val="0"/>
              <w:divBdr>
                <w:top w:val="none" w:sz="0" w:space="0" w:color="auto"/>
                <w:left w:val="none" w:sz="0" w:space="0" w:color="auto"/>
                <w:bottom w:val="none" w:sz="0" w:space="0" w:color="auto"/>
                <w:right w:val="none" w:sz="0" w:space="0" w:color="auto"/>
              </w:divBdr>
            </w:div>
            <w:div w:id="824079916">
              <w:marLeft w:val="0"/>
              <w:marRight w:val="0"/>
              <w:marTop w:val="0"/>
              <w:marBottom w:val="0"/>
              <w:divBdr>
                <w:top w:val="none" w:sz="0" w:space="0" w:color="auto"/>
                <w:left w:val="none" w:sz="0" w:space="0" w:color="auto"/>
                <w:bottom w:val="none" w:sz="0" w:space="0" w:color="auto"/>
                <w:right w:val="none" w:sz="0" w:space="0" w:color="auto"/>
              </w:divBdr>
            </w:div>
            <w:div w:id="1163547168">
              <w:marLeft w:val="0"/>
              <w:marRight w:val="0"/>
              <w:marTop w:val="0"/>
              <w:marBottom w:val="0"/>
              <w:divBdr>
                <w:top w:val="none" w:sz="0" w:space="0" w:color="auto"/>
                <w:left w:val="none" w:sz="0" w:space="0" w:color="auto"/>
                <w:bottom w:val="none" w:sz="0" w:space="0" w:color="auto"/>
                <w:right w:val="none" w:sz="0" w:space="0" w:color="auto"/>
              </w:divBdr>
            </w:div>
            <w:div w:id="1362048391">
              <w:marLeft w:val="0"/>
              <w:marRight w:val="0"/>
              <w:marTop w:val="0"/>
              <w:marBottom w:val="0"/>
              <w:divBdr>
                <w:top w:val="none" w:sz="0" w:space="0" w:color="auto"/>
                <w:left w:val="none" w:sz="0" w:space="0" w:color="auto"/>
                <w:bottom w:val="none" w:sz="0" w:space="0" w:color="auto"/>
                <w:right w:val="none" w:sz="0" w:space="0" w:color="auto"/>
              </w:divBdr>
            </w:div>
            <w:div w:id="1850942370">
              <w:marLeft w:val="0"/>
              <w:marRight w:val="0"/>
              <w:marTop w:val="0"/>
              <w:marBottom w:val="0"/>
              <w:divBdr>
                <w:top w:val="none" w:sz="0" w:space="0" w:color="auto"/>
                <w:left w:val="none" w:sz="0" w:space="0" w:color="auto"/>
                <w:bottom w:val="none" w:sz="0" w:space="0" w:color="auto"/>
                <w:right w:val="none" w:sz="0" w:space="0" w:color="auto"/>
              </w:divBdr>
            </w:div>
            <w:div w:id="2007897263">
              <w:marLeft w:val="0"/>
              <w:marRight w:val="0"/>
              <w:marTop w:val="0"/>
              <w:marBottom w:val="0"/>
              <w:divBdr>
                <w:top w:val="none" w:sz="0" w:space="0" w:color="auto"/>
                <w:left w:val="none" w:sz="0" w:space="0" w:color="auto"/>
                <w:bottom w:val="none" w:sz="0" w:space="0" w:color="auto"/>
                <w:right w:val="none" w:sz="0" w:space="0" w:color="auto"/>
              </w:divBdr>
            </w:div>
          </w:divsChild>
        </w:div>
        <w:div w:id="937718722">
          <w:marLeft w:val="0"/>
          <w:marRight w:val="0"/>
          <w:marTop w:val="0"/>
          <w:marBottom w:val="0"/>
          <w:divBdr>
            <w:top w:val="none" w:sz="0" w:space="0" w:color="auto"/>
            <w:left w:val="none" w:sz="0" w:space="0" w:color="auto"/>
            <w:bottom w:val="none" w:sz="0" w:space="0" w:color="auto"/>
            <w:right w:val="none" w:sz="0" w:space="0" w:color="auto"/>
          </w:divBdr>
          <w:divsChild>
            <w:div w:id="205027785">
              <w:marLeft w:val="0"/>
              <w:marRight w:val="0"/>
              <w:marTop w:val="0"/>
              <w:marBottom w:val="0"/>
              <w:divBdr>
                <w:top w:val="none" w:sz="0" w:space="0" w:color="auto"/>
                <w:left w:val="none" w:sz="0" w:space="0" w:color="auto"/>
                <w:bottom w:val="none" w:sz="0" w:space="0" w:color="auto"/>
                <w:right w:val="none" w:sz="0" w:space="0" w:color="auto"/>
              </w:divBdr>
            </w:div>
            <w:div w:id="281426581">
              <w:marLeft w:val="0"/>
              <w:marRight w:val="0"/>
              <w:marTop w:val="0"/>
              <w:marBottom w:val="0"/>
              <w:divBdr>
                <w:top w:val="none" w:sz="0" w:space="0" w:color="auto"/>
                <w:left w:val="none" w:sz="0" w:space="0" w:color="auto"/>
                <w:bottom w:val="none" w:sz="0" w:space="0" w:color="auto"/>
                <w:right w:val="none" w:sz="0" w:space="0" w:color="auto"/>
              </w:divBdr>
            </w:div>
            <w:div w:id="462042700">
              <w:marLeft w:val="0"/>
              <w:marRight w:val="0"/>
              <w:marTop w:val="0"/>
              <w:marBottom w:val="0"/>
              <w:divBdr>
                <w:top w:val="none" w:sz="0" w:space="0" w:color="auto"/>
                <w:left w:val="none" w:sz="0" w:space="0" w:color="auto"/>
                <w:bottom w:val="none" w:sz="0" w:space="0" w:color="auto"/>
                <w:right w:val="none" w:sz="0" w:space="0" w:color="auto"/>
              </w:divBdr>
            </w:div>
            <w:div w:id="515114284">
              <w:marLeft w:val="0"/>
              <w:marRight w:val="0"/>
              <w:marTop w:val="0"/>
              <w:marBottom w:val="0"/>
              <w:divBdr>
                <w:top w:val="none" w:sz="0" w:space="0" w:color="auto"/>
                <w:left w:val="none" w:sz="0" w:space="0" w:color="auto"/>
                <w:bottom w:val="none" w:sz="0" w:space="0" w:color="auto"/>
                <w:right w:val="none" w:sz="0" w:space="0" w:color="auto"/>
              </w:divBdr>
            </w:div>
            <w:div w:id="572740689">
              <w:marLeft w:val="0"/>
              <w:marRight w:val="0"/>
              <w:marTop w:val="0"/>
              <w:marBottom w:val="0"/>
              <w:divBdr>
                <w:top w:val="none" w:sz="0" w:space="0" w:color="auto"/>
                <w:left w:val="none" w:sz="0" w:space="0" w:color="auto"/>
                <w:bottom w:val="none" w:sz="0" w:space="0" w:color="auto"/>
                <w:right w:val="none" w:sz="0" w:space="0" w:color="auto"/>
              </w:divBdr>
            </w:div>
            <w:div w:id="586420691">
              <w:marLeft w:val="0"/>
              <w:marRight w:val="0"/>
              <w:marTop w:val="0"/>
              <w:marBottom w:val="0"/>
              <w:divBdr>
                <w:top w:val="none" w:sz="0" w:space="0" w:color="auto"/>
                <w:left w:val="none" w:sz="0" w:space="0" w:color="auto"/>
                <w:bottom w:val="none" w:sz="0" w:space="0" w:color="auto"/>
                <w:right w:val="none" w:sz="0" w:space="0" w:color="auto"/>
              </w:divBdr>
            </w:div>
            <w:div w:id="632177273">
              <w:marLeft w:val="0"/>
              <w:marRight w:val="0"/>
              <w:marTop w:val="0"/>
              <w:marBottom w:val="0"/>
              <w:divBdr>
                <w:top w:val="none" w:sz="0" w:space="0" w:color="auto"/>
                <w:left w:val="none" w:sz="0" w:space="0" w:color="auto"/>
                <w:bottom w:val="none" w:sz="0" w:space="0" w:color="auto"/>
                <w:right w:val="none" w:sz="0" w:space="0" w:color="auto"/>
              </w:divBdr>
            </w:div>
            <w:div w:id="811363837">
              <w:marLeft w:val="0"/>
              <w:marRight w:val="0"/>
              <w:marTop w:val="0"/>
              <w:marBottom w:val="0"/>
              <w:divBdr>
                <w:top w:val="none" w:sz="0" w:space="0" w:color="auto"/>
                <w:left w:val="none" w:sz="0" w:space="0" w:color="auto"/>
                <w:bottom w:val="none" w:sz="0" w:space="0" w:color="auto"/>
                <w:right w:val="none" w:sz="0" w:space="0" w:color="auto"/>
              </w:divBdr>
            </w:div>
            <w:div w:id="961572901">
              <w:marLeft w:val="0"/>
              <w:marRight w:val="0"/>
              <w:marTop w:val="0"/>
              <w:marBottom w:val="0"/>
              <w:divBdr>
                <w:top w:val="none" w:sz="0" w:space="0" w:color="auto"/>
                <w:left w:val="none" w:sz="0" w:space="0" w:color="auto"/>
                <w:bottom w:val="none" w:sz="0" w:space="0" w:color="auto"/>
                <w:right w:val="none" w:sz="0" w:space="0" w:color="auto"/>
              </w:divBdr>
            </w:div>
            <w:div w:id="970674663">
              <w:marLeft w:val="0"/>
              <w:marRight w:val="0"/>
              <w:marTop w:val="0"/>
              <w:marBottom w:val="0"/>
              <w:divBdr>
                <w:top w:val="none" w:sz="0" w:space="0" w:color="auto"/>
                <w:left w:val="none" w:sz="0" w:space="0" w:color="auto"/>
                <w:bottom w:val="none" w:sz="0" w:space="0" w:color="auto"/>
                <w:right w:val="none" w:sz="0" w:space="0" w:color="auto"/>
              </w:divBdr>
            </w:div>
            <w:div w:id="992828036">
              <w:marLeft w:val="0"/>
              <w:marRight w:val="0"/>
              <w:marTop w:val="0"/>
              <w:marBottom w:val="0"/>
              <w:divBdr>
                <w:top w:val="none" w:sz="0" w:space="0" w:color="auto"/>
                <w:left w:val="none" w:sz="0" w:space="0" w:color="auto"/>
                <w:bottom w:val="none" w:sz="0" w:space="0" w:color="auto"/>
                <w:right w:val="none" w:sz="0" w:space="0" w:color="auto"/>
              </w:divBdr>
            </w:div>
            <w:div w:id="1115367497">
              <w:marLeft w:val="0"/>
              <w:marRight w:val="0"/>
              <w:marTop w:val="0"/>
              <w:marBottom w:val="0"/>
              <w:divBdr>
                <w:top w:val="none" w:sz="0" w:space="0" w:color="auto"/>
                <w:left w:val="none" w:sz="0" w:space="0" w:color="auto"/>
                <w:bottom w:val="none" w:sz="0" w:space="0" w:color="auto"/>
                <w:right w:val="none" w:sz="0" w:space="0" w:color="auto"/>
              </w:divBdr>
            </w:div>
            <w:div w:id="1414355964">
              <w:marLeft w:val="0"/>
              <w:marRight w:val="0"/>
              <w:marTop w:val="0"/>
              <w:marBottom w:val="0"/>
              <w:divBdr>
                <w:top w:val="none" w:sz="0" w:space="0" w:color="auto"/>
                <w:left w:val="none" w:sz="0" w:space="0" w:color="auto"/>
                <w:bottom w:val="none" w:sz="0" w:space="0" w:color="auto"/>
                <w:right w:val="none" w:sz="0" w:space="0" w:color="auto"/>
              </w:divBdr>
            </w:div>
            <w:div w:id="1822648809">
              <w:marLeft w:val="0"/>
              <w:marRight w:val="0"/>
              <w:marTop w:val="0"/>
              <w:marBottom w:val="0"/>
              <w:divBdr>
                <w:top w:val="none" w:sz="0" w:space="0" w:color="auto"/>
                <w:left w:val="none" w:sz="0" w:space="0" w:color="auto"/>
                <w:bottom w:val="none" w:sz="0" w:space="0" w:color="auto"/>
                <w:right w:val="none" w:sz="0" w:space="0" w:color="auto"/>
              </w:divBdr>
            </w:div>
            <w:div w:id="200593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453200">
      <w:bodyDiv w:val="1"/>
      <w:marLeft w:val="0"/>
      <w:marRight w:val="0"/>
      <w:marTop w:val="0"/>
      <w:marBottom w:val="0"/>
      <w:divBdr>
        <w:top w:val="none" w:sz="0" w:space="0" w:color="auto"/>
        <w:left w:val="none" w:sz="0" w:space="0" w:color="auto"/>
        <w:bottom w:val="none" w:sz="0" w:space="0" w:color="auto"/>
        <w:right w:val="none" w:sz="0" w:space="0" w:color="auto"/>
      </w:divBdr>
      <w:divsChild>
        <w:div w:id="200631161">
          <w:marLeft w:val="0"/>
          <w:marRight w:val="0"/>
          <w:marTop w:val="0"/>
          <w:marBottom w:val="0"/>
          <w:divBdr>
            <w:top w:val="none" w:sz="0" w:space="0" w:color="auto"/>
            <w:left w:val="none" w:sz="0" w:space="0" w:color="auto"/>
            <w:bottom w:val="none" w:sz="0" w:space="0" w:color="auto"/>
            <w:right w:val="none" w:sz="0" w:space="0" w:color="auto"/>
          </w:divBdr>
          <w:divsChild>
            <w:div w:id="83116713">
              <w:marLeft w:val="0"/>
              <w:marRight w:val="0"/>
              <w:marTop w:val="0"/>
              <w:marBottom w:val="0"/>
              <w:divBdr>
                <w:top w:val="none" w:sz="0" w:space="0" w:color="auto"/>
                <w:left w:val="none" w:sz="0" w:space="0" w:color="auto"/>
                <w:bottom w:val="none" w:sz="0" w:space="0" w:color="auto"/>
                <w:right w:val="none" w:sz="0" w:space="0" w:color="auto"/>
              </w:divBdr>
            </w:div>
            <w:div w:id="188682454">
              <w:marLeft w:val="0"/>
              <w:marRight w:val="0"/>
              <w:marTop w:val="0"/>
              <w:marBottom w:val="0"/>
              <w:divBdr>
                <w:top w:val="none" w:sz="0" w:space="0" w:color="auto"/>
                <w:left w:val="none" w:sz="0" w:space="0" w:color="auto"/>
                <w:bottom w:val="none" w:sz="0" w:space="0" w:color="auto"/>
                <w:right w:val="none" w:sz="0" w:space="0" w:color="auto"/>
              </w:divBdr>
            </w:div>
            <w:div w:id="280455152">
              <w:marLeft w:val="0"/>
              <w:marRight w:val="0"/>
              <w:marTop w:val="0"/>
              <w:marBottom w:val="0"/>
              <w:divBdr>
                <w:top w:val="none" w:sz="0" w:space="0" w:color="auto"/>
                <w:left w:val="none" w:sz="0" w:space="0" w:color="auto"/>
                <w:bottom w:val="none" w:sz="0" w:space="0" w:color="auto"/>
                <w:right w:val="none" w:sz="0" w:space="0" w:color="auto"/>
              </w:divBdr>
            </w:div>
            <w:div w:id="375546160">
              <w:marLeft w:val="0"/>
              <w:marRight w:val="0"/>
              <w:marTop w:val="0"/>
              <w:marBottom w:val="0"/>
              <w:divBdr>
                <w:top w:val="none" w:sz="0" w:space="0" w:color="auto"/>
                <w:left w:val="none" w:sz="0" w:space="0" w:color="auto"/>
                <w:bottom w:val="none" w:sz="0" w:space="0" w:color="auto"/>
                <w:right w:val="none" w:sz="0" w:space="0" w:color="auto"/>
              </w:divBdr>
            </w:div>
            <w:div w:id="571622345">
              <w:marLeft w:val="0"/>
              <w:marRight w:val="0"/>
              <w:marTop w:val="0"/>
              <w:marBottom w:val="0"/>
              <w:divBdr>
                <w:top w:val="none" w:sz="0" w:space="0" w:color="auto"/>
                <w:left w:val="none" w:sz="0" w:space="0" w:color="auto"/>
                <w:bottom w:val="none" w:sz="0" w:space="0" w:color="auto"/>
                <w:right w:val="none" w:sz="0" w:space="0" w:color="auto"/>
              </w:divBdr>
            </w:div>
            <w:div w:id="583146121">
              <w:marLeft w:val="0"/>
              <w:marRight w:val="0"/>
              <w:marTop w:val="0"/>
              <w:marBottom w:val="0"/>
              <w:divBdr>
                <w:top w:val="none" w:sz="0" w:space="0" w:color="auto"/>
                <w:left w:val="none" w:sz="0" w:space="0" w:color="auto"/>
                <w:bottom w:val="none" w:sz="0" w:space="0" w:color="auto"/>
                <w:right w:val="none" w:sz="0" w:space="0" w:color="auto"/>
              </w:divBdr>
            </w:div>
            <w:div w:id="704259730">
              <w:marLeft w:val="0"/>
              <w:marRight w:val="0"/>
              <w:marTop w:val="0"/>
              <w:marBottom w:val="0"/>
              <w:divBdr>
                <w:top w:val="none" w:sz="0" w:space="0" w:color="auto"/>
                <w:left w:val="none" w:sz="0" w:space="0" w:color="auto"/>
                <w:bottom w:val="none" w:sz="0" w:space="0" w:color="auto"/>
                <w:right w:val="none" w:sz="0" w:space="0" w:color="auto"/>
              </w:divBdr>
            </w:div>
            <w:div w:id="927807939">
              <w:marLeft w:val="0"/>
              <w:marRight w:val="0"/>
              <w:marTop w:val="0"/>
              <w:marBottom w:val="0"/>
              <w:divBdr>
                <w:top w:val="none" w:sz="0" w:space="0" w:color="auto"/>
                <w:left w:val="none" w:sz="0" w:space="0" w:color="auto"/>
                <w:bottom w:val="none" w:sz="0" w:space="0" w:color="auto"/>
                <w:right w:val="none" w:sz="0" w:space="0" w:color="auto"/>
              </w:divBdr>
            </w:div>
            <w:div w:id="928393526">
              <w:marLeft w:val="0"/>
              <w:marRight w:val="0"/>
              <w:marTop w:val="0"/>
              <w:marBottom w:val="0"/>
              <w:divBdr>
                <w:top w:val="none" w:sz="0" w:space="0" w:color="auto"/>
                <w:left w:val="none" w:sz="0" w:space="0" w:color="auto"/>
                <w:bottom w:val="none" w:sz="0" w:space="0" w:color="auto"/>
                <w:right w:val="none" w:sz="0" w:space="0" w:color="auto"/>
              </w:divBdr>
            </w:div>
            <w:div w:id="1144586251">
              <w:marLeft w:val="0"/>
              <w:marRight w:val="0"/>
              <w:marTop w:val="0"/>
              <w:marBottom w:val="0"/>
              <w:divBdr>
                <w:top w:val="none" w:sz="0" w:space="0" w:color="auto"/>
                <w:left w:val="none" w:sz="0" w:space="0" w:color="auto"/>
                <w:bottom w:val="none" w:sz="0" w:space="0" w:color="auto"/>
                <w:right w:val="none" w:sz="0" w:space="0" w:color="auto"/>
              </w:divBdr>
            </w:div>
            <w:div w:id="1413818395">
              <w:marLeft w:val="0"/>
              <w:marRight w:val="0"/>
              <w:marTop w:val="0"/>
              <w:marBottom w:val="0"/>
              <w:divBdr>
                <w:top w:val="none" w:sz="0" w:space="0" w:color="auto"/>
                <w:left w:val="none" w:sz="0" w:space="0" w:color="auto"/>
                <w:bottom w:val="none" w:sz="0" w:space="0" w:color="auto"/>
                <w:right w:val="none" w:sz="0" w:space="0" w:color="auto"/>
              </w:divBdr>
            </w:div>
            <w:div w:id="1441492801">
              <w:marLeft w:val="0"/>
              <w:marRight w:val="0"/>
              <w:marTop w:val="0"/>
              <w:marBottom w:val="0"/>
              <w:divBdr>
                <w:top w:val="none" w:sz="0" w:space="0" w:color="auto"/>
                <w:left w:val="none" w:sz="0" w:space="0" w:color="auto"/>
                <w:bottom w:val="none" w:sz="0" w:space="0" w:color="auto"/>
                <w:right w:val="none" w:sz="0" w:space="0" w:color="auto"/>
              </w:divBdr>
            </w:div>
          </w:divsChild>
        </w:div>
        <w:div w:id="411901331">
          <w:marLeft w:val="0"/>
          <w:marRight w:val="0"/>
          <w:marTop w:val="0"/>
          <w:marBottom w:val="0"/>
          <w:divBdr>
            <w:top w:val="none" w:sz="0" w:space="0" w:color="auto"/>
            <w:left w:val="none" w:sz="0" w:space="0" w:color="auto"/>
            <w:bottom w:val="none" w:sz="0" w:space="0" w:color="auto"/>
            <w:right w:val="none" w:sz="0" w:space="0" w:color="auto"/>
          </w:divBdr>
        </w:div>
        <w:div w:id="425541038">
          <w:marLeft w:val="0"/>
          <w:marRight w:val="0"/>
          <w:marTop w:val="0"/>
          <w:marBottom w:val="0"/>
          <w:divBdr>
            <w:top w:val="none" w:sz="0" w:space="0" w:color="auto"/>
            <w:left w:val="none" w:sz="0" w:space="0" w:color="auto"/>
            <w:bottom w:val="none" w:sz="0" w:space="0" w:color="auto"/>
            <w:right w:val="none" w:sz="0" w:space="0" w:color="auto"/>
          </w:divBdr>
        </w:div>
        <w:div w:id="784933011">
          <w:marLeft w:val="0"/>
          <w:marRight w:val="0"/>
          <w:marTop w:val="0"/>
          <w:marBottom w:val="0"/>
          <w:divBdr>
            <w:top w:val="none" w:sz="0" w:space="0" w:color="auto"/>
            <w:left w:val="none" w:sz="0" w:space="0" w:color="auto"/>
            <w:bottom w:val="none" w:sz="0" w:space="0" w:color="auto"/>
            <w:right w:val="none" w:sz="0" w:space="0" w:color="auto"/>
          </w:divBdr>
        </w:div>
        <w:div w:id="810364920">
          <w:marLeft w:val="0"/>
          <w:marRight w:val="0"/>
          <w:marTop w:val="0"/>
          <w:marBottom w:val="0"/>
          <w:divBdr>
            <w:top w:val="none" w:sz="0" w:space="0" w:color="auto"/>
            <w:left w:val="none" w:sz="0" w:space="0" w:color="auto"/>
            <w:bottom w:val="none" w:sz="0" w:space="0" w:color="auto"/>
            <w:right w:val="none" w:sz="0" w:space="0" w:color="auto"/>
          </w:divBdr>
          <w:divsChild>
            <w:div w:id="151339206">
              <w:marLeft w:val="0"/>
              <w:marRight w:val="0"/>
              <w:marTop w:val="0"/>
              <w:marBottom w:val="0"/>
              <w:divBdr>
                <w:top w:val="none" w:sz="0" w:space="0" w:color="auto"/>
                <w:left w:val="none" w:sz="0" w:space="0" w:color="auto"/>
                <w:bottom w:val="none" w:sz="0" w:space="0" w:color="auto"/>
                <w:right w:val="none" w:sz="0" w:space="0" w:color="auto"/>
              </w:divBdr>
            </w:div>
            <w:div w:id="160121220">
              <w:marLeft w:val="0"/>
              <w:marRight w:val="0"/>
              <w:marTop w:val="0"/>
              <w:marBottom w:val="0"/>
              <w:divBdr>
                <w:top w:val="none" w:sz="0" w:space="0" w:color="auto"/>
                <w:left w:val="none" w:sz="0" w:space="0" w:color="auto"/>
                <w:bottom w:val="none" w:sz="0" w:space="0" w:color="auto"/>
                <w:right w:val="none" w:sz="0" w:space="0" w:color="auto"/>
              </w:divBdr>
            </w:div>
            <w:div w:id="161044833">
              <w:marLeft w:val="0"/>
              <w:marRight w:val="0"/>
              <w:marTop w:val="0"/>
              <w:marBottom w:val="0"/>
              <w:divBdr>
                <w:top w:val="none" w:sz="0" w:space="0" w:color="auto"/>
                <w:left w:val="none" w:sz="0" w:space="0" w:color="auto"/>
                <w:bottom w:val="none" w:sz="0" w:space="0" w:color="auto"/>
                <w:right w:val="none" w:sz="0" w:space="0" w:color="auto"/>
              </w:divBdr>
            </w:div>
            <w:div w:id="174805576">
              <w:marLeft w:val="0"/>
              <w:marRight w:val="0"/>
              <w:marTop w:val="0"/>
              <w:marBottom w:val="0"/>
              <w:divBdr>
                <w:top w:val="none" w:sz="0" w:space="0" w:color="auto"/>
                <w:left w:val="none" w:sz="0" w:space="0" w:color="auto"/>
                <w:bottom w:val="none" w:sz="0" w:space="0" w:color="auto"/>
                <w:right w:val="none" w:sz="0" w:space="0" w:color="auto"/>
              </w:divBdr>
            </w:div>
            <w:div w:id="177962916">
              <w:marLeft w:val="0"/>
              <w:marRight w:val="0"/>
              <w:marTop w:val="0"/>
              <w:marBottom w:val="0"/>
              <w:divBdr>
                <w:top w:val="none" w:sz="0" w:space="0" w:color="auto"/>
                <w:left w:val="none" w:sz="0" w:space="0" w:color="auto"/>
                <w:bottom w:val="none" w:sz="0" w:space="0" w:color="auto"/>
                <w:right w:val="none" w:sz="0" w:space="0" w:color="auto"/>
              </w:divBdr>
            </w:div>
            <w:div w:id="202060582">
              <w:marLeft w:val="0"/>
              <w:marRight w:val="0"/>
              <w:marTop w:val="0"/>
              <w:marBottom w:val="0"/>
              <w:divBdr>
                <w:top w:val="none" w:sz="0" w:space="0" w:color="auto"/>
                <w:left w:val="none" w:sz="0" w:space="0" w:color="auto"/>
                <w:bottom w:val="none" w:sz="0" w:space="0" w:color="auto"/>
                <w:right w:val="none" w:sz="0" w:space="0" w:color="auto"/>
              </w:divBdr>
            </w:div>
            <w:div w:id="414089198">
              <w:marLeft w:val="0"/>
              <w:marRight w:val="0"/>
              <w:marTop w:val="0"/>
              <w:marBottom w:val="0"/>
              <w:divBdr>
                <w:top w:val="none" w:sz="0" w:space="0" w:color="auto"/>
                <w:left w:val="none" w:sz="0" w:space="0" w:color="auto"/>
                <w:bottom w:val="none" w:sz="0" w:space="0" w:color="auto"/>
                <w:right w:val="none" w:sz="0" w:space="0" w:color="auto"/>
              </w:divBdr>
            </w:div>
            <w:div w:id="486360591">
              <w:marLeft w:val="0"/>
              <w:marRight w:val="0"/>
              <w:marTop w:val="0"/>
              <w:marBottom w:val="0"/>
              <w:divBdr>
                <w:top w:val="none" w:sz="0" w:space="0" w:color="auto"/>
                <w:left w:val="none" w:sz="0" w:space="0" w:color="auto"/>
                <w:bottom w:val="none" w:sz="0" w:space="0" w:color="auto"/>
                <w:right w:val="none" w:sz="0" w:space="0" w:color="auto"/>
              </w:divBdr>
            </w:div>
            <w:div w:id="499008715">
              <w:marLeft w:val="0"/>
              <w:marRight w:val="0"/>
              <w:marTop w:val="0"/>
              <w:marBottom w:val="0"/>
              <w:divBdr>
                <w:top w:val="none" w:sz="0" w:space="0" w:color="auto"/>
                <w:left w:val="none" w:sz="0" w:space="0" w:color="auto"/>
                <w:bottom w:val="none" w:sz="0" w:space="0" w:color="auto"/>
                <w:right w:val="none" w:sz="0" w:space="0" w:color="auto"/>
              </w:divBdr>
            </w:div>
            <w:div w:id="625355018">
              <w:marLeft w:val="0"/>
              <w:marRight w:val="0"/>
              <w:marTop w:val="0"/>
              <w:marBottom w:val="0"/>
              <w:divBdr>
                <w:top w:val="none" w:sz="0" w:space="0" w:color="auto"/>
                <w:left w:val="none" w:sz="0" w:space="0" w:color="auto"/>
                <w:bottom w:val="none" w:sz="0" w:space="0" w:color="auto"/>
                <w:right w:val="none" w:sz="0" w:space="0" w:color="auto"/>
              </w:divBdr>
            </w:div>
            <w:div w:id="658458399">
              <w:marLeft w:val="0"/>
              <w:marRight w:val="0"/>
              <w:marTop w:val="0"/>
              <w:marBottom w:val="0"/>
              <w:divBdr>
                <w:top w:val="none" w:sz="0" w:space="0" w:color="auto"/>
                <w:left w:val="none" w:sz="0" w:space="0" w:color="auto"/>
                <w:bottom w:val="none" w:sz="0" w:space="0" w:color="auto"/>
                <w:right w:val="none" w:sz="0" w:space="0" w:color="auto"/>
              </w:divBdr>
            </w:div>
            <w:div w:id="920717837">
              <w:marLeft w:val="0"/>
              <w:marRight w:val="0"/>
              <w:marTop w:val="0"/>
              <w:marBottom w:val="0"/>
              <w:divBdr>
                <w:top w:val="none" w:sz="0" w:space="0" w:color="auto"/>
                <w:left w:val="none" w:sz="0" w:space="0" w:color="auto"/>
                <w:bottom w:val="none" w:sz="0" w:space="0" w:color="auto"/>
                <w:right w:val="none" w:sz="0" w:space="0" w:color="auto"/>
              </w:divBdr>
            </w:div>
            <w:div w:id="1021933911">
              <w:marLeft w:val="0"/>
              <w:marRight w:val="0"/>
              <w:marTop w:val="0"/>
              <w:marBottom w:val="0"/>
              <w:divBdr>
                <w:top w:val="none" w:sz="0" w:space="0" w:color="auto"/>
                <w:left w:val="none" w:sz="0" w:space="0" w:color="auto"/>
                <w:bottom w:val="none" w:sz="0" w:space="0" w:color="auto"/>
                <w:right w:val="none" w:sz="0" w:space="0" w:color="auto"/>
              </w:divBdr>
            </w:div>
            <w:div w:id="1238133089">
              <w:marLeft w:val="0"/>
              <w:marRight w:val="0"/>
              <w:marTop w:val="0"/>
              <w:marBottom w:val="0"/>
              <w:divBdr>
                <w:top w:val="none" w:sz="0" w:space="0" w:color="auto"/>
                <w:left w:val="none" w:sz="0" w:space="0" w:color="auto"/>
                <w:bottom w:val="none" w:sz="0" w:space="0" w:color="auto"/>
                <w:right w:val="none" w:sz="0" w:space="0" w:color="auto"/>
              </w:divBdr>
            </w:div>
            <w:div w:id="1528836363">
              <w:marLeft w:val="0"/>
              <w:marRight w:val="0"/>
              <w:marTop w:val="0"/>
              <w:marBottom w:val="0"/>
              <w:divBdr>
                <w:top w:val="none" w:sz="0" w:space="0" w:color="auto"/>
                <w:left w:val="none" w:sz="0" w:space="0" w:color="auto"/>
                <w:bottom w:val="none" w:sz="0" w:space="0" w:color="auto"/>
                <w:right w:val="none" w:sz="0" w:space="0" w:color="auto"/>
              </w:divBdr>
            </w:div>
            <w:div w:id="1575434415">
              <w:marLeft w:val="0"/>
              <w:marRight w:val="0"/>
              <w:marTop w:val="0"/>
              <w:marBottom w:val="0"/>
              <w:divBdr>
                <w:top w:val="none" w:sz="0" w:space="0" w:color="auto"/>
                <w:left w:val="none" w:sz="0" w:space="0" w:color="auto"/>
                <w:bottom w:val="none" w:sz="0" w:space="0" w:color="auto"/>
                <w:right w:val="none" w:sz="0" w:space="0" w:color="auto"/>
              </w:divBdr>
            </w:div>
            <w:div w:id="1584605420">
              <w:marLeft w:val="0"/>
              <w:marRight w:val="0"/>
              <w:marTop w:val="0"/>
              <w:marBottom w:val="0"/>
              <w:divBdr>
                <w:top w:val="none" w:sz="0" w:space="0" w:color="auto"/>
                <w:left w:val="none" w:sz="0" w:space="0" w:color="auto"/>
                <w:bottom w:val="none" w:sz="0" w:space="0" w:color="auto"/>
                <w:right w:val="none" w:sz="0" w:space="0" w:color="auto"/>
              </w:divBdr>
            </w:div>
            <w:div w:id="1791051196">
              <w:marLeft w:val="0"/>
              <w:marRight w:val="0"/>
              <w:marTop w:val="0"/>
              <w:marBottom w:val="0"/>
              <w:divBdr>
                <w:top w:val="none" w:sz="0" w:space="0" w:color="auto"/>
                <w:left w:val="none" w:sz="0" w:space="0" w:color="auto"/>
                <w:bottom w:val="none" w:sz="0" w:space="0" w:color="auto"/>
                <w:right w:val="none" w:sz="0" w:space="0" w:color="auto"/>
              </w:divBdr>
            </w:div>
            <w:div w:id="1910267755">
              <w:marLeft w:val="0"/>
              <w:marRight w:val="0"/>
              <w:marTop w:val="0"/>
              <w:marBottom w:val="0"/>
              <w:divBdr>
                <w:top w:val="none" w:sz="0" w:space="0" w:color="auto"/>
                <w:left w:val="none" w:sz="0" w:space="0" w:color="auto"/>
                <w:bottom w:val="none" w:sz="0" w:space="0" w:color="auto"/>
                <w:right w:val="none" w:sz="0" w:space="0" w:color="auto"/>
              </w:divBdr>
            </w:div>
            <w:div w:id="2072195003">
              <w:marLeft w:val="0"/>
              <w:marRight w:val="0"/>
              <w:marTop w:val="0"/>
              <w:marBottom w:val="0"/>
              <w:divBdr>
                <w:top w:val="none" w:sz="0" w:space="0" w:color="auto"/>
                <w:left w:val="none" w:sz="0" w:space="0" w:color="auto"/>
                <w:bottom w:val="none" w:sz="0" w:space="0" w:color="auto"/>
                <w:right w:val="none" w:sz="0" w:space="0" w:color="auto"/>
              </w:divBdr>
            </w:div>
          </w:divsChild>
        </w:div>
        <w:div w:id="839276462">
          <w:marLeft w:val="0"/>
          <w:marRight w:val="0"/>
          <w:marTop w:val="0"/>
          <w:marBottom w:val="0"/>
          <w:divBdr>
            <w:top w:val="none" w:sz="0" w:space="0" w:color="auto"/>
            <w:left w:val="none" w:sz="0" w:space="0" w:color="auto"/>
            <w:bottom w:val="none" w:sz="0" w:space="0" w:color="auto"/>
            <w:right w:val="none" w:sz="0" w:space="0" w:color="auto"/>
          </w:divBdr>
        </w:div>
        <w:div w:id="1061514143">
          <w:marLeft w:val="0"/>
          <w:marRight w:val="0"/>
          <w:marTop w:val="0"/>
          <w:marBottom w:val="0"/>
          <w:divBdr>
            <w:top w:val="none" w:sz="0" w:space="0" w:color="auto"/>
            <w:left w:val="none" w:sz="0" w:space="0" w:color="auto"/>
            <w:bottom w:val="none" w:sz="0" w:space="0" w:color="auto"/>
            <w:right w:val="none" w:sz="0" w:space="0" w:color="auto"/>
          </w:divBdr>
        </w:div>
        <w:div w:id="1261255341">
          <w:marLeft w:val="0"/>
          <w:marRight w:val="0"/>
          <w:marTop w:val="0"/>
          <w:marBottom w:val="0"/>
          <w:divBdr>
            <w:top w:val="none" w:sz="0" w:space="0" w:color="auto"/>
            <w:left w:val="none" w:sz="0" w:space="0" w:color="auto"/>
            <w:bottom w:val="none" w:sz="0" w:space="0" w:color="auto"/>
            <w:right w:val="none" w:sz="0" w:space="0" w:color="auto"/>
          </w:divBdr>
          <w:divsChild>
            <w:div w:id="121964665">
              <w:marLeft w:val="0"/>
              <w:marRight w:val="0"/>
              <w:marTop w:val="0"/>
              <w:marBottom w:val="0"/>
              <w:divBdr>
                <w:top w:val="none" w:sz="0" w:space="0" w:color="auto"/>
                <w:left w:val="none" w:sz="0" w:space="0" w:color="auto"/>
                <w:bottom w:val="none" w:sz="0" w:space="0" w:color="auto"/>
                <w:right w:val="none" w:sz="0" w:space="0" w:color="auto"/>
              </w:divBdr>
            </w:div>
            <w:div w:id="328095418">
              <w:marLeft w:val="0"/>
              <w:marRight w:val="0"/>
              <w:marTop w:val="0"/>
              <w:marBottom w:val="0"/>
              <w:divBdr>
                <w:top w:val="none" w:sz="0" w:space="0" w:color="auto"/>
                <w:left w:val="none" w:sz="0" w:space="0" w:color="auto"/>
                <w:bottom w:val="none" w:sz="0" w:space="0" w:color="auto"/>
                <w:right w:val="none" w:sz="0" w:space="0" w:color="auto"/>
              </w:divBdr>
            </w:div>
            <w:div w:id="545794490">
              <w:marLeft w:val="0"/>
              <w:marRight w:val="0"/>
              <w:marTop w:val="0"/>
              <w:marBottom w:val="0"/>
              <w:divBdr>
                <w:top w:val="none" w:sz="0" w:space="0" w:color="auto"/>
                <w:left w:val="none" w:sz="0" w:space="0" w:color="auto"/>
                <w:bottom w:val="none" w:sz="0" w:space="0" w:color="auto"/>
                <w:right w:val="none" w:sz="0" w:space="0" w:color="auto"/>
              </w:divBdr>
            </w:div>
            <w:div w:id="577057237">
              <w:marLeft w:val="0"/>
              <w:marRight w:val="0"/>
              <w:marTop w:val="0"/>
              <w:marBottom w:val="0"/>
              <w:divBdr>
                <w:top w:val="none" w:sz="0" w:space="0" w:color="auto"/>
                <w:left w:val="none" w:sz="0" w:space="0" w:color="auto"/>
                <w:bottom w:val="none" w:sz="0" w:space="0" w:color="auto"/>
                <w:right w:val="none" w:sz="0" w:space="0" w:color="auto"/>
              </w:divBdr>
            </w:div>
            <w:div w:id="628977996">
              <w:marLeft w:val="0"/>
              <w:marRight w:val="0"/>
              <w:marTop w:val="0"/>
              <w:marBottom w:val="0"/>
              <w:divBdr>
                <w:top w:val="none" w:sz="0" w:space="0" w:color="auto"/>
                <w:left w:val="none" w:sz="0" w:space="0" w:color="auto"/>
                <w:bottom w:val="none" w:sz="0" w:space="0" w:color="auto"/>
                <w:right w:val="none" w:sz="0" w:space="0" w:color="auto"/>
              </w:divBdr>
            </w:div>
            <w:div w:id="687095821">
              <w:marLeft w:val="0"/>
              <w:marRight w:val="0"/>
              <w:marTop w:val="0"/>
              <w:marBottom w:val="0"/>
              <w:divBdr>
                <w:top w:val="none" w:sz="0" w:space="0" w:color="auto"/>
                <w:left w:val="none" w:sz="0" w:space="0" w:color="auto"/>
                <w:bottom w:val="none" w:sz="0" w:space="0" w:color="auto"/>
                <w:right w:val="none" w:sz="0" w:space="0" w:color="auto"/>
              </w:divBdr>
            </w:div>
            <w:div w:id="720521777">
              <w:marLeft w:val="0"/>
              <w:marRight w:val="0"/>
              <w:marTop w:val="0"/>
              <w:marBottom w:val="0"/>
              <w:divBdr>
                <w:top w:val="none" w:sz="0" w:space="0" w:color="auto"/>
                <w:left w:val="none" w:sz="0" w:space="0" w:color="auto"/>
                <w:bottom w:val="none" w:sz="0" w:space="0" w:color="auto"/>
                <w:right w:val="none" w:sz="0" w:space="0" w:color="auto"/>
              </w:divBdr>
            </w:div>
            <w:div w:id="815100424">
              <w:marLeft w:val="0"/>
              <w:marRight w:val="0"/>
              <w:marTop w:val="0"/>
              <w:marBottom w:val="0"/>
              <w:divBdr>
                <w:top w:val="none" w:sz="0" w:space="0" w:color="auto"/>
                <w:left w:val="none" w:sz="0" w:space="0" w:color="auto"/>
                <w:bottom w:val="none" w:sz="0" w:space="0" w:color="auto"/>
                <w:right w:val="none" w:sz="0" w:space="0" w:color="auto"/>
              </w:divBdr>
            </w:div>
            <w:div w:id="821197633">
              <w:marLeft w:val="0"/>
              <w:marRight w:val="0"/>
              <w:marTop w:val="0"/>
              <w:marBottom w:val="0"/>
              <w:divBdr>
                <w:top w:val="none" w:sz="0" w:space="0" w:color="auto"/>
                <w:left w:val="none" w:sz="0" w:space="0" w:color="auto"/>
                <w:bottom w:val="none" w:sz="0" w:space="0" w:color="auto"/>
                <w:right w:val="none" w:sz="0" w:space="0" w:color="auto"/>
              </w:divBdr>
            </w:div>
            <w:div w:id="856652664">
              <w:marLeft w:val="0"/>
              <w:marRight w:val="0"/>
              <w:marTop w:val="0"/>
              <w:marBottom w:val="0"/>
              <w:divBdr>
                <w:top w:val="none" w:sz="0" w:space="0" w:color="auto"/>
                <w:left w:val="none" w:sz="0" w:space="0" w:color="auto"/>
                <w:bottom w:val="none" w:sz="0" w:space="0" w:color="auto"/>
                <w:right w:val="none" w:sz="0" w:space="0" w:color="auto"/>
              </w:divBdr>
            </w:div>
            <w:div w:id="894003290">
              <w:marLeft w:val="0"/>
              <w:marRight w:val="0"/>
              <w:marTop w:val="0"/>
              <w:marBottom w:val="0"/>
              <w:divBdr>
                <w:top w:val="none" w:sz="0" w:space="0" w:color="auto"/>
                <w:left w:val="none" w:sz="0" w:space="0" w:color="auto"/>
                <w:bottom w:val="none" w:sz="0" w:space="0" w:color="auto"/>
                <w:right w:val="none" w:sz="0" w:space="0" w:color="auto"/>
              </w:divBdr>
            </w:div>
            <w:div w:id="982201232">
              <w:marLeft w:val="0"/>
              <w:marRight w:val="0"/>
              <w:marTop w:val="0"/>
              <w:marBottom w:val="0"/>
              <w:divBdr>
                <w:top w:val="none" w:sz="0" w:space="0" w:color="auto"/>
                <w:left w:val="none" w:sz="0" w:space="0" w:color="auto"/>
                <w:bottom w:val="none" w:sz="0" w:space="0" w:color="auto"/>
                <w:right w:val="none" w:sz="0" w:space="0" w:color="auto"/>
              </w:divBdr>
            </w:div>
            <w:div w:id="1159157297">
              <w:marLeft w:val="0"/>
              <w:marRight w:val="0"/>
              <w:marTop w:val="0"/>
              <w:marBottom w:val="0"/>
              <w:divBdr>
                <w:top w:val="none" w:sz="0" w:space="0" w:color="auto"/>
                <w:left w:val="none" w:sz="0" w:space="0" w:color="auto"/>
                <w:bottom w:val="none" w:sz="0" w:space="0" w:color="auto"/>
                <w:right w:val="none" w:sz="0" w:space="0" w:color="auto"/>
              </w:divBdr>
            </w:div>
            <w:div w:id="1247884286">
              <w:marLeft w:val="0"/>
              <w:marRight w:val="0"/>
              <w:marTop w:val="0"/>
              <w:marBottom w:val="0"/>
              <w:divBdr>
                <w:top w:val="none" w:sz="0" w:space="0" w:color="auto"/>
                <w:left w:val="none" w:sz="0" w:space="0" w:color="auto"/>
                <w:bottom w:val="none" w:sz="0" w:space="0" w:color="auto"/>
                <w:right w:val="none" w:sz="0" w:space="0" w:color="auto"/>
              </w:divBdr>
            </w:div>
            <w:div w:id="1329403474">
              <w:marLeft w:val="0"/>
              <w:marRight w:val="0"/>
              <w:marTop w:val="0"/>
              <w:marBottom w:val="0"/>
              <w:divBdr>
                <w:top w:val="none" w:sz="0" w:space="0" w:color="auto"/>
                <w:left w:val="none" w:sz="0" w:space="0" w:color="auto"/>
                <w:bottom w:val="none" w:sz="0" w:space="0" w:color="auto"/>
                <w:right w:val="none" w:sz="0" w:space="0" w:color="auto"/>
              </w:divBdr>
            </w:div>
            <w:div w:id="1367096194">
              <w:marLeft w:val="0"/>
              <w:marRight w:val="0"/>
              <w:marTop w:val="0"/>
              <w:marBottom w:val="0"/>
              <w:divBdr>
                <w:top w:val="none" w:sz="0" w:space="0" w:color="auto"/>
                <w:left w:val="none" w:sz="0" w:space="0" w:color="auto"/>
                <w:bottom w:val="none" w:sz="0" w:space="0" w:color="auto"/>
                <w:right w:val="none" w:sz="0" w:space="0" w:color="auto"/>
              </w:divBdr>
            </w:div>
            <w:div w:id="1488740091">
              <w:marLeft w:val="0"/>
              <w:marRight w:val="0"/>
              <w:marTop w:val="0"/>
              <w:marBottom w:val="0"/>
              <w:divBdr>
                <w:top w:val="none" w:sz="0" w:space="0" w:color="auto"/>
                <w:left w:val="none" w:sz="0" w:space="0" w:color="auto"/>
                <w:bottom w:val="none" w:sz="0" w:space="0" w:color="auto"/>
                <w:right w:val="none" w:sz="0" w:space="0" w:color="auto"/>
              </w:divBdr>
            </w:div>
            <w:div w:id="1594321709">
              <w:marLeft w:val="0"/>
              <w:marRight w:val="0"/>
              <w:marTop w:val="0"/>
              <w:marBottom w:val="0"/>
              <w:divBdr>
                <w:top w:val="none" w:sz="0" w:space="0" w:color="auto"/>
                <w:left w:val="none" w:sz="0" w:space="0" w:color="auto"/>
                <w:bottom w:val="none" w:sz="0" w:space="0" w:color="auto"/>
                <w:right w:val="none" w:sz="0" w:space="0" w:color="auto"/>
              </w:divBdr>
            </w:div>
            <w:div w:id="1718703624">
              <w:marLeft w:val="0"/>
              <w:marRight w:val="0"/>
              <w:marTop w:val="0"/>
              <w:marBottom w:val="0"/>
              <w:divBdr>
                <w:top w:val="none" w:sz="0" w:space="0" w:color="auto"/>
                <w:left w:val="none" w:sz="0" w:space="0" w:color="auto"/>
                <w:bottom w:val="none" w:sz="0" w:space="0" w:color="auto"/>
                <w:right w:val="none" w:sz="0" w:space="0" w:color="auto"/>
              </w:divBdr>
            </w:div>
            <w:div w:id="1737586480">
              <w:marLeft w:val="0"/>
              <w:marRight w:val="0"/>
              <w:marTop w:val="0"/>
              <w:marBottom w:val="0"/>
              <w:divBdr>
                <w:top w:val="none" w:sz="0" w:space="0" w:color="auto"/>
                <w:left w:val="none" w:sz="0" w:space="0" w:color="auto"/>
                <w:bottom w:val="none" w:sz="0" w:space="0" w:color="auto"/>
                <w:right w:val="none" w:sz="0" w:space="0" w:color="auto"/>
              </w:divBdr>
            </w:div>
          </w:divsChild>
        </w:div>
        <w:div w:id="1297105728">
          <w:marLeft w:val="0"/>
          <w:marRight w:val="0"/>
          <w:marTop w:val="0"/>
          <w:marBottom w:val="0"/>
          <w:divBdr>
            <w:top w:val="none" w:sz="0" w:space="0" w:color="auto"/>
            <w:left w:val="none" w:sz="0" w:space="0" w:color="auto"/>
            <w:bottom w:val="none" w:sz="0" w:space="0" w:color="auto"/>
            <w:right w:val="none" w:sz="0" w:space="0" w:color="auto"/>
          </w:divBdr>
        </w:div>
        <w:div w:id="1532497112">
          <w:marLeft w:val="0"/>
          <w:marRight w:val="0"/>
          <w:marTop w:val="0"/>
          <w:marBottom w:val="0"/>
          <w:divBdr>
            <w:top w:val="none" w:sz="0" w:space="0" w:color="auto"/>
            <w:left w:val="none" w:sz="0" w:space="0" w:color="auto"/>
            <w:bottom w:val="none" w:sz="0" w:space="0" w:color="auto"/>
            <w:right w:val="none" w:sz="0" w:space="0" w:color="auto"/>
          </w:divBdr>
        </w:div>
        <w:div w:id="1592733433">
          <w:marLeft w:val="0"/>
          <w:marRight w:val="0"/>
          <w:marTop w:val="0"/>
          <w:marBottom w:val="0"/>
          <w:divBdr>
            <w:top w:val="none" w:sz="0" w:space="0" w:color="auto"/>
            <w:left w:val="none" w:sz="0" w:space="0" w:color="auto"/>
            <w:bottom w:val="none" w:sz="0" w:space="0" w:color="auto"/>
            <w:right w:val="none" w:sz="0" w:space="0" w:color="auto"/>
          </w:divBdr>
        </w:div>
        <w:div w:id="1644506176">
          <w:marLeft w:val="0"/>
          <w:marRight w:val="0"/>
          <w:marTop w:val="0"/>
          <w:marBottom w:val="0"/>
          <w:divBdr>
            <w:top w:val="none" w:sz="0" w:space="0" w:color="auto"/>
            <w:left w:val="none" w:sz="0" w:space="0" w:color="auto"/>
            <w:bottom w:val="none" w:sz="0" w:space="0" w:color="auto"/>
            <w:right w:val="none" w:sz="0" w:space="0" w:color="auto"/>
          </w:divBdr>
        </w:div>
        <w:div w:id="2012829227">
          <w:marLeft w:val="0"/>
          <w:marRight w:val="0"/>
          <w:marTop w:val="0"/>
          <w:marBottom w:val="0"/>
          <w:divBdr>
            <w:top w:val="none" w:sz="0" w:space="0" w:color="auto"/>
            <w:left w:val="none" w:sz="0" w:space="0" w:color="auto"/>
            <w:bottom w:val="none" w:sz="0" w:space="0" w:color="auto"/>
            <w:right w:val="none" w:sz="0" w:space="0" w:color="auto"/>
          </w:divBdr>
        </w:div>
      </w:divsChild>
    </w:div>
    <w:div w:id="817497897">
      <w:bodyDiv w:val="1"/>
      <w:marLeft w:val="0"/>
      <w:marRight w:val="0"/>
      <w:marTop w:val="0"/>
      <w:marBottom w:val="0"/>
      <w:divBdr>
        <w:top w:val="none" w:sz="0" w:space="0" w:color="auto"/>
        <w:left w:val="none" w:sz="0" w:space="0" w:color="auto"/>
        <w:bottom w:val="none" w:sz="0" w:space="0" w:color="auto"/>
        <w:right w:val="none" w:sz="0" w:space="0" w:color="auto"/>
      </w:divBdr>
      <w:divsChild>
        <w:div w:id="214396719">
          <w:marLeft w:val="0"/>
          <w:marRight w:val="0"/>
          <w:marTop w:val="0"/>
          <w:marBottom w:val="0"/>
          <w:divBdr>
            <w:top w:val="none" w:sz="0" w:space="0" w:color="auto"/>
            <w:left w:val="none" w:sz="0" w:space="0" w:color="auto"/>
            <w:bottom w:val="none" w:sz="0" w:space="0" w:color="auto"/>
            <w:right w:val="none" w:sz="0" w:space="0" w:color="auto"/>
          </w:divBdr>
        </w:div>
        <w:div w:id="281033789">
          <w:marLeft w:val="0"/>
          <w:marRight w:val="0"/>
          <w:marTop w:val="0"/>
          <w:marBottom w:val="0"/>
          <w:divBdr>
            <w:top w:val="none" w:sz="0" w:space="0" w:color="auto"/>
            <w:left w:val="none" w:sz="0" w:space="0" w:color="auto"/>
            <w:bottom w:val="none" w:sz="0" w:space="0" w:color="auto"/>
            <w:right w:val="none" w:sz="0" w:space="0" w:color="auto"/>
          </w:divBdr>
        </w:div>
        <w:div w:id="404113685">
          <w:marLeft w:val="0"/>
          <w:marRight w:val="0"/>
          <w:marTop w:val="0"/>
          <w:marBottom w:val="0"/>
          <w:divBdr>
            <w:top w:val="none" w:sz="0" w:space="0" w:color="auto"/>
            <w:left w:val="none" w:sz="0" w:space="0" w:color="auto"/>
            <w:bottom w:val="none" w:sz="0" w:space="0" w:color="auto"/>
            <w:right w:val="none" w:sz="0" w:space="0" w:color="auto"/>
          </w:divBdr>
        </w:div>
        <w:div w:id="893925133">
          <w:marLeft w:val="0"/>
          <w:marRight w:val="0"/>
          <w:marTop w:val="0"/>
          <w:marBottom w:val="0"/>
          <w:divBdr>
            <w:top w:val="none" w:sz="0" w:space="0" w:color="auto"/>
            <w:left w:val="none" w:sz="0" w:space="0" w:color="auto"/>
            <w:bottom w:val="none" w:sz="0" w:space="0" w:color="auto"/>
            <w:right w:val="none" w:sz="0" w:space="0" w:color="auto"/>
          </w:divBdr>
        </w:div>
        <w:div w:id="1597859642">
          <w:marLeft w:val="0"/>
          <w:marRight w:val="0"/>
          <w:marTop w:val="0"/>
          <w:marBottom w:val="0"/>
          <w:divBdr>
            <w:top w:val="none" w:sz="0" w:space="0" w:color="auto"/>
            <w:left w:val="none" w:sz="0" w:space="0" w:color="auto"/>
            <w:bottom w:val="none" w:sz="0" w:space="0" w:color="auto"/>
            <w:right w:val="none" w:sz="0" w:space="0" w:color="auto"/>
          </w:divBdr>
        </w:div>
      </w:divsChild>
    </w:div>
    <w:div w:id="843476434">
      <w:bodyDiv w:val="1"/>
      <w:marLeft w:val="0"/>
      <w:marRight w:val="0"/>
      <w:marTop w:val="0"/>
      <w:marBottom w:val="0"/>
      <w:divBdr>
        <w:top w:val="none" w:sz="0" w:space="0" w:color="auto"/>
        <w:left w:val="none" w:sz="0" w:space="0" w:color="auto"/>
        <w:bottom w:val="none" w:sz="0" w:space="0" w:color="auto"/>
        <w:right w:val="none" w:sz="0" w:space="0" w:color="auto"/>
      </w:divBdr>
    </w:div>
    <w:div w:id="847793201">
      <w:bodyDiv w:val="1"/>
      <w:marLeft w:val="0"/>
      <w:marRight w:val="0"/>
      <w:marTop w:val="0"/>
      <w:marBottom w:val="0"/>
      <w:divBdr>
        <w:top w:val="none" w:sz="0" w:space="0" w:color="auto"/>
        <w:left w:val="none" w:sz="0" w:space="0" w:color="auto"/>
        <w:bottom w:val="none" w:sz="0" w:space="0" w:color="auto"/>
        <w:right w:val="none" w:sz="0" w:space="0" w:color="auto"/>
      </w:divBdr>
      <w:divsChild>
        <w:div w:id="174806725">
          <w:marLeft w:val="0"/>
          <w:marRight w:val="0"/>
          <w:marTop w:val="0"/>
          <w:marBottom w:val="0"/>
          <w:divBdr>
            <w:top w:val="none" w:sz="0" w:space="0" w:color="auto"/>
            <w:left w:val="none" w:sz="0" w:space="0" w:color="auto"/>
            <w:bottom w:val="none" w:sz="0" w:space="0" w:color="auto"/>
            <w:right w:val="none" w:sz="0" w:space="0" w:color="auto"/>
          </w:divBdr>
        </w:div>
        <w:div w:id="327948217">
          <w:marLeft w:val="0"/>
          <w:marRight w:val="0"/>
          <w:marTop w:val="0"/>
          <w:marBottom w:val="0"/>
          <w:divBdr>
            <w:top w:val="none" w:sz="0" w:space="0" w:color="auto"/>
            <w:left w:val="none" w:sz="0" w:space="0" w:color="auto"/>
            <w:bottom w:val="none" w:sz="0" w:space="0" w:color="auto"/>
            <w:right w:val="none" w:sz="0" w:space="0" w:color="auto"/>
          </w:divBdr>
        </w:div>
        <w:div w:id="1678386286">
          <w:marLeft w:val="0"/>
          <w:marRight w:val="0"/>
          <w:marTop w:val="0"/>
          <w:marBottom w:val="0"/>
          <w:divBdr>
            <w:top w:val="none" w:sz="0" w:space="0" w:color="auto"/>
            <w:left w:val="none" w:sz="0" w:space="0" w:color="auto"/>
            <w:bottom w:val="none" w:sz="0" w:space="0" w:color="auto"/>
            <w:right w:val="none" w:sz="0" w:space="0" w:color="auto"/>
          </w:divBdr>
        </w:div>
      </w:divsChild>
    </w:div>
    <w:div w:id="850870874">
      <w:bodyDiv w:val="1"/>
      <w:marLeft w:val="0"/>
      <w:marRight w:val="0"/>
      <w:marTop w:val="0"/>
      <w:marBottom w:val="0"/>
      <w:divBdr>
        <w:top w:val="none" w:sz="0" w:space="0" w:color="auto"/>
        <w:left w:val="none" w:sz="0" w:space="0" w:color="auto"/>
        <w:bottom w:val="none" w:sz="0" w:space="0" w:color="auto"/>
        <w:right w:val="none" w:sz="0" w:space="0" w:color="auto"/>
      </w:divBdr>
    </w:div>
    <w:div w:id="851921443">
      <w:bodyDiv w:val="1"/>
      <w:marLeft w:val="0"/>
      <w:marRight w:val="0"/>
      <w:marTop w:val="0"/>
      <w:marBottom w:val="0"/>
      <w:divBdr>
        <w:top w:val="none" w:sz="0" w:space="0" w:color="auto"/>
        <w:left w:val="none" w:sz="0" w:space="0" w:color="auto"/>
        <w:bottom w:val="none" w:sz="0" w:space="0" w:color="auto"/>
        <w:right w:val="none" w:sz="0" w:space="0" w:color="auto"/>
      </w:divBdr>
    </w:div>
    <w:div w:id="859201447">
      <w:bodyDiv w:val="1"/>
      <w:marLeft w:val="0"/>
      <w:marRight w:val="0"/>
      <w:marTop w:val="0"/>
      <w:marBottom w:val="0"/>
      <w:divBdr>
        <w:top w:val="none" w:sz="0" w:space="0" w:color="auto"/>
        <w:left w:val="none" w:sz="0" w:space="0" w:color="auto"/>
        <w:bottom w:val="none" w:sz="0" w:space="0" w:color="auto"/>
        <w:right w:val="none" w:sz="0" w:space="0" w:color="auto"/>
      </w:divBdr>
    </w:div>
    <w:div w:id="874729211">
      <w:bodyDiv w:val="1"/>
      <w:marLeft w:val="0"/>
      <w:marRight w:val="0"/>
      <w:marTop w:val="0"/>
      <w:marBottom w:val="0"/>
      <w:divBdr>
        <w:top w:val="none" w:sz="0" w:space="0" w:color="auto"/>
        <w:left w:val="none" w:sz="0" w:space="0" w:color="auto"/>
        <w:bottom w:val="none" w:sz="0" w:space="0" w:color="auto"/>
        <w:right w:val="none" w:sz="0" w:space="0" w:color="auto"/>
      </w:divBdr>
      <w:divsChild>
        <w:div w:id="1029796710">
          <w:marLeft w:val="0"/>
          <w:marRight w:val="0"/>
          <w:marTop w:val="0"/>
          <w:marBottom w:val="0"/>
          <w:divBdr>
            <w:top w:val="none" w:sz="0" w:space="0" w:color="auto"/>
            <w:left w:val="none" w:sz="0" w:space="0" w:color="auto"/>
            <w:bottom w:val="none" w:sz="0" w:space="0" w:color="auto"/>
            <w:right w:val="none" w:sz="0" w:space="0" w:color="auto"/>
          </w:divBdr>
        </w:div>
        <w:div w:id="1359890412">
          <w:marLeft w:val="0"/>
          <w:marRight w:val="0"/>
          <w:marTop w:val="0"/>
          <w:marBottom w:val="0"/>
          <w:divBdr>
            <w:top w:val="none" w:sz="0" w:space="0" w:color="auto"/>
            <w:left w:val="none" w:sz="0" w:space="0" w:color="auto"/>
            <w:bottom w:val="none" w:sz="0" w:space="0" w:color="auto"/>
            <w:right w:val="none" w:sz="0" w:space="0" w:color="auto"/>
          </w:divBdr>
        </w:div>
        <w:div w:id="1402941188">
          <w:marLeft w:val="0"/>
          <w:marRight w:val="0"/>
          <w:marTop w:val="0"/>
          <w:marBottom w:val="0"/>
          <w:divBdr>
            <w:top w:val="none" w:sz="0" w:space="0" w:color="auto"/>
            <w:left w:val="none" w:sz="0" w:space="0" w:color="auto"/>
            <w:bottom w:val="none" w:sz="0" w:space="0" w:color="auto"/>
            <w:right w:val="none" w:sz="0" w:space="0" w:color="auto"/>
          </w:divBdr>
        </w:div>
        <w:div w:id="1473015925">
          <w:marLeft w:val="0"/>
          <w:marRight w:val="0"/>
          <w:marTop w:val="0"/>
          <w:marBottom w:val="0"/>
          <w:divBdr>
            <w:top w:val="none" w:sz="0" w:space="0" w:color="auto"/>
            <w:left w:val="none" w:sz="0" w:space="0" w:color="auto"/>
            <w:bottom w:val="none" w:sz="0" w:space="0" w:color="auto"/>
            <w:right w:val="none" w:sz="0" w:space="0" w:color="auto"/>
          </w:divBdr>
        </w:div>
        <w:div w:id="1641306304">
          <w:marLeft w:val="0"/>
          <w:marRight w:val="0"/>
          <w:marTop w:val="0"/>
          <w:marBottom w:val="0"/>
          <w:divBdr>
            <w:top w:val="none" w:sz="0" w:space="0" w:color="auto"/>
            <w:left w:val="none" w:sz="0" w:space="0" w:color="auto"/>
            <w:bottom w:val="none" w:sz="0" w:space="0" w:color="auto"/>
            <w:right w:val="none" w:sz="0" w:space="0" w:color="auto"/>
          </w:divBdr>
        </w:div>
        <w:div w:id="1648435133">
          <w:marLeft w:val="0"/>
          <w:marRight w:val="0"/>
          <w:marTop w:val="0"/>
          <w:marBottom w:val="0"/>
          <w:divBdr>
            <w:top w:val="none" w:sz="0" w:space="0" w:color="auto"/>
            <w:left w:val="none" w:sz="0" w:space="0" w:color="auto"/>
            <w:bottom w:val="none" w:sz="0" w:space="0" w:color="auto"/>
            <w:right w:val="none" w:sz="0" w:space="0" w:color="auto"/>
          </w:divBdr>
        </w:div>
        <w:div w:id="1761219417">
          <w:marLeft w:val="0"/>
          <w:marRight w:val="0"/>
          <w:marTop w:val="0"/>
          <w:marBottom w:val="0"/>
          <w:divBdr>
            <w:top w:val="none" w:sz="0" w:space="0" w:color="auto"/>
            <w:left w:val="none" w:sz="0" w:space="0" w:color="auto"/>
            <w:bottom w:val="none" w:sz="0" w:space="0" w:color="auto"/>
            <w:right w:val="none" w:sz="0" w:space="0" w:color="auto"/>
          </w:divBdr>
        </w:div>
      </w:divsChild>
    </w:div>
    <w:div w:id="880750469">
      <w:bodyDiv w:val="1"/>
      <w:marLeft w:val="0"/>
      <w:marRight w:val="0"/>
      <w:marTop w:val="0"/>
      <w:marBottom w:val="0"/>
      <w:divBdr>
        <w:top w:val="none" w:sz="0" w:space="0" w:color="auto"/>
        <w:left w:val="none" w:sz="0" w:space="0" w:color="auto"/>
        <w:bottom w:val="none" w:sz="0" w:space="0" w:color="auto"/>
        <w:right w:val="none" w:sz="0" w:space="0" w:color="auto"/>
      </w:divBdr>
      <w:divsChild>
        <w:div w:id="122577139">
          <w:marLeft w:val="0"/>
          <w:marRight w:val="0"/>
          <w:marTop w:val="0"/>
          <w:marBottom w:val="0"/>
          <w:divBdr>
            <w:top w:val="none" w:sz="0" w:space="0" w:color="auto"/>
            <w:left w:val="none" w:sz="0" w:space="0" w:color="auto"/>
            <w:bottom w:val="none" w:sz="0" w:space="0" w:color="auto"/>
            <w:right w:val="none" w:sz="0" w:space="0" w:color="auto"/>
          </w:divBdr>
        </w:div>
        <w:div w:id="944188558">
          <w:marLeft w:val="0"/>
          <w:marRight w:val="0"/>
          <w:marTop w:val="0"/>
          <w:marBottom w:val="0"/>
          <w:divBdr>
            <w:top w:val="none" w:sz="0" w:space="0" w:color="auto"/>
            <w:left w:val="none" w:sz="0" w:space="0" w:color="auto"/>
            <w:bottom w:val="none" w:sz="0" w:space="0" w:color="auto"/>
            <w:right w:val="none" w:sz="0" w:space="0" w:color="auto"/>
          </w:divBdr>
          <w:divsChild>
            <w:div w:id="64257294">
              <w:marLeft w:val="0"/>
              <w:marRight w:val="0"/>
              <w:marTop w:val="0"/>
              <w:marBottom w:val="0"/>
              <w:divBdr>
                <w:top w:val="none" w:sz="0" w:space="0" w:color="auto"/>
                <w:left w:val="none" w:sz="0" w:space="0" w:color="auto"/>
                <w:bottom w:val="none" w:sz="0" w:space="0" w:color="auto"/>
                <w:right w:val="none" w:sz="0" w:space="0" w:color="auto"/>
              </w:divBdr>
            </w:div>
            <w:div w:id="206183256">
              <w:marLeft w:val="0"/>
              <w:marRight w:val="0"/>
              <w:marTop w:val="0"/>
              <w:marBottom w:val="0"/>
              <w:divBdr>
                <w:top w:val="none" w:sz="0" w:space="0" w:color="auto"/>
                <w:left w:val="none" w:sz="0" w:space="0" w:color="auto"/>
                <w:bottom w:val="none" w:sz="0" w:space="0" w:color="auto"/>
                <w:right w:val="none" w:sz="0" w:space="0" w:color="auto"/>
              </w:divBdr>
            </w:div>
            <w:div w:id="397217307">
              <w:marLeft w:val="0"/>
              <w:marRight w:val="0"/>
              <w:marTop w:val="0"/>
              <w:marBottom w:val="0"/>
              <w:divBdr>
                <w:top w:val="none" w:sz="0" w:space="0" w:color="auto"/>
                <w:left w:val="none" w:sz="0" w:space="0" w:color="auto"/>
                <w:bottom w:val="none" w:sz="0" w:space="0" w:color="auto"/>
                <w:right w:val="none" w:sz="0" w:space="0" w:color="auto"/>
              </w:divBdr>
            </w:div>
            <w:div w:id="442923945">
              <w:marLeft w:val="0"/>
              <w:marRight w:val="0"/>
              <w:marTop w:val="0"/>
              <w:marBottom w:val="0"/>
              <w:divBdr>
                <w:top w:val="none" w:sz="0" w:space="0" w:color="auto"/>
                <w:left w:val="none" w:sz="0" w:space="0" w:color="auto"/>
                <w:bottom w:val="none" w:sz="0" w:space="0" w:color="auto"/>
                <w:right w:val="none" w:sz="0" w:space="0" w:color="auto"/>
              </w:divBdr>
            </w:div>
            <w:div w:id="611085044">
              <w:marLeft w:val="0"/>
              <w:marRight w:val="0"/>
              <w:marTop w:val="0"/>
              <w:marBottom w:val="0"/>
              <w:divBdr>
                <w:top w:val="none" w:sz="0" w:space="0" w:color="auto"/>
                <w:left w:val="none" w:sz="0" w:space="0" w:color="auto"/>
                <w:bottom w:val="none" w:sz="0" w:space="0" w:color="auto"/>
                <w:right w:val="none" w:sz="0" w:space="0" w:color="auto"/>
              </w:divBdr>
            </w:div>
            <w:div w:id="631593014">
              <w:marLeft w:val="0"/>
              <w:marRight w:val="0"/>
              <w:marTop w:val="0"/>
              <w:marBottom w:val="0"/>
              <w:divBdr>
                <w:top w:val="none" w:sz="0" w:space="0" w:color="auto"/>
                <w:left w:val="none" w:sz="0" w:space="0" w:color="auto"/>
                <w:bottom w:val="none" w:sz="0" w:space="0" w:color="auto"/>
                <w:right w:val="none" w:sz="0" w:space="0" w:color="auto"/>
              </w:divBdr>
            </w:div>
            <w:div w:id="706226326">
              <w:marLeft w:val="0"/>
              <w:marRight w:val="0"/>
              <w:marTop w:val="0"/>
              <w:marBottom w:val="0"/>
              <w:divBdr>
                <w:top w:val="none" w:sz="0" w:space="0" w:color="auto"/>
                <w:left w:val="none" w:sz="0" w:space="0" w:color="auto"/>
                <w:bottom w:val="none" w:sz="0" w:space="0" w:color="auto"/>
                <w:right w:val="none" w:sz="0" w:space="0" w:color="auto"/>
              </w:divBdr>
            </w:div>
            <w:div w:id="729307274">
              <w:marLeft w:val="0"/>
              <w:marRight w:val="0"/>
              <w:marTop w:val="0"/>
              <w:marBottom w:val="0"/>
              <w:divBdr>
                <w:top w:val="none" w:sz="0" w:space="0" w:color="auto"/>
                <w:left w:val="none" w:sz="0" w:space="0" w:color="auto"/>
                <w:bottom w:val="none" w:sz="0" w:space="0" w:color="auto"/>
                <w:right w:val="none" w:sz="0" w:space="0" w:color="auto"/>
              </w:divBdr>
            </w:div>
            <w:div w:id="771436154">
              <w:marLeft w:val="0"/>
              <w:marRight w:val="0"/>
              <w:marTop w:val="0"/>
              <w:marBottom w:val="0"/>
              <w:divBdr>
                <w:top w:val="none" w:sz="0" w:space="0" w:color="auto"/>
                <w:left w:val="none" w:sz="0" w:space="0" w:color="auto"/>
                <w:bottom w:val="none" w:sz="0" w:space="0" w:color="auto"/>
                <w:right w:val="none" w:sz="0" w:space="0" w:color="auto"/>
              </w:divBdr>
            </w:div>
            <w:div w:id="790125023">
              <w:marLeft w:val="0"/>
              <w:marRight w:val="0"/>
              <w:marTop w:val="0"/>
              <w:marBottom w:val="0"/>
              <w:divBdr>
                <w:top w:val="none" w:sz="0" w:space="0" w:color="auto"/>
                <w:left w:val="none" w:sz="0" w:space="0" w:color="auto"/>
                <w:bottom w:val="none" w:sz="0" w:space="0" w:color="auto"/>
                <w:right w:val="none" w:sz="0" w:space="0" w:color="auto"/>
              </w:divBdr>
            </w:div>
            <w:div w:id="909462892">
              <w:marLeft w:val="0"/>
              <w:marRight w:val="0"/>
              <w:marTop w:val="0"/>
              <w:marBottom w:val="0"/>
              <w:divBdr>
                <w:top w:val="none" w:sz="0" w:space="0" w:color="auto"/>
                <w:left w:val="none" w:sz="0" w:space="0" w:color="auto"/>
                <w:bottom w:val="none" w:sz="0" w:space="0" w:color="auto"/>
                <w:right w:val="none" w:sz="0" w:space="0" w:color="auto"/>
              </w:divBdr>
            </w:div>
            <w:div w:id="1030305342">
              <w:marLeft w:val="0"/>
              <w:marRight w:val="0"/>
              <w:marTop w:val="0"/>
              <w:marBottom w:val="0"/>
              <w:divBdr>
                <w:top w:val="none" w:sz="0" w:space="0" w:color="auto"/>
                <w:left w:val="none" w:sz="0" w:space="0" w:color="auto"/>
                <w:bottom w:val="none" w:sz="0" w:space="0" w:color="auto"/>
                <w:right w:val="none" w:sz="0" w:space="0" w:color="auto"/>
              </w:divBdr>
            </w:div>
            <w:div w:id="1210652833">
              <w:marLeft w:val="0"/>
              <w:marRight w:val="0"/>
              <w:marTop w:val="0"/>
              <w:marBottom w:val="0"/>
              <w:divBdr>
                <w:top w:val="none" w:sz="0" w:space="0" w:color="auto"/>
                <w:left w:val="none" w:sz="0" w:space="0" w:color="auto"/>
                <w:bottom w:val="none" w:sz="0" w:space="0" w:color="auto"/>
                <w:right w:val="none" w:sz="0" w:space="0" w:color="auto"/>
              </w:divBdr>
            </w:div>
            <w:div w:id="1341007706">
              <w:marLeft w:val="0"/>
              <w:marRight w:val="0"/>
              <w:marTop w:val="0"/>
              <w:marBottom w:val="0"/>
              <w:divBdr>
                <w:top w:val="none" w:sz="0" w:space="0" w:color="auto"/>
                <w:left w:val="none" w:sz="0" w:space="0" w:color="auto"/>
                <w:bottom w:val="none" w:sz="0" w:space="0" w:color="auto"/>
                <w:right w:val="none" w:sz="0" w:space="0" w:color="auto"/>
              </w:divBdr>
            </w:div>
          </w:divsChild>
        </w:div>
        <w:div w:id="944383376">
          <w:marLeft w:val="0"/>
          <w:marRight w:val="0"/>
          <w:marTop w:val="0"/>
          <w:marBottom w:val="0"/>
          <w:divBdr>
            <w:top w:val="none" w:sz="0" w:space="0" w:color="auto"/>
            <w:left w:val="none" w:sz="0" w:space="0" w:color="auto"/>
            <w:bottom w:val="none" w:sz="0" w:space="0" w:color="auto"/>
            <w:right w:val="none" w:sz="0" w:space="0" w:color="auto"/>
          </w:divBdr>
        </w:div>
        <w:div w:id="971792562">
          <w:marLeft w:val="0"/>
          <w:marRight w:val="0"/>
          <w:marTop w:val="0"/>
          <w:marBottom w:val="0"/>
          <w:divBdr>
            <w:top w:val="none" w:sz="0" w:space="0" w:color="auto"/>
            <w:left w:val="none" w:sz="0" w:space="0" w:color="auto"/>
            <w:bottom w:val="none" w:sz="0" w:space="0" w:color="auto"/>
            <w:right w:val="none" w:sz="0" w:space="0" w:color="auto"/>
          </w:divBdr>
        </w:div>
        <w:div w:id="1033849601">
          <w:marLeft w:val="0"/>
          <w:marRight w:val="0"/>
          <w:marTop w:val="0"/>
          <w:marBottom w:val="0"/>
          <w:divBdr>
            <w:top w:val="none" w:sz="0" w:space="0" w:color="auto"/>
            <w:left w:val="none" w:sz="0" w:space="0" w:color="auto"/>
            <w:bottom w:val="none" w:sz="0" w:space="0" w:color="auto"/>
            <w:right w:val="none" w:sz="0" w:space="0" w:color="auto"/>
          </w:divBdr>
          <w:divsChild>
            <w:div w:id="59063704">
              <w:marLeft w:val="0"/>
              <w:marRight w:val="0"/>
              <w:marTop w:val="0"/>
              <w:marBottom w:val="0"/>
              <w:divBdr>
                <w:top w:val="none" w:sz="0" w:space="0" w:color="auto"/>
                <w:left w:val="none" w:sz="0" w:space="0" w:color="auto"/>
                <w:bottom w:val="none" w:sz="0" w:space="0" w:color="auto"/>
                <w:right w:val="none" w:sz="0" w:space="0" w:color="auto"/>
              </w:divBdr>
            </w:div>
            <w:div w:id="220872419">
              <w:marLeft w:val="0"/>
              <w:marRight w:val="0"/>
              <w:marTop w:val="0"/>
              <w:marBottom w:val="0"/>
              <w:divBdr>
                <w:top w:val="none" w:sz="0" w:space="0" w:color="auto"/>
                <w:left w:val="none" w:sz="0" w:space="0" w:color="auto"/>
                <w:bottom w:val="none" w:sz="0" w:space="0" w:color="auto"/>
                <w:right w:val="none" w:sz="0" w:space="0" w:color="auto"/>
              </w:divBdr>
            </w:div>
            <w:div w:id="315694216">
              <w:marLeft w:val="0"/>
              <w:marRight w:val="0"/>
              <w:marTop w:val="0"/>
              <w:marBottom w:val="0"/>
              <w:divBdr>
                <w:top w:val="none" w:sz="0" w:space="0" w:color="auto"/>
                <w:left w:val="none" w:sz="0" w:space="0" w:color="auto"/>
                <w:bottom w:val="none" w:sz="0" w:space="0" w:color="auto"/>
                <w:right w:val="none" w:sz="0" w:space="0" w:color="auto"/>
              </w:divBdr>
            </w:div>
            <w:div w:id="466895137">
              <w:marLeft w:val="0"/>
              <w:marRight w:val="0"/>
              <w:marTop w:val="0"/>
              <w:marBottom w:val="0"/>
              <w:divBdr>
                <w:top w:val="none" w:sz="0" w:space="0" w:color="auto"/>
                <w:left w:val="none" w:sz="0" w:space="0" w:color="auto"/>
                <w:bottom w:val="none" w:sz="0" w:space="0" w:color="auto"/>
                <w:right w:val="none" w:sz="0" w:space="0" w:color="auto"/>
              </w:divBdr>
            </w:div>
            <w:div w:id="604577265">
              <w:marLeft w:val="0"/>
              <w:marRight w:val="0"/>
              <w:marTop w:val="0"/>
              <w:marBottom w:val="0"/>
              <w:divBdr>
                <w:top w:val="none" w:sz="0" w:space="0" w:color="auto"/>
                <w:left w:val="none" w:sz="0" w:space="0" w:color="auto"/>
                <w:bottom w:val="none" w:sz="0" w:space="0" w:color="auto"/>
                <w:right w:val="none" w:sz="0" w:space="0" w:color="auto"/>
              </w:divBdr>
            </w:div>
            <w:div w:id="785122329">
              <w:marLeft w:val="0"/>
              <w:marRight w:val="0"/>
              <w:marTop w:val="0"/>
              <w:marBottom w:val="0"/>
              <w:divBdr>
                <w:top w:val="none" w:sz="0" w:space="0" w:color="auto"/>
                <w:left w:val="none" w:sz="0" w:space="0" w:color="auto"/>
                <w:bottom w:val="none" w:sz="0" w:space="0" w:color="auto"/>
                <w:right w:val="none" w:sz="0" w:space="0" w:color="auto"/>
              </w:divBdr>
            </w:div>
            <w:div w:id="982661357">
              <w:marLeft w:val="0"/>
              <w:marRight w:val="0"/>
              <w:marTop w:val="0"/>
              <w:marBottom w:val="0"/>
              <w:divBdr>
                <w:top w:val="none" w:sz="0" w:space="0" w:color="auto"/>
                <w:left w:val="none" w:sz="0" w:space="0" w:color="auto"/>
                <w:bottom w:val="none" w:sz="0" w:space="0" w:color="auto"/>
                <w:right w:val="none" w:sz="0" w:space="0" w:color="auto"/>
              </w:divBdr>
            </w:div>
            <w:div w:id="1117020466">
              <w:marLeft w:val="0"/>
              <w:marRight w:val="0"/>
              <w:marTop w:val="0"/>
              <w:marBottom w:val="0"/>
              <w:divBdr>
                <w:top w:val="none" w:sz="0" w:space="0" w:color="auto"/>
                <w:left w:val="none" w:sz="0" w:space="0" w:color="auto"/>
                <w:bottom w:val="none" w:sz="0" w:space="0" w:color="auto"/>
                <w:right w:val="none" w:sz="0" w:space="0" w:color="auto"/>
              </w:divBdr>
            </w:div>
            <w:div w:id="1127747678">
              <w:marLeft w:val="0"/>
              <w:marRight w:val="0"/>
              <w:marTop w:val="0"/>
              <w:marBottom w:val="0"/>
              <w:divBdr>
                <w:top w:val="none" w:sz="0" w:space="0" w:color="auto"/>
                <w:left w:val="none" w:sz="0" w:space="0" w:color="auto"/>
                <w:bottom w:val="none" w:sz="0" w:space="0" w:color="auto"/>
                <w:right w:val="none" w:sz="0" w:space="0" w:color="auto"/>
              </w:divBdr>
            </w:div>
            <w:div w:id="1179856598">
              <w:marLeft w:val="0"/>
              <w:marRight w:val="0"/>
              <w:marTop w:val="0"/>
              <w:marBottom w:val="0"/>
              <w:divBdr>
                <w:top w:val="none" w:sz="0" w:space="0" w:color="auto"/>
                <w:left w:val="none" w:sz="0" w:space="0" w:color="auto"/>
                <w:bottom w:val="none" w:sz="0" w:space="0" w:color="auto"/>
                <w:right w:val="none" w:sz="0" w:space="0" w:color="auto"/>
              </w:divBdr>
            </w:div>
            <w:div w:id="1260454248">
              <w:marLeft w:val="0"/>
              <w:marRight w:val="0"/>
              <w:marTop w:val="0"/>
              <w:marBottom w:val="0"/>
              <w:divBdr>
                <w:top w:val="none" w:sz="0" w:space="0" w:color="auto"/>
                <w:left w:val="none" w:sz="0" w:space="0" w:color="auto"/>
                <w:bottom w:val="none" w:sz="0" w:space="0" w:color="auto"/>
                <w:right w:val="none" w:sz="0" w:space="0" w:color="auto"/>
              </w:divBdr>
            </w:div>
            <w:div w:id="1420982781">
              <w:marLeft w:val="0"/>
              <w:marRight w:val="0"/>
              <w:marTop w:val="0"/>
              <w:marBottom w:val="0"/>
              <w:divBdr>
                <w:top w:val="none" w:sz="0" w:space="0" w:color="auto"/>
                <w:left w:val="none" w:sz="0" w:space="0" w:color="auto"/>
                <w:bottom w:val="none" w:sz="0" w:space="0" w:color="auto"/>
                <w:right w:val="none" w:sz="0" w:space="0" w:color="auto"/>
              </w:divBdr>
            </w:div>
            <w:div w:id="1685324253">
              <w:marLeft w:val="0"/>
              <w:marRight w:val="0"/>
              <w:marTop w:val="0"/>
              <w:marBottom w:val="0"/>
              <w:divBdr>
                <w:top w:val="none" w:sz="0" w:space="0" w:color="auto"/>
                <w:left w:val="none" w:sz="0" w:space="0" w:color="auto"/>
                <w:bottom w:val="none" w:sz="0" w:space="0" w:color="auto"/>
                <w:right w:val="none" w:sz="0" w:space="0" w:color="auto"/>
              </w:divBdr>
            </w:div>
            <w:div w:id="1692685970">
              <w:marLeft w:val="0"/>
              <w:marRight w:val="0"/>
              <w:marTop w:val="0"/>
              <w:marBottom w:val="0"/>
              <w:divBdr>
                <w:top w:val="none" w:sz="0" w:space="0" w:color="auto"/>
                <w:left w:val="none" w:sz="0" w:space="0" w:color="auto"/>
                <w:bottom w:val="none" w:sz="0" w:space="0" w:color="auto"/>
                <w:right w:val="none" w:sz="0" w:space="0" w:color="auto"/>
              </w:divBdr>
            </w:div>
            <w:div w:id="1750542922">
              <w:marLeft w:val="0"/>
              <w:marRight w:val="0"/>
              <w:marTop w:val="0"/>
              <w:marBottom w:val="0"/>
              <w:divBdr>
                <w:top w:val="none" w:sz="0" w:space="0" w:color="auto"/>
                <w:left w:val="none" w:sz="0" w:space="0" w:color="auto"/>
                <w:bottom w:val="none" w:sz="0" w:space="0" w:color="auto"/>
                <w:right w:val="none" w:sz="0" w:space="0" w:color="auto"/>
              </w:divBdr>
            </w:div>
            <w:div w:id="1956709014">
              <w:marLeft w:val="0"/>
              <w:marRight w:val="0"/>
              <w:marTop w:val="0"/>
              <w:marBottom w:val="0"/>
              <w:divBdr>
                <w:top w:val="none" w:sz="0" w:space="0" w:color="auto"/>
                <w:left w:val="none" w:sz="0" w:space="0" w:color="auto"/>
                <w:bottom w:val="none" w:sz="0" w:space="0" w:color="auto"/>
                <w:right w:val="none" w:sz="0" w:space="0" w:color="auto"/>
              </w:divBdr>
            </w:div>
            <w:div w:id="2087607453">
              <w:marLeft w:val="0"/>
              <w:marRight w:val="0"/>
              <w:marTop w:val="0"/>
              <w:marBottom w:val="0"/>
              <w:divBdr>
                <w:top w:val="none" w:sz="0" w:space="0" w:color="auto"/>
                <w:left w:val="none" w:sz="0" w:space="0" w:color="auto"/>
                <w:bottom w:val="none" w:sz="0" w:space="0" w:color="auto"/>
                <w:right w:val="none" w:sz="0" w:space="0" w:color="auto"/>
              </w:divBdr>
            </w:div>
            <w:div w:id="2087678878">
              <w:marLeft w:val="0"/>
              <w:marRight w:val="0"/>
              <w:marTop w:val="0"/>
              <w:marBottom w:val="0"/>
              <w:divBdr>
                <w:top w:val="none" w:sz="0" w:space="0" w:color="auto"/>
                <w:left w:val="none" w:sz="0" w:space="0" w:color="auto"/>
                <w:bottom w:val="none" w:sz="0" w:space="0" w:color="auto"/>
                <w:right w:val="none" w:sz="0" w:space="0" w:color="auto"/>
              </w:divBdr>
            </w:div>
            <w:div w:id="2094467341">
              <w:marLeft w:val="0"/>
              <w:marRight w:val="0"/>
              <w:marTop w:val="0"/>
              <w:marBottom w:val="0"/>
              <w:divBdr>
                <w:top w:val="none" w:sz="0" w:space="0" w:color="auto"/>
                <w:left w:val="none" w:sz="0" w:space="0" w:color="auto"/>
                <w:bottom w:val="none" w:sz="0" w:space="0" w:color="auto"/>
                <w:right w:val="none" w:sz="0" w:space="0" w:color="auto"/>
              </w:divBdr>
            </w:div>
            <w:div w:id="2121680903">
              <w:marLeft w:val="0"/>
              <w:marRight w:val="0"/>
              <w:marTop w:val="0"/>
              <w:marBottom w:val="0"/>
              <w:divBdr>
                <w:top w:val="none" w:sz="0" w:space="0" w:color="auto"/>
                <w:left w:val="none" w:sz="0" w:space="0" w:color="auto"/>
                <w:bottom w:val="none" w:sz="0" w:space="0" w:color="auto"/>
                <w:right w:val="none" w:sz="0" w:space="0" w:color="auto"/>
              </w:divBdr>
            </w:div>
          </w:divsChild>
        </w:div>
        <w:div w:id="1083454924">
          <w:marLeft w:val="0"/>
          <w:marRight w:val="0"/>
          <w:marTop w:val="0"/>
          <w:marBottom w:val="0"/>
          <w:divBdr>
            <w:top w:val="none" w:sz="0" w:space="0" w:color="auto"/>
            <w:left w:val="none" w:sz="0" w:space="0" w:color="auto"/>
            <w:bottom w:val="none" w:sz="0" w:space="0" w:color="auto"/>
            <w:right w:val="none" w:sz="0" w:space="0" w:color="auto"/>
          </w:divBdr>
        </w:div>
        <w:div w:id="1703361889">
          <w:marLeft w:val="0"/>
          <w:marRight w:val="0"/>
          <w:marTop w:val="0"/>
          <w:marBottom w:val="0"/>
          <w:divBdr>
            <w:top w:val="none" w:sz="0" w:space="0" w:color="auto"/>
            <w:left w:val="none" w:sz="0" w:space="0" w:color="auto"/>
            <w:bottom w:val="none" w:sz="0" w:space="0" w:color="auto"/>
            <w:right w:val="none" w:sz="0" w:space="0" w:color="auto"/>
          </w:divBdr>
        </w:div>
        <w:div w:id="1990398820">
          <w:marLeft w:val="0"/>
          <w:marRight w:val="0"/>
          <w:marTop w:val="0"/>
          <w:marBottom w:val="0"/>
          <w:divBdr>
            <w:top w:val="none" w:sz="0" w:space="0" w:color="auto"/>
            <w:left w:val="none" w:sz="0" w:space="0" w:color="auto"/>
            <w:bottom w:val="none" w:sz="0" w:space="0" w:color="auto"/>
            <w:right w:val="none" w:sz="0" w:space="0" w:color="auto"/>
          </w:divBdr>
          <w:divsChild>
            <w:div w:id="42214077">
              <w:marLeft w:val="0"/>
              <w:marRight w:val="0"/>
              <w:marTop w:val="0"/>
              <w:marBottom w:val="0"/>
              <w:divBdr>
                <w:top w:val="none" w:sz="0" w:space="0" w:color="auto"/>
                <w:left w:val="none" w:sz="0" w:space="0" w:color="auto"/>
                <w:bottom w:val="none" w:sz="0" w:space="0" w:color="auto"/>
                <w:right w:val="none" w:sz="0" w:space="0" w:color="auto"/>
              </w:divBdr>
            </w:div>
            <w:div w:id="141704232">
              <w:marLeft w:val="0"/>
              <w:marRight w:val="0"/>
              <w:marTop w:val="0"/>
              <w:marBottom w:val="0"/>
              <w:divBdr>
                <w:top w:val="none" w:sz="0" w:space="0" w:color="auto"/>
                <w:left w:val="none" w:sz="0" w:space="0" w:color="auto"/>
                <w:bottom w:val="none" w:sz="0" w:space="0" w:color="auto"/>
                <w:right w:val="none" w:sz="0" w:space="0" w:color="auto"/>
              </w:divBdr>
            </w:div>
            <w:div w:id="196235103">
              <w:marLeft w:val="0"/>
              <w:marRight w:val="0"/>
              <w:marTop w:val="0"/>
              <w:marBottom w:val="0"/>
              <w:divBdr>
                <w:top w:val="none" w:sz="0" w:space="0" w:color="auto"/>
                <w:left w:val="none" w:sz="0" w:space="0" w:color="auto"/>
                <w:bottom w:val="none" w:sz="0" w:space="0" w:color="auto"/>
                <w:right w:val="none" w:sz="0" w:space="0" w:color="auto"/>
              </w:divBdr>
            </w:div>
            <w:div w:id="227889233">
              <w:marLeft w:val="0"/>
              <w:marRight w:val="0"/>
              <w:marTop w:val="0"/>
              <w:marBottom w:val="0"/>
              <w:divBdr>
                <w:top w:val="none" w:sz="0" w:space="0" w:color="auto"/>
                <w:left w:val="none" w:sz="0" w:space="0" w:color="auto"/>
                <w:bottom w:val="none" w:sz="0" w:space="0" w:color="auto"/>
                <w:right w:val="none" w:sz="0" w:space="0" w:color="auto"/>
              </w:divBdr>
            </w:div>
            <w:div w:id="232933658">
              <w:marLeft w:val="0"/>
              <w:marRight w:val="0"/>
              <w:marTop w:val="0"/>
              <w:marBottom w:val="0"/>
              <w:divBdr>
                <w:top w:val="none" w:sz="0" w:space="0" w:color="auto"/>
                <w:left w:val="none" w:sz="0" w:space="0" w:color="auto"/>
                <w:bottom w:val="none" w:sz="0" w:space="0" w:color="auto"/>
                <w:right w:val="none" w:sz="0" w:space="0" w:color="auto"/>
              </w:divBdr>
            </w:div>
            <w:div w:id="252669828">
              <w:marLeft w:val="0"/>
              <w:marRight w:val="0"/>
              <w:marTop w:val="0"/>
              <w:marBottom w:val="0"/>
              <w:divBdr>
                <w:top w:val="none" w:sz="0" w:space="0" w:color="auto"/>
                <w:left w:val="none" w:sz="0" w:space="0" w:color="auto"/>
                <w:bottom w:val="none" w:sz="0" w:space="0" w:color="auto"/>
                <w:right w:val="none" w:sz="0" w:space="0" w:color="auto"/>
              </w:divBdr>
            </w:div>
            <w:div w:id="300622526">
              <w:marLeft w:val="0"/>
              <w:marRight w:val="0"/>
              <w:marTop w:val="0"/>
              <w:marBottom w:val="0"/>
              <w:divBdr>
                <w:top w:val="none" w:sz="0" w:space="0" w:color="auto"/>
                <w:left w:val="none" w:sz="0" w:space="0" w:color="auto"/>
                <w:bottom w:val="none" w:sz="0" w:space="0" w:color="auto"/>
                <w:right w:val="none" w:sz="0" w:space="0" w:color="auto"/>
              </w:divBdr>
            </w:div>
            <w:div w:id="417019258">
              <w:marLeft w:val="0"/>
              <w:marRight w:val="0"/>
              <w:marTop w:val="0"/>
              <w:marBottom w:val="0"/>
              <w:divBdr>
                <w:top w:val="none" w:sz="0" w:space="0" w:color="auto"/>
                <w:left w:val="none" w:sz="0" w:space="0" w:color="auto"/>
                <w:bottom w:val="none" w:sz="0" w:space="0" w:color="auto"/>
                <w:right w:val="none" w:sz="0" w:space="0" w:color="auto"/>
              </w:divBdr>
            </w:div>
            <w:div w:id="523179476">
              <w:marLeft w:val="0"/>
              <w:marRight w:val="0"/>
              <w:marTop w:val="0"/>
              <w:marBottom w:val="0"/>
              <w:divBdr>
                <w:top w:val="none" w:sz="0" w:space="0" w:color="auto"/>
                <w:left w:val="none" w:sz="0" w:space="0" w:color="auto"/>
                <w:bottom w:val="none" w:sz="0" w:space="0" w:color="auto"/>
                <w:right w:val="none" w:sz="0" w:space="0" w:color="auto"/>
              </w:divBdr>
            </w:div>
            <w:div w:id="786004255">
              <w:marLeft w:val="0"/>
              <w:marRight w:val="0"/>
              <w:marTop w:val="0"/>
              <w:marBottom w:val="0"/>
              <w:divBdr>
                <w:top w:val="none" w:sz="0" w:space="0" w:color="auto"/>
                <w:left w:val="none" w:sz="0" w:space="0" w:color="auto"/>
                <w:bottom w:val="none" w:sz="0" w:space="0" w:color="auto"/>
                <w:right w:val="none" w:sz="0" w:space="0" w:color="auto"/>
              </w:divBdr>
            </w:div>
            <w:div w:id="813181929">
              <w:marLeft w:val="0"/>
              <w:marRight w:val="0"/>
              <w:marTop w:val="0"/>
              <w:marBottom w:val="0"/>
              <w:divBdr>
                <w:top w:val="none" w:sz="0" w:space="0" w:color="auto"/>
                <w:left w:val="none" w:sz="0" w:space="0" w:color="auto"/>
                <w:bottom w:val="none" w:sz="0" w:space="0" w:color="auto"/>
                <w:right w:val="none" w:sz="0" w:space="0" w:color="auto"/>
              </w:divBdr>
            </w:div>
            <w:div w:id="988556313">
              <w:marLeft w:val="0"/>
              <w:marRight w:val="0"/>
              <w:marTop w:val="0"/>
              <w:marBottom w:val="0"/>
              <w:divBdr>
                <w:top w:val="none" w:sz="0" w:space="0" w:color="auto"/>
                <w:left w:val="none" w:sz="0" w:space="0" w:color="auto"/>
                <w:bottom w:val="none" w:sz="0" w:space="0" w:color="auto"/>
                <w:right w:val="none" w:sz="0" w:space="0" w:color="auto"/>
              </w:divBdr>
            </w:div>
            <w:div w:id="1071074277">
              <w:marLeft w:val="0"/>
              <w:marRight w:val="0"/>
              <w:marTop w:val="0"/>
              <w:marBottom w:val="0"/>
              <w:divBdr>
                <w:top w:val="none" w:sz="0" w:space="0" w:color="auto"/>
                <w:left w:val="none" w:sz="0" w:space="0" w:color="auto"/>
                <w:bottom w:val="none" w:sz="0" w:space="0" w:color="auto"/>
                <w:right w:val="none" w:sz="0" w:space="0" w:color="auto"/>
              </w:divBdr>
            </w:div>
            <w:div w:id="1228343934">
              <w:marLeft w:val="0"/>
              <w:marRight w:val="0"/>
              <w:marTop w:val="0"/>
              <w:marBottom w:val="0"/>
              <w:divBdr>
                <w:top w:val="none" w:sz="0" w:space="0" w:color="auto"/>
                <w:left w:val="none" w:sz="0" w:space="0" w:color="auto"/>
                <w:bottom w:val="none" w:sz="0" w:space="0" w:color="auto"/>
                <w:right w:val="none" w:sz="0" w:space="0" w:color="auto"/>
              </w:divBdr>
            </w:div>
            <w:div w:id="1231886101">
              <w:marLeft w:val="0"/>
              <w:marRight w:val="0"/>
              <w:marTop w:val="0"/>
              <w:marBottom w:val="0"/>
              <w:divBdr>
                <w:top w:val="none" w:sz="0" w:space="0" w:color="auto"/>
                <w:left w:val="none" w:sz="0" w:space="0" w:color="auto"/>
                <w:bottom w:val="none" w:sz="0" w:space="0" w:color="auto"/>
                <w:right w:val="none" w:sz="0" w:space="0" w:color="auto"/>
              </w:divBdr>
            </w:div>
            <w:div w:id="1317874472">
              <w:marLeft w:val="0"/>
              <w:marRight w:val="0"/>
              <w:marTop w:val="0"/>
              <w:marBottom w:val="0"/>
              <w:divBdr>
                <w:top w:val="none" w:sz="0" w:space="0" w:color="auto"/>
                <w:left w:val="none" w:sz="0" w:space="0" w:color="auto"/>
                <w:bottom w:val="none" w:sz="0" w:space="0" w:color="auto"/>
                <w:right w:val="none" w:sz="0" w:space="0" w:color="auto"/>
              </w:divBdr>
            </w:div>
            <w:div w:id="1389108040">
              <w:marLeft w:val="0"/>
              <w:marRight w:val="0"/>
              <w:marTop w:val="0"/>
              <w:marBottom w:val="0"/>
              <w:divBdr>
                <w:top w:val="none" w:sz="0" w:space="0" w:color="auto"/>
                <w:left w:val="none" w:sz="0" w:space="0" w:color="auto"/>
                <w:bottom w:val="none" w:sz="0" w:space="0" w:color="auto"/>
                <w:right w:val="none" w:sz="0" w:space="0" w:color="auto"/>
              </w:divBdr>
            </w:div>
            <w:div w:id="1585912737">
              <w:marLeft w:val="0"/>
              <w:marRight w:val="0"/>
              <w:marTop w:val="0"/>
              <w:marBottom w:val="0"/>
              <w:divBdr>
                <w:top w:val="none" w:sz="0" w:space="0" w:color="auto"/>
                <w:left w:val="none" w:sz="0" w:space="0" w:color="auto"/>
                <w:bottom w:val="none" w:sz="0" w:space="0" w:color="auto"/>
                <w:right w:val="none" w:sz="0" w:space="0" w:color="auto"/>
              </w:divBdr>
            </w:div>
            <w:div w:id="1826359111">
              <w:marLeft w:val="0"/>
              <w:marRight w:val="0"/>
              <w:marTop w:val="0"/>
              <w:marBottom w:val="0"/>
              <w:divBdr>
                <w:top w:val="none" w:sz="0" w:space="0" w:color="auto"/>
                <w:left w:val="none" w:sz="0" w:space="0" w:color="auto"/>
                <w:bottom w:val="none" w:sz="0" w:space="0" w:color="auto"/>
                <w:right w:val="none" w:sz="0" w:space="0" w:color="auto"/>
              </w:divBdr>
            </w:div>
            <w:div w:id="1938906409">
              <w:marLeft w:val="0"/>
              <w:marRight w:val="0"/>
              <w:marTop w:val="0"/>
              <w:marBottom w:val="0"/>
              <w:divBdr>
                <w:top w:val="none" w:sz="0" w:space="0" w:color="auto"/>
                <w:left w:val="none" w:sz="0" w:space="0" w:color="auto"/>
                <w:bottom w:val="none" w:sz="0" w:space="0" w:color="auto"/>
                <w:right w:val="none" w:sz="0" w:space="0" w:color="auto"/>
              </w:divBdr>
            </w:div>
          </w:divsChild>
        </w:div>
        <w:div w:id="2036231661">
          <w:marLeft w:val="0"/>
          <w:marRight w:val="0"/>
          <w:marTop w:val="0"/>
          <w:marBottom w:val="0"/>
          <w:divBdr>
            <w:top w:val="none" w:sz="0" w:space="0" w:color="auto"/>
            <w:left w:val="none" w:sz="0" w:space="0" w:color="auto"/>
            <w:bottom w:val="none" w:sz="0" w:space="0" w:color="auto"/>
            <w:right w:val="none" w:sz="0" w:space="0" w:color="auto"/>
          </w:divBdr>
        </w:div>
        <w:div w:id="2106949616">
          <w:marLeft w:val="0"/>
          <w:marRight w:val="0"/>
          <w:marTop w:val="0"/>
          <w:marBottom w:val="0"/>
          <w:divBdr>
            <w:top w:val="none" w:sz="0" w:space="0" w:color="auto"/>
            <w:left w:val="none" w:sz="0" w:space="0" w:color="auto"/>
            <w:bottom w:val="none" w:sz="0" w:space="0" w:color="auto"/>
            <w:right w:val="none" w:sz="0" w:space="0" w:color="auto"/>
          </w:divBdr>
        </w:div>
        <w:div w:id="2129427653">
          <w:marLeft w:val="0"/>
          <w:marRight w:val="0"/>
          <w:marTop w:val="0"/>
          <w:marBottom w:val="0"/>
          <w:divBdr>
            <w:top w:val="none" w:sz="0" w:space="0" w:color="auto"/>
            <w:left w:val="none" w:sz="0" w:space="0" w:color="auto"/>
            <w:bottom w:val="none" w:sz="0" w:space="0" w:color="auto"/>
            <w:right w:val="none" w:sz="0" w:space="0" w:color="auto"/>
          </w:divBdr>
          <w:divsChild>
            <w:div w:id="57752707">
              <w:marLeft w:val="0"/>
              <w:marRight w:val="0"/>
              <w:marTop w:val="0"/>
              <w:marBottom w:val="0"/>
              <w:divBdr>
                <w:top w:val="none" w:sz="0" w:space="0" w:color="auto"/>
                <w:left w:val="none" w:sz="0" w:space="0" w:color="auto"/>
                <w:bottom w:val="none" w:sz="0" w:space="0" w:color="auto"/>
                <w:right w:val="none" w:sz="0" w:space="0" w:color="auto"/>
              </w:divBdr>
            </w:div>
            <w:div w:id="134833447">
              <w:marLeft w:val="0"/>
              <w:marRight w:val="0"/>
              <w:marTop w:val="0"/>
              <w:marBottom w:val="0"/>
              <w:divBdr>
                <w:top w:val="none" w:sz="0" w:space="0" w:color="auto"/>
                <w:left w:val="none" w:sz="0" w:space="0" w:color="auto"/>
                <w:bottom w:val="none" w:sz="0" w:space="0" w:color="auto"/>
                <w:right w:val="none" w:sz="0" w:space="0" w:color="auto"/>
              </w:divBdr>
            </w:div>
            <w:div w:id="298876459">
              <w:marLeft w:val="0"/>
              <w:marRight w:val="0"/>
              <w:marTop w:val="0"/>
              <w:marBottom w:val="0"/>
              <w:divBdr>
                <w:top w:val="none" w:sz="0" w:space="0" w:color="auto"/>
                <w:left w:val="none" w:sz="0" w:space="0" w:color="auto"/>
                <w:bottom w:val="none" w:sz="0" w:space="0" w:color="auto"/>
                <w:right w:val="none" w:sz="0" w:space="0" w:color="auto"/>
              </w:divBdr>
            </w:div>
            <w:div w:id="427505156">
              <w:marLeft w:val="0"/>
              <w:marRight w:val="0"/>
              <w:marTop w:val="0"/>
              <w:marBottom w:val="0"/>
              <w:divBdr>
                <w:top w:val="none" w:sz="0" w:space="0" w:color="auto"/>
                <w:left w:val="none" w:sz="0" w:space="0" w:color="auto"/>
                <w:bottom w:val="none" w:sz="0" w:space="0" w:color="auto"/>
                <w:right w:val="none" w:sz="0" w:space="0" w:color="auto"/>
              </w:divBdr>
            </w:div>
            <w:div w:id="487016070">
              <w:marLeft w:val="0"/>
              <w:marRight w:val="0"/>
              <w:marTop w:val="0"/>
              <w:marBottom w:val="0"/>
              <w:divBdr>
                <w:top w:val="none" w:sz="0" w:space="0" w:color="auto"/>
                <w:left w:val="none" w:sz="0" w:space="0" w:color="auto"/>
                <w:bottom w:val="none" w:sz="0" w:space="0" w:color="auto"/>
                <w:right w:val="none" w:sz="0" w:space="0" w:color="auto"/>
              </w:divBdr>
            </w:div>
            <w:div w:id="640109952">
              <w:marLeft w:val="0"/>
              <w:marRight w:val="0"/>
              <w:marTop w:val="0"/>
              <w:marBottom w:val="0"/>
              <w:divBdr>
                <w:top w:val="none" w:sz="0" w:space="0" w:color="auto"/>
                <w:left w:val="none" w:sz="0" w:space="0" w:color="auto"/>
                <w:bottom w:val="none" w:sz="0" w:space="0" w:color="auto"/>
                <w:right w:val="none" w:sz="0" w:space="0" w:color="auto"/>
              </w:divBdr>
            </w:div>
            <w:div w:id="711153405">
              <w:marLeft w:val="0"/>
              <w:marRight w:val="0"/>
              <w:marTop w:val="0"/>
              <w:marBottom w:val="0"/>
              <w:divBdr>
                <w:top w:val="none" w:sz="0" w:space="0" w:color="auto"/>
                <w:left w:val="none" w:sz="0" w:space="0" w:color="auto"/>
                <w:bottom w:val="none" w:sz="0" w:space="0" w:color="auto"/>
                <w:right w:val="none" w:sz="0" w:space="0" w:color="auto"/>
              </w:divBdr>
            </w:div>
            <w:div w:id="812214727">
              <w:marLeft w:val="0"/>
              <w:marRight w:val="0"/>
              <w:marTop w:val="0"/>
              <w:marBottom w:val="0"/>
              <w:divBdr>
                <w:top w:val="none" w:sz="0" w:space="0" w:color="auto"/>
                <w:left w:val="none" w:sz="0" w:space="0" w:color="auto"/>
                <w:bottom w:val="none" w:sz="0" w:space="0" w:color="auto"/>
                <w:right w:val="none" w:sz="0" w:space="0" w:color="auto"/>
              </w:divBdr>
            </w:div>
            <w:div w:id="888489900">
              <w:marLeft w:val="0"/>
              <w:marRight w:val="0"/>
              <w:marTop w:val="0"/>
              <w:marBottom w:val="0"/>
              <w:divBdr>
                <w:top w:val="none" w:sz="0" w:space="0" w:color="auto"/>
                <w:left w:val="none" w:sz="0" w:space="0" w:color="auto"/>
                <w:bottom w:val="none" w:sz="0" w:space="0" w:color="auto"/>
                <w:right w:val="none" w:sz="0" w:space="0" w:color="auto"/>
              </w:divBdr>
            </w:div>
            <w:div w:id="911156673">
              <w:marLeft w:val="0"/>
              <w:marRight w:val="0"/>
              <w:marTop w:val="0"/>
              <w:marBottom w:val="0"/>
              <w:divBdr>
                <w:top w:val="none" w:sz="0" w:space="0" w:color="auto"/>
                <w:left w:val="none" w:sz="0" w:space="0" w:color="auto"/>
                <w:bottom w:val="none" w:sz="0" w:space="0" w:color="auto"/>
                <w:right w:val="none" w:sz="0" w:space="0" w:color="auto"/>
              </w:divBdr>
            </w:div>
            <w:div w:id="1221671620">
              <w:marLeft w:val="0"/>
              <w:marRight w:val="0"/>
              <w:marTop w:val="0"/>
              <w:marBottom w:val="0"/>
              <w:divBdr>
                <w:top w:val="none" w:sz="0" w:space="0" w:color="auto"/>
                <w:left w:val="none" w:sz="0" w:space="0" w:color="auto"/>
                <w:bottom w:val="none" w:sz="0" w:space="0" w:color="auto"/>
                <w:right w:val="none" w:sz="0" w:space="0" w:color="auto"/>
              </w:divBdr>
            </w:div>
            <w:div w:id="1363700512">
              <w:marLeft w:val="0"/>
              <w:marRight w:val="0"/>
              <w:marTop w:val="0"/>
              <w:marBottom w:val="0"/>
              <w:divBdr>
                <w:top w:val="none" w:sz="0" w:space="0" w:color="auto"/>
                <w:left w:val="none" w:sz="0" w:space="0" w:color="auto"/>
                <w:bottom w:val="none" w:sz="0" w:space="0" w:color="auto"/>
                <w:right w:val="none" w:sz="0" w:space="0" w:color="auto"/>
              </w:divBdr>
            </w:div>
            <w:div w:id="1463694989">
              <w:marLeft w:val="0"/>
              <w:marRight w:val="0"/>
              <w:marTop w:val="0"/>
              <w:marBottom w:val="0"/>
              <w:divBdr>
                <w:top w:val="none" w:sz="0" w:space="0" w:color="auto"/>
                <w:left w:val="none" w:sz="0" w:space="0" w:color="auto"/>
                <w:bottom w:val="none" w:sz="0" w:space="0" w:color="auto"/>
                <w:right w:val="none" w:sz="0" w:space="0" w:color="auto"/>
              </w:divBdr>
            </w:div>
            <w:div w:id="1502968450">
              <w:marLeft w:val="0"/>
              <w:marRight w:val="0"/>
              <w:marTop w:val="0"/>
              <w:marBottom w:val="0"/>
              <w:divBdr>
                <w:top w:val="none" w:sz="0" w:space="0" w:color="auto"/>
                <w:left w:val="none" w:sz="0" w:space="0" w:color="auto"/>
                <w:bottom w:val="none" w:sz="0" w:space="0" w:color="auto"/>
                <w:right w:val="none" w:sz="0" w:space="0" w:color="auto"/>
              </w:divBdr>
            </w:div>
            <w:div w:id="1598710273">
              <w:marLeft w:val="0"/>
              <w:marRight w:val="0"/>
              <w:marTop w:val="0"/>
              <w:marBottom w:val="0"/>
              <w:divBdr>
                <w:top w:val="none" w:sz="0" w:space="0" w:color="auto"/>
                <w:left w:val="none" w:sz="0" w:space="0" w:color="auto"/>
                <w:bottom w:val="none" w:sz="0" w:space="0" w:color="auto"/>
                <w:right w:val="none" w:sz="0" w:space="0" w:color="auto"/>
              </w:divBdr>
            </w:div>
            <w:div w:id="1638605341">
              <w:marLeft w:val="0"/>
              <w:marRight w:val="0"/>
              <w:marTop w:val="0"/>
              <w:marBottom w:val="0"/>
              <w:divBdr>
                <w:top w:val="none" w:sz="0" w:space="0" w:color="auto"/>
                <w:left w:val="none" w:sz="0" w:space="0" w:color="auto"/>
                <w:bottom w:val="none" w:sz="0" w:space="0" w:color="auto"/>
                <w:right w:val="none" w:sz="0" w:space="0" w:color="auto"/>
              </w:divBdr>
            </w:div>
            <w:div w:id="1769426840">
              <w:marLeft w:val="0"/>
              <w:marRight w:val="0"/>
              <w:marTop w:val="0"/>
              <w:marBottom w:val="0"/>
              <w:divBdr>
                <w:top w:val="none" w:sz="0" w:space="0" w:color="auto"/>
                <w:left w:val="none" w:sz="0" w:space="0" w:color="auto"/>
                <w:bottom w:val="none" w:sz="0" w:space="0" w:color="auto"/>
                <w:right w:val="none" w:sz="0" w:space="0" w:color="auto"/>
              </w:divBdr>
            </w:div>
            <w:div w:id="1795056174">
              <w:marLeft w:val="0"/>
              <w:marRight w:val="0"/>
              <w:marTop w:val="0"/>
              <w:marBottom w:val="0"/>
              <w:divBdr>
                <w:top w:val="none" w:sz="0" w:space="0" w:color="auto"/>
                <w:left w:val="none" w:sz="0" w:space="0" w:color="auto"/>
                <w:bottom w:val="none" w:sz="0" w:space="0" w:color="auto"/>
                <w:right w:val="none" w:sz="0" w:space="0" w:color="auto"/>
              </w:divBdr>
            </w:div>
            <w:div w:id="2005471420">
              <w:marLeft w:val="0"/>
              <w:marRight w:val="0"/>
              <w:marTop w:val="0"/>
              <w:marBottom w:val="0"/>
              <w:divBdr>
                <w:top w:val="none" w:sz="0" w:space="0" w:color="auto"/>
                <w:left w:val="none" w:sz="0" w:space="0" w:color="auto"/>
                <w:bottom w:val="none" w:sz="0" w:space="0" w:color="auto"/>
                <w:right w:val="none" w:sz="0" w:space="0" w:color="auto"/>
              </w:divBdr>
            </w:div>
            <w:div w:id="214492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118507">
      <w:bodyDiv w:val="1"/>
      <w:marLeft w:val="0"/>
      <w:marRight w:val="0"/>
      <w:marTop w:val="0"/>
      <w:marBottom w:val="0"/>
      <w:divBdr>
        <w:top w:val="none" w:sz="0" w:space="0" w:color="auto"/>
        <w:left w:val="none" w:sz="0" w:space="0" w:color="auto"/>
        <w:bottom w:val="none" w:sz="0" w:space="0" w:color="auto"/>
        <w:right w:val="none" w:sz="0" w:space="0" w:color="auto"/>
      </w:divBdr>
    </w:div>
    <w:div w:id="894924397">
      <w:bodyDiv w:val="1"/>
      <w:marLeft w:val="0"/>
      <w:marRight w:val="0"/>
      <w:marTop w:val="0"/>
      <w:marBottom w:val="0"/>
      <w:divBdr>
        <w:top w:val="none" w:sz="0" w:space="0" w:color="auto"/>
        <w:left w:val="none" w:sz="0" w:space="0" w:color="auto"/>
        <w:bottom w:val="none" w:sz="0" w:space="0" w:color="auto"/>
        <w:right w:val="none" w:sz="0" w:space="0" w:color="auto"/>
      </w:divBdr>
    </w:div>
    <w:div w:id="900553030">
      <w:bodyDiv w:val="1"/>
      <w:marLeft w:val="0"/>
      <w:marRight w:val="0"/>
      <w:marTop w:val="0"/>
      <w:marBottom w:val="0"/>
      <w:divBdr>
        <w:top w:val="none" w:sz="0" w:space="0" w:color="auto"/>
        <w:left w:val="none" w:sz="0" w:space="0" w:color="auto"/>
        <w:bottom w:val="none" w:sz="0" w:space="0" w:color="auto"/>
        <w:right w:val="none" w:sz="0" w:space="0" w:color="auto"/>
      </w:divBdr>
      <w:divsChild>
        <w:div w:id="812985545">
          <w:marLeft w:val="0"/>
          <w:marRight w:val="0"/>
          <w:marTop w:val="0"/>
          <w:marBottom w:val="0"/>
          <w:divBdr>
            <w:top w:val="none" w:sz="0" w:space="0" w:color="auto"/>
            <w:left w:val="none" w:sz="0" w:space="0" w:color="auto"/>
            <w:bottom w:val="none" w:sz="0" w:space="0" w:color="auto"/>
            <w:right w:val="none" w:sz="0" w:space="0" w:color="auto"/>
          </w:divBdr>
        </w:div>
        <w:div w:id="1471480315">
          <w:marLeft w:val="0"/>
          <w:marRight w:val="0"/>
          <w:marTop w:val="0"/>
          <w:marBottom w:val="0"/>
          <w:divBdr>
            <w:top w:val="none" w:sz="0" w:space="0" w:color="auto"/>
            <w:left w:val="none" w:sz="0" w:space="0" w:color="auto"/>
            <w:bottom w:val="none" w:sz="0" w:space="0" w:color="auto"/>
            <w:right w:val="none" w:sz="0" w:space="0" w:color="auto"/>
          </w:divBdr>
        </w:div>
      </w:divsChild>
    </w:div>
    <w:div w:id="918103638">
      <w:bodyDiv w:val="1"/>
      <w:marLeft w:val="0"/>
      <w:marRight w:val="0"/>
      <w:marTop w:val="0"/>
      <w:marBottom w:val="0"/>
      <w:divBdr>
        <w:top w:val="none" w:sz="0" w:space="0" w:color="auto"/>
        <w:left w:val="none" w:sz="0" w:space="0" w:color="auto"/>
        <w:bottom w:val="none" w:sz="0" w:space="0" w:color="auto"/>
        <w:right w:val="none" w:sz="0" w:space="0" w:color="auto"/>
      </w:divBdr>
      <w:divsChild>
        <w:div w:id="922909343">
          <w:marLeft w:val="0"/>
          <w:marRight w:val="0"/>
          <w:marTop w:val="0"/>
          <w:marBottom w:val="0"/>
          <w:divBdr>
            <w:top w:val="none" w:sz="0" w:space="0" w:color="auto"/>
            <w:left w:val="none" w:sz="0" w:space="0" w:color="auto"/>
            <w:bottom w:val="none" w:sz="0" w:space="0" w:color="auto"/>
            <w:right w:val="none" w:sz="0" w:space="0" w:color="auto"/>
          </w:divBdr>
        </w:div>
      </w:divsChild>
    </w:div>
    <w:div w:id="931473580">
      <w:bodyDiv w:val="1"/>
      <w:marLeft w:val="0"/>
      <w:marRight w:val="0"/>
      <w:marTop w:val="0"/>
      <w:marBottom w:val="0"/>
      <w:divBdr>
        <w:top w:val="none" w:sz="0" w:space="0" w:color="auto"/>
        <w:left w:val="none" w:sz="0" w:space="0" w:color="auto"/>
        <w:bottom w:val="none" w:sz="0" w:space="0" w:color="auto"/>
        <w:right w:val="none" w:sz="0" w:space="0" w:color="auto"/>
      </w:divBdr>
      <w:divsChild>
        <w:div w:id="92940477">
          <w:marLeft w:val="0"/>
          <w:marRight w:val="0"/>
          <w:marTop w:val="0"/>
          <w:marBottom w:val="0"/>
          <w:divBdr>
            <w:top w:val="none" w:sz="0" w:space="0" w:color="auto"/>
            <w:left w:val="none" w:sz="0" w:space="0" w:color="auto"/>
            <w:bottom w:val="none" w:sz="0" w:space="0" w:color="auto"/>
            <w:right w:val="none" w:sz="0" w:space="0" w:color="auto"/>
          </w:divBdr>
        </w:div>
        <w:div w:id="704911859">
          <w:marLeft w:val="0"/>
          <w:marRight w:val="0"/>
          <w:marTop w:val="0"/>
          <w:marBottom w:val="0"/>
          <w:divBdr>
            <w:top w:val="none" w:sz="0" w:space="0" w:color="auto"/>
            <w:left w:val="none" w:sz="0" w:space="0" w:color="auto"/>
            <w:bottom w:val="none" w:sz="0" w:space="0" w:color="auto"/>
            <w:right w:val="none" w:sz="0" w:space="0" w:color="auto"/>
          </w:divBdr>
        </w:div>
        <w:div w:id="733314490">
          <w:marLeft w:val="0"/>
          <w:marRight w:val="0"/>
          <w:marTop w:val="0"/>
          <w:marBottom w:val="0"/>
          <w:divBdr>
            <w:top w:val="none" w:sz="0" w:space="0" w:color="auto"/>
            <w:left w:val="none" w:sz="0" w:space="0" w:color="auto"/>
            <w:bottom w:val="none" w:sz="0" w:space="0" w:color="auto"/>
            <w:right w:val="none" w:sz="0" w:space="0" w:color="auto"/>
          </w:divBdr>
        </w:div>
        <w:div w:id="1050808506">
          <w:marLeft w:val="0"/>
          <w:marRight w:val="0"/>
          <w:marTop w:val="0"/>
          <w:marBottom w:val="0"/>
          <w:divBdr>
            <w:top w:val="none" w:sz="0" w:space="0" w:color="auto"/>
            <w:left w:val="none" w:sz="0" w:space="0" w:color="auto"/>
            <w:bottom w:val="none" w:sz="0" w:space="0" w:color="auto"/>
            <w:right w:val="none" w:sz="0" w:space="0" w:color="auto"/>
          </w:divBdr>
        </w:div>
        <w:div w:id="1087456549">
          <w:marLeft w:val="0"/>
          <w:marRight w:val="0"/>
          <w:marTop w:val="0"/>
          <w:marBottom w:val="0"/>
          <w:divBdr>
            <w:top w:val="none" w:sz="0" w:space="0" w:color="auto"/>
            <w:left w:val="none" w:sz="0" w:space="0" w:color="auto"/>
            <w:bottom w:val="none" w:sz="0" w:space="0" w:color="auto"/>
            <w:right w:val="none" w:sz="0" w:space="0" w:color="auto"/>
          </w:divBdr>
        </w:div>
        <w:div w:id="1091317157">
          <w:marLeft w:val="0"/>
          <w:marRight w:val="0"/>
          <w:marTop w:val="0"/>
          <w:marBottom w:val="0"/>
          <w:divBdr>
            <w:top w:val="none" w:sz="0" w:space="0" w:color="auto"/>
            <w:left w:val="none" w:sz="0" w:space="0" w:color="auto"/>
            <w:bottom w:val="none" w:sz="0" w:space="0" w:color="auto"/>
            <w:right w:val="none" w:sz="0" w:space="0" w:color="auto"/>
          </w:divBdr>
        </w:div>
        <w:div w:id="1788351079">
          <w:marLeft w:val="0"/>
          <w:marRight w:val="0"/>
          <w:marTop w:val="0"/>
          <w:marBottom w:val="0"/>
          <w:divBdr>
            <w:top w:val="none" w:sz="0" w:space="0" w:color="auto"/>
            <w:left w:val="none" w:sz="0" w:space="0" w:color="auto"/>
            <w:bottom w:val="none" w:sz="0" w:space="0" w:color="auto"/>
            <w:right w:val="none" w:sz="0" w:space="0" w:color="auto"/>
          </w:divBdr>
        </w:div>
        <w:div w:id="2076857972">
          <w:marLeft w:val="0"/>
          <w:marRight w:val="0"/>
          <w:marTop w:val="0"/>
          <w:marBottom w:val="0"/>
          <w:divBdr>
            <w:top w:val="none" w:sz="0" w:space="0" w:color="auto"/>
            <w:left w:val="none" w:sz="0" w:space="0" w:color="auto"/>
            <w:bottom w:val="none" w:sz="0" w:space="0" w:color="auto"/>
            <w:right w:val="none" w:sz="0" w:space="0" w:color="auto"/>
          </w:divBdr>
        </w:div>
        <w:div w:id="2121992182">
          <w:marLeft w:val="0"/>
          <w:marRight w:val="0"/>
          <w:marTop w:val="0"/>
          <w:marBottom w:val="0"/>
          <w:divBdr>
            <w:top w:val="none" w:sz="0" w:space="0" w:color="auto"/>
            <w:left w:val="none" w:sz="0" w:space="0" w:color="auto"/>
            <w:bottom w:val="none" w:sz="0" w:space="0" w:color="auto"/>
            <w:right w:val="none" w:sz="0" w:space="0" w:color="auto"/>
          </w:divBdr>
        </w:div>
        <w:div w:id="2146191112">
          <w:marLeft w:val="0"/>
          <w:marRight w:val="0"/>
          <w:marTop w:val="0"/>
          <w:marBottom w:val="0"/>
          <w:divBdr>
            <w:top w:val="none" w:sz="0" w:space="0" w:color="auto"/>
            <w:left w:val="none" w:sz="0" w:space="0" w:color="auto"/>
            <w:bottom w:val="none" w:sz="0" w:space="0" w:color="auto"/>
            <w:right w:val="none" w:sz="0" w:space="0" w:color="auto"/>
          </w:divBdr>
        </w:div>
        <w:div w:id="2146773490">
          <w:marLeft w:val="0"/>
          <w:marRight w:val="0"/>
          <w:marTop w:val="0"/>
          <w:marBottom w:val="0"/>
          <w:divBdr>
            <w:top w:val="none" w:sz="0" w:space="0" w:color="auto"/>
            <w:left w:val="none" w:sz="0" w:space="0" w:color="auto"/>
            <w:bottom w:val="none" w:sz="0" w:space="0" w:color="auto"/>
            <w:right w:val="none" w:sz="0" w:space="0" w:color="auto"/>
          </w:divBdr>
        </w:div>
      </w:divsChild>
    </w:div>
    <w:div w:id="939219275">
      <w:bodyDiv w:val="1"/>
      <w:marLeft w:val="0"/>
      <w:marRight w:val="0"/>
      <w:marTop w:val="0"/>
      <w:marBottom w:val="0"/>
      <w:divBdr>
        <w:top w:val="none" w:sz="0" w:space="0" w:color="auto"/>
        <w:left w:val="none" w:sz="0" w:space="0" w:color="auto"/>
        <w:bottom w:val="none" w:sz="0" w:space="0" w:color="auto"/>
        <w:right w:val="none" w:sz="0" w:space="0" w:color="auto"/>
      </w:divBdr>
    </w:div>
    <w:div w:id="943074200">
      <w:bodyDiv w:val="1"/>
      <w:marLeft w:val="0"/>
      <w:marRight w:val="0"/>
      <w:marTop w:val="0"/>
      <w:marBottom w:val="0"/>
      <w:divBdr>
        <w:top w:val="none" w:sz="0" w:space="0" w:color="auto"/>
        <w:left w:val="none" w:sz="0" w:space="0" w:color="auto"/>
        <w:bottom w:val="none" w:sz="0" w:space="0" w:color="auto"/>
        <w:right w:val="none" w:sz="0" w:space="0" w:color="auto"/>
      </w:divBdr>
      <w:divsChild>
        <w:div w:id="125663148">
          <w:marLeft w:val="0"/>
          <w:marRight w:val="0"/>
          <w:marTop w:val="0"/>
          <w:marBottom w:val="0"/>
          <w:divBdr>
            <w:top w:val="none" w:sz="0" w:space="0" w:color="auto"/>
            <w:left w:val="none" w:sz="0" w:space="0" w:color="auto"/>
            <w:bottom w:val="none" w:sz="0" w:space="0" w:color="auto"/>
            <w:right w:val="none" w:sz="0" w:space="0" w:color="auto"/>
          </w:divBdr>
        </w:div>
        <w:div w:id="536356388">
          <w:marLeft w:val="0"/>
          <w:marRight w:val="0"/>
          <w:marTop w:val="0"/>
          <w:marBottom w:val="0"/>
          <w:divBdr>
            <w:top w:val="none" w:sz="0" w:space="0" w:color="auto"/>
            <w:left w:val="none" w:sz="0" w:space="0" w:color="auto"/>
            <w:bottom w:val="none" w:sz="0" w:space="0" w:color="auto"/>
            <w:right w:val="none" w:sz="0" w:space="0" w:color="auto"/>
          </w:divBdr>
        </w:div>
        <w:div w:id="905527640">
          <w:marLeft w:val="0"/>
          <w:marRight w:val="0"/>
          <w:marTop w:val="0"/>
          <w:marBottom w:val="0"/>
          <w:divBdr>
            <w:top w:val="none" w:sz="0" w:space="0" w:color="auto"/>
            <w:left w:val="none" w:sz="0" w:space="0" w:color="auto"/>
            <w:bottom w:val="none" w:sz="0" w:space="0" w:color="auto"/>
            <w:right w:val="none" w:sz="0" w:space="0" w:color="auto"/>
          </w:divBdr>
        </w:div>
      </w:divsChild>
    </w:div>
    <w:div w:id="956834214">
      <w:bodyDiv w:val="1"/>
      <w:marLeft w:val="0"/>
      <w:marRight w:val="0"/>
      <w:marTop w:val="0"/>
      <w:marBottom w:val="0"/>
      <w:divBdr>
        <w:top w:val="none" w:sz="0" w:space="0" w:color="auto"/>
        <w:left w:val="none" w:sz="0" w:space="0" w:color="auto"/>
        <w:bottom w:val="none" w:sz="0" w:space="0" w:color="auto"/>
        <w:right w:val="none" w:sz="0" w:space="0" w:color="auto"/>
      </w:divBdr>
    </w:div>
    <w:div w:id="977608895">
      <w:bodyDiv w:val="1"/>
      <w:marLeft w:val="0"/>
      <w:marRight w:val="0"/>
      <w:marTop w:val="0"/>
      <w:marBottom w:val="0"/>
      <w:divBdr>
        <w:top w:val="none" w:sz="0" w:space="0" w:color="auto"/>
        <w:left w:val="none" w:sz="0" w:space="0" w:color="auto"/>
        <w:bottom w:val="none" w:sz="0" w:space="0" w:color="auto"/>
        <w:right w:val="none" w:sz="0" w:space="0" w:color="auto"/>
      </w:divBdr>
    </w:div>
    <w:div w:id="980424941">
      <w:bodyDiv w:val="1"/>
      <w:marLeft w:val="0"/>
      <w:marRight w:val="0"/>
      <w:marTop w:val="0"/>
      <w:marBottom w:val="0"/>
      <w:divBdr>
        <w:top w:val="none" w:sz="0" w:space="0" w:color="auto"/>
        <w:left w:val="none" w:sz="0" w:space="0" w:color="auto"/>
        <w:bottom w:val="none" w:sz="0" w:space="0" w:color="auto"/>
        <w:right w:val="none" w:sz="0" w:space="0" w:color="auto"/>
      </w:divBdr>
      <w:divsChild>
        <w:div w:id="958685104">
          <w:marLeft w:val="0"/>
          <w:marRight w:val="0"/>
          <w:marTop w:val="0"/>
          <w:marBottom w:val="0"/>
          <w:divBdr>
            <w:top w:val="none" w:sz="0" w:space="0" w:color="auto"/>
            <w:left w:val="none" w:sz="0" w:space="0" w:color="auto"/>
            <w:bottom w:val="none" w:sz="0" w:space="0" w:color="auto"/>
            <w:right w:val="none" w:sz="0" w:space="0" w:color="auto"/>
          </w:divBdr>
        </w:div>
        <w:div w:id="2122648962">
          <w:marLeft w:val="0"/>
          <w:marRight w:val="0"/>
          <w:marTop w:val="0"/>
          <w:marBottom w:val="0"/>
          <w:divBdr>
            <w:top w:val="none" w:sz="0" w:space="0" w:color="auto"/>
            <w:left w:val="none" w:sz="0" w:space="0" w:color="auto"/>
            <w:bottom w:val="none" w:sz="0" w:space="0" w:color="auto"/>
            <w:right w:val="none" w:sz="0" w:space="0" w:color="auto"/>
          </w:divBdr>
        </w:div>
      </w:divsChild>
    </w:div>
    <w:div w:id="984506432">
      <w:bodyDiv w:val="1"/>
      <w:marLeft w:val="0"/>
      <w:marRight w:val="0"/>
      <w:marTop w:val="0"/>
      <w:marBottom w:val="0"/>
      <w:divBdr>
        <w:top w:val="none" w:sz="0" w:space="0" w:color="auto"/>
        <w:left w:val="none" w:sz="0" w:space="0" w:color="auto"/>
        <w:bottom w:val="none" w:sz="0" w:space="0" w:color="auto"/>
        <w:right w:val="none" w:sz="0" w:space="0" w:color="auto"/>
      </w:divBdr>
      <w:divsChild>
        <w:div w:id="262344513">
          <w:marLeft w:val="0"/>
          <w:marRight w:val="0"/>
          <w:marTop w:val="0"/>
          <w:marBottom w:val="0"/>
          <w:divBdr>
            <w:top w:val="none" w:sz="0" w:space="0" w:color="auto"/>
            <w:left w:val="none" w:sz="0" w:space="0" w:color="auto"/>
            <w:bottom w:val="none" w:sz="0" w:space="0" w:color="auto"/>
            <w:right w:val="none" w:sz="0" w:space="0" w:color="auto"/>
          </w:divBdr>
        </w:div>
        <w:div w:id="1581061806">
          <w:marLeft w:val="0"/>
          <w:marRight w:val="0"/>
          <w:marTop w:val="0"/>
          <w:marBottom w:val="0"/>
          <w:divBdr>
            <w:top w:val="none" w:sz="0" w:space="0" w:color="auto"/>
            <w:left w:val="none" w:sz="0" w:space="0" w:color="auto"/>
            <w:bottom w:val="none" w:sz="0" w:space="0" w:color="auto"/>
            <w:right w:val="none" w:sz="0" w:space="0" w:color="auto"/>
          </w:divBdr>
        </w:div>
      </w:divsChild>
    </w:div>
    <w:div w:id="994184481">
      <w:bodyDiv w:val="1"/>
      <w:marLeft w:val="0"/>
      <w:marRight w:val="0"/>
      <w:marTop w:val="0"/>
      <w:marBottom w:val="0"/>
      <w:divBdr>
        <w:top w:val="none" w:sz="0" w:space="0" w:color="auto"/>
        <w:left w:val="none" w:sz="0" w:space="0" w:color="auto"/>
        <w:bottom w:val="none" w:sz="0" w:space="0" w:color="auto"/>
        <w:right w:val="none" w:sz="0" w:space="0" w:color="auto"/>
      </w:divBdr>
      <w:divsChild>
        <w:div w:id="604580360">
          <w:marLeft w:val="0"/>
          <w:marRight w:val="0"/>
          <w:marTop w:val="0"/>
          <w:marBottom w:val="0"/>
          <w:divBdr>
            <w:top w:val="none" w:sz="0" w:space="0" w:color="auto"/>
            <w:left w:val="none" w:sz="0" w:space="0" w:color="auto"/>
            <w:bottom w:val="none" w:sz="0" w:space="0" w:color="auto"/>
            <w:right w:val="none" w:sz="0" w:space="0" w:color="auto"/>
          </w:divBdr>
        </w:div>
        <w:div w:id="1248877666">
          <w:marLeft w:val="0"/>
          <w:marRight w:val="0"/>
          <w:marTop w:val="0"/>
          <w:marBottom w:val="0"/>
          <w:divBdr>
            <w:top w:val="none" w:sz="0" w:space="0" w:color="auto"/>
            <w:left w:val="none" w:sz="0" w:space="0" w:color="auto"/>
            <w:bottom w:val="none" w:sz="0" w:space="0" w:color="auto"/>
            <w:right w:val="none" w:sz="0" w:space="0" w:color="auto"/>
          </w:divBdr>
        </w:div>
        <w:div w:id="1749304182">
          <w:marLeft w:val="0"/>
          <w:marRight w:val="0"/>
          <w:marTop w:val="0"/>
          <w:marBottom w:val="0"/>
          <w:divBdr>
            <w:top w:val="none" w:sz="0" w:space="0" w:color="auto"/>
            <w:left w:val="none" w:sz="0" w:space="0" w:color="auto"/>
            <w:bottom w:val="none" w:sz="0" w:space="0" w:color="auto"/>
            <w:right w:val="none" w:sz="0" w:space="0" w:color="auto"/>
          </w:divBdr>
        </w:div>
      </w:divsChild>
    </w:div>
    <w:div w:id="1006178344">
      <w:bodyDiv w:val="1"/>
      <w:marLeft w:val="0"/>
      <w:marRight w:val="0"/>
      <w:marTop w:val="0"/>
      <w:marBottom w:val="0"/>
      <w:divBdr>
        <w:top w:val="none" w:sz="0" w:space="0" w:color="auto"/>
        <w:left w:val="none" w:sz="0" w:space="0" w:color="auto"/>
        <w:bottom w:val="none" w:sz="0" w:space="0" w:color="auto"/>
        <w:right w:val="none" w:sz="0" w:space="0" w:color="auto"/>
      </w:divBdr>
    </w:div>
    <w:div w:id="1013804773">
      <w:bodyDiv w:val="1"/>
      <w:marLeft w:val="0"/>
      <w:marRight w:val="0"/>
      <w:marTop w:val="0"/>
      <w:marBottom w:val="0"/>
      <w:divBdr>
        <w:top w:val="none" w:sz="0" w:space="0" w:color="auto"/>
        <w:left w:val="none" w:sz="0" w:space="0" w:color="auto"/>
        <w:bottom w:val="none" w:sz="0" w:space="0" w:color="auto"/>
        <w:right w:val="none" w:sz="0" w:space="0" w:color="auto"/>
      </w:divBdr>
      <w:divsChild>
        <w:div w:id="503596569">
          <w:marLeft w:val="0"/>
          <w:marRight w:val="0"/>
          <w:marTop w:val="0"/>
          <w:marBottom w:val="0"/>
          <w:divBdr>
            <w:top w:val="none" w:sz="0" w:space="0" w:color="auto"/>
            <w:left w:val="none" w:sz="0" w:space="0" w:color="auto"/>
            <w:bottom w:val="none" w:sz="0" w:space="0" w:color="auto"/>
            <w:right w:val="none" w:sz="0" w:space="0" w:color="auto"/>
          </w:divBdr>
        </w:div>
        <w:div w:id="1074278225">
          <w:marLeft w:val="0"/>
          <w:marRight w:val="0"/>
          <w:marTop w:val="0"/>
          <w:marBottom w:val="0"/>
          <w:divBdr>
            <w:top w:val="none" w:sz="0" w:space="0" w:color="auto"/>
            <w:left w:val="none" w:sz="0" w:space="0" w:color="auto"/>
            <w:bottom w:val="none" w:sz="0" w:space="0" w:color="auto"/>
            <w:right w:val="none" w:sz="0" w:space="0" w:color="auto"/>
          </w:divBdr>
        </w:div>
      </w:divsChild>
    </w:div>
    <w:div w:id="1018652304">
      <w:bodyDiv w:val="1"/>
      <w:marLeft w:val="0"/>
      <w:marRight w:val="0"/>
      <w:marTop w:val="0"/>
      <w:marBottom w:val="0"/>
      <w:divBdr>
        <w:top w:val="none" w:sz="0" w:space="0" w:color="auto"/>
        <w:left w:val="none" w:sz="0" w:space="0" w:color="auto"/>
        <w:bottom w:val="none" w:sz="0" w:space="0" w:color="auto"/>
        <w:right w:val="none" w:sz="0" w:space="0" w:color="auto"/>
      </w:divBdr>
    </w:div>
    <w:div w:id="1026715476">
      <w:bodyDiv w:val="1"/>
      <w:marLeft w:val="0"/>
      <w:marRight w:val="0"/>
      <w:marTop w:val="0"/>
      <w:marBottom w:val="0"/>
      <w:divBdr>
        <w:top w:val="none" w:sz="0" w:space="0" w:color="auto"/>
        <w:left w:val="none" w:sz="0" w:space="0" w:color="auto"/>
        <w:bottom w:val="none" w:sz="0" w:space="0" w:color="auto"/>
        <w:right w:val="none" w:sz="0" w:space="0" w:color="auto"/>
      </w:divBdr>
      <w:divsChild>
        <w:div w:id="247077923">
          <w:marLeft w:val="0"/>
          <w:marRight w:val="0"/>
          <w:marTop w:val="0"/>
          <w:marBottom w:val="0"/>
          <w:divBdr>
            <w:top w:val="none" w:sz="0" w:space="0" w:color="auto"/>
            <w:left w:val="none" w:sz="0" w:space="0" w:color="auto"/>
            <w:bottom w:val="none" w:sz="0" w:space="0" w:color="auto"/>
            <w:right w:val="none" w:sz="0" w:space="0" w:color="auto"/>
          </w:divBdr>
        </w:div>
      </w:divsChild>
    </w:div>
    <w:div w:id="1049453766">
      <w:bodyDiv w:val="1"/>
      <w:marLeft w:val="0"/>
      <w:marRight w:val="0"/>
      <w:marTop w:val="0"/>
      <w:marBottom w:val="0"/>
      <w:divBdr>
        <w:top w:val="none" w:sz="0" w:space="0" w:color="auto"/>
        <w:left w:val="none" w:sz="0" w:space="0" w:color="auto"/>
        <w:bottom w:val="none" w:sz="0" w:space="0" w:color="auto"/>
        <w:right w:val="none" w:sz="0" w:space="0" w:color="auto"/>
      </w:divBdr>
    </w:div>
    <w:div w:id="1065682617">
      <w:bodyDiv w:val="1"/>
      <w:marLeft w:val="0"/>
      <w:marRight w:val="0"/>
      <w:marTop w:val="0"/>
      <w:marBottom w:val="0"/>
      <w:divBdr>
        <w:top w:val="none" w:sz="0" w:space="0" w:color="auto"/>
        <w:left w:val="none" w:sz="0" w:space="0" w:color="auto"/>
        <w:bottom w:val="none" w:sz="0" w:space="0" w:color="auto"/>
        <w:right w:val="none" w:sz="0" w:space="0" w:color="auto"/>
      </w:divBdr>
      <w:divsChild>
        <w:div w:id="1165365988">
          <w:marLeft w:val="0"/>
          <w:marRight w:val="0"/>
          <w:marTop w:val="0"/>
          <w:marBottom w:val="0"/>
          <w:divBdr>
            <w:top w:val="none" w:sz="0" w:space="0" w:color="auto"/>
            <w:left w:val="none" w:sz="0" w:space="0" w:color="auto"/>
            <w:bottom w:val="none" w:sz="0" w:space="0" w:color="auto"/>
            <w:right w:val="none" w:sz="0" w:space="0" w:color="auto"/>
          </w:divBdr>
        </w:div>
        <w:div w:id="1348216219">
          <w:marLeft w:val="0"/>
          <w:marRight w:val="0"/>
          <w:marTop w:val="0"/>
          <w:marBottom w:val="0"/>
          <w:divBdr>
            <w:top w:val="none" w:sz="0" w:space="0" w:color="auto"/>
            <w:left w:val="none" w:sz="0" w:space="0" w:color="auto"/>
            <w:bottom w:val="none" w:sz="0" w:space="0" w:color="auto"/>
            <w:right w:val="none" w:sz="0" w:space="0" w:color="auto"/>
          </w:divBdr>
        </w:div>
      </w:divsChild>
    </w:div>
    <w:div w:id="1067461681">
      <w:bodyDiv w:val="1"/>
      <w:marLeft w:val="0"/>
      <w:marRight w:val="0"/>
      <w:marTop w:val="0"/>
      <w:marBottom w:val="0"/>
      <w:divBdr>
        <w:top w:val="none" w:sz="0" w:space="0" w:color="auto"/>
        <w:left w:val="none" w:sz="0" w:space="0" w:color="auto"/>
        <w:bottom w:val="none" w:sz="0" w:space="0" w:color="auto"/>
        <w:right w:val="none" w:sz="0" w:space="0" w:color="auto"/>
      </w:divBdr>
      <w:divsChild>
        <w:div w:id="423652843">
          <w:marLeft w:val="0"/>
          <w:marRight w:val="0"/>
          <w:marTop w:val="0"/>
          <w:marBottom w:val="0"/>
          <w:divBdr>
            <w:top w:val="none" w:sz="0" w:space="0" w:color="auto"/>
            <w:left w:val="none" w:sz="0" w:space="0" w:color="auto"/>
            <w:bottom w:val="none" w:sz="0" w:space="0" w:color="auto"/>
            <w:right w:val="none" w:sz="0" w:space="0" w:color="auto"/>
          </w:divBdr>
        </w:div>
        <w:div w:id="2018537988">
          <w:marLeft w:val="0"/>
          <w:marRight w:val="0"/>
          <w:marTop w:val="0"/>
          <w:marBottom w:val="0"/>
          <w:divBdr>
            <w:top w:val="none" w:sz="0" w:space="0" w:color="auto"/>
            <w:left w:val="none" w:sz="0" w:space="0" w:color="auto"/>
            <w:bottom w:val="none" w:sz="0" w:space="0" w:color="auto"/>
            <w:right w:val="none" w:sz="0" w:space="0" w:color="auto"/>
          </w:divBdr>
        </w:div>
      </w:divsChild>
    </w:div>
    <w:div w:id="1092824921">
      <w:bodyDiv w:val="1"/>
      <w:marLeft w:val="0"/>
      <w:marRight w:val="0"/>
      <w:marTop w:val="0"/>
      <w:marBottom w:val="0"/>
      <w:divBdr>
        <w:top w:val="none" w:sz="0" w:space="0" w:color="auto"/>
        <w:left w:val="none" w:sz="0" w:space="0" w:color="auto"/>
        <w:bottom w:val="none" w:sz="0" w:space="0" w:color="auto"/>
        <w:right w:val="none" w:sz="0" w:space="0" w:color="auto"/>
      </w:divBdr>
    </w:div>
    <w:div w:id="1101415766">
      <w:bodyDiv w:val="1"/>
      <w:marLeft w:val="0"/>
      <w:marRight w:val="0"/>
      <w:marTop w:val="0"/>
      <w:marBottom w:val="0"/>
      <w:divBdr>
        <w:top w:val="none" w:sz="0" w:space="0" w:color="auto"/>
        <w:left w:val="none" w:sz="0" w:space="0" w:color="auto"/>
        <w:bottom w:val="none" w:sz="0" w:space="0" w:color="auto"/>
        <w:right w:val="none" w:sz="0" w:space="0" w:color="auto"/>
      </w:divBdr>
    </w:div>
    <w:div w:id="1111634330">
      <w:bodyDiv w:val="1"/>
      <w:marLeft w:val="0"/>
      <w:marRight w:val="0"/>
      <w:marTop w:val="0"/>
      <w:marBottom w:val="0"/>
      <w:divBdr>
        <w:top w:val="none" w:sz="0" w:space="0" w:color="auto"/>
        <w:left w:val="none" w:sz="0" w:space="0" w:color="auto"/>
        <w:bottom w:val="none" w:sz="0" w:space="0" w:color="auto"/>
        <w:right w:val="none" w:sz="0" w:space="0" w:color="auto"/>
      </w:divBdr>
      <w:divsChild>
        <w:div w:id="488445592">
          <w:marLeft w:val="0"/>
          <w:marRight w:val="0"/>
          <w:marTop w:val="0"/>
          <w:marBottom w:val="0"/>
          <w:divBdr>
            <w:top w:val="none" w:sz="0" w:space="0" w:color="auto"/>
            <w:left w:val="none" w:sz="0" w:space="0" w:color="auto"/>
            <w:bottom w:val="none" w:sz="0" w:space="0" w:color="auto"/>
            <w:right w:val="none" w:sz="0" w:space="0" w:color="auto"/>
          </w:divBdr>
        </w:div>
        <w:div w:id="1260866207">
          <w:marLeft w:val="0"/>
          <w:marRight w:val="0"/>
          <w:marTop w:val="0"/>
          <w:marBottom w:val="0"/>
          <w:divBdr>
            <w:top w:val="none" w:sz="0" w:space="0" w:color="auto"/>
            <w:left w:val="none" w:sz="0" w:space="0" w:color="auto"/>
            <w:bottom w:val="none" w:sz="0" w:space="0" w:color="auto"/>
            <w:right w:val="none" w:sz="0" w:space="0" w:color="auto"/>
          </w:divBdr>
        </w:div>
      </w:divsChild>
    </w:div>
    <w:div w:id="1134058346">
      <w:bodyDiv w:val="1"/>
      <w:marLeft w:val="0"/>
      <w:marRight w:val="0"/>
      <w:marTop w:val="0"/>
      <w:marBottom w:val="0"/>
      <w:divBdr>
        <w:top w:val="none" w:sz="0" w:space="0" w:color="auto"/>
        <w:left w:val="none" w:sz="0" w:space="0" w:color="auto"/>
        <w:bottom w:val="none" w:sz="0" w:space="0" w:color="auto"/>
        <w:right w:val="none" w:sz="0" w:space="0" w:color="auto"/>
      </w:divBdr>
      <w:divsChild>
        <w:div w:id="42410395">
          <w:marLeft w:val="0"/>
          <w:marRight w:val="0"/>
          <w:marTop w:val="0"/>
          <w:marBottom w:val="0"/>
          <w:divBdr>
            <w:top w:val="none" w:sz="0" w:space="0" w:color="auto"/>
            <w:left w:val="none" w:sz="0" w:space="0" w:color="auto"/>
            <w:bottom w:val="none" w:sz="0" w:space="0" w:color="auto"/>
            <w:right w:val="none" w:sz="0" w:space="0" w:color="auto"/>
          </w:divBdr>
        </w:div>
        <w:div w:id="198708346">
          <w:marLeft w:val="0"/>
          <w:marRight w:val="0"/>
          <w:marTop w:val="0"/>
          <w:marBottom w:val="0"/>
          <w:divBdr>
            <w:top w:val="none" w:sz="0" w:space="0" w:color="auto"/>
            <w:left w:val="none" w:sz="0" w:space="0" w:color="auto"/>
            <w:bottom w:val="none" w:sz="0" w:space="0" w:color="auto"/>
            <w:right w:val="none" w:sz="0" w:space="0" w:color="auto"/>
          </w:divBdr>
          <w:divsChild>
            <w:div w:id="261036816">
              <w:marLeft w:val="0"/>
              <w:marRight w:val="0"/>
              <w:marTop w:val="0"/>
              <w:marBottom w:val="0"/>
              <w:divBdr>
                <w:top w:val="none" w:sz="0" w:space="0" w:color="auto"/>
                <w:left w:val="none" w:sz="0" w:space="0" w:color="auto"/>
                <w:bottom w:val="none" w:sz="0" w:space="0" w:color="auto"/>
                <w:right w:val="none" w:sz="0" w:space="0" w:color="auto"/>
              </w:divBdr>
            </w:div>
            <w:div w:id="288973352">
              <w:marLeft w:val="0"/>
              <w:marRight w:val="0"/>
              <w:marTop w:val="0"/>
              <w:marBottom w:val="0"/>
              <w:divBdr>
                <w:top w:val="none" w:sz="0" w:space="0" w:color="auto"/>
                <w:left w:val="none" w:sz="0" w:space="0" w:color="auto"/>
                <w:bottom w:val="none" w:sz="0" w:space="0" w:color="auto"/>
                <w:right w:val="none" w:sz="0" w:space="0" w:color="auto"/>
              </w:divBdr>
            </w:div>
            <w:div w:id="657422708">
              <w:marLeft w:val="0"/>
              <w:marRight w:val="0"/>
              <w:marTop w:val="0"/>
              <w:marBottom w:val="0"/>
              <w:divBdr>
                <w:top w:val="none" w:sz="0" w:space="0" w:color="auto"/>
                <w:left w:val="none" w:sz="0" w:space="0" w:color="auto"/>
                <w:bottom w:val="none" w:sz="0" w:space="0" w:color="auto"/>
                <w:right w:val="none" w:sz="0" w:space="0" w:color="auto"/>
              </w:divBdr>
            </w:div>
            <w:div w:id="765544105">
              <w:marLeft w:val="0"/>
              <w:marRight w:val="0"/>
              <w:marTop w:val="0"/>
              <w:marBottom w:val="0"/>
              <w:divBdr>
                <w:top w:val="none" w:sz="0" w:space="0" w:color="auto"/>
                <w:left w:val="none" w:sz="0" w:space="0" w:color="auto"/>
                <w:bottom w:val="none" w:sz="0" w:space="0" w:color="auto"/>
                <w:right w:val="none" w:sz="0" w:space="0" w:color="auto"/>
              </w:divBdr>
            </w:div>
            <w:div w:id="798644527">
              <w:marLeft w:val="0"/>
              <w:marRight w:val="0"/>
              <w:marTop w:val="0"/>
              <w:marBottom w:val="0"/>
              <w:divBdr>
                <w:top w:val="none" w:sz="0" w:space="0" w:color="auto"/>
                <w:left w:val="none" w:sz="0" w:space="0" w:color="auto"/>
                <w:bottom w:val="none" w:sz="0" w:space="0" w:color="auto"/>
                <w:right w:val="none" w:sz="0" w:space="0" w:color="auto"/>
              </w:divBdr>
            </w:div>
            <w:div w:id="954212268">
              <w:marLeft w:val="0"/>
              <w:marRight w:val="0"/>
              <w:marTop w:val="0"/>
              <w:marBottom w:val="0"/>
              <w:divBdr>
                <w:top w:val="none" w:sz="0" w:space="0" w:color="auto"/>
                <w:left w:val="none" w:sz="0" w:space="0" w:color="auto"/>
                <w:bottom w:val="none" w:sz="0" w:space="0" w:color="auto"/>
                <w:right w:val="none" w:sz="0" w:space="0" w:color="auto"/>
              </w:divBdr>
            </w:div>
            <w:div w:id="980381694">
              <w:marLeft w:val="0"/>
              <w:marRight w:val="0"/>
              <w:marTop w:val="0"/>
              <w:marBottom w:val="0"/>
              <w:divBdr>
                <w:top w:val="none" w:sz="0" w:space="0" w:color="auto"/>
                <w:left w:val="none" w:sz="0" w:space="0" w:color="auto"/>
                <w:bottom w:val="none" w:sz="0" w:space="0" w:color="auto"/>
                <w:right w:val="none" w:sz="0" w:space="0" w:color="auto"/>
              </w:divBdr>
            </w:div>
            <w:div w:id="1044405448">
              <w:marLeft w:val="0"/>
              <w:marRight w:val="0"/>
              <w:marTop w:val="0"/>
              <w:marBottom w:val="0"/>
              <w:divBdr>
                <w:top w:val="none" w:sz="0" w:space="0" w:color="auto"/>
                <w:left w:val="none" w:sz="0" w:space="0" w:color="auto"/>
                <w:bottom w:val="none" w:sz="0" w:space="0" w:color="auto"/>
                <w:right w:val="none" w:sz="0" w:space="0" w:color="auto"/>
              </w:divBdr>
            </w:div>
            <w:div w:id="1046640242">
              <w:marLeft w:val="0"/>
              <w:marRight w:val="0"/>
              <w:marTop w:val="0"/>
              <w:marBottom w:val="0"/>
              <w:divBdr>
                <w:top w:val="none" w:sz="0" w:space="0" w:color="auto"/>
                <w:left w:val="none" w:sz="0" w:space="0" w:color="auto"/>
                <w:bottom w:val="none" w:sz="0" w:space="0" w:color="auto"/>
                <w:right w:val="none" w:sz="0" w:space="0" w:color="auto"/>
              </w:divBdr>
            </w:div>
            <w:div w:id="1106576899">
              <w:marLeft w:val="0"/>
              <w:marRight w:val="0"/>
              <w:marTop w:val="0"/>
              <w:marBottom w:val="0"/>
              <w:divBdr>
                <w:top w:val="none" w:sz="0" w:space="0" w:color="auto"/>
                <w:left w:val="none" w:sz="0" w:space="0" w:color="auto"/>
                <w:bottom w:val="none" w:sz="0" w:space="0" w:color="auto"/>
                <w:right w:val="none" w:sz="0" w:space="0" w:color="auto"/>
              </w:divBdr>
            </w:div>
            <w:div w:id="1127503024">
              <w:marLeft w:val="0"/>
              <w:marRight w:val="0"/>
              <w:marTop w:val="0"/>
              <w:marBottom w:val="0"/>
              <w:divBdr>
                <w:top w:val="none" w:sz="0" w:space="0" w:color="auto"/>
                <w:left w:val="none" w:sz="0" w:space="0" w:color="auto"/>
                <w:bottom w:val="none" w:sz="0" w:space="0" w:color="auto"/>
                <w:right w:val="none" w:sz="0" w:space="0" w:color="auto"/>
              </w:divBdr>
            </w:div>
            <w:div w:id="1139958323">
              <w:marLeft w:val="0"/>
              <w:marRight w:val="0"/>
              <w:marTop w:val="0"/>
              <w:marBottom w:val="0"/>
              <w:divBdr>
                <w:top w:val="none" w:sz="0" w:space="0" w:color="auto"/>
                <w:left w:val="none" w:sz="0" w:space="0" w:color="auto"/>
                <w:bottom w:val="none" w:sz="0" w:space="0" w:color="auto"/>
                <w:right w:val="none" w:sz="0" w:space="0" w:color="auto"/>
              </w:divBdr>
            </w:div>
            <w:div w:id="1172138471">
              <w:marLeft w:val="0"/>
              <w:marRight w:val="0"/>
              <w:marTop w:val="0"/>
              <w:marBottom w:val="0"/>
              <w:divBdr>
                <w:top w:val="none" w:sz="0" w:space="0" w:color="auto"/>
                <w:left w:val="none" w:sz="0" w:space="0" w:color="auto"/>
                <w:bottom w:val="none" w:sz="0" w:space="0" w:color="auto"/>
                <w:right w:val="none" w:sz="0" w:space="0" w:color="auto"/>
              </w:divBdr>
            </w:div>
            <w:div w:id="1328627127">
              <w:marLeft w:val="0"/>
              <w:marRight w:val="0"/>
              <w:marTop w:val="0"/>
              <w:marBottom w:val="0"/>
              <w:divBdr>
                <w:top w:val="none" w:sz="0" w:space="0" w:color="auto"/>
                <w:left w:val="none" w:sz="0" w:space="0" w:color="auto"/>
                <w:bottom w:val="none" w:sz="0" w:space="0" w:color="auto"/>
                <w:right w:val="none" w:sz="0" w:space="0" w:color="auto"/>
              </w:divBdr>
            </w:div>
            <w:div w:id="1464158066">
              <w:marLeft w:val="0"/>
              <w:marRight w:val="0"/>
              <w:marTop w:val="0"/>
              <w:marBottom w:val="0"/>
              <w:divBdr>
                <w:top w:val="none" w:sz="0" w:space="0" w:color="auto"/>
                <w:left w:val="none" w:sz="0" w:space="0" w:color="auto"/>
                <w:bottom w:val="none" w:sz="0" w:space="0" w:color="auto"/>
                <w:right w:val="none" w:sz="0" w:space="0" w:color="auto"/>
              </w:divBdr>
            </w:div>
            <w:div w:id="1517035969">
              <w:marLeft w:val="0"/>
              <w:marRight w:val="0"/>
              <w:marTop w:val="0"/>
              <w:marBottom w:val="0"/>
              <w:divBdr>
                <w:top w:val="none" w:sz="0" w:space="0" w:color="auto"/>
                <w:left w:val="none" w:sz="0" w:space="0" w:color="auto"/>
                <w:bottom w:val="none" w:sz="0" w:space="0" w:color="auto"/>
                <w:right w:val="none" w:sz="0" w:space="0" w:color="auto"/>
              </w:divBdr>
            </w:div>
            <w:div w:id="1963148850">
              <w:marLeft w:val="0"/>
              <w:marRight w:val="0"/>
              <w:marTop w:val="0"/>
              <w:marBottom w:val="0"/>
              <w:divBdr>
                <w:top w:val="none" w:sz="0" w:space="0" w:color="auto"/>
                <w:left w:val="none" w:sz="0" w:space="0" w:color="auto"/>
                <w:bottom w:val="none" w:sz="0" w:space="0" w:color="auto"/>
                <w:right w:val="none" w:sz="0" w:space="0" w:color="auto"/>
              </w:divBdr>
            </w:div>
            <w:div w:id="1976136639">
              <w:marLeft w:val="0"/>
              <w:marRight w:val="0"/>
              <w:marTop w:val="0"/>
              <w:marBottom w:val="0"/>
              <w:divBdr>
                <w:top w:val="none" w:sz="0" w:space="0" w:color="auto"/>
                <w:left w:val="none" w:sz="0" w:space="0" w:color="auto"/>
                <w:bottom w:val="none" w:sz="0" w:space="0" w:color="auto"/>
                <w:right w:val="none" w:sz="0" w:space="0" w:color="auto"/>
              </w:divBdr>
            </w:div>
            <w:div w:id="2079667344">
              <w:marLeft w:val="0"/>
              <w:marRight w:val="0"/>
              <w:marTop w:val="0"/>
              <w:marBottom w:val="0"/>
              <w:divBdr>
                <w:top w:val="none" w:sz="0" w:space="0" w:color="auto"/>
                <w:left w:val="none" w:sz="0" w:space="0" w:color="auto"/>
                <w:bottom w:val="none" w:sz="0" w:space="0" w:color="auto"/>
                <w:right w:val="none" w:sz="0" w:space="0" w:color="auto"/>
              </w:divBdr>
            </w:div>
            <w:div w:id="2103723777">
              <w:marLeft w:val="0"/>
              <w:marRight w:val="0"/>
              <w:marTop w:val="0"/>
              <w:marBottom w:val="0"/>
              <w:divBdr>
                <w:top w:val="none" w:sz="0" w:space="0" w:color="auto"/>
                <w:left w:val="none" w:sz="0" w:space="0" w:color="auto"/>
                <w:bottom w:val="none" w:sz="0" w:space="0" w:color="auto"/>
                <w:right w:val="none" w:sz="0" w:space="0" w:color="auto"/>
              </w:divBdr>
            </w:div>
          </w:divsChild>
        </w:div>
        <w:div w:id="204564587">
          <w:marLeft w:val="0"/>
          <w:marRight w:val="0"/>
          <w:marTop w:val="0"/>
          <w:marBottom w:val="0"/>
          <w:divBdr>
            <w:top w:val="none" w:sz="0" w:space="0" w:color="auto"/>
            <w:left w:val="none" w:sz="0" w:space="0" w:color="auto"/>
            <w:bottom w:val="none" w:sz="0" w:space="0" w:color="auto"/>
            <w:right w:val="none" w:sz="0" w:space="0" w:color="auto"/>
          </w:divBdr>
        </w:div>
        <w:div w:id="442041529">
          <w:marLeft w:val="0"/>
          <w:marRight w:val="0"/>
          <w:marTop w:val="0"/>
          <w:marBottom w:val="0"/>
          <w:divBdr>
            <w:top w:val="none" w:sz="0" w:space="0" w:color="auto"/>
            <w:left w:val="none" w:sz="0" w:space="0" w:color="auto"/>
            <w:bottom w:val="none" w:sz="0" w:space="0" w:color="auto"/>
            <w:right w:val="none" w:sz="0" w:space="0" w:color="auto"/>
          </w:divBdr>
          <w:divsChild>
            <w:div w:id="55596062">
              <w:marLeft w:val="0"/>
              <w:marRight w:val="0"/>
              <w:marTop w:val="0"/>
              <w:marBottom w:val="0"/>
              <w:divBdr>
                <w:top w:val="none" w:sz="0" w:space="0" w:color="auto"/>
                <w:left w:val="none" w:sz="0" w:space="0" w:color="auto"/>
                <w:bottom w:val="none" w:sz="0" w:space="0" w:color="auto"/>
                <w:right w:val="none" w:sz="0" w:space="0" w:color="auto"/>
              </w:divBdr>
            </w:div>
            <w:div w:id="219446342">
              <w:marLeft w:val="0"/>
              <w:marRight w:val="0"/>
              <w:marTop w:val="0"/>
              <w:marBottom w:val="0"/>
              <w:divBdr>
                <w:top w:val="none" w:sz="0" w:space="0" w:color="auto"/>
                <w:left w:val="none" w:sz="0" w:space="0" w:color="auto"/>
                <w:bottom w:val="none" w:sz="0" w:space="0" w:color="auto"/>
                <w:right w:val="none" w:sz="0" w:space="0" w:color="auto"/>
              </w:divBdr>
            </w:div>
            <w:div w:id="287319581">
              <w:marLeft w:val="0"/>
              <w:marRight w:val="0"/>
              <w:marTop w:val="0"/>
              <w:marBottom w:val="0"/>
              <w:divBdr>
                <w:top w:val="none" w:sz="0" w:space="0" w:color="auto"/>
                <w:left w:val="none" w:sz="0" w:space="0" w:color="auto"/>
                <w:bottom w:val="none" w:sz="0" w:space="0" w:color="auto"/>
                <w:right w:val="none" w:sz="0" w:space="0" w:color="auto"/>
              </w:divBdr>
            </w:div>
            <w:div w:id="343359709">
              <w:marLeft w:val="0"/>
              <w:marRight w:val="0"/>
              <w:marTop w:val="0"/>
              <w:marBottom w:val="0"/>
              <w:divBdr>
                <w:top w:val="none" w:sz="0" w:space="0" w:color="auto"/>
                <w:left w:val="none" w:sz="0" w:space="0" w:color="auto"/>
                <w:bottom w:val="none" w:sz="0" w:space="0" w:color="auto"/>
                <w:right w:val="none" w:sz="0" w:space="0" w:color="auto"/>
              </w:divBdr>
            </w:div>
            <w:div w:id="513570076">
              <w:marLeft w:val="0"/>
              <w:marRight w:val="0"/>
              <w:marTop w:val="0"/>
              <w:marBottom w:val="0"/>
              <w:divBdr>
                <w:top w:val="none" w:sz="0" w:space="0" w:color="auto"/>
                <w:left w:val="none" w:sz="0" w:space="0" w:color="auto"/>
                <w:bottom w:val="none" w:sz="0" w:space="0" w:color="auto"/>
                <w:right w:val="none" w:sz="0" w:space="0" w:color="auto"/>
              </w:divBdr>
            </w:div>
            <w:div w:id="645817420">
              <w:marLeft w:val="0"/>
              <w:marRight w:val="0"/>
              <w:marTop w:val="0"/>
              <w:marBottom w:val="0"/>
              <w:divBdr>
                <w:top w:val="none" w:sz="0" w:space="0" w:color="auto"/>
                <w:left w:val="none" w:sz="0" w:space="0" w:color="auto"/>
                <w:bottom w:val="none" w:sz="0" w:space="0" w:color="auto"/>
                <w:right w:val="none" w:sz="0" w:space="0" w:color="auto"/>
              </w:divBdr>
            </w:div>
            <w:div w:id="649290694">
              <w:marLeft w:val="0"/>
              <w:marRight w:val="0"/>
              <w:marTop w:val="0"/>
              <w:marBottom w:val="0"/>
              <w:divBdr>
                <w:top w:val="none" w:sz="0" w:space="0" w:color="auto"/>
                <w:left w:val="none" w:sz="0" w:space="0" w:color="auto"/>
                <w:bottom w:val="none" w:sz="0" w:space="0" w:color="auto"/>
                <w:right w:val="none" w:sz="0" w:space="0" w:color="auto"/>
              </w:divBdr>
            </w:div>
            <w:div w:id="890964013">
              <w:marLeft w:val="0"/>
              <w:marRight w:val="0"/>
              <w:marTop w:val="0"/>
              <w:marBottom w:val="0"/>
              <w:divBdr>
                <w:top w:val="none" w:sz="0" w:space="0" w:color="auto"/>
                <w:left w:val="none" w:sz="0" w:space="0" w:color="auto"/>
                <w:bottom w:val="none" w:sz="0" w:space="0" w:color="auto"/>
                <w:right w:val="none" w:sz="0" w:space="0" w:color="auto"/>
              </w:divBdr>
            </w:div>
            <w:div w:id="914512531">
              <w:marLeft w:val="0"/>
              <w:marRight w:val="0"/>
              <w:marTop w:val="0"/>
              <w:marBottom w:val="0"/>
              <w:divBdr>
                <w:top w:val="none" w:sz="0" w:space="0" w:color="auto"/>
                <w:left w:val="none" w:sz="0" w:space="0" w:color="auto"/>
                <w:bottom w:val="none" w:sz="0" w:space="0" w:color="auto"/>
                <w:right w:val="none" w:sz="0" w:space="0" w:color="auto"/>
              </w:divBdr>
            </w:div>
            <w:div w:id="1109928987">
              <w:marLeft w:val="0"/>
              <w:marRight w:val="0"/>
              <w:marTop w:val="0"/>
              <w:marBottom w:val="0"/>
              <w:divBdr>
                <w:top w:val="none" w:sz="0" w:space="0" w:color="auto"/>
                <w:left w:val="none" w:sz="0" w:space="0" w:color="auto"/>
                <w:bottom w:val="none" w:sz="0" w:space="0" w:color="auto"/>
                <w:right w:val="none" w:sz="0" w:space="0" w:color="auto"/>
              </w:divBdr>
            </w:div>
            <w:div w:id="1148203438">
              <w:marLeft w:val="0"/>
              <w:marRight w:val="0"/>
              <w:marTop w:val="0"/>
              <w:marBottom w:val="0"/>
              <w:divBdr>
                <w:top w:val="none" w:sz="0" w:space="0" w:color="auto"/>
                <w:left w:val="none" w:sz="0" w:space="0" w:color="auto"/>
                <w:bottom w:val="none" w:sz="0" w:space="0" w:color="auto"/>
                <w:right w:val="none" w:sz="0" w:space="0" w:color="auto"/>
              </w:divBdr>
            </w:div>
            <w:div w:id="1374572614">
              <w:marLeft w:val="0"/>
              <w:marRight w:val="0"/>
              <w:marTop w:val="0"/>
              <w:marBottom w:val="0"/>
              <w:divBdr>
                <w:top w:val="none" w:sz="0" w:space="0" w:color="auto"/>
                <w:left w:val="none" w:sz="0" w:space="0" w:color="auto"/>
                <w:bottom w:val="none" w:sz="0" w:space="0" w:color="auto"/>
                <w:right w:val="none" w:sz="0" w:space="0" w:color="auto"/>
              </w:divBdr>
            </w:div>
            <w:div w:id="1604458504">
              <w:marLeft w:val="0"/>
              <w:marRight w:val="0"/>
              <w:marTop w:val="0"/>
              <w:marBottom w:val="0"/>
              <w:divBdr>
                <w:top w:val="none" w:sz="0" w:space="0" w:color="auto"/>
                <w:left w:val="none" w:sz="0" w:space="0" w:color="auto"/>
                <w:bottom w:val="none" w:sz="0" w:space="0" w:color="auto"/>
                <w:right w:val="none" w:sz="0" w:space="0" w:color="auto"/>
              </w:divBdr>
            </w:div>
            <w:div w:id="1636063548">
              <w:marLeft w:val="0"/>
              <w:marRight w:val="0"/>
              <w:marTop w:val="0"/>
              <w:marBottom w:val="0"/>
              <w:divBdr>
                <w:top w:val="none" w:sz="0" w:space="0" w:color="auto"/>
                <w:left w:val="none" w:sz="0" w:space="0" w:color="auto"/>
                <w:bottom w:val="none" w:sz="0" w:space="0" w:color="auto"/>
                <w:right w:val="none" w:sz="0" w:space="0" w:color="auto"/>
              </w:divBdr>
            </w:div>
            <w:div w:id="1794015073">
              <w:marLeft w:val="0"/>
              <w:marRight w:val="0"/>
              <w:marTop w:val="0"/>
              <w:marBottom w:val="0"/>
              <w:divBdr>
                <w:top w:val="none" w:sz="0" w:space="0" w:color="auto"/>
                <w:left w:val="none" w:sz="0" w:space="0" w:color="auto"/>
                <w:bottom w:val="none" w:sz="0" w:space="0" w:color="auto"/>
                <w:right w:val="none" w:sz="0" w:space="0" w:color="auto"/>
              </w:divBdr>
            </w:div>
            <w:div w:id="1867712402">
              <w:marLeft w:val="0"/>
              <w:marRight w:val="0"/>
              <w:marTop w:val="0"/>
              <w:marBottom w:val="0"/>
              <w:divBdr>
                <w:top w:val="none" w:sz="0" w:space="0" w:color="auto"/>
                <w:left w:val="none" w:sz="0" w:space="0" w:color="auto"/>
                <w:bottom w:val="none" w:sz="0" w:space="0" w:color="auto"/>
                <w:right w:val="none" w:sz="0" w:space="0" w:color="auto"/>
              </w:divBdr>
            </w:div>
            <w:div w:id="2052684178">
              <w:marLeft w:val="0"/>
              <w:marRight w:val="0"/>
              <w:marTop w:val="0"/>
              <w:marBottom w:val="0"/>
              <w:divBdr>
                <w:top w:val="none" w:sz="0" w:space="0" w:color="auto"/>
                <w:left w:val="none" w:sz="0" w:space="0" w:color="auto"/>
                <w:bottom w:val="none" w:sz="0" w:space="0" w:color="auto"/>
                <w:right w:val="none" w:sz="0" w:space="0" w:color="auto"/>
              </w:divBdr>
            </w:div>
            <w:div w:id="2102557518">
              <w:marLeft w:val="0"/>
              <w:marRight w:val="0"/>
              <w:marTop w:val="0"/>
              <w:marBottom w:val="0"/>
              <w:divBdr>
                <w:top w:val="none" w:sz="0" w:space="0" w:color="auto"/>
                <w:left w:val="none" w:sz="0" w:space="0" w:color="auto"/>
                <w:bottom w:val="none" w:sz="0" w:space="0" w:color="auto"/>
                <w:right w:val="none" w:sz="0" w:space="0" w:color="auto"/>
              </w:divBdr>
            </w:div>
            <w:div w:id="2133550717">
              <w:marLeft w:val="0"/>
              <w:marRight w:val="0"/>
              <w:marTop w:val="0"/>
              <w:marBottom w:val="0"/>
              <w:divBdr>
                <w:top w:val="none" w:sz="0" w:space="0" w:color="auto"/>
                <w:left w:val="none" w:sz="0" w:space="0" w:color="auto"/>
                <w:bottom w:val="none" w:sz="0" w:space="0" w:color="auto"/>
                <w:right w:val="none" w:sz="0" w:space="0" w:color="auto"/>
              </w:divBdr>
            </w:div>
            <w:div w:id="2145613503">
              <w:marLeft w:val="0"/>
              <w:marRight w:val="0"/>
              <w:marTop w:val="0"/>
              <w:marBottom w:val="0"/>
              <w:divBdr>
                <w:top w:val="none" w:sz="0" w:space="0" w:color="auto"/>
                <w:left w:val="none" w:sz="0" w:space="0" w:color="auto"/>
                <w:bottom w:val="none" w:sz="0" w:space="0" w:color="auto"/>
                <w:right w:val="none" w:sz="0" w:space="0" w:color="auto"/>
              </w:divBdr>
            </w:div>
          </w:divsChild>
        </w:div>
        <w:div w:id="520513220">
          <w:marLeft w:val="0"/>
          <w:marRight w:val="0"/>
          <w:marTop w:val="0"/>
          <w:marBottom w:val="0"/>
          <w:divBdr>
            <w:top w:val="none" w:sz="0" w:space="0" w:color="auto"/>
            <w:left w:val="none" w:sz="0" w:space="0" w:color="auto"/>
            <w:bottom w:val="none" w:sz="0" w:space="0" w:color="auto"/>
            <w:right w:val="none" w:sz="0" w:space="0" w:color="auto"/>
          </w:divBdr>
          <w:divsChild>
            <w:div w:id="60450923">
              <w:marLeft w:val="0"/>
              <w:marRight w:val="0"/>
              <w:marTop w:val="0"/>
              <w:marBottom w:val="0"/>
              <w:divBdr>
                <w:top w:val="none" w:sz="0" w:space="0" w:color="auto"/>
                <w:left w:val="none" w:sz="0" w:space="0" w:color="auto"/>
                <w:bottom w:val="none" w:sz="0" w:space="0" w:color="auto"/>
                <w:right w:val="none" w:sz="0" w:space="0" w:color="auto"/>
              </w:divBdr>
            </w:div>
            <w:div w:id="121922097">
              <w:marLeft w:val="0"/>
              <w:marRight w:val="0"/>
              <w:marTop w:val="0"/>
              <w:marBottom w:val="0"/>
              <w:divBdr>
                <w:top w:val="none" w:sz="0" w:space="0" w:color="auto"/>
                <w:left w:val="none" w:sz="0" w:space="0" w:color="auto"/>
                <w:bottom w:val="none" w:sz="0" w:space="0" w:color="auto"/>
                <w:right w:val="none" w:sz="0" w:space="0" w:color="auto"/>
              </w:divBdr>
            </w:div>
            <w:div w:id="265777196">
              <w:marLeft w:val="0"/>
              <w:marRight w:val="0"/>
              <w:marTop w:val="0"/>
              <w:marBottom w:val="0"/>
              <w:divBdr>
                <w:top w:val="none" w:sz="0" w:space="0" w:color="auto"/>
                <w:left w:val="none" w:sz="0" w:space="0" w:color="auto"/>
                <w:bottom w:val="none" w:sz="0" w:space="0" w:color="auto"/>
                <w:right w:val="none" w:sz="0" w:space="0" w:color="auto"/>
              </w:divBdr>
            </w:div>
            <w:div w:id="362630690">
              <w:marLeft w:val="0"/>
              <w:marRight w:val="0"/>
              <w:marTop w:val="0"/>
              <w:marBottom w:val="0"/>
              <w:divBdr>
                <w:top w:val="none" w:sz="0" w:space="0" w:color="auto"/>
                <w:left w:val="none" w:sz="0" w:space="0" w:color="auto"/>
                <w:bottom w:val="none" w:sz="0" w:space="0" w:color="auto"/>
                <w:right w:val="none" w:sz="0" w:space="0" w:color="auto"/>
              </w:divBdr>
            </w:div>
            <w:div w:id="425998511">
              <w:marLeft w:val="0"/>
              <w:marRight w:val="0"/>
              <w:marTop w:val="0"/>
              <w:marBottom w:val="0"/>
              <w:divBdr>
                <w:top w:val="none" w:sz="0" w:space="0" w:color="auto"/>
                <w:left w:val="none" w:sz="0" w:space="0" w:color="auto"/>
                <w:bottom w:val="none" w:sz="0" w:space="0" w:color="auto"/>
                <w:right w:val="none" w:sz="0" w:space="0" w:color="auto"/>
              </w:divBdr>
            </w:div>
            <w:div w:id="431321008">
              <w:marLeft w:val="0"/>
              <w:marRight w:val="0"/>
              <w:marTop w:val="0"/>
              <w:marBottom w:val="0"/>
              <w:divBdr>
                <w:top w:val="none" w:sz="0" w:space="0" w:color="auto"/>
                <w:left w:val="none" w:sz="0" w:space="0" w:color="auto"/>
                <w:bottom w:val="none" w:sz="0" w:space="0" w:color="auto"/>
                <w:right w:val="none" w:sz="0" w:space="0" w:color="auto"/>
              </w:divBdr>
            </w:div>
            <w:div w:id="738284094">
              <w:marLeft w:val="0"/>
              <w:marRight w:val="0"/>
              <w:marTop w:val="0"/>
              <w:marBottom w:val="0"/>
              <w:divBdr>
                <w:top w:val="none" w:sz="0" w:space="0" w:color="auto"/>
                <w:left w:val="none" w:sz="0" w:space="0" w:color="auto"/>
                <w:bottom w:val="none" w:sz="0" w:space="0" w:color="auto"/>
                <w:right w:val="none" w:sz="0" w:space="0" w:color="auto"/>
              </w:divBdr>
            </w:div>
            <w:div w:id="966469595">
              <w:marLeft w:val="0"/>
              <w:marRight w:val="0"/>
              <w:marTop w:val="0"/>
              <w:marBottom w:val="0"/>
              <w:divBdr>
                <w:top w:val="none" w:sz="0" w:space="0" w:color="auto"/>
                <w:left w:val="none" w:sz="0" w:space="0" w:color="auto"/>
                <w:bottom w:val="none" w:sz="0" w:space="0" w:color="auto"/>
                <w:right w:val="none" w:sz="0" w:space="0" w:color="auto"/>
              </w:divBdr>
            </w:div>
            <w:div w:id="1030686531">
              <w:marLeft w:val="0"/>
              <w:marRight w:val="0"/>
              <w:marTop w:val="0"/>
              <w:marBottom w:val="0"/>
              <w:divBdr>
                <w:top w:val="none" w:sz="0" w:space="0" w:color="auto"/>
                <w:left w:val="none" w:sz="0" w:space="0" w:color="auto"/>
                <w:bottom w:val="none" w:sz="0" w:space="0" w:color="auto"/>
                <w:right w:val="none" w:sz="0" w:space="0" w:color="auto"/>
              </w:divBdr>
            </w:div>
            <w:div w:id="1080060607">
              <w:marLeft w:val="0"/>
              <w:marRight w:val="0"/>
              <w:marTop w:val="0"/>
              <w:marBottom w:val="0"/>
              <w:divBdr>
                <w:top w:val="none" w:sz="0" w:space="0" w:color="auto"/>
                <w:left w:val="none" w:sz="0" w:space="0" w:color="auto"/>
                <w:bottom w:val="none" w:sz="0" w:space="0" w:color="auto"/>
                <w:right w:val="none" w:sz="0" w:space="0" w:color="auto"/>
              </w:divBdr>
            </w:div>
            <w:div w:id="1291133780">
              <w:marLeft w:val="0"/>
              <w:marRight w:val="0"/>
              <w:marTop w:val="0"/>
              <w:marBottom w:val="0"/>
              <w:divBdr>
                <w:top w:val="none" w:sz="0" w:space="0" w:color="auto"/>
                <w:left w:val="none" w:sz="0" w:space="0" w:color="auto"/>
                <w:bottom w:val="none" w:sz="0" w:space="0" w:color="auto"/>
                <w:right w:val="none" w:sz="0" w:space="0" w:color="auto"/>
              </w:divBdr>
            </w:div>
            <w:div w:id="1309440339">
              <w:marLeft w:val="0"/>
              <w:marRight w:val="0"/>
              <w:marTop w:val="0"/>
              <w:marBottom w:val="0"/>
              <w:divBdr>
                <w:top w:val="none" w:sz="0" w:space="0" w:color="auto"/>
                <w:left w:val="none" w:sz="0" w:space="0" w:color="auto"/>
                <w:bottom w:val="none" w:sz="0" w:space="0" w:color="auto"/>
                <w:right w:val="none" w:sz="0" w:space="0" w:color="auto"/>
              </w:divBdr>
            </w:div>
            <w:div w:id="1411197706">
              <w:marLeft w:val="0"/>
              <w:marRight w:val="0"/>
              <w:marTop w:val="0"/>
              <w:marBottom w:val="0"/>
              <w:divBdr>
                <w:top w:val="none" w:sz="0" w:space="0" w:color="auto"/>
                <w:left w:val="none" w:sz="0" w:space="0" w:color="auto"/>
                <w:bottom w:val="none" w:sz="0" w:space="0" w:color="auto"/>
                <w:right w:val="none" w:sz="0" w:space="0" w:color="auto"/>
              </w:divBdr>
            </w:div>
            <w:div w:id="1451052246">
              <w:marLeft w:val="0"/>
              <w:marRight w:val="0"/>
              <w:marTop w:val="0"/>
              <w:marBottom w:val="0"/>
              <w:divBdr>
                <w:top w:val="none" w:sz="0" w:space="0" w:color="auto"/>
                <w:left w:val="none" w:sz="0" w:space="0" w:color="auto"/>
                <w:bottom w:val="none" w:sz="0" w:space="0" w:color="auto"/>
                <w:right w:val="none" w:sz="0" w:space="0" w:color="auto"/>
              </w:divBdr>
            </w:div>
            <w:div w:id="1502503994">
              <w:marLeft w:val="0"/>
              <w:marRight w:val="0"/>
              <w:marTop w:val="0"/>
              <w:marBottom w:val="0"/>
              <w:divBdr>
                <w:top w:val="none" w:sz="0" w:space="0" w:color="auto"/>
                <w:left w:val="none" w:sz="0" w:space="0" w:color="auto"/>
                <w:bottom w:val="none" w:sz="0" w:space="0" w:color="auto"/>
                <w:right w:val="none" w:sz="0" w:space="0" w:color="auto"/>
              </w:divBdr>
            </w:div>
            <w:div w:id="1530531777">
              <w:marLeft w:val="0"/>
              <w:marRight w:val="0"/>
              <w:marTop w:val="0"/>
              <w:marBottom w:val="0"/>
              <w:divBdr>
                <w:top w:val="none" w:sz="0" w:space="0" w:color="auto"/>
                <w:left w:val="none" w:sz="0" w:space="0" w:color="auto"/>
                <w:bottom w:val="none" w:sz="0" w:space="0" w:color="auto"/>
                <w:right w:val="none" w:sz="0" w:space="0" w:color="auto"/>
              </w:divBdr>
            </w:div>
            <w:div w:id="1575894324">
              <w:marLeft w:val="0"/>
              <w:marRight w:val="0"/>
              <w:marTop w:val="0"/>
              <w:marBottom w:val="0"/>
              <w:divBdr>
                <w:top w:val="none" w:sz="0" w:space="0" w:color="auto"/>
                <w:left w:val="none" w:sz="0" w:space="0" w:color="auto"/>
                <w:bottom w:val="none" w:sz="0" w:space="0" w:color="auto"/>
                <w:right w:val="none" w:sz="0" w:space="0" w:color="auto"/>
              </w:divBdr>
            </w:div>
            <w:div w:id="1882816240">
              <w:marLeft w:val="0"/>
              <w:marRight w:val="0"/>
              <w:marTop w:val="0"/>
              <w:marBottom w:val="0"/>
              <w:divBdr>
                <w:top w:val="none" w:sz="0" w:space="0" w:color="auto"/>
                <w:left w:val="none" w:sz="0" w:space="0" w:color="auto"/>
                <w:bottom w:val="none" w:sz="0" w:space="0" w:color="auto"/>
                <w:right w:val="none" w:sz="0" w:space="0" w:color="auto"/>
              </w:divBdr>
            </w:div>
            <w:div w:id="1923879610">
              <w:marLeft w:val="0"/>
              <w:marRight w:val="0"/>
              <w:marTop w:val="0"/>
              <w:marBottom w:val="0"/>
              <w:divBdr>
                <w:top w:val="none" w:sz="0" w:space="0" w:color="auto"/>
                <w:left w:val="none" w:sz="0" w:space="0" w:color="auto"/>
                <w:bottom w:val="none" w:sz="0" w:space="0" w:color="auto"/>
                <w:right w:val="none" w:sz="0" w:space="0" w:color="auto"/>
              </w:divBdr>
            </w:div>
            <w:div w:id="1967468072">
              <w:marLeft w:val="0"/>
              <w:marRight w:val="0"/>
              <w:marTop w:val="0"/>
              <w:marBottom w:val="0"/>
              <w:divBdr>
                <w:top w:val="none" w:sz="0" w:space="0" w:color="auto"/>
                <w:left w:val="none" w:sz="0" w:space="0" w:color="auto"/>
                <w:bottom w:val="none" w:sz="0" w:space="0" w:color="auto"/>
                <w:right w:val="none" w:sz="0" w:space="0" w:color="auto"/>
              </w:divBdr>
            </w:div>
          </w:divsChild>
        </w:div>
        <w:div w:id="749078053">
          <w:marLeft w:val="0"/>
          <w:marRight w:val="0"/>
          <w:marTop w:val="0"/>
          <w:marBottom w:val="0"/>
          <w:divBdr>
            <w:top w:val="none" w:sz="0" w:space="0" w:color="auto"/>
            <w:left w:val="none" w:sz="0" w:space="0" w:color="auto"/>
            <w:bottom w:val="none" w:sz="0" w:space="0" w:color="auto"/>
            <w:right w:val="none" w:sz="0" w:space="0" w:color="auto"/>
          </w:divBdr>
        </w:div>
        <w:div w:id="775439326">
          <w:marLeft w:val="0"/>
          <w:marRight w:val="0"/>
          <w:marTop w:val="0"/>
          <w:marBottom w:val="0"/>
          <w:divBdr>
            <w:top w:val="none" w:sz="0" w:space="0" w:color="auto"/>
            <w:left w:val="none" w:sz="0" w:space="0" w:color="auto"/>
            <w:bottom w:val="none" w:sz="0" w:space="0" w:color="auto"/>
            <w:right w:val="none" w:sz="0" w:space="0" w:color="auto"/>
          </w:divBdr>
        </w:div>
        <w:div w:id="790520093">
          <w:marLeft w:val="0"/>
          <w:marRight w:val="0"/>
          <w:marTop w:val="0"/>
          <w:marBottom w:val="0"/>
          <w:divBdr>
            <w:top w:val="none" w:sz="0" w:space="0" w:color="auto"/>
            <w:left w:val="none" w:sz="0" w:space="0" w:color="auto"/>
            <w:bottom w:val="none" w:sz="0" w:space="0" w:color="auto"/>
            <w:right w:val="none" w:sz="0" w:space="0" w:color="auto"/>
          </w:divBdr>
        </w:div>
        <w:div w:id="928007491">
          <w:marLeft w:val="0"/>
          <w:marRight w:val="0"/>
          <w:marTop w:val="0"/>
          <w:marBottom w:val="0"/>
          <w:divBdr>
            <w:top w:val="none" w:sz="0" w:space="0" w:color="auto"/>
            <w:left w:val="none" w:sz="0" w:space="0" w:color="auto"/>
            <w:bottom w:val="none" w:sz="0" w:space="0" w:color="auto"/>
            <w:right w:val="none" w:sz="0" w:space="0" w:color="auto"/>
          </w:divBdr>
        </w:div>
        <w:div w:id="937450229">
          <w:marLeft w:val="0"/>
          <w:marRight w:val="0"/>
          <w:marTop w:val="0"/>
          <w:marBottom w:val="0"/>
          <w:divBdr>
            <w:top w:val="none" w:sz="0" w:space="0" w:color="auto"/>
            <w:left w:val="none" w:sz="0" w:space="0" w:color="auto"/>
            <w:bottom w:val="none" w:sz="0" w:space="0" w:color="auto"/>
            <w:right w:val="none" w:sz="0" w:space="0" w:color="auto"/>
          </w:divBdr>
        </w:div>
        <w:div w:id="955793624">
          <w:marLeft w:val="0"/>
          <w:marRight w:val="0"/>
          <w:marTop w:val="0"/>
          <w:marBottom w:val="0"/>
          <w:divBdr>
            <w:top w:val="none" w:sz="0" w:space="0" w:color="auto"/>
            <w:left w:val="none" w:sz="0" w:space="0" w:color="auto"/>
            <w:bottom w:val="none" w:sz="0" w:space="0" w:color="auto"/>
            <w:right w:val="none" w:sz="0" w:space="0" w:color="auto"/>
          </w:divBdr>
        </w:div>
        <w:div w:id="957369817">
          <w:marLeft w:val="0"/>
          <w:marRight w:val="0"/>
          <w:marTop w:val="0"/>
          <w:marBottom w:val="0"/>
          <w:divBdr>
            <w:top w:val="none" w:sz="0" w:space="0" w:color="auto"/>
            <w:left w:val="none" w:sz="0" w:space="0" w:color="auto"/>
            <w:bottom w:val="none" w:sz="0" w:space="0" w:color="auto"/>
            <w:right w:val="none" w:sz="0" w:space="0" w:color="auto"/>
          </w:divBdr>
          <w:divsChild>
            <w:div w:id="108623892">
              <w:marLeft w:val="0"/>
              <w:marRight w:val="0"/>
              <w:marTop w:val="0"/>
              <w:marBottom w:val="0"/>
              <w:divBdr>
                <w:top w:val="none" w:sz="0" w:space="0" w:color="auto"/>
                <w:left w:val="none" w:sz="0" w:space="0" w:color="auto"/>
                <w:bottom w:val="none" w:sz="0" w:space="0" w:color="auto"/>
                <w:right w:val="none" w:sz="0" w:space="0" w:color="auto"/>
              </w:divBdr>
            </w:div>
            <w:div w:id="372972043">
              <w:marLeft w:val="0"/>
              <w:marRight w:val="0"/>
              <w:marTop w:val="0"/>
              <w:marBottom w:val="0"/>
              <w:divBdr>
                <w:top w:val="none" w:sz="0" w:space="0" w:color="auto"/>
                <w:left w:val="none" w:sz="0" w:space="0" w:color="auto"/>
                <w:bottom w:val="none" w:sz="0" w:space="0" w:color="auto"/>
                <w:right w:val="none" w:sz="0" w:space="0" w:color="auto"/>
              </w:divBdr>
            </w:div>
            <w:div w:id="770470676">
              <w:marLeft w:val="0"/>
              <w:marRight w:val="0"/>
              <w:marTop w:val="0"/>
              <w:marBottom w:val="0"/>
              <w:divBdr>
                <w:top w:val="none" w:sz="0" w:space="0" w:color="auto"/>
                <w:left w:val="none" w:sz="0" w:space="0" w:color="auto"/>
                <w:bottom w:val="none" w:sz="0" w:space="0" w:color="auto"/>
                <w:right w:val="none" w:sz="0" w:space="0" w:color="auto"/>
              </w:divBdr>
            </w:div>
            <w:div w:id="899024603">
              <w:marLeft w:val="0"/>
              <w:marRight w:val="0"/>
              <w:marTop w:val="0"/>
              <w:marBottom w:val="0"/>
              <w:divBdr>
                <w:top w:val="none" w:sz="0" w:space="0" w:color="auto"/>
                <w:left w:val="none" w:sz="0" w:space="0" w:color="auto"/>
                <w:bottom w:val="none" w:sz="0" w:space="0" w:color="auto"/>
                <w:right w:val="none" w:sz="0" w:space="0" w:color="auto"/>
              </w:divBdr>
            </w:div>
            <w:div w:id="1003047311">
              <w:marLeft w:val="0"/>
              <w:marRight w:val="0"/>
              <w:marTop w:val="0"/>
              <w:marBottom w:val="0"/>
              <w:divBdr>
                <w:top w:val="none" w:sz="0" w:space="0" w:color="auto"/>
                <w:left w:val="none" w:sz="0" w:space="0" w:color="auto"/>
                <w:bottom w:val="none" w:sz="0" w:space="0" w:color="auto"/>
                <w:right w:val="none" w:sz="0" w:space="0" w:color="auto"/>
              </w:divBdr>
            </w:div>
            <w:div w:id="1056971593">
              <w:marLeft w:val="0"/>
              <w:marRight w:val="0"/>
              <w:marTop w:val="0"/>
              <w:marBottom w:val="0"/>
              <w:divBdr>
                <w:top w:val="none" w:sz="0" w:space="0" w:color="auto"/>
                <w:left w:val="none" w:sz="0" w:space="0" w:color="auto"/>
                <w:bottom w:val="none" w:sz="0" w:space="0" w:color="auto"/>
                <w:right w:val="none" w:sz="0" w:space="0" w:color="auto"/>
              </w:divBdr>
            </w:div>
            <w:div w:id="1566794447">
              <w:marLeft w:val="0"/>
              <w:marRight w:val="0"/>
              <w:marTop w:val="0"/>
              <w:marBottom w:val="0"/>
              <w:divBdr>
                <w:top w:val="none" w:sz="0" w:space="0" w:color="auto"/>
                <w:left w:val="none" w:sz="0" w:space="0" w:color="auto"/>
                <w:bottom w:val="none" w:sz="0" w:space="0" w:color="auto"/>
                <w:right w:val="none" w:sz="0" w:space="0" w:color="auto"/>
              </w:divBdr>
            </w:div>
            <w:div w:id="1649937634">
              <w:marLeft w:val="0"/>
              <w:marRight w:val="0"/>
              <w:marTop w:val="0"/>
              <w:marBottom w:val="0"/>
              <w:divBdr>
                <w:top w:val="none" w:sz="0" w:space="0" w:color="auto"/>
                <w:left w:val="none" w:sz="0" w:space="0" w:color="auto"/>
                <w:bottom w:val="none" w:sz="0" w:space="0" w:color="auto"/>
                <w:right w:val="none" w:sz="0" w:space="0" w:color="auto"/>
              </w:divBdr>
            </w:div>
            <w:div w:id="2058896147">
              <w:marLeft w:val="0"/>
              <w:marRight w:val="0"/>
              <w:marTop w:val="0"/>
              <w:marBottom w:val="0"/>
              <w:divBdr>
                <w:top w:val="none" w:sz="0" w:space="0" w:color="auto"/>
                <w:left w:val="none" w:sz="0" w:space="0" w:color="auto"/>
                <w:bottom w:val="none" w:sz="0" w:space="0" w:color="auto"/>
                <w:right w:val="none" w:sz="0" w:space="0" w:color="auto"/>
              </w:divBdr>
            </w:div>
            <w:div w:id="2138445589">
              <w:marLeft w:val="0"/>
              <w:marRight w:val="0"/>
              <w:marTop w:val="0"/>
              <w:marBottom w:val="0"/>
              <w:divBdr>
                <w:top w:val="none" w:sz="0" w:space="0" w:color="auto"/>
                <w:left w:val="none" w:sz="0" w:space="0" w:color="auto"/>
                <w:bottom w:val="none" w:sz="0" w:space="0" w:color="auto"/>
                <w:right w:val="none" w:sz="0" w:space="0" w:color="auto"/>
              </w:divBdr>
            </w:div>
          </w:divsChild>
        </w:div>
        <w:div w:id="1019772000">
          <w:marLeft w:val="0"/>
          <w:marRight w:val="0"/>
          <w:marTop w:val="0"/>
          <w:marBottom w:val="0"/>
          <w:divBdr>
            <w:top w:val="none" w:sz="0" w:space="0" w:color="auto"/>
            <w:left w:val="none" w:sz="0" w:space="0" w:color="auto"/>
            <w:bottom w:val="none" w:sz="0" w:space="0" w:color="auto"/>
            <w:right w:val="none" w:sz="0" w:space="0" w:color="auto"/>
          </w:divBdr>
        </w:div>
        <w:div w:id="1079136850">
          <w:marLeft w:val="0"/>
          <w:marRight w:val="0"/>
          <w:marTop w:val="0"/>
          <w:marBottom w:val="0"/>
          <w:divBdr>
            <w:top w:val="none" w:sz="0" w:space="0" w:color="auto"/>
            <w:left w:val="none" w:sz="0" w:space="0" w:color="auto"/>
            <w:bottom w:val="none" w:sz="0" w:space="0" w:color="auto"/>
            <w:right w:val="none" w:sz="0" w:space="0" w:color="auto"/>
          </w:divBdr>
        </w:div>
        <w:div w:id="1137575479">
          <w:marLeft w:val="0"/>
          <w:marRight w:val="0"/>
          <w:marTop w:val="0"/>
          <w:marBottom w:val="0"/>
          <w:divBdr>
            <w:top w:val="none" w:sz="0" w:space="0" w:color="auto"/>
            <w:left w:val="none" w:sz="0" w:space="0" w:color="auto"/>
            <w:bottom w:val="none" w:sz="0" w:space="0" w:color="auto"/>
            <w:right w:val="none" w:sz="0" w:space="0" w:color="auto"/>
          </w:divBdr>
        </w:div>
        <w:div w:id="1252277467">
          <w:marLeft w:val="0"/>
          <w:marRight w:val="0"/>
          <w:marTop w:val="0"/>
          <w:marBottom w:val="0"/>
          <w:divBdr>
            <w:top w:val="none" w:sz="0" w:space="0" w:color="auto"/>
            <w:left w:val="none" w:sz="0" w:space="0" w:color="auto"/>
            <w:bottom w:val="none" w:sz="0" w:space="0" w:color="auto"/>
            <w:right w:val="none" w:sz="0" w:space="0" w:color="auto"/>
          </w:divBdr>
        </w:div>
        <w:div w:id="1490169006">
          <w:marLeft w:val="0"/>
          <w:marRight w:val="0"/>
          <w:marTop w:val="0"/>
          <w:marBottom w:val="0"/>
          <w:divBdr>
            <w:top w:val="none" w:sz="0" w:space="0" w:color="auto"/>
            <w:left w:val="none" w:sz="0" w:space="0" w:color="auto"/>
            <w:bottom w:val="none" w:sz="0" w:space="0" w:color="auto"/>
            <w:right w:val="none" w:sz="0" w:space="0" w:color="auto"/>
          </w:divBdr>
        </w:div>
        <w:div w:id="1709378710">
          <w:marLeft w:val="0"/>
          <w:marRight w:val="0"/>
          <w:marTop w:val="0"/>
          <w:marBottom w:val="0"/>
          <w:divBdr>
            <w:top w:val="none" w:sz="0" w:space="0" w:color="auto"/>
            <w:left w:val="none" w:sz="0" w:space="0" w:color="auto"/>
            <w:bottom w:val="none" w:sz="0" w:space="0" w:color="auto"/>
            <w:right w:val="none" w:sz="0" w:space="0" w:color="auto"/>
          </w:divBdr>
        </w:div>
        <w:div w:id="1960184653">
          <w:marLeft w:val="0"/>
          <w:marRight w:val="0"/>
          <w:marTop w:val="0"/>
          <w:marBottom w:val="0"/>
          <w:divBdr>
            <w:top w:val="none" w:sz="0" w:space="0" w:color="auto"/>
            <w:left w:val="none" w:sz="0" w:space="0" w:color="auto"/>
            <w:bottom w:val="none" w:sz="0" w:space="0" w:color="auto"/>
            <w:right w:val="none" w:sz="0" w:space="0" w:color="auto"/>
          </w:divBdr>
          <w:divsChild>
            <w:div w:id="165558278">
              <w:marLeft w:val="0"/>
              <w:marRight w:val="0"/>
              <w:marTop w:val="0"/>
              <w:marBottom w:val="0"/>
              <w:divBdr>
                <w:top w:val="none" w:sz="0" w:space="0" w:color="auto"/>
                <w:left w:val="none" w:sz="0" w:space="0" w:color="auto"/>
                <w:bottom w:val="none" w:sz="0" w:space="0" w:color="auto"/>
                <w:right w:val="none" w:sz="0" w:space="0" w:color="auto"/>
              </w:divBdr>
            </w:div>
            <w:div w:id="251090877">
              <w:marLeft w:val="0"/>
              <w:marRight w:val="0"/>
              <w:marTop w:val="0"/>
              <w:marBottom w:val="0"/>
              <w:divBdr>
                <w:top w:val="none" w:sz="0" w:space="0" w:color="auto"/>
                <w:left w:val="none" w:sz="0" w:space="0" w:color="auto"/>
                <w:bottom w:val="none" w:sz="0" w:space="0" w:color="auto"/>
                <w:right w:val="none" w:sz="0" w:space="0" w:color="auto"/>
              </w:divBdr>
            </w:div>
            <w:div w:id="315257362">
              <w:marLeft w:val="0"/>
              <w:marRight w:val="0"/>
              <w:marTop w:val="0"/>
              <w:marBottom w:val="0"/>
              <w:divBdr>
                <w:top w:val="none" w:sz="0" w:space="0" w:color="auto"/>
                <w:left w:val="none" w:sz="0" w:space="0" w:color="auto"/>
                <w:bottom w:val="none" w:sz="0" w:space="0" w:color="auto"/>
                <w:right w:val="none" w:sz="0" w:space="0" w:color="auto"/>
              </w:divBdr>
            </w:div>
            <w:div w:id="454448007">
              <w:marLeft w:val="0"/>
              <w:marRight w:val="0"/>
              <w:marTop w:val="0"/>
              <w:marBottom w:val="0"/>
              <w:divBdr>
                <w:top w:val="none" w:sz="0" w:space="0" w:color="auto"/>
                <w:left w:val="none" w:sz="0" w:space="0" w:color="auto"/>
                <w:bottom w:val="none" w:sz="0" w:space="0" w:color="auto"/>
                <w:right w:val="none" w:sz="0" w:space="0" w:color="auto"/>
              </w:divBdr>
            </w:div>
            <w:div w:id="501167729">
              <w:marLeft w:val="0"/>
              <w:marRight w:val="0"/>
              <w:marTop w:val="0"/>
              <w:marBottom w:val="0"/>
              <w:divBdr>
                <w:top w:val="none" w:sz="0" w:space="0" w:color="auto"/>
                <w:left w:val="none" w:sz="0" w:space="0" w:color="auto"/>
                <w:bottom w:val="none" w:sz="0" w:space="0" w:color="auto"/>
                <w:right w:val="none" w:sz="0" w:space="0" w:color="auto"/>
              </w:divBdr>
            </w:div>
            <w:div w:id="563570047">
              <w:marLeft w:val="0"/>
              <w:marRight w:val="0"/>
              <w:marTop w:val="0"/>
              <w:marBottom w:val="0"/>
              <w:divBdr>
                <w:top w:val="none" w:sz="0" w:space="0" w:color="auto"/>
                <w:left w:val="none" w:sz="0" w:space="0" w:color="auto"/>
                <w:bottom w:val="none" w:sz="0" w:space="0" w:color="auto"/>
                <w:right w:val="none" w:sz="0" w:space="0" w:color="auto"/>
              </w:divBdr>
            </w:div>
            <w:div w:id="593980978">
              <w:marLeft w:val="0"/>
              <w:marRight w:val="0"/>
              <w:marTop w:val="0"/>
              <w:marBottom w:val="0"/>
              <w:divBdr>
                <w:top w:val="none" w:sz="0" w:space="0" w:color="auto"/>
                <w:left w:val="none" w:sz="0" w:space="0" w:color="auto"/>
                <w:bottom w:val="none" w:sz="0" w:space="0" w:color="auto"/>
                <w:right w:val="none" w:sz="0" w:space="0" w:color="auto"/>
              </w:divBdr>
            </w:div>
            <w:div w:id="600841720">
              <w:marLeft w:val="0"/>
              <w:marRight w:val="0"/>
              <w:marTop w:val="0"/>
              <w:marBottom w:val="0"/>
              <w:divBdr>
                <w:top w:val="none" w:sz="0" w:space="0" w:color="auto"/>
                <w:left w:val="none" w:sz="0" w:space="0" w:color="auto"/>
                <w:bottom w:val="none" w:sz="0" w:space="0" w:color="auto"/>
                <w:right w:val="none" w:sz="0" w:space="0" w:color="auto"/>
              </w:divBdr>
            </w:div>
            <w:div w:id="607859970">
              <w:marLeft w:val="0"/>
              <w:marRight w:val="0"/>
              <w:marTop w:val="0"/>
              <w:marBottom w:val="0"/>
              <w:divBdr>
                <w:top w:val="none" w:sz="0" w:space="0" w:color="auto"/>
                <w:left w:val="none" w:sz="0" w:space="0" w:color="auto"/>
                <w:bottom w:val="none" w:sz="0" w:space="0" w:color="auto"/>
                <w:right w:val="none" w:sz="0" w:space="0" w:color="auto"/>
              </w:divBdr>
            </w:div>
            <w:div w:id="716008195">
              <w:marLeft w:val="0"/>
              <w:marRight w:val="0"/>
              <w:marTop w:val="0"/>
              <w:marBottom w:val="0"/>
              <w:divBdr>
                <w:top w:val="none" w:sz="0" w:space="0" w:color="auto"/>
                <w:left w:val="none" w:sz="0" w:space="0" w:color="auto"/>
                <w:bottom w:val="none" w:sz="0" w:space="0" w:color="auto"/>
                <w:right w:val="none" w:sz="0" w:space="0" w:color="auto"/>
              </w:divBdr>
            </w:div>
            <w:div w:id="1015689825">
              <w:marLeft w:val="0"/>
              <w:marRight w:val="0"/>
              <w:marTop w:val="0"/>
              <w:marBottom w:val="0"/>
              <w:divBdr>
                <w:top w:val="none" w:sz="0" w:space="0" w:color="auto"/>
                <w:left w:val="none" w:sz="0" w:space="0" w:color="auto"/>
                <w:bottom w:val="none" w:sz="0" w:space="0" w:color="auto"/>
                <w:right w:val="none" w:sz="0" w:space="0" w:color="auto"/>
              </w:divBdr>
            </w:div>
            <w:div w:id="1313101653">
              <w:marLeft w:val="0"/>
              <w:marRight w:val="0"/>
              <w:marTop w:val="0"/>
              <w:marBottom w:val="0"/>
              <w:divBdr>
                <w:top w:val="none" w:sz="0" w:space="0" w:color="auto"/>
                <w:left w:val="none" w:sz="0" w:space="0" w:color="auto"/>
                <w:bottom w:val="none" w:sz="0" w:space="0" w:color="auto"/>
                <w:right w:val="none" w:sz="0" w:space="0" w:color="auto"/>
              </w:divBdr>
            </w:div>
            <w:div w:id="1399743582">
              <w:marLeft w:val="0"/>
              <w:marRight w:val="0"/>
              <w:marTop w:val="0"/>
              <w:marBottom w:val="0"/>
              <w:divBdr>
                <w:top w:val="none" w:sz="0" w:space="0" w:color="auto"/>
                <w:left w:val="none" w:sz="0" w:space="0" w:color="auto"/>
                <w:bottom w:val="none" w:sz="0" w:space="0" w:color="auto"/>
                <w:right w:val="none" w:sz="0" w:space="0" w:color="auto"/>
              </w:divBdr>
            </w:div>
            <w:div w:id="1561869618">
              <w:marLeft w:val="0"/>
              <w:marRight w:val="0"/>
              <w:marTop w:val="0"/>
              <w:marBottom w:val="0"/>
              <w:divBdr>
                <w:top w:val="none" w:sz="0" w:space="0" w:color="auto"/>
                <w:left w:val="none" w:sz="0" w:space="0" w:color="auto"/>
                <w:bottom w:val="none" w:sz="0" w:space="0" w:color="auto"/>
                <w:right w:val="none" w:sz="0" w:space="0" w:color="auto"/>
              </w:divBdr>
            </w:div>
            <w:div w:id="1612519060">
              <w:marLeft w:val="0"/>
              <w:marRight w:val="0"/>
              <w:marTop w:val="0"/>
              <w:marBottom w:val="0"/>
              <w:divBdr>
                <w:top w:val="none" w:sz="0" w:space="0" w:color="auto"/>
                <w:left w:val="none" w:sz="0" w:space="0" w:color="auto"/>
                <w:bottom w:val="none" w:sz="0" w:space="0" w:color="auto"/>
                <w:right w:val="none" w:sz="0" w:space="0" w:color="auto"/>
              </w:divBdr>
            </w:div>
            <w:div w:id="1723820187">
              <w:marLeft w:val="0"/>
              <w:marRight w:val="0"/>
              <w:marTop w:val="0"/>
              <w:marBottom w:val="0"/>
              <w:divBdr>
                <w:top w:val="none" w:sz="0" w:space="0" w:color="auto"/>
                <w:left w:val="none" w:sz="0" w:space="0" w:color="auto"/>
                <w:bottom w:val="none" w:sz="0" w:space="0" w:color="auto"/>
                <w:right w:val="none" w:sz="0" w:space="0" w:color="auto"/>
              </w:divBdr>
            </w:div>
            <w:div w:id="1793787717">
              <w:marLeft w:val="0"/>
              <w:marRight w:val="0"/>
              <w:marTop w:val="0"/>
              <w:marBottom w:val="0"/>
              <w:divBdr>
                <w:top w:val="none" w:sz="0" w:space="0" w:color="auto"/>
                <w:left w:val="none" w:sz="0" w:space="0" w:color="auto"/>
                <w:bottom w:val="none" w:sz="0" w:space="0" w:color="auto"/>
                <w:right w:val="none" w:sz="0" w:space="0" w:color="auto"/>
              </w:divBdr>
            </w:div>
            <w:div w:id="1848593450">
              <w:marLeft w:val="0"/>
              <w:marRight w:val="0"/>
              <w:marTop w:val="0"/>
              <w:marBottom w:val="0"/>
              <w:divBdr>
                <w:top w:val="none" w:sz="0" w:space="0" w:color="auto"/>
                <w:left w:val="none" w:sz="0" w:space="0" w:color="auto"/>
                <w:bottom w:val="none" w:sz="0" w:space="0" w:color="auto"/>
                <w:right w:val="none" w:sz="0" w:space="0" w:color="auto"/>
              </w:divBdr>
            </w:div>
            <w:div w:id="1924684271">
              <w:marLeft w:val="0"/>
              <w:marRight w:val="0"/>
              <w:marTop w:val="0"/>
              <w:marBottom w:val="0"/>
              <w:divBdr>
                <w:top w:val="none" w:sz="0" w:space="0" w:color="auto"/>
                <w:left w:val="none" w:sz="0" w:space="0" w:color="auto"/>
                <w:bottom w:val="none" w:sz="0" w:space="0" w:color="auto"/>
                <w:right w:val="none" w:sz="0" w:space="0" w:color="auto"/>
              </w:divBdr>
            </w:div>
            <w:div w:id="212318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53370">
      <w:bodyDiv w:val="1"/>
      <w:marLeft w:val="0"/>
      <w:marRight w:val="0"/>
      <w:marTop w:val="0"/>
      <w:marBottom w:val="0"/>
      <w:divBdr>
        <w:top w:val="none" w:sz="0" w:space="0" w:color="auto"/>
        <w:left w:val="none" w:sz="0" w:space="0" w:color="auto"/>
        <w:bottom w:val="none" w:sz="0" w:space="0" w:color="auto"/>
        <w:right w:val="none" w:sz="0" w:space="0" w:color="auto"/>
      </w:divBdr>
      <w:divsChild>
        <w:div w:id="307980887">
          <w:marLeft w:val="0"/>
          <w:marRight w:val="0"/>
          <w:marTop w:val="0"/>
          <w:marBottom w:val="0"/>
          <w:divBdr>
            <w:top w:val="none" w:sz="0" w:space="0" w:color="auto"/>
            <w:left w:val="none" w:sz="0" w:space="0" w:color="auto"/>
            <w:bottom w:val="none" w:sz="0" w:space="0" w:color="auto"/>
            <w:right w:val="none" w:sz="0" w:space="0" w:color="auto"/>
          </w:divBdr>
        </w:div>
        <w:div w:id="561991277">
          <w:marLeft w:val="0"/>
          <w:marRight w:val="0"/>
          <w:marTop w:val="0"/>
          <w:marBottom w:val="0"/>
          <w:divBdr>
            <w:top w:val="none" w:sz="0" w:space="0" w:color="auto"/>
            <w:left w:val="none" w:sz="0" w:space="0" w:color="auto"/>
            <w:bottom w:val="none" w:sz="0" w:space="0" w:color="auto"/>
            <w:right w:val="none" w:sz="0" w:space="0" w:color="auto"/>
          </w:divBdr>
        </w:div>
        <w:div w:id="610013848">
          <w:marLeft w:val="0"/>
          <w:marRight w:val="0"/>
          <w:marTop w:val="0"/>
          <w:marBottom w:val="0"/>
          <w:divBdr>
            <w:top w:val="none" w:sz="0" w:space="0" w:color="auto"/>
            <w:left w:val="none" w:sz="0" w:space="0" w:color="auto"/>
            <w:bottom w:val="none" w:sz="0" w:space="0" w:color="auto"/>
            <w:right w:val="none" w:sz="0" w:space="0" w:color="auto"/>
          </w:divBdr>
        </w:div>
        <w:div w:id="794757712">
          <w:marLeft w:val="0"/>
          <w:marRight w:val="0"/>
          <w:marTop w:val="0"/>
          <w:marBottom w:val="0"/>
          <w:divBdr>
            <w:top w:val="none" w:sz="0" w:space="0" w:color="auto"/>
            <w:left w:val="none" w:sz="0" w:space="0" w:color="auto"/>
            <w:bottom w:val="none" w:sz="0" w:space="0" w:color="auto"/>
            <w:right w:val="none" w:sz="0" w:space="0" w:color="auto"/>
          </w:divBdr>
        </w:div>
        <w:div w:id="839123068">
          <w:marLeft w:val="0"/>
          <w:marRight w:val="0"/>
          <w:marTop w:val="0"/>
          <w:marBottom w:val="0"/>
          <w:divBdr>
            <w:top w:val="none" w:sz="0" w:space="0" w:color="auto"/>
            <w:left w:val="none" w:sz="0" w:space="0" w:color="auto"/>
            <w:bottom w:val="none" w:sz="0" w:space="0" w:color="auto"/>
            <w:right w:val="none" w:sz="0" w:space="0" w:color="auto"/>
          </w:divBdr>
        </w:div>
        <w:div w:id="878132570">
          <w:marLeft w:val="0"/>
          <w:marRight w:val="0"/>
          <w:marTop w:val="0"/>
          <w:marBottom w:val="0"/>
          <w:divBdr>
            <w:top w:val="none" w:sz="0" w:space="0" w:color="auto"/>
            <w:left w:val="none" w:sz="0" w:space="0" w:color="auto"/>
            <w:bottom w:val="none" w:sz="0" w:space="0" w:color="auto"/>
            <w:right w:val="none" w:sz="0" w:space="0" w:color="auto"/>
          </w:divBdr>
        </w:div>
        <w:div w:id="1027172314">
          <w:marLeft w:val="0"/>
          <w:marRight w:val="0"/>
          <w:marTop w:val="0"/>
          <w:marBottom w:val="0"/>
          <w:divBdr>
            <w:top w:val="none" w:sz="0" w:space="0" w:color="auto"/>
            <w:left w:val="none" w:sz="0" w:space="0" w:color="auto"/>
            <w:bottom w:val="none" w:sz="0" w:space="0" w:color="auto"/>
            <w:right w:val="none" w:sz="0" w:space="0" w:color="auto"/>
          </w:divBdr>
        </w:div>
        <w:div w:id="1055547901">
          <w:marLeft w:val="0"/>
          <w:marRight w:val="0"/>
          <w:marTop w:val="0"/>
          <w:marBottom w:val="0"/>
          <w:divBdr>
            <w:top w:val="none" w:sz="0" w:space="0" w:color="auto"/>
            <w:left w:val="none" w:sz="0" w:space="0" w:color="auto"/>
            <w:bottom w:val="none" w:sz="0" w:space="0" w:color="auto"/>
            <w:right w:val="none" w:sz="0" w:space="0" w:color="auto"/>
          </w:divBdr>
        </w:div>
        <w:div w:id="1433084684">
          <w:marLeft w:val="0"/>
          <w:marRight w:val="0"/>
          <w:marTop w:val="0"/>
          <w:marBottom w:val="0"/>
          <w:divBdr>
            <w:top w:val="none" w:sz="0" w:space="0" w:color="auto"/>
            <w:left w:val="none" w:sz="0" w:space="0" w:color="auto"/>
            <w:bottom w:val="none" w:sz="0" w:space="0" w:color="auto"/>
            <w:right w:val="none" w:sz="0" w:space="0" w:color="auto"/>
          </w:divBdr>
        </w:div>
        <w:div w:id="1453985469">
          <w:marLeft w:val="0"/>
          <w:marRight w:val="0"/>
          <w:marTop w:val="0"/>
          <w:marBottom w:val="0"/>
          <w:divBdr>
            <w:top w:val="none" w:sz="0" w:space="0" w:color="auto"/>
            <w:left w:val="none" w:sz="0" w:space="0" w:color="auto"/>
            <w:bottom w:val="none" w:sz="0" w:space="0" w:color="auto"/>
            <w:right w:val="none" w:sz="0" w:space="0" w:color="auto"/>
          </w:divBdr>
        </w:div>
        <w:div w:id="1593466117">
          <w:marLeft w:val="0"/>
          <w:marRight w:val="0"/>
          <w:marTop w:val="0"/>
          <w:marBottom w:val="0"/>
          <w:divBdr>
            <w:top w:val="none" w:sz="0" w:space="0" w:color="auto"/>
            <w:left w:val="none" w:sz="0" w:space="0" w:color="auto"/>
            <w:bottom w:val="none" w:sz="0" w:space="0" w:color="auto"/>
            <w:right w:val="none" w:sz="0" w:space="0" w:color="auto"/>
          </w:divBdr>
        </w:div>
        <w:div w:id="1687051631">
          <w:marLeft w:val="0"/>
          <w:marRight w:val="0"/>
          <w:marTop w:val="0"/>
          <w:marBottom w:val="0"/>
          <w:divBdr>
            <w:top w:val="none" w:sz="0" w:space="0" w:color="auto"/>
            <w:left w:val="none" w:sz="0" w:space="0" w:color="auto"/>
            <w:bottom w:val="none" w:sz="0" w:space="0" w:color="auto"/>
            <w:right w:val="none" w:sz="0" w:space="0" w:color="auto"/>
          </w:divBdr>
        </w:div>
        <w:div w:id="2076390666">
          <w:marLeft w:val="0"/>
          <w:marRight w:val="0"/>
          <w:marTop w:val="0"/>
          <w:marBottom w:val="0"/>
          <w:divBdr>
            <w:top w:val="none" w:sz="0" w:space="0" w:color="auto"/>
            <w:left w:val="none" w:sz="0" w:space="0" w:color="auto"/>
            <w:bottom w:val="none" w:sz="0" w:space="0" w:color="auto"/>
            <w:right w:val="none" w:sz="0" w:space="0" w:color="auto"/>
          </w:divBdr>
        </w:div>
      </w:divsChild>
    </w:div>
    <w:div w:id="1175267078">
      <w:bodyDiv w:val="1"/>
      <w:marLeft w:val="0"/>
      <w:marRight w:val="0"/>
      <w:marTop w:val="0"/>
      <w:marBottom w:val="0"/>
      <w:divBdr>
        <w:top w:val="none" w:sz="0" w:space="0" w:color="auto"/>
        <w:left w:val="none" w:sz="0" w:space="0" w:color="auto"/>
        <w:bottom w:val="none" w:sz="0" w:space="0" w:color="auto"/>
        <w:right w:val="none" w:sz="0" w:space="0" w:color="auto"/>
      </w:divBdr>
      <w:divsChild>
        <w:div w:id="1343166174">
          <w:marLeft w:val="0"/>
          <w:marRight w:val="0"/>
          <w:marTop w:val="0"/>
          <w:marBottom w:val="0"/>
          <w:divBdr>
            <w:top w:val="none" w:sz="0" w:space="0" w:color="auto"/>
            <w:left w:val="none" w:sz="0" w:space="0" w:color="auto"/>
            <w:bottom w:val="none" w:sz="0" w:space="0" w:color="auto"/>
            <w:right w:val="none" w:sz="0" w:space="0" w:color="auto"/>
          </w:divBdr>
        </w:div>
        <w:div w:id="1584996493">
          <w:marLeft w:val="0"/>
          <w:marRight w:val="0"/>
          <w:marTop w:val="0"/>
          <w:marBottom w:val="0"/>
          <w:divBdr>
            <w:top w:val="none" w:sz="0" w:space="0" w:color="auto"/>
            <w:left w:val="none" w:sz="0" w:space="0" w:color="auto"/>
            <w:bottom w:val="none" w:sz="0" w:space="0" w:color="auto"/>
            <w:right w:val="none" w:sz="0" w:space="0" w:color="auto"/>
          </w:divBdr>
        </w:div>
        <w:div w:id="1684437616">
          <w:marLeft w:val="0"/>
          <w:marRight w:val="0"/>
          <w:marTop w:val="0"/>
          <w:marBottom w:val="0"/>
          <w:divBdr>
            <w:top w:val="none" w:sz="0" w:space="0" w:color="auto"/>
            <w:left w:val="none" w:sz="0" w:space="0" w:color="auto"/>
            <w:bottom w:val="none" w:sz="0" w:space="0" w:color="auto"/>
            <w:right w:val="none" w:sz="0" w:space="0" w:color="auto"/>
          </w:divBdr>
        </w:div>
        <w:div w:id="1822232369">
          <w:marLeft w:val="0"/>
          <w:marRight w:val="0"/>
          <w:marTop w:val="0"/>
          <w:marBottom w:val="0"/>
          <w:divBdr>
            <w:top w:val="none" w:sz="0" w:space="0" w:color="auto"/>
            <w:left w:val="none" w:sz="0" w:space="0" w:color="auto"/>
            <w:bottom w:val="none" w:sz="0" w:space="0" w:color="auto"/>
            <w:right w:val="none" w:sz="0" w:space="0" w:color="auto"/>
          </w:divBdr>
        </w:div>
        <w:div w:id="2068067762">
          <w:marLeft w:val="0"/>
          <w:marRight w:val="0"/>
          <w:marTop w:val="0"/>
          <w:marBottom w:val="0"/>
          <w:divBdr>
            <w:top w:val="none" w:sz="0" w:space="0" w:color="auto"/>
            <w:left w:val="none" w:sz="0" w:space="0" w:color="auto"/>
            <w:bottom w:val="none" w:sz="0" w:space="0" w:color="auto"/>
            <w:right w:val="none" w:sz="0" w:space="0" w:color="auto"/>
          </w:divBdr>
        </w:div>
      </w:divsChild>
    </w:div>
    <w:div w:id="1175345611">
      <w:bodyDiv w:val="1"/>
      <w:marLeft w:val="0"/>
      <w:marRight w:val="0"/>
      <w:marTop w:val="0"/>
      <w:marBottom w:val="0"/>
      <w:divBdr>
        <w:top w:val="none" w:sz="0" w:space="0" w:color="auto"/>
        <w:left w:val="none" w:sz="0" w:space="0" w:color="auto"/>
        <w:bottom w:val="none" w:sz="0" w:space="0" w:color="auto"/>
        <w:right w:val="none" w:sz="0" w:space="0" w:color="auto"/>
      </w:divBdr>
    </w:div>
    <w:div w:id="1187522377">
      <w:bodyDiv w:val="1"/>
      <w:marLeft w:val="0"/>
      <w:marRight w:val="0"/>
      <w:marTop w:val="0"/>
      <w:marBottom w:val="0"/>
      <w:divBdr>
        <w:top w:val="none" w:sz="0" w:space="0" w:color="auto"/>
        <w:left w:val="none" w:sz="0" w:space="0" w:color="auto"/>
        <w:bottom w:val="none" w:sz="0" w:space="0" w:color="auto"/>
        <w:right w:val="none" w:sz="0" w:space="0" w:color="auto"/>
      </w:divBdr>
      <w:divsChild>
        <w:div w:id="288046891">
          <w:marLeft w:val="0"/>
          <w:marRight w:val="0"/>
          <w:marTop w:val="0"/>
          <w:marBottom w:val="0"/>
          <w:divBdr>
            <w:top w:val="none" w:sz="0" w:space="0" w:color="auto"/>
            <w:left w:val="none" w:sz="0" w:space="0" w:color="auto"/>
            <w:bottom w:val="none" w:sz="0" w:space="0" w:color="auto"/>
            <w:right w:val="none" w:sz="0" w:space="0" w:color="auto"/>
          </w:divBdr>
        </w:div>
        <w:div w:id="1892687943">
          <w:marLeft w:val="0"/>
          <w:marRight w:val="0"/>
          <w:marTop w:val="0"/>
          <w:marBottom w:val="0"/>
          <w:divBdr>
            <w:top w:val="none" w:sz="0" w:space="0" w:color="auto"/>
            <w:left w:val="none" w:sz="0" w:space="0" w:color="auto"/>
            <w:bottom w:val="none" w:sz="0" w:space="0" w:color="auto"/>
            <w:right w:val="none" w:sz="0" w:space="0" w:color="auto"/>
          </w:divBdr>
        </w:div>
      </w:divsChild>
    </w:div>
    <w:div w:id="1192110279">
      <w:bodyDiv w:val="1"/>
      <w:marLeft w:val="0"/>
      <w:marRight w:val="0"/>
      <w:marTop w:val="0"/>
      <w:marBottom w:val="0"/>
      <w:divBdr>
        <w:top w:val="none" w:sz="0" w:space="0" w:color="auto"/>
        <w:left w:val="none" w:sz="0" w:space="0" w:color="auto"/>
        <w:bottom w:val="none" w:sz="0" w:space="0" w:color="auto"/>
        <w:right w:val="none" w:sz="0" w:space="0" w:color="auto"/>
      </w:divBdr>
    </w:div>
    <w:div w:id="1223785498">
      <w:bodyDiv w:val="1"/>
      <w:marLeft w:val="0"/>
      <w:marRight w:val="0"/>
      <w:marTop w:val="0"/>
      <w:marBottom w:val="0"/>
      <w:divBdr>
        <w:top w:val="none" w:sz="0" w:space="0" w:color="auto"/>
        <w:left w:val="none" w:sz="0" w:space="0" w:color="auto"/>
        <w:bottom w:val="none" w:sz="0" w:space="0" w:color="auto"/>
        <w:right w:val="none" w:sz="0" w:space="0" w:color="auto"/>
      </w:divBdr>
      <w:divsChild>
        <w:div w:id="63262867">
          <w:marLeft w:val="0"/>
          <w:marRight w:val="0"/>
          <w:marTop w:val="0"/>
          <w:marBottom w:val="0"/>
          <w:divBdr>
            <w:top w:val="none" w:sz="0" w:space="0" w:color="auto"/>
            <w:left w:val="none" w:sz="0" w:space="0" w:color="auto"/>
            <w:bottom w:val="none" w:sz="0" w:space="0" w:color="auto"/>
            <w:right w:val="none" w:sz="0" w:space="0" w:color="auto"/>
          </w:divBdr>
        </w:div>
        <w:div w:id="164562716">
          <w:marLeft w:val="0"/>
          <w:marRight w:val="0"/>
          <w:marTop w:val="0"/>
          <w:marBottom w:val="0"/>
          <w:divBdr>
            <w:top w:val="none" w:sz="0" w:space="0" w:color="auto"/>
            <w:left w:val="none" w:sz="0" w:space="0" w:color="auto"/>
            <w:bottom w:val="none" w:sz="0" w:space="0" w:color="auto"/>
            <w:right w:val="none" w:sz="0" w:space="0" w:color="auto"/>
          </w:divBdr>
        </w:div>
        <w:div w:id="216549407">
          <w:marLeft w:val="0"/>
          <w:marRight w:val="0"/>
          <w:marTop w:val="0"/>
          <w:marBottom w:val="0"/>
          <w:divBdr>
            <w:top w:val="none" w:sz="0" w:space="0" w:color="auto"/>
            <w:left w:val="none" w:sz="0" w:space="0" w:color="auto"/>
            <w:bottom w:val="none" w:sz="0" w:space="0" w:color="auto"/>
            <w:right w:val="none" w:sz="0" w:space="0" w:color="auto"/>
          </w:divBdr>
        </w:div>
        <w:div w:id="342243722">
          <w:marLeft w:val="0"/>
          <w:marRight w:val="0"/>
          <w:marTop w:val="0"/>
          <w:marBottom w:val="0"/>
          <w:divBdr>
            <w:top w:val="none" w:sz="0" w:space="0" w:color="auto"/>
            <w:left w:val="none" w:sz="0" w:space="0" w:color="auto"/>
            <w:bottom w:val="none" w:sz="0" w:space="0" w:color="auto"/>
            <w:right w:val="none" w:sz="0" w:space="0" w:color="auto"/>
          </w:divBdr>
        </w:div>
        <w:div w:id="574583993">
          <w:marLeft w:val="0"/>
          <w:marRight w:val="0"/>
          <w:marTop w:val="0"/>
          <w:marBottom w:val="0"/>
          <w:divBdr>
            <w:top w:val="none" w:sz="0" w:space="0" w:color="auto"/>
            <w:left w:val="none" w:sz="0" w:space="0" w:color="auto"/>
            <w:bottom w:val="none" w:sz="0" w:space="0" w:color="auto"/>
            <w:right w:val="none" w:sz="0" w:space="0" w:color="auto"/>
          </w:divBdr>
        </w:div>
        <w:div w:id="1003162736">
          <w:marLeft w:val="0"/>
          <w:marRight w:val="0"/>
          <w:marTop w:val="0"/>
          <w:marBottom w:val="0"/>
          <w:divBdr>
            <w:top w:val="none" w:sz="0" w:space="0" w:color="auto"/>
            <w:left w:val="none" w:sz="0" w:space="0" w:color="auto"/>
            <w:bottom w:val="none" w:sz="0" w:space="0" w:color="auto"/>
            <w:right w:val="none" w:sz="0" w:space="0" w:color="auto"/>
          </w:divBdr>
          <w:divsChild>
            <w:div w:id="496727667">
              <w:marLeft w:val="0"/>
              <w:marRight w:val="0"/>
              <w:marTop w:val="0"/>
              <w:marBottom w:val="0"/>
              <w:divBdr>
                <w:top w:val="none" w:sz="0" w:space="0" w:color="auto"/>
                <w:left w:val="none" w:sz="0" w:space="0" w:color="auto"/>
                <w:bottom w:val="none" w:sz="0" w:space="0" w:color="auto"/>
                <w:right w:val="none" w:sz="0" w:space="0" w:color="auto"/>
              </w:divBdr>
            </w:div>
            <w:div w:id="619654155">
              <w:marLeft w:val="0"/>
              <w:marRight w:val="0"/>
              <w:marTop w:val="0"/>
              <w:marBottom w:val="0"/>
              <w:divBdr>
                <w:top w:val="none" w:sz="0" w:space="0" w:color="auto"/>
                <w:left w:val="none" w:sz="0" w:space="0" w:color="auto"/>
                <w:bottom w:val="none" w:sz="0" w:space="0" w:color="auto"/>
                <w:right w:val="none" w:sz="0" w:space="0" w:color="auto"/>
              </w:divBdr>
            </w:div>
            <w:div w:id="648437519">
              <w:marLeft w:val="0"/>
              <w:marRight w:val="0"/>
              <w:marTop w:val="0"/>
              <w:marBottom w:val="0"/>
              <w:divBdr>
                <w:top w:val="none" w:sz="0" w:space="0" w:color="auto"/>
                <w:left w:val="none" w:sz="0" w:space="0" w:color="auto"/>
                <w:bottom w:val="none" w:sz="0" w:space="0" w:color="auto"/>
                <w:right w:val="none" w:sz="0" w:space="0" w:color="auto"/>
              </w:divBdr>
            </w:div>
            <w:div w:id="700593272">
              <w:marLeft w:val="0"/>
              <w:marRight w:val="0"/>
              <w:marTop w:val="0"/>
              <w:marBottom w:val="0"/>
              <w:divBdr>
                <w:top w:val="none" w:sz="0" w:space="0" w:color="auto"/>
                <w:left w:val="none" w:sz="0" w:space="0" w:color="auto"/>
                <w:bottom w:val="none" w:sz="0" w:space="0" w:color="auto"/>
                <w:right w:val="none" w:sz="0" w:space="0" w:color="auto"/>
              </w:divBdr>
            </w:div>
            <w:div w:id="989141186">
              <w:marLeft w:val="0"/>
              <w:marRight w:val="0"/>
              <w:marTop w:val="0"/>
              <w:marBottom w:val="0"/>
              <w:divBdr>
                <w:top w:val="none" w:sz="0" w:space="0" w:color="auto"/>
                <w:left w:val="none" w:sz="0" w:space="0" w:color="auto"/>
                <w:bottom w:val="none" w:sz="0" w:space="0" w:color="auto"/>
                <w:right w:val="none" w:sz="0" w:space="0" w:color="auto"/>
              </w:divBdr>
            </w:div>
            <w:div w:id="1150054542">
              <w:marLeft w:val="0"/>
              <w:marRight w:val="0"/>
              <w:marTop w:val="0"/>
              <w:marBottom w:val="0"/>
              <w:divBdr>
                <w:top w:val="none" w:sz="0" w:space="0" w:color="auto"/>
                <w:left w:val="none" w:sz="0" w:space="0" w:color="auto"/>
                <w:bottom w:val="none" w:sz="0" w:space="0" w:color="auto"/>
                <w:right w:val="none" w:sz="0" w:space="0" w:color="auto"/>
              </w:divBdr>
            </w:div>
            <w:div w:id="1307012378">
              <w:marLeft w:val="0"/>
              <w:marRight w:val="0"/>
              <w:marTop w:val="0"/>
              <w:marBottom w:val="0"/>
              <w:divBdr>
                <w:top w:val="none" w:sz="0" w:space="0" w:color="auto"/>
                <w:left w:val="none" w:sz="0" w:space="0" w:color="auto"/>
                <w:bottom w:val="none" w:sz="0" w:space="0" w:color="auto"/>
                <w:right w:val="none" w:sz="0" w:space="0" w:color="auto"/>
              </w:divBdr>
            </w:div>
            <w:div w:id="1328753498">
              <w:marLeft w:val="0"/>
              <w:marRight w:val="0"/>
              <w:marTop w:val="0"/>
              <w:marBottom w:val="0"/>
              <w:divBdr>
                <w:top w:val="none" w:sz="0" w:space="0" w:color="auto"/>
                <w:left w:val="none" w:sz="0" w:space="0" w:color="auto"/>
                <w:bottom w:val="none" w:sz="0" w:space="0" w:color="auto"/>
                <w:right w:val="none" w:sz="0" w:space="0" w:color="auto"/>
              </w:divBdr>
            </w:div>
            <w:div w:id="1536966738">
              <w:marLeft w:val="0"/>
              <w:marRight w:val="0"/>
              <w:marTop w:val="0"/>
              <w:marBottom w:val="0"/>
              <w:divBdr>
                <w:top w:val="none" w:sz="0" w:space="0" w:color="auto"/>
                <w:left w:val="none" w:sz="0" w:space="0" w:color="auto"/>
                <w:bottom w:val="none" w:sz="0" w:space="0" w:color="auto"/>
                <w:right w:val="none" w:sz="0" w:space="0" w:color="auto"/>
              </w:divBdr>
            </w:div>
            <w:div w:id="1722633431">
              <w:marLeft w:val="0"/>
              <w:marRight w:val="0"/>
              <w:marTop w:val="0"/>
              <w:marBottom w:val="0"/>
              <w:divBdr>
                <w:top w:val="none" w:sz="0" w:space="0" w:color="auto"/>
                <w:left w:val="none" w:sz="0" w:space="0" w:color="auto"/>
                <w:bottom w:val="none" w:sz="0" w:space="0" w:color="auto"/>
                <w:right w:val="none" w:sz="0" w:space="0" w:color="auto"/>
              </w:divBdr>
            </w:div>
            <w:div w:id="1962882551">
              <w:marLeft w:val="0"/>
              <w:marRight w:val="0"/>
              <w:marTop w:val="0"/>
              <w:marBottom w:val="0"/>
              <w:divBdr>
                <w:top w:val="none" w:sz="0" w:space="0" w:color="auto"/>
                <w:left w:val="none" w:sz="0" w:space="0" w:color="auto"/>
                <w:bottom w:val="none" w:sz="0" w:space="0" w:color="auto"/>
                <w:right w:val="none" w:sz="0" w:space="0" w:color="auto"/>
              </w:divBdr>
            </w:div>
            <w:div w:id="2072924701">
              <w:marLeft w:val="0"/>
              <w:marRight w:val="0"/>
              <w:marTop w:val="0"/>
              <w:marBottom w:val="0"/>
              <w:divBdr>
                <w:top w:val="none" w:sz="0" w:space="0" w:color="auto"/>
                <w:left w:val="none" w:sz="0" w:space="0" w:color="auto"/>
                <w:bottom w:val="none" w:sz="0" w:space="0" w:color="auto"/>
                <w:right w:val="none" w:sz="0" w:space="0" w:color="auto"/>
              </w:divBdr>
            </w:div>
          </w:divsChild>
        </w:div>
        <w:div w:id="1082340931">
          <w:marLeft w:val="0"/>
          <w:marRight w:val="0"/>
          <w:marTop w:val="0"/>
          <w:marBottom w:val="0"/>
          <w:divBdr>
            <w:top w:val="none" w:sz="0" w:space="0" w:color="auto"/>
            <w:left w:val="none" w:sz="0" w:space="0" w:color="auto"/>
            <w:bottom w:val="none" w:sz="0" w:space="0" w:color="auto"/>
            <w:right w:val="none" w:sz="0" w:space="0" w:color="auto"/>
          </w:divBdr>
        </w:div>
        <w:div w:id="1161583826">
          <w:marLeft w:val="0"/>
          <w:marRight w:val="0"/>
          <w:marTop w:val="0"/>
          <w:marBottom w:val="0"/>
          <w:divBdr>
            <w:top w:val="none" w:sz="0" w:space="0" w:color="auto"/>
            <w:left w:val="none" w:sz="0" w:space="0" w:color="auto"/>
            <w:bottom w:val="none" w:sz="0" w:space="0" w:color="auto"/>
            <w:right w:val="none" w:sz="0" w:space="0" w:color="auto"/>
          </w:divBdr>
        </w:div>
        <w:div w:id="1250961832">
          <w:marLeft w:val="0"/>
          <w:marRight w:val="0"/>
          <w:marTop w:val="0"/>
          <w:marBottom w:val="0"/>
          <w:divBdr>
            <w:top w:val="none" w:sz="0" w:space="0" w:color="auto"/>
            <w:left w:val="none" w:sz="0" w:space="0" w:color="auto"/>
            <w:bottom w:val="none" w:sz="0" w:space="0" w:color="auto"/>
            <w:right w:val="none" w:sz="0" w:space="0" w:color="auto"/>
          </w:divBdr>
        </w:div>
        <w:div w:id="1466243214">
          <w:marLeft w:val="0"/>
          <w:marRight w:val="0"/>
          <w:marTop w:val="0"/>
          <w:marBottom w:val="0"/>
          <w:divBdr>
            <w:top w:val="none" w:sz="0" w:space="0" w:color="auto"/>
            <w:left w:val="none" w:sz="0" w:space="0" w:color="auto"/>
            <w:bottom w:val="none" w:sz="0" w:space="0" w:color="auto"/>
            <w:right w:val="none" w:sz="0" w:space="0" w:color="auto"/>
          </w:divBdr>
          <w:divsChild>
            <w:div w:id="36515357">
              <w:marLeft w:val="0"/>
              <w:marRight w:val="0"/>
              <w:marTop w:val="0"/>
              <w:marBottom w:val="0"/>
              <w:divBdr>
                <w:top w:val="none" w:sz="0" w:space="0" w:color="auto"/>
                <w:left w:val="none" w:sz="0" w:space="0" w:color="auto"/>
                <w:bottom w:val="none" w:sz="0" w:space="0" w:color="auto"/>
                <w:right w:val="none" w:sz="0" w:space="0" w:color="auto"/>
              </w:divBdr>
            </w:div>
            <w:div w:id="101413972">
              <w:marLeft w:val="0"/>
              <w:marRight w:val="0"/>
              <w:marTop w:val="0"/>
              <w:marBottom w:val="0"/>
              <w:divBdr>
                <w:top w:val="none" w:sz="0" w:space="0" w:color="auto"/>
                <w:left w:val="none" w:sz="0" w:space="0" w:color="auto"/>
                <w:bottom w:val="none" w:sz="0" w:space="0" w:color="auto"/>
                <w:right w:val="none" w:sz="0" w:space="0" w:color="auto"/>
              </w:divBdr>
            </w:div>
            <w:div w:id="134877362">
              <w:marLeft w:val="0"/>
              <w:marRight w:val="0"/>
              <w:marTop w:val="0"/>
              <w:marBottom w:val="0"/>
              <w:divBdr>
                <w:top w:val="none" w:sz="0" w:space="0" w:color="auto"/>
                <w:left w:val="none" w:sz="0" w:space="0" w:color="auto"/>
                <w:bottom w:val="none" w:sz="0" w:space="0" w:color="auto"/>
                <w:right w:val="none" w:sz="0" w:space="0" w:color="auto"/>
              </w:divBdr>
            </w:div>
            <w:div w:id="566427896">
              <w:marLeft w:val="0"/>
              <w:marRight w:val="0"/>
              <w:marTop w:val="0"/>
              <w:marBottom w:val="0"/>
              <w:divBdr>
                <w:top w:val="none" w:sz="0" w:space="0" w:color="auto"/>
                <w:left w:val="none" w:sz="0" w:space="0" w:color="auto"/>
                <w:bottom w:val="none" w:sz="0" w:space="0" w:color="auto"/>
                <w:right w:val="none" w:sz="0" w:space="0" w:color="auto"/>
              </w:divBdr>
            </w:div>
            <w:div w:id="576869544">
              <w:marLeft w:val="0"/>
              <w:marRight w:val="0"/>
              <w:marTop w:val="0"/>
              <w:marBottom w:val="0"/>
              <w:divBdr>
                <w:top w:val="none" w:sz="0" w:space="0" w:color="auto"/>
                <w:left w:val="none" w:sz="0" w:space="0" w:color="auto"/>
                <w:bottom w:val="none" w:sz="0" w:space="0" w:color="auto"/>
                <w:right w:val="none" w:sz="0" w:space="0" w:color="auto"/>
              </w:divBdr>
            </w:div>
            <w:div w:id="577710639">
              <w:marLeft w:val="0"/>
              <w:marRight w:val="0"/>
              <w:marTop w:val="0"/>
              <w:marBottom w:val="0"/>
              <w:divBdr>
                <w:top w:val="none" w:sz="0" w:space="0" w:color="auto"/>
                <w:left w:val="none" w:sz="0" w:space="0" w:color="auto"/>
                <w:bottom w:val="none" w:sz="0" w:space="0" w:color="auto"/>
                <w:right w:val="none" w:sz="0" w:space="0" w:color="auto"/>
              </w:divBdr>
            </w:div>
            <w:div w:id="596640237">
              <w:marLeft w:val="0"/>
              <w:marRight w:val="0"/>
              <w:marTop w:val="0"/>
              <w:marBottom w:val="0"/>
              <w:divBdr>
                <w:top w:val="none" w:sz="0" w:space="0" w:color="auto"/>
                <w:left w:val="none" w:sz="0" w:space="0" w:color="auto"/>
                <w:bottom w:val="none" w:sz="0" w:space="0" w:color="auto"/>
                <w:right w:val="none" w:sz="0" w:space="0" w:color="auto"/>
              </w:divBdr>
            </w:div>
            <w:div w:id="732431588">
              <w:marLeft w:val="0"/>
              <w:marRight w:val="0"/>
              <w:marTop w:val="0"/>
              <w:marBottom w:val="0"/>
              <w:divBdr>
                <w:top w:val="none" w:sz="0" w:space="0" w:color="auto"/>
                <w:left w:val="none" w:sz="0" w:space="0" w:color="auto"/>
                <w:bottom w:val="none" w:sz="0" w:space="0" w:color="auto"/>
                <w:right w:val="none" w:sz="0" w:space="0" w:color="auto"/>
              </w:divBdr>
            </w:div>
            <w:div w:id="740372613">
              <w:marLeft w:val="0"/>
              <w:marRight w:val="0"/>
              <w:marTop w:val="0"/>
              <w:marBottom w:val="0"/>
              <w:divBdr>
                <w:top w:val="none" w:sz="0" w:space="0" w:color="auto"/>
                <w:left w:val="none" w:sz="0" w:space="0" w:color="auto"/>
                <w:bottom w:val="none" w:sz="0" w:space="0" w:color="auto"/>
                <w:right w:val="none" w:sz="0" w:space="0" w:color="auto"/>
              </w:divBdr>
            </w:div>
            <w:div w:id="762918564">
              <w:marLeft w:val="0"/>
              <w:marRight w:val="0"/>
              <w:marTop w:val="0"/>
              <w:marBottom w:val="0"/>
              <w:divBdr>
                <w:top w:val="none" w:sz="0" w:space="0" w:color="auto"/>
                <w:left w:val="none" w:sz="0" w:space="0" w:color="auto"/>
                <w:bottom w:val="none" w:sz="0" w:space="0" w:color="auto"/>
                <w:right w:val="none" w:sz="0" w:space="0" w:color="auto"/>
              </w:divBdr>
            </w:div>
            <w:div w:id="868683545">
              <w:marLeft w:val="0"/>
              <w:marRight w:val="0"/>
              <w:marTop w:val="0"/>
              <w:marBottom w:val="0"/>
              <w:divBdr>
                <w:top w:val="none" w:sz="0" w:space="0" w:color="auto"/>
                <w:left w:val="none" w:sz="0" w:space="0" w:color="auto"/>
                <w:bottom w:val="none" w:sz="0" w:space="0" w:color="auto"/>
                <w:right w:val="none" w:sz="0" w:space="0" w:color="auto"/>
              </w:divBdr>
            </w:div>
            <w:div w:id="1065834891">
              <w:marLeft w:val="0"/>
              <w:marRight w:val="0"/>
              <w:marTop w:val="0"/>
              <w:marBottom w:val="0"/>
              <w:divBdr>
                <w:top w:val="none" w:sz="0" w:space="0" w:color="auto"/>
                <w:left w:val="none" w:sz="0" w:space="0" w:color="auto"/>
                <w:bottom w:val="none" w:sz="0" w:space="0" w:color="auto"/>
                <w:right w:val="none" w:sz="0" w:space="0" w:color="auto"/>
              </w:divBdr>
            </w:div>
            <w:div w:id="1078137909">
              <w:marLeft w:val="0"/>
              <w:marRight w:val="0"/>
              <w:marTop w:val="0"/>
              <w:marBottom w:val="0"/>
              <w:divBdr>
                <w:top w:val="none" w:sz="0" w:space="0" w:color="auto"/>
                <w:left w:val="none" w:sz="0" w:space="0" w:color="auto"/>
                <w:bottom w:val="none" w:sz="0" w:space="0" w:color="auto"/>
                <w:right w:val="none" w:sz="0" w:space="0" w:color="auto"/>
              </w:divBdr>
            </w:div>
            <w:div w:id="1128815595">
              <w:marLeft w:val="0"/>
              <w:marRight w:val="0"/>
              <w:marTop w:val="0"/>
              <w:marBottom w:val="0"/>
              <w:divBdr>
                <w:top w:val="none" w:sz="0" w:space="0" w:color="auto"/>
                <w:left w:val="none" w:sz="0" w:space="0" w:color="auto"/>
                <w:bottom w:val="none" w:sz="0" w:space="0" w:color="auto"/>
                <w:right w:val="none" w:sz="0" w:space="0" w:color="auto"/>
              </w:divBdr>
            </w:div>
            <w:div w:id="1224483093">
              <w:marLeft w:val="0"/>
              <w:marRight w:val="0"/>
              <w:marTop w:val="0"/>
              <w:marBottom w:val="0"/>
              <w:divBdr>
                <w:top w:val="none" w:sz="0" w:space="0" w:color="auto"/>
                <w:left w:val="none" w:sz="0" w:space="0" w:color="auto"/>
                <w:bottom w:val="none" w:sz="0" w:space="0" w:color="auto"/>
                <w:right w:val="none" w:sz="0" w:space="0" w:color="auto"/>
              </w:divBdr>
            </w:div>
            <w:div w:id="1318804897">
              <w:marLeft w:val="0"/>
              <w:marRight w:val="0"/>
              <w:marTop w:val="0"/>
              <w:marBottom w:val="0"/>
              <w:divBdr>
                <w:top w:val="none" w:sz="0" w:space="0" w:color="auto"/>
                <w:left w:val="none" w:sz="0" w:space="0" w:color="auto"/>
                <w:bottom w:val="none" w:sz="0" w:space="0" w:color="auto"/>
                <w:right w:val="none" w:sz="0" w:space="0" w:color="auto"/>
              </w:divBdr>
            </w:div>
            <w:div w:id="1348603739">
              <w:marLeft w:val="0"/>
              <w:marRight w:val="0"/>
              <w:marTop w:val="0"/>
              <w:marBottom w:val="0"/>
              <w:divBdr>
                <w:top w:val="none" w:sz="0" w:space="0" w:color="auto"/>
                <w:left w:val="none" w:sz="0" w:space="0" w:color="auto"/>
                <w:bottom w:val="none" w:sz="0" w:space="0" w:color="auto"/>
                <w:right w:val="none" w:sz="0" w:space="0" w:color="auto"/>
              </w:divBdr>
            </w:div>
            <w:div w:id="1639653291">
              <w:marLeft w:val="0"/>
              <w:marRight w:val="0"/>
              <w:marTop w:val="0"/>
              <w:marBottom w:val="0"/>
              <w:divBdr>
                <w:top w:val="none" w:sz="0" w:space="0" w:color="auto"/>
                <w:left w:val="none" w:sz="0" w:space="0" w:color="auto"/>
                <w:bottom w:val="none" w:sz="0" w:space="0" w:color="auto"/>
                <w:right w:val="none" w:sz="0" w:space="0" w:color="auto"/>
              </w:divBdr>
            </w:div>
            <w:div w:id="1656034575">
              <w:marLeft w:val="0"/>
              <w:marRight w:val="0"/>
              <w:marTop w:val="0"/>
              <w:marBottom w:val="0"/>
              <w:divBdr>
                <w:top w:val="none" w:sz="0" w:space="0" w:color="auto"/>
                <w:left w:val="none" w:sz="0" w:space="0" w:color="auto"/>
                <w:bottom w:val="none" w:sz="0" w:space="0" w:color="auto"/>
                <w:right w:val="none" w:sz="0" w:space="0" w:color="auto"/>
              </w:divBdr>
            </w:div>
            <w:div w:id="1867252703">
              <w:marLeft w:val="0"/>
              <w:marRight w:val="0"/>
              <w:marTop w:val="0"/>
              <w:marBottom w:val="0"/>
              <w:divBdr>
                <w:top w:val="none" w:sz="0" w:space="0" w:color="auto"/>
                <w:left w:val="none" w:sz="0" w:space="0" w:color="auto"/>
                <w:bottom w:val="none" w:sz="0" w:space="0" w:color="auto"/>
                <w:right w:val="none" w:sz="0" w:space="0" w:color="auto"/>
              </w:divBdr>
            </w:div>
          </w:divsChild>
        </w:div>
        <w:div w:id="1676762047">
          <w:marLeft w:val="0"/>
          <w:marRight w:val="0"/>
          <w:marTop w:val="0"/>
          <w:marBottom w:val="0"/>
          <w:divBdr>
            <w:top w:val="none" w:sz="0" w:space="0" w:color="auto"/>
            <w:left w:val="none" w:sz="0" w:space="0" w:color="auto"/>
            <w:bottom w:val="none" w:sz="0" w:space="0" w:color="auto"/>
            <w:right w:val="none" w:sz="0" w:space="0" w:color="auto"/>
          </w:divBdr>
        </w:div>
        <w:div w:id="1722484176">
          <w:marLeft w:val="0"/>
          <w:marRight w:val="0"/>
          <w:marTop w:val="0"/>
          <w:marBottom w:val="0"/>
          <w:divBdr>
            <w:top w:val="none" w:sz="0" w:space="0" w:color="auto"/>
            <w:left w:val="none" w:sz="0" w:space="0" w:color="auto"/>
            <w:bottom w:val="none" w:sz="0" w:space="0" w:color="auto"/>
            <w:right w:val="none" w:sz="0" w:space="0" w:color="auto"/>
          </w:divBdr>
        </w:div>
        <w:div w:id="1759477291">
          <w:marLeft w:val="0"/>
          <w:marRight w:val="0"/>
          <w:marTop w:val="0"/>
          <w:marBottom w:val="0"/>
          <w:divBdr>
            <w:top w:val="none" w:sz="0" w:space="0" w:color="auto"/>
            <w:left w:val="none" w:sz="0" w:space="0" w:color="auto"/>
            <w:bottom w:val="none" w:sz="0" w:space="0" w:color="auto"/>
            <w:right w:val="none" w:sz="0" w:space="0" w:color="auto"/>
          </w:divBdr>
          <w:divsChild>
            <w:div w:id="95027547">
              <w:marLeft w:val="0"/>
              <w:marRight w:val="0"/>
              <w:marTop w:val="0"/>
              <w:marBottom w:val="0"/>
              <w:divBdr>
                <w:top w:val="none" w:sz="0" w:space="0" w:color="auto"/>
                <w:left w:val="none" w:sz="0" w:space="0" w:color="auto"/>
                <w:bottom w:val="none" w:sz="0" w:space="0" w:color="auto"/>
                <w:right w:val="none" w:sz="0" w:space="0" w:color="auto"/>
              </w:divBdr>
            </w:div>
            <w:div w:id="204877338">
              <w:marLeft w:val="0"/>
              <w:marRight w:val="0"/>
              <w:marTop w:val="0"/>
              <w:marBottom w:val="0"/>
              <w:divBdr>
                <w:top w:val="none" w:sz="0" w:space="0" w:color="auto"/>
                <w:left w:val="none" w:sz="0" w:space="0" w:color="auto"/>
                <w:bottom w:val="none" w:sz="0" w:space="0" w:color="auto"/>
                <w:right w:val="none" w:sz="0" w:space="0" w:color="auto"/>
              </w:divBdr>
            </w:div>
            <w:div w:id="239482510">
              <w:marLeft w:val="0"/>
              <w:marRight w:val="0"/>
              <w:marTop w:val="0"/>
              <w:marBottom w:val="0"/>
              <w:divBdr>
                <w:top w:val="none" w:sz="0" w:space="0" w:color="auto"/>
                <w:left w:val="none" w:sz="0" w:space="0" w:color="auto"/>
                <w:bottom w:val="none" w:sz="0" w:space="0" w:color="auto"/>
                <w:right w:val="none" w:sz="0" w:space="0" w:color="auto"/>
              </w:divBdr>
            </w:div>
            <w:div w:id="328216472">
              <w:marLeft w:val="0"/>
              <w:marRight w:val="0"/>
              <w:marTop w:val="0"/>
              <w:marBottom w:val="0"/>
              <w:divBdr>
                <w:top w:val="none" w:sz="0" w:space="0" w:color="auto"/>
                <w:left w:val="none" w:sz="0" w:space="0" w:color="auto"/>
                <w:bottom w:val="none" w:sz="0" w:space="0" w:color="auto"/>
                <w:right w:val="none" w:sz="0" w:space="0" w:color="auto"/>
              </w:divBdr>
            </w:div>
            <w:div w:id="409470860">
              <w:marLeft w:val="0"/>
              <w:marRight w:val="0"/>
              <w:marTop w:val="0"/>
              <w:marBottom w:val="0"/>
              <w:divBdr>
                <w:top w:val="none" w:sz="0" w:space="0" w:color="auto"/>
                <w:left w:val="none" w:sz="0" w:space="0" w:color="auto"/>
                <w:bottom w:val="none" w:sz="0" w:space="0" w:color="auto"/>
                <w:right w:val="none" w:sz="0" w:space="0" w:color="auto"/>
              </w:divBdr>
            </w:div>
            <w:div w:id="462162388">
              <w:marLeft w:val="0"/>
              <w:marRight w:val="0"/>
              <w:marTop w:val="0"/>
              <w:marBottom w:val="0"/>
              <w:divBdr>
                <w:top w:val="none" w:sz="0" w:space="0" w:color="auto"/>
                <w:left w:val="none" w:sz="0" w:space="0" w:color="auto"/>
                <w:bottom w:val="none" w:sz="0" w:space="0" w:color="auto"/>
                <w:right w:val="none" w:sz="0" w:space="0" w:color="auto"/>
              </w:divBdr>
            </w:div>
            <w:div w:id="630089805">
              <w:marLeft w:val="0"/>
              <w:marRight w:val="0"/>
              <w:marTop w:val="0"/>
              <w:marBottom w:val="0"/>
              <w:divBdr>
                <w:top w:val="none" w:sz="0" w:space="0" w:color="auto"/>
                <w:left w:val="none" w:sz="0" w:space="0" w:color="auto"/>
                <w:bottom w:val="none" w:sz="0" w:space="0" w:color="auto"/>
                <w:right w:val="none" w:sz="0" w:space="0" w:color="auto"/>
              </w:divBdr>
            </w:div>
            <w:div w:id="787628694">
              <w:marLeft w:val="0"/>
              <w:marRight w:val="0"/>
              <w:marTop w:val="0"/>
              <w:marBottom w:val="0"/>
              <w:divBdr>
                <w:top w:val="none" w:sz="0" w:space="0" w:color="auto"/>
                <w:left w:val="none" w:sz="0" w:space="0" w:color="auto"/>
                <w:bottom w:val="none" w:sz="0" w:space="0" w:color="auto"/>
                <w:right w:val="none" w:sz="0" w:space="0" w:color="auto"/>
              </w:divBdr>
            </w:div>
            <w:div w:id="942958031">
              <w:marLeft w:val="0"/>
              <w:marRight w:val="0"/>
              <w:marTop w:val="0"/>
              <w:marBottom w:val="0"/>
              <w:divBdr>
                <w:top w:val="none" w:sz="0" w:space="0" w:color="auto"/>
                <w:left w:val="none" w:sz="0" w:space="0" w:color="auto"/>
                <w:bottom w:val="none" w:sz="0" w:space="0" w:color="auto"/>
                <w:right w:val="none" w:sz="0" w:space="0" w:color="auto"/>
              </w:divBdr>
            </w:div>
            <w:div w:id="973414711">
              <w:marLeft w:val="0"/>
              <w:marRight w:val="0"/>
              <w:marTop w:val="0"/>
              <w:marBottom w:val="0"/>
              <w:divBdr>
                <w:top w:val="none" w:sz="0" w:space="0" w:color="auto"/>
                <w:left w:val="none" w:sz="0" w:space="0" w:color="auto"/>
                <w:bottom w:val="none" w:sz="0" w:space="0" w:color="auto"/>
                <w:right w:val="none" w:sz="0" w:space="0" w:color="auto"/>
              </w:divBdr>
            </w:div>
            <w:div w:id="1317033328">
              <w:marLeft w:val="0"/>
              <w:marRight w:val="0"/>
              <w:marTop w:val="0"/>
              <w:marBottom w:val="0"/>
              <w:divBdr>
                <w:top w:val="none" w:sz="0" w:space="0" w:color="auto"/>
                <w:left w:val="none" w:sz="0" w:space="0" w:color="auto"/>
                <w:bottom w:val="none" w:sz="0" w:space="0" w:color="auto"/>
                <w:right w:val="none" w:sz="0" w:space="0" w:color="auto"/>
              </w:divBdr>
            </w:div>
            <w:div w:id="1328243180">
              <w:marLeft w:val="0"/>
              <w:marRight w:val="0"/>
              <w:marTop w:val="0"/>
              <w:marBottom w:val="0"/>
              <w:divBdr>
                <w:top w:val="none" w:sz="0" w:space="0" w:color="auto"/>
                <w:left w:val="none" w:sz="0" w:space="0" w:color="auto"/>
                <w:bottom w:val="none" w:sz="0" w:space="0" w:color="auto"/>
                <w:right w:val="none" w:sz="0" w:space="0" w:color="auto"/>
              </w:divBdr>
            </w:div>
            <w:div w:id="1347055051">
              <w:marLeft w:val="0"/>
              <w:marRight w:val="0"/>
              <w:marTop w:val="0"/>
              <w:marBottom w:val="0"/>
              <w:divBdr>
                <w:top w:val="none" w:sz="0" w:space="0" w:color="auto"/>
                <w:left w:val="none" w:sz="0" w:space="0" w:color="auto"/>
                <w:bottom w:val="none" w:sz="0" w:space="0" w:color="auto"/>
                <w:right w:val="none" w:sz="0" w:space="0" w:color="auto"/>
              </w:divBdr>
            </w:div>
            <w:div w:id="1373724482">
              <w:marLeft w:val="0"/>
              <w:marRight w:val="0"/>
              <w:marTop w:val="0"/>
              <w:marBottom w:val="0"/>
              <w:divBdr>
                <w:top w:val="none" w:sz="0" w:space="0" w:color="auto"/>
                <w:left w:val="none" w:sz="0" w:space="0" w:color="auto"/>
                <w:bottom w:val="none" w:sz="0" w:space="0" w:color="auto"/>
                <w:right w:val="none" w:sz="0" w:space="0" w:color="auto"/>
              </w:divBdr>
            </w:div>
            <w:div w:id="1637292611">
              <w:marLeft w:val="0"/>
              <w:marRight w:val="0"/>
              <w:marTop w:val="0"/>
              <w:marBottom w:val="0"/>
              <w:divBdr>
                <w:top w:val="none" w:sz="0" w:space="0" w:color="auto"/>
                <w:left w:val="none" w:sz="0" w:space="0" w:color="auto"/>
                <w:bottom w:val="none" w:sz="0" w:space="0" w:color="auto"/>
                <w:right w:val="none" w:sz="0" w:space="0" w:color="auto"/>
              </w:divBdr>
            </w:div>
            <w:div w:id="1760590443">
              <w:marLeft w:val="0"/>
              <w:marRight w:val="0"/>
              <w:marTop w:val="0"/>
              <w:marBottom w:val="0"/>
              <w:divBdr>
                <w:top w:val="none" w:sz="0" w:space="0" w:color="auto"/>
                <w:left w:val="none" w:sz="0" w:space="0" w:color="auto"/>
                <w:bottom w:val="none" w:sz="0" w:space="0" w:color="auto"/>
                <w:right w:val="none" w:sz="0" w:space="0" w:color="auto"/>
              </w:divBdr>
            </w:div>
            <w:div w:id="1989090409">
              <w:marLeft w:val="0"/>
              <w:marRight w:val="0"/>
              <w:marTop w:val="0"/>
              <w:marBottom w:val="0"/>
              <w:divBdr>
                <w:top w:val="none" w:sz="0" w:space="0" w:color="auto"/>
                <w:left w:val="none" w:sz="0" w:space="0" w:color="auto"/>
                <w:bottom w:val="none" w:sz="0" w:space="0" w:color="auto"/>
                <w:right w:val="none" w:sz="0" w:space="0" w:color="auto"/>
              </w:divBdr>
            </w:div>
            <w:div w:id="2013489886">
              <w:marLeft w:val="0"/>
              <w:marRight w:val="0"/>
              <w:marTop w:val="0"/>
              <w:marBottom w:val="0"/>
              <w:divBdr>
                <w:top w:val="none" w:sz="0" w:space="0" w:color="auto"/>
                <w:left w:val="none" w:sz="0" w:space="0" w:color="auto"/>
                <w:bottom w:val="none" w:sz="0" w:space="0" w:color="auto"/>
                <w:right w:val="none" w:sz="0" w:space="0" w:color="auto"/>
              </w:divBdr>
            </w:div>
            <w:div w:id="2063478187">
              <w:marLeft w:val="0"/>
              <w:marRight w:val="0"/>
              <w:marTop w:val="0"/>
              <w:marBottom w:val="0"/>
              <w:divBdr>
                <w:top w:val="none" w:sz="0" w:space="0" w:color="auto"/>
                <w:left w:val="none" w:sz="0" w:space="0" w:color="auto"/>
                <w:bottom w:val="none" w:sz="0" w:space="0" w:color="auto"/>
                <w:right w:val="none" w:sz="0" w:space="0" w:color="auto"/>
              </w:divBdr>
            </w:div>
            <w:div w:id="213250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539667">
      <w:bodyDiv w:val="1"/>
      <w:marLeft w:val="0"/>
      <w:marRight w:val="0"/>
      <w:marTop w:val="0"/>
      <w:marBottom w:val="0"/>
      <w:divBdr>
        <w:top w:val="none" w:sz="0" w:space="0" w:color="auto"/>
        <w:left w:val="none" w:sz="0" w:space="0" w:color="auto"/>
        <w:bottom w:val="none" w:sz="0" w:space="0" w:color="auto"/>
        <w:right w:val="none" w:sz="0" w:space="0" w:color="auto"/>
      </w:divBdr>
    </w:div>
    <w:div w:id="1239246555">
      <w:bodyDiv w:val="1"/>
      <w:marLeft w:val="0"/>
      <w:marRight w:val="0"/>
      <w:marTop w:val="0"/>
      <w:marBottom w:val="0"/>
      <w:divBdr>
        <w:top w:val="none" w:sz="0" w:space="0" w:color="auto"/>
        <w:left w:val="none" w:sz="0" w:space="0" w:color="auto"/>
        <w:bottom w:val="none" w:sz="0" w:space="0" w:color="auto"/>
        <w:right w:val="none" w:sz="0" w:space="0" w:color="auto"/>
      </w:divBdr>
    </w:div>
    <w:div w:id="1256472518">
      <w:bodyDiv w:val="1"/>
      <w:marLeft w:val="0"/>
      <w:marRight w:val="0"/>
      <w:marTop w:val="0"/>
      <w:marBottom w:val="0"/>
      <w:divBdr>
        <w:top w:val="none" w:sz="0" w:space="0" w:color="auto"/>
        <w:left w:val="none" w:sz="0" w:space="0" w:color="auto"/>
        <w:bottom w:val="none" w:sz="0" w:space="0" w:color="auto"/>
        <w:right w:val="none" w:sz="0" w:space="0" w:color="auto"/>
      </w:divBdr>
      <w:divsChild>
        <w:div w:id="326792058">
          <w:marLeft w:val="0"/>
          <w:marRight w:val="0"/>
          <w:marTop w:val="0"/>
          <w:marBottom w:val="0"/>
          <w:divBdr>
            <w:top w:val="none" w:sz="0" w:space="0" w:color="auto"/>
            <w:left w:val="none" w:sz="0" w:space="0" w:color="auto"/>
            <w:bottom w:val="none" w:sz="0" w:space="0" w:color="auto"/>
            <w:right w:val="none" w:sz="0" w:space="0" w:color="auto"/>
          </w:divBdr>
        </w:div>
        <w:div w:id="403382050">
          <w:marLeft w:val="0"/>
          <w:marRight w:val="0"/>
          <w:marTop w:val="0"/>
          <w:marBottom w:val="0"/>
          <w:divBdr>
            <w:top w:val="none" w:sz="0" w:space="0" w:color="auto"/>
            <w:left w:val="none" w:sz="0" w:space="0" w:color="auto"/>
            <w:bottom w:val="none" w:sz="0" w:space="0" w:color="auto"/>
            <w:right w:val="none" w:sz="0" w:space="0" w:color="auto"/>
          </w:divBdr>
        </w:div>
        <w:div w:id="496576224">
          <w:marLeft w:val="0"/>
          <w:marRight w:val="0"/>
          <w:marTop w:val="0"/>
          <w:marBottom w:val="0"/>
          <w:divBdr>
            <w:top w:val="none" w:sz="0" w:space="0" w:color="auto"/>
            <w:left w:val="none" w:sz="0" w:space="0" w:color="auto"/>
            <w:bottom w:val="none" w:sz="0" w:space="0" w:color="auto"/>
            <w:right w:val="none" w:sz="0" w:space="0" w:color="auto"/>
          </w:divBdr>
        </w:div>
        <w:div w:id="1287542812">
          <w:marLeft w:val="0"/>
          <w:marRight w:val="0"/>
          <w:marTop w:val="0"/>
          <w:marBottom w:val="0"/>
          <w:divBdr>
            <w:top w:val="none" w:sz="0" w:space="0" w:color="auto"/>
            <w:left w:val="none" w:sz="0" w:space="0" w:color="auto"/>
            <w:bottom w:val="none" w:sz="0" w:space="0" w:color="auto"/>
            <w:right w:val="none" w:sz="0" w:space="0" w:color="auto"/>
          </w:divBdr>
        </w:div>
        <w:div w:id="1314749065">
          <w:marLeft w:val="0"/>
          <w:marRight w:val="0"/>
          <w:marTop w:val="0"/>
          <w:marBottom w:val="0"/>
          <w:divBdr>
            <w:top w:val="none" w:sz="0" w:space="0" w:color="auto"/>
            <w:left w:val="none" w:sz="0" w:space="0" w:color="auto"/>
            <w:bottom w:val="none" w:sz="0" w:space="0" w:color="auto"/>
            <w:right w:val="none" w:sz="0" w:space="0" w:color="auto"/>
          </w:divBdr>
        </w:div>
        <w:div w:id="1318261401">
          <w:marLeft w:val="0"/>
          <w:marRight w:val="0"/>
          <w:marTop w:val="0"/>
          <w:marBottom w:val="0"/>
          <w:divBdr>
            <w:top w:val="none" w:sz="0" w:space="0" w:color="auto"/>
            <w:left w:val="none" w:sz="0" w:space="0" w:color="auto"/>
            <w:bottom w:val="none" w:sz="0" w:space="0" w:color="auto"/>
            <w:right w:val="none" w:sz="0" w:space="0" w:color="auto"/>
          </w:divBdr>
        </w:div>
        <w:div w:id="1562981042">
          <w:marLeft w:val="0"/>
          <w:marRight w:val="0"/>
          <w:marTop w:val="0"/>
          <w:marBottom w:val="0"/>
          <w:divBdr>
            <w:top w:val="none" w:sz="0" w:space="0" w:color="auto"/>
            <w:left w:val="none" w:sz="0" w:space="0" w:color="auto"/>
            <w:bottom w:val="none" w:sz="0" w:space="0" w:color="auto"/>
            <w:right w:val="none" w:sz="0" w:space="0" w:color="auto"/>
          </w:divBdr>
        </w:div>
        <w:div w:id="1605578515">
          <w:marLeft w:val="0"/>
          <w:marRight w:val="0"/>
          <w:marTop w:val="0"/>
          <w:marBottom w:val="0"/>
          <w:divBdr>
            <w:top w:val="none" w:sz="0" w:space="0" w:color="auto"/>
            <w:left w:val="none" w:sz="0" w:space="0" w:color="auto"/>
            <w:bottom w:val="none" w:sz="0" w:space="0" w:color="auto"/>
            <w:right w:val="none" w:sz="0" w:space="0" w:color="auto"/>
          </w:divBdr>
        </w:div>
        <w:div w:id="1682119515">
          <w:marLeft w:val="0"/>
          <w:marRight w:val="0"/>
          <w:marTop w:val="0"/>
          <w:marBottom w:val="0"/>
          <w:divBdr>
            <w:top w:val="none" w:sz="0" w:space="0" w:color="auto"/>
            <w:left w:val="none" w:sz="0" w:space="0" w:color="auto"/>
            <w:bottom w:val="none" w:sz="0" w:space="0" w:color="auto"/>
            <w:right w:val="none" w:sz="0" w:space="0" w:color="auto"/>
          </w:divBdr>
        </w:div>
        <w:div w:id="1835951753">
          <w:marLeft w:val="0"/>
          <w:marRight w:val="0"/>
          <w:marTop w:val="0"/>
          <w:marBottom w:val="0"/>
          <w:divBdr>
            <w:top w:val="none" w:sz="0" w:space="0" w:color="auto"/>
            <w:left w:val="none" w:sz="0" w:space="0" w:color="auto"/>
            <w:bottom w:val="none" w:sz="0" w:space="0" w:color="auto"/>
            <w:right w:val="none" w:sz="0" w:space="0" w:color="auto"/>
          </w:divBdr>
        </w:div>
        <w:div w:id="1895002410">
          <w:marLeft w:val="0"/>
          <w:marRight w:val="0"/>
          <w:marTop w:val="0"/>
          <w:marBottom w:val="0"/>
          <w:divBdr>
            <w:top w:val="none" w:sz="0" w:space="0" w:color="auto"/>
            <w:left w:val="none" w:sz="0" w:space="0" w:color="auto"/>
            <w:bottom w:val="none" w:sz="0" w:space="0" w:color="auto"/>
            <w:right w:val="none" w:sz="0" w:space="0" w:color="auto"/>
          </w:divBdr>
        </w:div>
        <w:div w:id="1940331497">
          <w:marLeft w:val="0"/>
          <w:marRight w:val="0"/>
          <w:marTop w:val="0"/>
          <w:marBottom w:val="0"/>
          <w:divBdr>
            <w:top w:val="none" w:sz="0" w:space="0" w:color="auto"/>
            <w:left w:val="none" w:sz="0" w:space="0" w:color="auto"/>
            <w:bottom w:val="none" w:sz="0" w:space="0" w:color="auto"/>
            <w:right w:val="none" w:sz="0" w:space="0" w:color="auto"/>
          </w:divBdr>
        </w:div>
        <w:div w:id="1960800541">
          <w:marLeft w:val="0"/>
          <w:marRight w:val="0"/>
          <w:marTop w:val="0"/>
          <w:marBottom w:val="0"/>
          <w:divBdr>
            <w:top w:val="none" w:sz="0" w:space="0" w:color="auto"/>
            <w:left w:val="none" w:sz="0" w:space="0" w:color="auto"/>
            <w:bottom w:val="none" w:sz="0" w:space="0" w:color="auto"/>
            <w:right w:val="none" w:sz="0" w:space="0" w:color="auto"/>
          </w:divBdr>
        </w:div>
        <w:div w:id="2023315556">
          <w:marLeft w:val="0"/>
          <w:marRight w:val="0"/>
          <w:marTop w:val="0"/>
          <w:marBottom w:val="0"/>
          <w:divBdr>
            <w:top w:val="none" w:sz="0" w:space="0" w:color="auto"/>
            <w:left w:val="none" w:sz="0" w:space="0" w:color="auto"/>
            <w:bottom w:val="none" w:sz="0" w:space="0" w:color="auto"/>
            <w:right w:val="none" w:sz="0" w:space="0" w:color="auto"/>
          </w:divBdr>
        </w:div>
        <w:div w:id="2058897599">
          <w:marLeft w:val="0"/>
          <w:marRight w:val="0"/>
          <w:marTop w:val="0"/>
          <w:marBottom w:val="0"/>
          <w:divBdr>
            <w:top w:val="none" w:sz="0" w:space="0" w:color="auto"/>
            <w:left w:val="none" w:sz="0" w:space="0" w:color="auto"/>
            <w:bottom w:val="none" w:sz="0" w:space="0" w:color="auto"/>
            <w:right w:val="none" w:sz="0" w:space="0" w:color="auto"/>
          </w:divBdr>
        </w:div>
        <w:div w:id="2086803564">
          <w:marLeft w:val="0"/>
          <w:marRight w:val="0"/>
          <w:marTop w:val="0"/>
          <w:marBottom w:val="0"/>
          <w:divBdr>
            <w:top w:val="none" w:sz="0" w:space="0" w:color="auto"/>
            <w:left w:val="none" w:sz="0" w:space="0" w:color="auto"/>
            <w:bottom w:val="none" w:sz="0" w:space="0" w:color="auto"/>
            <w:right w:val="none" w:sz="0" w:space="0" w:color="auto"/>
          </w:divBdr>
        </w:div>
      </w:divsChild>
    </w:div>
    <w:div w:id="1281229991">
      <w:bodyDiv w:val="1"/>
      <w:marLeft w:val="0"/>
      <w:marRight w:val="0"/>
      <w:marTop w:val="0"/>
      <w:marBottom w:val="0"/>
      <w:divBdr>
        <w:top w:val="none" w:sz="0" w:space="0" w:color="auto"/>
        <w:left w:val="none" w:sz="0" w:space="0" w:color="auto"/>
        <w:bottom w:val="none" w:sz="0" w:space="0" w:color="auto"/>
        <w:right w:val="none" w:sz="0" w:space="0" w:color="auto"/>
      </w:divBdr>
      <w:divsChild>
        <w:div w:id="506333045">
          <w:marLeft w:val="0"/>
          <w:marRight w:val="0"/>
          <w:marTop w:val="0"/>
          <w:marBottom w:val="0"/>
          <w:divBdr>
            <w:top w:val="none" w:sz="0" w:space="0" w:color="auto"/>
            <w:left w:val="none" w:sz="0" w:space="0" w:color="auto"/>
            <w:bottom w:val="none" w:sz="0" w:space="0" w:color="auto"/>
            <w:right w:val="none" w:sz="0" w:space="0" w:color="auto"/>
          </w:divBdr>
        </w:div>
        <w:div w:id="682168973">
          <w:marLeft w:val="0"/>
          <w:marRight w:val="0"/>
          <w:marTop w:val="0"/>
          <w:marBottom w:val="0"/>
          <w:divBdr>
            <w:top w:val="none" w:sz="0" w:space="0" w:color="auto"/>
            <w:left w:val="none" w:sz="0" w:space="0" w:color="auto"/>
            <w:bottom w:val="none" w:sz="0" w:space="0" w:color="auto"/>
            <w:right w:val="none" w:sz="0" w:space="0" w:color="auto"/>
          </w:divBdr>
        </w:div>
        <w:div w:id="1142455806">
          <w:marLeft w:val="0"/>
          <w:marRight w:val="0"/>
          <w:marTop w:val="0"/>
          <w:marBottom w:val="0"/>
          <w:divBdr>
            <w:top w:val="none" w:sz="0" w:space="0" w:color="auto"/>
            <w:left w:val="none" w:sz="0" w:space="0" w:color="auto"/>
            <w:bottom w:val="none" w:sz="0" w:space="0" w:color="auto"/>
            <w:right w:val="none" w:sz="0" w:space="0" w:color="auto"/>
          </w:divBdr>
        </w:div>
        <w:div w:id="1383865995">
          <w:marLeft w:val="0"/>
          <w:marRight w:val="0"/>
          <w:marTop w:val="0"/>
          <w:marBottom w:val="0"/>
          <w:divBdr>
            <w:top w:val="none" w:sz="0" w:space="0" w:color="auto"/>
            <w:left w:val="none" w:sz="0" w:space="0" w:color="auto"/>
            <w:bottom w:val="none" w:sz="0" w:space="0" w:color="auto"/>
            <w:right w:val="none" w:sz="0" w:space="0" w:color="auto"/>
          </w:divBdr>
        </w:div>
        <w:div w:id="1482119176">
          <w:marLeft w:val="0"/>
          <w:marRight w:val="0"/>
          <w:marTop w:val="0"/>
          <w:marBottom w:val="0"/>
          <w:divBdr>
            <w:top w:val="none" w:sz="0" w:space="0" w:color="auto"/>
            <w:left w:val="none" w:sz="0" w:space="0" w:color="auto"/>
            <w:bottom w:val="none" w:sz="0" w:space="0" w:color="auto"/>
            <w:right w:val="none" w:sz="0" w:space="0" w:color="auto"/>
          </w:divBdr>
        </w:div>
        <w:div w:id="1530727028">
          <w:marLeft w:val="0"/>
          <w:marRight w:val="0"/>
          <w:marTop w:val="0"/>
          <w:marBottom w:val="0"/>
          <w:divBdr>
            <w:top w:val="none" w:sz="0" w:space="0" w:color="auto"/>
            <w:left w:val="none" w:sz="0" w:space="0" w:color="auto"/>
            <w:bottom w:val="none" w:sz="0" w:space="0" w:color="auto"/>
            <w:right w:val="none" w:sz="0" w:space="0" w:color="auto"/>
          </w:divBdr>
        </w:div>
      </w:divsChild>
    </w:div>
    <w:div w:id="1281451742">
      <w:bodyDiv w:val="1"/>
      <w:marLeft w:val="0"/>
      <w:marRight w:val="0"/>
      <w:marTop w:val="0"/>
      <w:marBottom w:val="0"/>
      <w:divBdr>
        <w:top w:val="none" w:sz="0" w:space="0" w:color="auto"/>
        <w:left w:val="none" w:sz="0" w:space="0" w:color="auto"/>
        <w:bottom w:val="none" w:sz="0" w:space="0" w:color="auto"/>
        <w:right w:val="none" w:sz="0" w:space="0" w:color="auto"/>
      </w:divBdr>
    </w:div>
    <w:div w:id="1294406973">
      <w:bodyDiv w:val="1"/>
      <w:marLeft w:val="0"/>
      <w:marRight w:val="0"/>
      <w:marTop w:val="0"/>
      <w:marBottom w:val="0"/>
      <w:divBdr>
        <w:top w:val="none" w:sz="0" w:space="0" w:color="auto"/>
        <w:left w:val="none" w:sz="0" w:space="0" w:color="auto"/>
        <w:bottom w:val="none" w:sz="0" w:space="0" w:color="auto"/>
        <w:right w:val="none" w:sz="0" w:space="0" w:color="auto"/>
      </w:divBdr>
    </w:div>
    <w:div w:id="1308054078">
      <w:bodyDiv w:val="1"/>
      <w:marLeft w:val="0"/>
      <w:marRight w:val="0"/>
      <w:marTop w:val="0"/>
      <w:marBottom w:val="0"/>
      <w:divBdr>
        <w:top w:val="none" w:sz="0" w:space="0" w:color="auto"/>
        <w:left w:val="none" w:sz="0" w:space="0" w:color="auto"/>
        <w:bottom w:val="none" w:sz="0" w:space="0" w:color="auto"/>
        <w:right w:val="none" w:sz="0" w:space="0" w:color="auto"/>
      </w:divBdr>
      <w:divsChild>
        <w:div w:id="435294004">
          <w:marLeft w:val="0"/>
          <w:marRight w:val="0"/>
          <w:marTop w:val="0"/>
          <w:marBottom w:val="0"/>
          <w:divBdr>
            <w:top w:val="none" w:sz="0" w:space="0" w:color="auto"/>
            <w:left w:val="none" w:sz="0" w:space="0" w:color="auto"/>
            <w:bottom w:val="none" w:sz="0" w:space="0" w:color="auto"/>
            <w:right w:val="none" w:sz="0" w:space="0" w:color="auto"/>
          </w:divBdr>
          <w:divsChild>
            <w:div w:id="24990013">
              <w:marLeft w:val="0"/>
              <w:marRight w:val="0"/>
              <w:marTop w:val="0"/>
              <w:marBottom w:val="0"/>
              <w:divBdr>
                <w:top w:val="none" w:sz="0" w:space="0" w:color="auto"/>
                <w:left w:val="none" w:sz="0" w:space="0" w:color="auto"/>
                <w:bottom w:val="none" w:sz="0" w:space="0" w:color="auto"/>
                <w:right w:val="none" w:sz="0" w:space="0" w:color="auto"/>
              </w:divBdr>
            </w:div>
            <w:div w:id="253902765">
              <w:marLeft w:val="0"/>
              <w:marRight w:val="0"/>
              <w:marTop w:val="0"/>
              <w:marBottom w:val="0"/>
              <w:divBdr>
                <w:top w:val="none" w:sz="0" w:space="0" w:color="auto"/>
                <w:left w:val="none" w:sz="0" w:space="0" w:color="auto"/>
                <w:bottom w:val="none" w:sz="0" w:space="0" w:color="auto"/>
                <w:right w:val="none" w:sz="0" w:space="0" w:color="auto"/>
              </w:divBdr>
            </w:div>
            <w:div w:id="449200506">
              <w:marLeft w:val="0"/>
              <w:marRight w:val="0"/>
              <w:marTop w:val="0"/>
              <w:marBottom w:val="0"/>
              <w:divBdr>
                <w:top w:val="none" w:sz="0" w:space="0" w:color="auto"/>
                <w:left w:val="none" w:sz="0" w:space="0" w:color="auto"/>
                <w:bottom w:val="none" w:sz="0" w:space="0" w:color="auto"/>
                <w:right w:val="none" w:sz="0" w:space="0" w:color="auto"/>
              </w:divBdr>
            </w:div>
            <w:div w:id="511648341">
              <w:marLeft w:val="0"/>
              <w:marRight w:val="0"/>
              <w:marTop w:val="0"/>
              <w:marBottom w:val="0"/>
              <w:divBdr>
                <w:top w:val="none" w:sz="0" w:space="0" w:color="auto"/>
                <w:left w:val="none" w:sz="0" w:space="0" w:color="auto"/>
                <w:bottom w:val="none" w:sz="0" w:space="0" w:color="auto"/>
                <w:right w:val="none" w:sz="0" w:space="0" w:color="auto"/>
              </w:divBdr>
            </w:div>
            <w:div w:id="1682663112">
              <w:marLeft w:val="0"/>
              <w:marRight w:val="0"/>
              <w:marTop w:val="0"/>
              <w:marBottom w:val="0"/>
              <w:divBdr>
                <w:top w:val="none" w:sz="0" w:space="0" w:color="auto"/>
                <w:left w:val="none" w:sz="0" w:space="0" w:color="auto"/>
                <w:bottom w:val="none" w:sz="0" w:space="0" w:color="auto"/>
                <w:right w:val="none" w:sz="0" w:space="0" w:color="auto"/>
              </w:divBdr>
            </w:div>
          </w:divsChild>
        </w:div>
        <w:div w:id="1336616214">
          <w:marLeft w:val="0"/>
          <w:marRight w:val="0"/>
          <w:marTop w:val="0"/>
          <w:marBottom w:val="0"/>
          <w:divBdr>
            <w:top w:val="none" w:sz="0" w:space="0" w:color="auto"/>
            <w:left w:val="none" w:sz="0" w:space="0" w:color="auto"/>
            <w:bottom w:val="none" w:sz="0" w:space="0" w:color="auto"/>
            <w:right w:val="none" w:sz="0" w:space="0" w:color="auto"/>
          </w:divBdr>
        </w:div>
        <w:div w:id="1410812321">
          <w:marLeft w:val="0"/>
          <w:marRight w:val="0"/>
          <w:marTop w:val="0"/>
          <w:marBottom w:val="0"/>
          <w:divBdr>
            <w:top w:val="none" w:sz="0" w:space="0" w:color="auto"/>
            <w:left w:val="none" w:sz="0" w:space="0" w:color="auto"/>
            <w:bottom w:val="none" w:sz="0" w:space="0" w:color="auto"/>
            <w:right w:val="none" w:sz="0" w:space="0" w:color="auto"/>
          </w:divBdr>
        </w:div>
      </w:divsChild>
    </w:div>
    <w:div w:id="1309671849">
      <w:bodyDiv w:val="1"/>
      <w:marLeft w:val="0"/>
      <w:marRight w:val="0"/>
      <w:marTop w:val="0"/>
      <w:marBottom w:val="0"/>
      <w:divBdr>
        <w:top w:val="none" w:sz="0" w:space="0" w:color="auto"/>
        <w:left w:val="none" w:sz="0" w:space="0" w:color="auto"/>
        <w:bottom w:val="none" w:sz="0" w:space="0" w:color="auto"/>
        <w:right w:val="none" w:sz="0" w:space="0" w:color="auto"/>
      </w:divBdr>
    </w:div>
    <w:div w:id="1326128706">
      <w:bodyDiv w:val="1"/>
      <w:marLeft w:val="0"/>
      <w:marRight w:val="0"/>
      <w:marTop w:val="0"/>
      <w:marBottom w:val="0"/>
      <w:divBdr>
        <w:top w:val="none" w:sz="0" w:space="0" w:color="auto"/>
        <w:left w:val="none" w:sz="0" w:space="0" w:color="auto"/>
        <w:bottom w:val="none" w:sz="0" w:space="0" w:color="auto"/>
        <w:right w:val="none" w:sz="0" w:space="0" w:color="auto"/>
      </w:divBdr>
    </w:div>
    <w:div w:id="1331449448">
      <w:bodyDiv w:val="1"/>
      <w:marLeft w:val="0"/>
      <w:marRight w:val="0"/>
      <w:marTop w:val="0"/>
      <w:marBottom w:val="0"/>
      <w:divBdr>
        <w:top w:val="none" w:sz="0" w:space="0" w:color="auto"/>
        <w:left w:val="none" w:sz="0" w:space="0" w:color="auto"/>
        <w:bottom w:val="none" w:sz="0" w:space="0" w:color="auto"/>
        <w:right w:val="none" w:sz="0" w:space="0" w:color="auto"/>
      </w:divBdr>
      <w:divsChild>
        <w:div w:id="45222615">
          <w:marLeft w:val="0"/>
          <w:marRight w:val="0"/>
          <w:marTop w:val="0"/>
          <w:marBottom w:val="0"/>
          <w:divBdr>
            <w:top w:val="none" w:sz="0" w:space="0" w:color="auto"/>
            <w:left w:val="none" w:sz="0" w:space="0" w:color="auto"/>
            <w:bottom w:val="none" w:sz="0" w:space="0" w:color="auto"/>
            <w:right w:val="none" w:sz="0" w:space="0" w:color="auto"/>
          </w:divBdr>
        </w:div>
        <w:div w:id="480773192">
          <w:marLeft w:val="0"/>
          <w:marRight w:val="0"/>
          <w:marTop w:val="0"/>
          <w:marBottom w:val="0"/>
          <w:divBdr>
            <w:top w:val="none" w:sz="0" w:space="0" w:color="auto"/>
            <w:left w:val="none" w:sz="0" w:space="0" w:color="auto"/>
            <w:bottom w:val="none" w:sz="0" w:space="0" w:color="auto"/>
            <w:right w:val="none" w:sz="0" w:space="0" w:color="auto"/>
          </w:divBdr>
        </w:div>
        <w:div w:id="1447432105">
          <w:marLeft w:val="0"/>
          <w:marRight w:val="0"/>
          <w:marTop w:val="0"/>
          <w:marBottom w:val="0"/>
          <w:divBdr>
            <w:top w:val="none" w:sz="0" w:space="0" w:color="auto"/>
            <w:left w:val="none" w:sz="0" w:space="0" w:color="auto"/>
            <w:bottom w:val="none" w:sz="0" w:space="0" w:color="auto"/>
            <w:right w:val="none" w:sz="0" w:space="0" w:color="auto"/>
          </w:divBdr>
        </w:div>
        <w:div w:id="1558859767">
          <w:marLeft w:val="0"/>
          <w:marRight w:val="0"/>
          <w:marTop w:val="0"/>
          <w:marBottom w:val="0"/>
          <w:divBdr>
            <w:top w:val="none" w:sz="0" w:space="0" w:color="auto"/>
            <w:left w:val="none" w:sz="0" w:space="0" w:color="auto"/>
            <w:bottom w:val="none" w:sz="0" w:space="0" w:color="auto"/>
            <w:right w:val="none" w:sz="0" w:space="0" w:color="auto"/>
          </w:divBdr>
        </w:div>
        <w:div w:id="1762531967">
          <w:marLeft w:val="0"/>
          <w:marRight w:val="0"/>
          <w:marTop w:val="0"/>
          <w:marBottom w:val="0"/>
          <w:divBdr>
            <w:top w:val="none" w:sz="0" w:space="0" w:color="auto"/>
            <w:left w:val="none" w:sz="0" w:space="0" w:color="auto"/>
            <w:bottom w:val="none" w:sz="0" w:space="0" w:color="auto"/>
            <w:right w:val="none" w:sz="0" w:space="0" w:color="auto"/>
          </w:divBdr>
        </w:div>
      </w:divsChild>
    </w:div>
    <w:div w:id="1352950362">
      <w:bodyDiv w:val="1"/>
      <w:marLeft w:val="0"/>
      <w:marRight w:val="0"/>
      <w:marTop w:val="0"/>
      <w:marBottom w:val="0"/>
      <w:divBdr>
        <w:top w:val="none" w:sz="0" w:space="0" w:color="auto"/>
        <w:left w:val="none" w:sz="0" w:space="0" w:color="auto"/>
        <w:bottom w:val="none" w:sz="0" w:space="0" w:color="auto"/>
        <w:right w:val="none" w:sz="0" w:space="0" w:color="auto"/>
      </w:divBdr>
      <w:divsChild>
        <w:div w:id="412118900">
          <w:marLeft w:val="0"/>
          <w:marRight w:val="0"/>
          <w:marTop w:val="0"/>
          <w:marBottom w:val="0"/>
          <w:divBdr>
            <w:top w:val="none" w:sz="0" w:space="0" w:color="auto"/>
            <w:left w:val="none" w:sz="0" w:space="0" w:color="auto"/>
            <w:bottom w:val="none" w:sz="0" w:space="0" w:color="auto"/>
            <w:right w:val="none" w:sz="0" w:space="0" w:color="auto"/>
          </w:divBdr>
        </w:div>
        <w:div w:id="714351809">
          <w:marLeft w:val="0"/>
          <w:marRight w:val="0"/>
          <w:marTop w:val="0"/>
          <w:marBottom w:val="0"/>
          <w:divBdr>
            <w:top w:val="none" w:sz="0" w:space="0" w:color="auto"/>
            <w:left w:val="none" w:sz="0" w:space="0" w:color="auto"/>
            <w:bottom w:val="none" w:sz="0" w:space="0" w:color="auto"/>
            <w:right w:val="none" w:sz="0" w:space="0" w:color="auto"/>
          </w:divBdr>
        </w:div>
      </w:divsChild>
    </w:div>
    <w:div w:id="1385789772">
      <w:bodyDiv w:val="1"/>
      <w:marLeft w:val="0"/>
      <w:marRight w:val="0"/>
      <w:marTop w:val="0"/>
      <w:marBottom w:val="0"/>
      <w:divBdr>
        <w:top w:val="none" w:sz="0" w:space="0" w:color="auto"/>
        <w:left w:val="none" w:sz="0" w:space="0" w:color="auto"/>
        <w:bottom w:val="none" w:sz="0" w:space="0" w:color="auto"/>
        <w:right w:val="none" w:sz="0" w:space="0" w:color="auto"/>
      </w:divBdr>
    </w:div>
    <w:div w:id="1395811243">
      <w:bodyDiv w:val="1"/>
      <w:marLeft w:val="0"/>
      <w:marRight w:val="0"/>
      <w:marTop w:val="0"/>
      <w:marBottom w:val="0"/>
      <w:divBdr>
        <w:top w:val="none" w:sz="0" w:space="0" w:color="auto"/>
        <w:left w:val="none" w:sz="0" w:space="0" w:color="auto"/>
        <w:bottom w:val="none" w:sz="0" w:space="0" w:color="auto"/>
        <w:right w:val="none" w:sz="0" w:space="0" w:color="auto"/>
      </w:divBdr>
      <w:divsChild>
        <w:div w:id="821771233">
          <w:marLeft w:val="0"/>
          <w:marRight w:val="0"/>
          <w:marTop w:val="0"/>
          <w:marBottom w:val="0"/>
          <w:divBdr>
            <w:top w:val="none" w:sz="0" w:space="0" w:color="auto"/>
            <w:left w:val="none" w:sz="0" w:space="0" w:color="auto"/>
            <w:bottom w:val="none" w:sz="0" w:space="0" w:color="auto"/>
            <w:right w:val="none" w:sz="0" w:space="0" w:color="auto"/>
          </w:divBdr>
        </w:div>
        <w:div w:id="1606109604">
          <w:marLeft w:val="0"/>
          <w:marRight w:val="0"/>
          <w:marTop w:val="0"/>
          <w:marBottom w:val="0"/>
          <w:divBdr>
            <w:top w:val="none" w:sz="0" w:space="0" w:color="auto"/>
            <w:left w:val="none" w:sz="0" w:space="0" w:color="auto"/>
            <w:bottom w:val="none" w:sz="0" w:space="0" w:color="auto"/>
            <w:right w:val="none" w:sz="0" w:space="0" w:color="auto"/>
          </w:divBdr>
        </w:div>
      </w:divsChild>
    </w:div>
    <w:div w:id="1400791850">
      <w:bodyDiv w:val="1"/>
      <w:marLeft w:val="0"/>
      <w:marRight w:val="0"/>
      <w:marTop w:val="0"/>
      <w:marBottom w:val="0"/>
      <w:divBdr>
        <w:top w:val="none" w:sz="0" w:space="0" w:color="auto"/>
        <w:left w:val="none" w:sz="0" w:space="0" w:color="auto"/>
        <w:bottom w:val="none" w:sz="0" w:space="0" w:color="auto"/>
        <w:right w:val="none" w:sz="0" w:space="0" w:color="auto"/>
      </w:divBdr>
      <w:divsChild>
        <w:div w:id="532496481">
          <w:marLeft w:val="0"/>
          <w:marRight w:val="0"/>
          <w:marTop w:val="0"/>
          <w:marBottom w:val="0"/>
          <w:divBdr>
            <w:top w:val="none" w:sz="0" w:space="0" w:color="auto"/>
            <w:left w:val="none" w:sz="0" w:space="0" w:color="auto"/>
            <w:bottom w:val="none" w:sz="0" w:space="0" w:color="auto"/>
            <w:right w:val="none" w:sz="0" w:space="0" w:color="auto"/>
          </w:divBdr>
        </w:div>
        <w:div w:id="791946050">
          <w:marLeft w:val="0"/>
          <w:marRight w:val="0"/>
          <w:marTop w:val="0"/>
          <w:marBottom w:val="0"/>
          <w:divBdr>
            <w:top w:val="none" w:sz="0" w:space="0" w:color="auto"/>
            <w:left w:val="none" w:sz="0" w:space="0" w:color="auto"/>
            <w:bottom w:val="none" w:sz="0" w:space="0" w:color="auto"/>
            <w:right w:val="none" w:sz="0" w:space="0" w:color="auto"/>
          </w:divBdr>
        </w:div>
      </w:divsChild>
    </w:div>
    <w:div w:id="1408457672">
      <w:bodyDiv w:val="1"/>
      <w:marLeft w:val="0"/>
      <w:marRight w:val="0"/>
      <w:marTop w:val="0"/>
      <w:marBottom w:val="0"/>
      <w:divBdr>
        <w:top w:val="none" w:sz="0" w:space="0" w:color="auto"/>
        <w:left w:val="none" w:sz="0" w:space="0" w:color="auto"/>
        <w:bottom w:val="none" w:sz="0" w:space="0" w:color="auto"/>
        <w:right w:val="none" w:sz="0" w:space="0" w:color="auto"/>
      </w:divBdr>
      <w:divsChild>
        <w:div w:id="362437797">
          <w:marLeft w:val="0"/>
          <w:marRight w:val="0"/>
          <w:marTop w:val="0"/>
          <w:marBottom w:val="0"/>
          <w:divBdr>
            <w:top w:val="none" w:sz="0" w:space="0" w:color="auto"/>
            <w:left w:val="none" w:sz="0" w:space="0" w:color="auto"/>
            <w:bottom w:val="none" w:sz="0" w:space="0" w:color="auto"/>
            <w:right w:val="none" w:sz="0" w:space="0" w:color="auto"/>
          </w:divBdr>
        </w:div>
        <w:div w:id="1501383489">
          <w:marLeft w:val="0"/>
          <w:marRight w:val="0"/>
          <w:marTop w:val="0"/>
          <w:marBottom w:val="0"/>
          <w:divBdr>
            <w:top w:val="none" w:sz="0" w:space="0" w:color="auto"/>
            <w:left w:val="none" w:sz="0" w:space="0" w:color="auto"/>
            <w:bottom w:val="none" w:sz="0" w:space="0" w:color="auto"/>
            <w:right w:val="none" w:sz="0" w:space="0" w:color="auto"/>
          </w:divBdr>
          <w:divsChild>
            <w:div w:id="11957373">
              <w:marLeft w:val="0"/>
              <w:marRight w:val="0"/>
              <w:marTop w:val="0"/>
              <w:marBottom w:val="0"/>
              <w:divBdr>
                <w:top w:val="none" w:sz="0" w:space="0" w:color="auto"/>
                <w:left w:val="none" w:sz="0" w:space="0" w:color="auto"/>
                <w:bottom w:val="none" w:sz="0" w:space="0" w:color="auto"/>
                <w:right w:val="none" w:sz="0" w:space="0" w:color="auto"/>
              </w:divBdr>
            </w:div>
            <w:div w:id="160050510">
              <w:marLeft w:val="0"/>
              <w:marRight w:val="0"/>
              <w:marTop w:val="0"/>
              <w:marBottom w:val="0"/>
              <w:divBdr>
                <w:top w:val="none" w:sz="0" w:space="0" w:color="auto"/>
                <w:left w:val="none" w:sz="0" w:space="0" w:color="auto"/>
                <w:bottom w:val="none" w:sz="0" w:space="0" w:color="auto"/>
                <w:right w:val="none" w:sz="0" w:space="0" w:color="auto"/>
              </w:divBdr>
            </w:div>
            <w:div w:id="231892826">
              <w:marLeft w:val="0"/>
              <w:marRight w:val="0"/>
              <w:marTop w:val="0"/>
              <w:marBottom w:val="0"/>
              <w:divBdr>
                <w:top w:val="none" w:sz="0" w:space="0" w:color="auto"/>
                <w:left w:val="none" w:sz="0" w:space="0" w:color="auto"/>
                <w:bottom w:val="none" w:sz="0" w:space="0" w:color="auto"/>
                <w:right w:val="none" w:sz="0" w:space="0" w:color="auto"/>
              </w:divBdr>
            </w:div>
            <w:div w:id="333194011">
              <w:marLeft w:val="0"/>
              <w:marRight w:val="0"/>
              <w:marTop w:val="0"/>
              <w:marBottom w:val="0"/>
              <w:divBdr>
                <w:top w:val="none" w:sz="0" w:space="0" w:color="auto"/>
                <w:left w:val="none" w:sz="0" w:space="0" w:color="auto"/>
                <w:bottom w:val="none" w:sz="0" w:space="0" w:color="auto"/>
                <w:right w:val="none" w:sz="0" w:space="0" w:color="auto"/>
              </w:divBdr>
            </w:div>
            <w:div w:id="487214608">
              <w:marLeft w:val="0"/>
              <w:marRight w:val="0"/>
              <w:marTop w:val="0"/>
              <w:marBottom w:val="0"/>
              <w:divBdr>
                <w:top w:val="none" w:sz="0" w:space="0" w:color="auto"/>
                <w:left w:val="none" w:sz="0" w:space="0" w:color="auto"/>
                <w:bottom w:val="none" w:sz="0" w:space="0" w:color="auto"/>
                <w:right w:val="none" w:sz="0" w:space="0" w:color="auto"/>
              </w:divBdr>
            </w:div>
            <w:div w:id="492525657">
              <w:marLeft w:val="0"/>
              <w:marRight w:val="0"/>
              <w:marTop w:val="0"/>
              <w:marBottom w:val="0"/>
              <w:divBdr>
                <w:top w:val="none" w:sz="0" w:space="0" w:color="auto"/>
                <w:left w:val="none" w:sz="0" w:space="0" w:color="auto"/>
                <w:bottom w:val="none" w:sz="0" w:space="0" w:color="auto"/>
                <w:right w:val="none" w:sz="0" w:space="0" w:color="auto"/>
              </w:divBdr>
            </w:div>
            <w:div w:id="604659072">
              <w:marLeft w:val="0"/>
              <w:marRight w:val="0"/>
              <w:marTop w:val="0"/>
              <w:marBottom w:val="0"/>
              <w:divBdr>
                <w:top w:val="none" w:sz="0" w:space="0" w:color="auto"/>
                <w:left w:val="none" w:sz="0" w:space="0" w:color="auto"/>
                <w:bottom w:val="none" w:sz="0" w:space="0" w:color="auto"/>
                <w:right w:val="none" w:sz="0" w:space="0" w:color="auto"/>
              </w:divBdr>
            </w:div>
            <w:div w:id="661812887">
              <w:marLeft w:val="0"/>
              <w:marRight w:val="0"/>
              <w:marTop w:val="0"/>
              <w:marBottom w:val="0"/>
              <w:divBdr>
                <w:top w:val="none" w:sz="0" w:space="0" w:color="auto"/>
                <w:left w:val="none" w:sz="0" w:space="0" w:color="auto"/>
                <w:bottom w:val="none" w:sz="0" w:space="0" w:color="auto"/>
                <w:right w:val="none" w:sz="0" w:space="0" w:color="auto"/>
              </w:divBdr>
            </w:div>
            <w:div w:id="744034601">
              <w:marLeft w:val="0"/>
              <w:marRight w:val="0"/>
              <w:marTop w:val="0"/>
              <w:marBottom w:val="0"/>
              <w:divBdr>
                <w:top w:val="none" w:sz="0" w:space="0" w:color="auto"/>
                <w:left w:val="none" w:sz="0" w:space="0" w:color="auto"/>
                <w:bottom w:val="none" w:sz="0" w:space="0" w:color="auto"/>
                <w:right w:val="none" w:sz="0" w:space="0" w:color="auto"/>
              </w:divBdr>
            </w:div>
            <w:div w:id="912472323">
              <w:marLeft w:val="0"/>
              <w:marRight w:val="0"/>
              <w:marTop w:val="0"/>
              <w:marBottom w:val="0"/>
              <w:divBdr>
                <w:top w:val="none" w:sz="0" w:space="0" w:color="auto"/>
                <w:left w:val="none" w:sz="0" w:space="0" w:color="auto"/>
                <w:bottom w:val="none" w:sz="0" w:space="0" w:color="auto"/>
                <w:right w:val="none" w:sz="0" w:space="0" w:color="auto"/>
              </w:divBdr>
            </w:div>
            <w:div w:id="1013458607">
              <w:marLeft w:val="0"/>
              <w:marRight w:val="0"/>
              <w:marTop w:val="0"/>
              <w:marBottom w:val="0"/>
              <w:divBdr>
                <w:top w:val="none" w:sz="0" w:space="0" w:color="auto"/>
                <w:left w:val="none" w:sz="0" w:space="0" w:color="auto"/>
                <w:bottom w:val="none" w:sz="0" w:space="0" w:color="auto"/>
                <w:right w:val="none" w:sz="0" w:space="0" w:color="auto"/>
              </w:divBdr>
            </w:div>
            <w:div w:id="1314020672">
              <w:marLeft w:val="0"/>
              <w:marRight w:val="0"/>
              <w:marTop w:val="0"/>
              <w:marBottom w:val="0"/>
              <w:divBdr>
                <w:top w:val="none" w:sz="0" w:space="0" w:color="auto"/>
                <w:left w:val="none" w:sz="0" w:space="0" w:color="auto"/>
                <w:bottom w:val="none" w:sz="0" w:space="0" w:color="auto"/>
                <w:right w:val="none" w:sz="0" w:space="0" w:color="auto"/>
              </w:divBdr>
            </w:div>
            <w:div w:id="158244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893929">
      <w:bodyDiv w:val="1"/>
      <w:marLeft w:val="0"/>
      <w:marRight w:val="0"/>
      <w:marTop w:val="0"/>
      <w:marBottom w:val="0"/>
      <w:divBdr>
        <w:top w:val="none" w:sz="0" w:space="0" w:color="auto"/>
        <w:left w:val="none" w:sz="0" w:space="0" w:color="auto"/>
        <w:bottom w:val="none" w:sz="0" w:space="0" w:color="auto"/>
        <w:right w:val="none" w:sz="0" w:space="0" w:color="auto"/>
      </w:divBdr>
    </w:div>
    <w:div w:id="1417093289">
      <w:bodyDiv w:val="1"/>
      <w:marLeft w:val="0"/>
      <w:marRight w:val="0"/>
      <w:marTop w:val="0"/>
      <w:marBottom w:val="0"/>
      <w:divBdr>
        <w:top w:val="none" w:sz="0" w:space="0" w:color="auto"/>
        <w:left w:val="none" w:sz="0" w:space="0" w:color="auto"/>
        <w:bottom w:val="none" w:sz="0" w:space="0" w:color="auto"/>
        <w:right w:val="none" w:sz="0" w:space="0" w:color="auto"/>
      </w:divBdr>
      <w:divsChild>
        <w:div w:id="90712456">
          <w:marLeft w:val="0"/>
          <w:marRight w:val="0"/>
          <w:marTop w:val="0"/>
          <w:marBottom w:val="0"/>
          <w:divBdr>
            <w:top w:val="none" w:sz="0" w:space="0" w:color="auto"/>
            <w:left w:val="none" w:sz="0" w:space="0" w:color="auto"/>
            <w:bottom w:val="none" w:sz="0" w:space="0" w:color="auto"/>
            <w:right w:val="none" w:sz="0" w:space="0" w:color="auto"/>
          </w:divBdr>
          <w:divsChild>
            <w:div w:id="996231080">
              <w:marLeft w:val="0"/>
              <w:marRight w:val="0"/>
              <w:marTop w:val="0"/>
              <w:marBottom w:val="0"/>
              <w:divBdr>
                <w:top w:val="none" w:sz="0" w:space="0" w:color="auto"/>
                <w:left w:val="none" w:sz="0" w:space="0" w:color="auto"/>
                <w:bottom w:val="none" w:sz="0" w:space="0" w:color="auto"/>
                <w:right w:val="none" w:sz="0" w:space="0" w:color="auto"/>
              </w:divBdr>
            </w:div>
            <w:div w:id="1749840625">
              <w:marLeft w:val="0"/>
              <w:marRight w:val="0"/>
              <w:marTop w:val="0"/>
              <w:marBottom w:val="0"/>
              <w:divBdr>
                <w:top w:val="none" w:sz="0" w:space="0" w:color="auto"/>
                <w:left w:val="none" w:sz="0" w:space="0" w:color="auto"/>
                <w:bottom w:val="none" w:sz="0" w:space="0" w:color="auto"/>
                <w:right w:val="none" w:sz="0" w:space="0" w:color="auto"/>
              </w:divBdr>
            </w:div>
          </w:divsChild>
        </w:div>
        <w:div w:id="117843857">
          <w:marLeft w:val="0"/>
          <w:marRight w:val="0"/>
          <w:marTop w:val="0"/>
          <w:marBottom w:val="0"/>
          <w:divBdr>
            <w:top w:val="none" w:sz="0" w:space="0" w:color="auto"/>
            <w:left w:val="none" w:sz="0" w:space="0" w:color="auto"/>
            <w:bottom w:val="none" w:sz="0" w:space="0" w:color="auto"/>
            <w:right w:val="none" w:sz="0" w:space="0" w:color="auto"/>
          </w:divBdr>
          <w:divsChild>
            <w:div w:id="396125890">
              <w:marLeft w:val="0"/>
              <w:marRight w:val="0"/>
              <w:marTop w:val="0"/>
              <w:marBottom w:val="0"/>
              <w:divBdr>
                <w:top w:val="none" w:sz="0" w:space="0" w:color="auto"/>
                <w:left w:val="none" w:sz="0" w:space="0" w:color="auto"/>
                <w:bottom w:val="none" w:sz="0" w:space="0" w:color="auto"/>
                <w:right w:val="none" w:sz="0" w:space="0" w:color="auto"/>
              </w:divBdr>
            </w:div>
            <w:div w:id="551768602">
              <w:marLeft w:val="0"/>
              <w:marRight w:val="0"/>
              <w:marTop w:val="0"/>
              <w:marBottom w:val="0"/>
              <w:divBdr>
                <w:top w:val="none" w:sz="0" w:space="0" w:color="auto"/>
                <w:left w:val="none" w:sz="0" w:space="0" w:color="auto"/>
                <w:bottom w:val="none" w:sz="0" w:space="0" w:color="auto"/>
                <w:right w:val="none" w:sz="0" w:space="0" w:color="auto"/>
              </w:divBdr>
            </w:div>
            <w:div w:id="638922623">
              <w:marLeft w:val="0"/>
              <w:marRight w:val="0"/>
              <w:marTop w:val="0"/>
              <w:marBottom w:val="0"/>
              <w:divBdr>
                <w:top w:val="none" w:sz="0" w:space="0" w:color="auto"/>
                <w:left w:val="none" w:sz="0" w:space="0" w:color="auto"/>
                <w:bottom w:val="none" w:sz="0" w:space="0" w:color="auto"/>
                <w:right w:val="none" w:sz="0" w:space="0" w:color="auto"/>
              </w:divBdr>
            </w:div>
            <w:div w:id="883712645">
              <w:marLeft w:val="0"/>
              <w:marRight w:val="0"/>
              <w:marTop w:val="0"/>
              <w:marBottom w:val="0"/>
              <w:divBdr>
                <w:top w:val="none" w:sz="0" w:space="0" w:color="auto"/>
                <w:left w:val="none" w:sz="0" w:space="0" w:color="auto"/>
                <w:bottom w:val="none" w:sz="0" w:space="0" w:color="auto"/>
                <w:right w:val="none" w:sz="0" w:space="0" w:color="auto"/>
              </w:divBdr>
            </w:div>
            <w:div w:id="1001347376">
              <w:marLeft w:val="0"/>
              <w:marRight w:val="0"/>
              <w:marTop w:val="0"/>
              <w:marBottom w:val="0"/>
              <w:divBdr>
                <w:top w:val="none" w:sz="0" w:space="0" w:color="auto"/>
                <w:left w:val="none" w:sz="0" w:space="0" w:color="auto"/>
                <w:bottom w:val="none" w:sz="0" w:space="0" w:color="auto"/>
                <w:right w:val="none" w:sz="0" w:space="0" w:color="auto"/>
              </w:divBdr>
            </w:div>
            <w:div w:id="139952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19008">
      <w:bodyDiv w:val="1"/>
      <w:marLeft w:val="0"/>
      <w:marRight w:val="0"/>
      <w:marTop w:val="0"/>
      <w:marBottom w:val="0"/>
      <w:divBdr>
        <w:top w:val="none" w:sz="0" w:space="0" w:color="auto"/>
        <w:left w:val="none" w:sz="0" w:space="0" w:color="auto"/>
        <w:bottom w:val="none" w:sz="0" w:space="0" w:color="auto"/>
        <w:right w:val="none" w:sz="0" w:space="0" w:color="auto"/>
      </w:divBdr>
    </w:div>
    <w:div w:id="1522165212">
      <w:bodyDiv w:val="1"/>
      <w:marLeft w:val="0"/>
      <w:marRight w:val="0"/>
      <w:marTop w:val="0"/>
      <w:marBottom w:val="0"/>
      <w:divBdr>
        <w:top w:val="none" w:sz="0" w:space="0" w:color="auto"/>
        <w:left w:val="none" w:sz="0" w:space="0" w:color="auto"/>
        <w:bottom w:val="none" w:sz="0" w:space="0" w:color="auto"/>
        <w:right w:val="none" w:sz="0" w:space="0" w:color="auto"/>
      </w:divBdr>
      <w:divsChild>
        <w:div w:id="931007211">
          <w:marLeft w:val="0"/>
          <w:marRight w:val="0"/>
          <w:marTop w:val="0"/>
          <w:marBottom w:val="0"/>
          <w:divBdr>
            <w:top w:val="none" w:sz="0" w:space="0" w:color="auto"/>
            <w:left w:val="none" w:sz="0" w:space="0" w:color="auto"/>
            <w:bottom w:val="none" w:sz="0" w:space="0" w:color="auto"/>
            <w:right w:val="none" w:sz="0" w:space="0" w:color="auto"/>
          </w:divBdr>
        </w:div>
      </w:divsChild>
    </w:div>
    <w:div w:id="1523082141">
      <w:bodyDiv w:val="1"/>
      <w:marLeft w:val="0"/>
      <w:marRight w:val="0"/>
      <w:marTop w:val="0"/>
      <w:marBottom w:val="0"/>
      <w:divBdr>
        <w:top w:val="none" w:sz="0" w:space="0" w:color="auto"/>
        <w:left w:val="none" w:sz="0" w:space="0" w:color="auto"/>
        <w:bottom w:val="none" w:sz="0" w:space="0" w:color="auto"/>
        <w:right w:val="none" w:sz="0" w:space="0" w:color="auto"/>
      </w:divBdr>
    </w:div>
    <w:div w:id="1533422506">
      <w:bodyDiv w:val="1"/>
      <w:marLeft w:val="0"/>
      <w:marRight w:val="0"/>
      <w:marTop w:val="0"/>
      <w:marBottom w:val="0"/>
      <w:divBdr>
        <w:top w:val="none" w:sz="0" w:space="0" w:color="auto"/>
        <w:left w:val="none" w:sz="0" w:space="0" w:color="auto"/>
        <w:bottom w:val="none" w:sz="0" w:space="0" w:color="auto"/>
        <w:right w:val="none" w:sz="0" w:space="0" w:color="auto"/>
      </w:divBdr>
      <w:divsChild>
        <w:div w:id="23336763">
          <w:marLeft w:val="0"/>
          <w:marRight w:val="0"/>
          <w:marTop w:val="0"/>
          <w:marBottom w:val="0"/>
          <w:divBdr>
            <w:top w:val="none" w:sz="0" w:space="0" w:color="auto"/>
            <w:left w:val="none" w:sz="0" w:space="0" w:color="auto"/>
            <w:bottom w:val="none" w:sz="0" w:space="0" w:color="auto"/>
            <w:right w:val="none" w:sz="0" w:space="0" w:color="auto"/>
          </w:divBdr>
          <w:divsChild>
            <w:div w:id="179666699">
              <w:marLeft w:val="0"/>
              <w:marRight w:val="0"/>
              <w:marTop w:val="0"/>
              <w:marBottom w:val="0"/>
              <w:divBdr>
                <w:top w:val="none" w:sz="0" w:space="0" w:color="auto"/>
                <w:left w:val="none" w:sz="0" w:space="0" w:color="auto"/>
                <w:bottom w:val="none" w:sz="0" w:space="0" w:color="auto"/>
                <w:right w:val="none" w:sz="0" w:space="0" w:color="auto"/>
              </w:divBdr>
            </w:div>
            <w:div w:id="373582321">
              <w:marLeft w:val="0"/>
              <w:marRight w:val="0"/>
              <w:marTop w:val="0"/>
              <w:marBottom w:val="0"/>
              <w:divBdr>
                <w:top w:val="none" w:sz="0" w:space="0" w:color="auto"/>
                <w:left w:val="none" w:sz="0" w:space="0" w:color="auto"/>
                <w:bottom w:val="none" w:sz="0" w:space="0" w:color="auto"/>
                <w:right w:val="none" w:sz="0" w:space="0" w:color="auto"/>
              </w:divBdr>
            </w:div>
            <w:div w:id="668599323">
              <w:marLeft w:val="0"/>
              <w:marRight w:val="0"/>
              <w:marTop w:val="0"/>
              <w:marBottom w:val="0"/>
              <w:divBdr>
                <w:top w:val="none" w:sz="0" w:space="0" w:color="auto"/>
                <w:left w:val="none" w:sz="0" w:space="0" w:color="auto"/>
                <w:bottom w:val="none" w:sz="0" w:space="0" w:color="auto"/>
                <w:right w:val="none" w:sz="0" w:space="0" w:color="auto"/>
              </w:divBdr>
            </w:div>
            <w:div w:id="954673459">
              <w:marLeft w:val="0"/>
              <w:marRight w:val="0"/>
              <w:marTop w:val="0"/>
              <w:marBottom w:val="0"/>
              <w:divBdr>
                <w:top w:val="none" w:sz="0" w:space="0" w:color="auto"/>
                <w:left w:val="none" w:sz="0" w:space="0" w:color="auto"/>
                <w:bottom w:val="none" w:sz="0" w:space="0" w:color="auto"/>
                <w:right w:val="none" w:sz="0" w:space="0" w:color="auto"/>
              </w:divBdr>
            </w:div>
            <w:div w:id="1117945619">
              <w:marLeft w:val="0"/>
              <w:marRight w:val="0"/>
              <w:marTop w:val="0"/>
              <w:marBottom w:val="0"/>
              <w:divBdr>
                <w:top w:val="none" w:sz="0" w:space="0" w:color="auto"/>
                <w:left w:val="none" w:sz="0" w:space="0" w:color="auto"/>
                <w:bottom w:val="none" w:sz="0" w:space="0" w:color="auto"/>
                <w:right w:val="none" w:sz="0" w:space="0" w:color="auto"/>
              </w:divBdr>
            </w:div>
            <w:div w:id="1645623652">
              <w:marLeft w:val="0"/>
              <w:marRight w:val="0"/>
              <w:marTop w:val="0"/>
              <w:marBottom w:val="0"/>
              <w:divBdr>
                <w:top w:val="none" w:sz="0" w:space="0" w:color="auto"/>
                <w:left w:val="none" w:sz="0" w:space="0" w:color="auto"/>
                <w:bottom w:val="none" w:sz="0" w:space="0" w:color="auto"/>
                <w:right w:val="none" w:sz="0" w:space="0" w:color="auto"/>
              </w:divBdr>
            </w:div>
          </w:divsChild>
        </w:div>
        <w:div w:id="1131938471">
          <w:marLeft w:val="0"/>
          <w:marRight w:val="0"/>
          <w:marTop w:val="0"/>
          <w:marBottom w:val="0"/>
          <w:divBdr>
            <w:top w:val="none" w:sz="0" w:space="0" w:color="auto"/>
            <w:left w:val="none" w:sz="0" w:space="0" w:color="auto"/>
            <w:bottom w:val="none" w:sz="0" w:space="0" w:color="auto"/>
            <w:right w:val="none" w:sz="0" w:space="0" w:color="auto"/>
          </w:divBdr>
          <w:divsChild>
            <w:div w:id="699938711">
              <w:marLeft w:val="0"/>
              <w:marRight w:val="0"/>
              <w:marTop w:val="0"/>
              <w:marBottom w:val="0"/>
              <w:divBdr>
                <w:top w:val="none" w:sz="0" w:space="0" w:color="auto"/>
                <w:left w:val="none" w:sz="0" w:space="0" w:color="auto"/>
                <w:bottom w:val="none" w:sz="0" w:space="0" w:color="auto"/>
                <w:right w:val="none" w:sz="0" w:space="0" w:color="auto"/>
              </w:divBdr>
            </w:div>
            <w:div w:id="92153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20767">
      <w:bodyDiv w:val="1"/>
      <w:marLeft w:val="0"/>
      <w:marRight w:val="0"/>
      <w:marTop w:val="0"/>
      <w:marBottom w:val="0"/>
      <w:divBdr>
        <w:top w:val="none" w:sz="0" w:space="0" w:color="auto"/>
        <w:left w:val="none" w:sz="0" w:space="0" w:color="auto"/>
        <w:bottom w:val="none" w:sz="0" w:space="0" w:color="auto"/>
        <w:right w:val="none" w:sz="0" w:space="0" w:color="auto"/>
      </w:divBdr>
    </w:div>
    <w:div w:id="1566379373">
      <w:bodyDiv w:val="1"/>
      <w:marLeft w:val="0"/>
      <w:marRight w:val="0"/>
      <w:marTop w:val="0"/>
      <w:marBottom w:val="0"/>
      <w:divBdr>
        <w:top w:val="none" w:sz="0" w:space="0" w:color="auto"/>
        <w:left w:val="none" w:sz="0" w:space="0" w:color="auto"/>
        <w:bottom w:val="none" w:sz="0" w:space="0" w:color="auto"/>
        <w:right w:val="none" w:sz="0" w:space="0" w:color="auto"/>
      </w:divBdr>
      <w:divsChild>
        <w:div w:id="425924640">
          <w:marLeft w:val="0"/>
          <w:marRight w:val="0"/>
          <w:marTop w:val="0"/>
          <w:marBottom w:val="0"/>
          <w:divBdr>
            <w:top w:val="none" w:sz="0" w:space="0" w:color="auto"/>
            <w:left w:val="none" w:sz="0" w:space="0" w:color="auto"/>
            <w:bottom w:val="none" w:sz="0" w:space="0" w:color="auto"/>
            <w:right w:val="none" w:sz="0" w:space="0" w:color="auto"/>
          </w:divBdr>
          <w:divsChild>
            <w:div w:id="110828510">
              <w:marLeft w:val="0"/>
              <w:marRight w:val="0"/>
              <w:marTop w:val="0"/>
              <w:marBottom w:val="0"/>
              <w:divBdr>
                <w:top w:val="none" w:sz="0" w:space="0" w:color="auto"/>
                <w:left w:val="none" w:sz="0" w:space="0" w:color="auto"/>
                <w:bottom w:val="none" w:sz="0" w:space="0" w:color="auto"/>
                <w:right w:val="none" w:sz="0" w:space="0" w:color="auto"/>
              </w:divBdr>
            </w:div>
          </w:divsChild>
        </w:div>
        <w:div w:id="590087888">
          <w:marLeft w:val="0"/>
          <w:marRight w:val="0"/>
          <w:marTop w:val="0"/>
          <w:marBottom w:val="0"/>
          <w:divBdr>
            <w:top w:val="none" w:sz="0" w:space="0" w:color="auto"/>
            <w:left w:val="none" w:sz="0" w:space="0" w:color="auto"/>
            <w:bottom w:val="none" w:sz="0" w:space="0" w:color="auto"/>
            <w:right w:val="none" w:sz="0" w:space="0" w:color="auto"/>
          </w:divBdr>
          <w:divsChild>
            <w:div w:id="87580177">
              <w:marLeft w:val="0"/>
              <w:marRight w:val="0"/>
              <w:marTop w:val="0"/>
              <w:marBottom w:val="0"/>
              <w:divBdr>
                <w:top w:val="none" w:sz="0" w:space="0" w:color="auto"/>
                <w:left w:val="none" w:sz="0" w:space="0" w:color="auto"/>
                <w:bottom w:val="none" w:sz="0" w:space="0" w:color="auto"/>
                <w:right w:val="none" w:sz="0" w:space="0" w:color="auto"/>
              </w:divBdr>
            </w:div>
            <w:div w:id="1221556463">
              <w:marLeft w:val="0"/>
              <w:marRight w:val="0"/>
              <w:marTop w:val="0"/>
              <w:marBottom w:val="0"/>
              <w:divBdr>
                <w:top w:val="none" w:sz="0" w:space="0" w:color="auto"/>
                <w:left w:val="none" w:sz="0" w:space="0" w:color="auto"/>
                <w:bottom w:val="none" w:sz="0" w:space="0" w:color="auto"/>
                <w:right w:val="none" w:sz="0" w:space="0" w:color="auto"/>
              </w:divBdr>
            </w:div>
            <w:div w:id="1599488258">
              <w:marLeft w:val="0"/>
              <w:marRight w:val="0"/>
              <w:marTop w:val="0"/>
              <w:marBottom w:val="0"/>
              <w:divBdr>
                <w:top w:val="none" w:sz="0" w:space="0" w:color="auto"/>
                <w:left w:val="none" w:sz="0" w:space="0" w:color="auto"/>
                <w:bottom w:val="none" w:sz="0" w:space="0" w:color="auto"/>
                <w:right w:val="none" w:sz="0" w:space="0" w:color="auto"/>
              </w:divBdr>
            </w:div>
            <w:div w:id="198928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662810">
      <w:bodyDiv w:val="1"/>
      <w:marLeft w:val="0"/>
      <w:marRight w:val="0"/>
      <w:marTop w:val="0"/>
      <w:marBottom w:val="0"/>
      <w:divBdr>
        <w:top w:val="none" w:sz="0" w:space="0" w:color="auto"/>
        <w:left w:val="none" w:sz="0" w:space="0" w:color="auto"/>
        <w:bottom w:val="none" w:sz="0" w:space="0" w:color="auto"/>
        <w:right w:val="none" w:sz="0" w:space="0" w:color="auto"/>
      </w:divBdr>
      <w:divsChild>
        <w:div w:id="434979821">
          <w:marLeft w:val="0"/>
          <w:marRight w:val="0"/>
          <w:marTop w:val="0"/>
          <w:marBottom w:val="0"/>
          <w:divBdr>
            <w:top w:val="none" w:sz="0" w:space="0" w:color="auto"/>
            <w:left w:val="none" w:sz="0" w:space="0" w:color="auto"/>
            <w:bottom w:val="none" w:sz="0" w:space="0" w:color="auto"/>
            <w:right w:val="none" w:sz="0" w:space="0" w:color="auto"/>
          </w:divBdr>
        </w:div>
        <w:div w:id="471678963">
          <w:marLeft w:val="0"/>
          <w:marRight w:val="0"/>
          <w:marTop w:val="0"/>
          <w:marBottom w:val="0"/>
          <w:divBdr>
            <w:top w:val="none" w:sz="0" w:space="0" w:color="auto"/>
            <w:left w:val="none" w:sz="0" w:space="0" w:color="auto"/>
            <w:bottom w:val="none" w:sz="0" w:space="0" w:color="auto"/>
            <w:right w:val="none" w:sz="0" w:space="0" w:color="auto"/>
          </w:divBdr>
        </w:div>
        <w:div w:id="634263709">
          <w:marLeft w:val="0"/>
          <w:marRight w:val="0"/>
          <w:marTop w:val="0"/>
          <w:marBottom w:val="0"/>
          <w:divBdr>
            <w:top w:val="none" w:sz="0" w:space="0" w:color="auto"/>
            <w:left w:val="none" w:sz="0" w:space="0" w:color="auto"/>
            <w:bottom w:val="none" w:sz="0" w:space="0" w:color="auto"/>
            <w:right w:val="none" w:sz="0" w:space="0" w:color="auto"/>
          </w:divBdr>
        </w:div>
        <w:div w:id="757095568">
          <w:marLeft w:val="0"/>
          <w:marRight w:val="0"/>
          <w:marTop w:val="0"/>
          <w:marBottom w:val="0"/>
          <w:divBdr>
            <w:top w:val="none" w:sz="0" w:space="0" w:color="auto"/>
            <w:left w:val="none" w:sz="0" w:space="0" w:color="auto"/>
            <w:bottom w:val="none" w:sz="0" w:space="0" w:color="auto"/>
            <w:right w:val="none" w:sz="0" w:space="0" w:color="auto"/>
          </w:divBdr>
        </w:div>
        <w:div w:id="1008871423">
          <w:marLeft w:val="0"/>
          <w:marRight w:val="0"/>
          <w:marTop w:val="0"/>
          <w:marBottom w:val="0"/>
          <w:divBdr>
            <w:top w:val="none" w:sz="0" w:space="0" w:color="auto"/>
            <w:left w:val="none" w:sz="0" w:space="0" w:color="auto"/>
            <w:bottom w:val="none" w:sz="0" w:space="0" w:color="auto"/>
            <w:right w:val="none" w:sz="0" w:space="0" w:color="auto"/>
          </w:divBdr>
        </w:div>
        <w:div w:id="2001695352">
          <w:marLeft w:val="0"/>
          <w:marRight w:val="0"/>
          <w:marTop w:val="0"/>
          <w:marBottom w:val="0"/>
          <w:divBdr>
            <w:top w:val="none" w:sz="0" w:space="0" w:color="auto"/>
            <w:left w:val="none" w:sz="0" w:space="0" w:color="auto"/>
            <w:bottom w:val="none" w:sz="0" w:space="0" w:color="auto"/>
            <w:right w:val="none" w:sz="0" w:space="0" w:color="auto"/>
          </w:divBdr>
        </w:div>
      </w:divsChild>
    </w:div>
    <w:div w:id="1599216759">
      <w:bodyDiv w:val="1"/>
      <w:marLeft w:val="0"/>
      <w:marRight w:val="0"/>
      <w:marTop w:val="0"/>
      <w:marBottom w:val="0"/>
      <w:divBdr>
        <w:top w:val="none" w:sz="0" w:space="0" w:color="auto"/>
        <w:left w:val="none" w:sz="0" w:space="0" w:color="auto"/>
        <w:bottom w:val="none" w:sz="0" w:space="0" w:color="auto"/>
        <w:right w:val="none" w:sz="0" w:space="0" w:color="auto"/>
      </w:divBdr>
      <w:divsChild>
        <w:div w:id="98725575">
          <w:marLeft w:val="0"/>
          <w:marRight w:val="0"/>
          <w:marTop w:val="0"/>
          <w:marBottom w:val="0"/>
          <w:divBdr>
            <w:top w:val="none" w:sz="0" w:space="0" w:color="auto"/>
            <w:left w:val="none" w:sz="0" w:space="0" w:color="auto"/>
            <w:bottom w:val="none" w:sz="0" w:space="0" w:color="auto"/>
            <w:right w:val="none" w:sz="0" w:space="0" w:color="auto"/>
          </w:divBdr>
        </w:div>
        <w:div w:id="147595887">
          <w:marLeft w:val="0"/>
          <w:marRight w:val="0"/>
          <w:marTop w:val="0"/>
          <w:marBottom w:val="0"/>
          <w:divBdr>
            <w:top w:val="none" w:sz="0" w:space="0" w:color="auto"/>
            <w:left w:val="none" w:sz="0" w:space="0" w:color="auto"/>
            <w:bottom w:val="none" w:sz="0" w:space="0" w:color="auto"/>
            <w:right w:val="none" w:sz="0" w:space="0" w:color="auto"/>
          </w:divBdr>
          <w:divsChild>
            <w:div w:id="101001641">
              <w:marLeft w:val="0"/>
              <w:marRight w:val="0"/>
              <w:marTop w:val="0"/>
              <w:marBottom w:val="0"/>
              <w:divBdr>
                <w:top w:val="none" w:sz="0" w:space="0" w:color="auto"/>
                <w:left w:val="none" w:sz="0" w:space="0" w:color="auto"/>
                <w:bottom w:val="none" w:sz="0" w:space="0" w:color="auto"/>
                <w:right w:val="none" w:sz="0" w:space="0" w:color="auto"/>
              </w:divBdr>
            </w:div>
            <w:div w:id="171729303">
              <w:marLeft w:val="0"/>
              <w:marRight w:val="0"/>
              <w:marTop w:val="0"/>
              <w:marBottom w:val="0"/>
              <w:divBdr>
                <w:top w:val="none" w:sz="0" w:space="0" w:color="auto"/>
                <w:left w:val="none" w:sz="0" w:space="0" w:color="auto"/>
                <w:bottom w:val="none" w:sz="0" w:space="0" w:color="auto"/>
                <w:right w:val="none" w:sz="0" w:space="0" w:color="auto"/>
              </w:divBdr>
            </w:div>
            <w:div w:id="201132762">
              <w:marLeft w:val="0"/>
              <w:marRight w:val="0"/>
              <w:marTop w:val="0"/>
              <w:marBottom w:val="0"/>
              <w:divBdr>
                <w:top w:val="none" w:sz="0" w:space="0" w:color="auto"/>
                <w:left w:val="none" w:sz="0" w:space="0" w:color="auto"/>
                <w:bottom w:val="none" w:sz="0" w:space="0" w:color="auto"/>
                <w:right w:val="none" w:sz="0" w:space="0" w:color="auto"/>
              </w:divBdr>
            </w:div>
            <w:div w:id="246886191">
              <w:marLeft w:val="0"/>
              <w:marRight w:val="0"/>
              <w:marTop w:val="0"/>
              <w:marBottom w:val="0"/>
              <w:divBdr>
                <w:top w:val="none" w:sz="0" w:space="0" w:color="auto"/>
                <w:left w:val="none" w:sz="0" w:space="0" w:color="auto"/>
                <w:bottom w:val="none" w:sz="0" w:space="0" w:color="auto"/>
                <w:right w:val="none" w:sz="0" w:space="0" w:color="auto"/>
              </w:divBdr>
            </w:div>
            <w:div w:id="472211863">
              <w:marLeft w:val="0"/>
              <w:marRight w:val="0"/>
              <w:marTop w:val="0"/>
              <w:marBottom w:val="0"/>
              <w:divBdr>
                <w:top w:val="none" w:sz="0" w:space="0" w:color="auto"/>
                <w:left w:val="none" w:sz="0" w:space="0" w:color="auto"/>
                <w:bottom w:val="none" w:sz="0" w:space="0" w:color="auto"/>
                <w:right w:val="none" w:sz="0" w:space="0" w:color="auto"/>
              </w:divBdr>
            </w:div>
            <w:div w:id="475997030">
              <w:marLeft w:val="0"/>
              <w:marRight w:val="0"/>
              <w:marTop w:val="0"/>
              <w:marBottom w:val="0"/>
              <w:divBdr>
                <w:top w:val="none" w:sz="0" w:space="0" w:color="auto"/>
                <w:left w:val="none" w:sz="0" w:space="0" w:color="auto"/>
                <w:bottom w:val="none" w:sz="0" w:space="0" w:color="auto"/>
                <w:right w:val="none" w:sz="0" w:space="0" w:color="auto"/>
              </w:divBdr>
            </w:div>
            <w:div w:id="612055866">
              <w:marLeft w:val="0"/>
              <w:marRight w:val="0"/>
              <w:marTop w:val="0"/>
              <w:marBottom w:val="0"/>
              <w:divBdr>
                <w:top w:val="none" w:sz="0" w:space="0" w:color="auto"/>
                <w:left w:val="none" w:sz="0" w:space="0" w:color="auto"/>
                <w:bottom w:val="none" w:sz="0" w:space="0" w:color="auto"/>
                <w:right w:val="none" w:sz="0" w:space="0" w:color="auto"/>
              </w:divBdr>
            </w:div>
            <w:div w:id="647128377">
              <w:marLeft w:val="0"/>
              <w:marRight w:val="0"/>
              <w:marTop w:val="0"/>
              <w:marBottom w:val="0"/>
              <w:divBdr>
                <w:top w:val="none" w:sz="0" w:space="0" w:color="auto"/>
                <w:left w:val="none" w:sz="0" w:space="0" w:color="auto"/>
                <w:bottom w:val="none" w:sz="0" w:space="0" w:color="auto"/>
                <w:right w:val="none" w:sz="0" w:space="0" w:color="auto"/>
              </w:divBdr>
            </w:div>
            <w:div w:id="879171935">
              <w:marLeft w:val="0"/>
              <w:marRight w:val="0"/>
              <w:marTop w:val="0"/>
              <w:marBottom w:val="0"/>
              <w:divBdr>
                <w:top w:val="none" w:sz="0" w:space="0" w:color="auto"/>
                <w:left w:val="none" w:sz="0" w:space="0" w:color="auto"/>
                <w:bottom w:val="none" w:sz="0" w:space="0" w:color="auto"/>
                <w:right w:val="none" w:sz="0" w:space="0" w:color="auto"/>
              </w:divBdr>
            </w:div>
            <w:div w:id="902176462">
              <w:marLeft w:val="0"/>
              <w:marRight w:val="0"/>
              <w:marTop w:val="0"/>
              <w:marBottom w:val="0"/>
              <w:divBdr>
                <w:top w:val="none" w:sz="0" w:space="0" w:color="auto"/>
                <w:left w:val="none" w:sz="0" w:space="0" w:color="auto"/>
                <w:bottom w:val="none" w:sz="0" w:space="0" w:color="auto"/>
                <w:right w:val="none" w:sz="0" w:space="0" w:color="auto"/>
              </w:divBdr>
            </w:div>
            <w:div w:id="965044940">
              <w:marLeft w:val="0"/>
              <w:marRight w:val="0"/>
              <w:marTop w:val="0"/>
              <w:marBottom w:val="0"/>
              <w:divBdr>
                <w:top w:val="none" w:sz="0" w:space="0" w:color="auto"/>
                <w:left w:val="none" w:sz="0" w:space="0" w:color="auto"/>
                <w:bottom w:val="none" w:sz="0" w:space="0" w:color="auto"/>
                <w:right w:val="none" w:sz="0" w:space="0" w:color="auto"/>
              </w:divBdr>
            </w:div>
            <w:div w:id="1102259528">
              <w:marLeft w:val="0"/>
              <w:marRight w:val="0"/>
              <w:marTop w:val="0"/>
              <w:marBottom w:val="0"/>
              <w:divBdr>
                <w:top w:val="none" w:sz="0" w:space="0" w:color="auto"/>
                <w:left w:val="none" w:sz="0" w:space="0" w:color="auto"/>
                <w:bottom w:val="none" w:sz="0" w:space="0" w:color="auto"/>
                <w:right w:val="none" w:sz="0" w:space="0" w:color="auto"/>
              </w:divBdr>
            </w:div>
            <w:div w:id="1443644139">
              <w:marLeft w:val="0"/>
              <w:marRight w:val="0"/>
              <w:marTop w:val="0"/>
              <w:marBottom w:val="0"/>
              <w:divBdr>
                <w:top w:val="none" w:sz="0" w:space="0" w:color="auto"/>
                <w:left w:val="none" w:sz="0" w:space="0" w:color="auto"/>
                <w:bottom w:val="none" w:sz="0" w:space="0" w:color="auto"/>
                <w:right w:val="none" w:sz="0" w:space="0" w:color="auto"/>
              </w:divBdr>
            </w:div>
            <w:div w:id="1449198762">
              <w:marLeft w:val="0"/>
              <w:marRight w:val="0"/>
              <w:marTop w:val="0"/>
              <w:marBottom w:val="0"/>
              <w:divBdr>
                <w:top w:val="none" w:sz="0" w:space="0" w:color="auto"/>
                <w:left w:val="none" w:sz="0" w:space="0" w:color="auto"/>
                <w:bottom w:val="none" w:sz="0" w:space="0" w:color="auto"/>
                <w:right w:val="none" w:sz="0" w:space="0" w:color="auto"/>
              </w:divBdr>
            </w:div>
            <w:div w:id="1473406271">
              <w:marLeft w:val="0"/>
              <w:marRight w:val="0"/>
              <w:marTop w:val="0"/>
              <w:marBottom w:val="0"/>
              <w:divBdr>
                <w:top w:val="none" w:sz="0" w:space="0" w:color="auto"/>
                <w:left w:val="none" w:sz="0" w:space="0" w:color="auto"/>
                <w:bottom w:val="none" w:sz="0" w:space="0" w:color="auto"/>
                <w:right w:val="none" w:sz="0" w:space="0" w:color="auto"/>
              </w:divBdr>
            </w:div>
            <w:div w:id="1592618142">
              <w:marLeft w:val="0"/>
              <w:marRight w:val="0"/>
              <w:marTop w:val="0"/>
              <w:marBottom w:val="0"/>
              <w:divBdr>
                <w:top w:val="none" w:sz="0" w:space="0" w:color="auto"/>
                <w:left w:val="none" w:sz="0" w:space="0" w:color="auto"/>
                <w:bottom w:val="none" w:sz="0" w:space="0" w:color="auto"/>
                <w:right w:val="none" w:sz="0" w:space="0" w:color="auto"/>
              </w:divBdr>
            </w:div>
            <w:div w:id="1672025337">
              <w:marLeft w:val="0"/>
              <w:marRight w:val="0"/>
              <w:marTop w:val="0"/>
              <w:marBottom w:val="0"/>
              <w:divBdr>
                <w:top w:val="none" w:sz="0" w:space="0" w:color="auto"/>
                <w:left w:val="none" w:sz="0" w:space="0" w:color="auto"/>
                <w:bottom w:val="none" w:sz="0" w:space="0" w:color="auto"/>
                <w:right w:val="none" w:sz="0" w:space="0" w:color="auto"/>
              </w:divBdr>
            </w:div>
            <w:div w:id="1717241476">
              <w:marLeft w:val="0"/>
              <w:marRight w:val="0"/>
              <w:marTop w:val="0"/>
              <w:marBottom w:val="0"/>
              <w:divBdr>
                <w:top w:val="none" w:sz="0" w:space="0" w:color="auto"/>
                <w:left w:val="none" w:sz="0" w:space="0" w:color="auto"/>
                <w:bottom w:val="none" w:sz="0" w:space="0" w:color="auto"/>
                <w:right w:val="none" w:sz="0" w:space="0" w:color="auto"/>
              </w:divBdr>
            </w:div>
            <w:div w:id="1846363285">
              <w:marLeft w:val="0"/>
              <w:marRight w:val="0"/>
              <w:marTop w:val="0"/>
              <w:marBottom w:val="0"/>
              <w:divBdr>
                <w:top w:val="none" w:sz="0" w:space="0" w:color="auto"/>
                <w:left w:val="none" w:sz="0" w:space="0" w:color="auto"/>
                <w:bottom w:val="none" w:sz="0" w:space="0" w:color="auto"/>
                <w:right w:val="none" w:sz="0" w:space="0" w:color="auto"/>
              </w:divBdr>
            </w:div>
            <w:div w:id="1886796431">
              <w:marLeft w:val="0"/>
              <w:marRight w:val="0"/>
              <w:marTop w:val="0"/>
              <w:marBottom w:val="0"/>
              <w:divBdr>
                <w:top w:val="none" w:sz="0" w:space="0" w:color="auto"/>
                <w:left w:val="none" w:sz="0" w:space="0" w:color="auto"/>
                <w:bottom w:val="none" w:sz="0" w:space="0" w:color="auto"/>
                <w:right w:val="none" w:sz="0" w:space="0" w:color="auto"/>
              </w:divBdr>
            </w:div>
          </w:divsChild>
        </w:div>
        <w:div w:id="386882105">
          <w:marLeft w:val="0"/>
          <w:marRight w:val="0"/>
          <w:marTop w:val="0"/>
          <w:marBottom w:val="0"/>
          <w:divBdr>
            <w:top w:val="none" w:sz="0" w:space="0" w:color="auto"/>
            <w:left w:val="none" w:sz="0" w:space="0" w:color="auto"/>
            <w:bottom w:val="none" w:sz="0" w:space="0" w:color="auto"/>
            <w:right w:val="none" w:sz="0" w:space="0" w:color="auto"/>
          </w:divBdr>
        </w:div>
        <w:div w:id="415906653">
          <w:marLeft w:val="0"/>
          <w:marRight w:val="0"/>
          <w:marTop w:val="0"/>
          <w:marBottom w:val="0"/>
          <w:divBdr>
            <w:top w:val="none" w:sz="0" w:space="0" w:color="auto"/>
            <w:left w:val="none" w:sz="0" w:space="0" w:color="auto"/>
            <w:bottom w:val="none" w:sz="0" w:space="0" w:color="auto"/>
            <w:right w:val="none" w:sz="0" w:space="0" w:color="auto"/>
          </w:divBdr>
          <w:divsChild>
            <w:div w:id="67660006">
              <w:marLeft w:val="0"/>
              <w:marRight w:val="0"/>
              <w:marTop w:val="0"/>
              <w:marBottom w:val="0"/>
              <w:divBdr>
                <w:top w:val="none" w:sz="0" w:space="0" w:color="auto"/>
                <w:left w:val="none" w:sz="0" w:space="0" w:color="auto"/>
                <w:bottom w:val="none" w:sz="0" w:space="0" w:color="auto"/>
                <w:right w:val="none" w:sz="0" w:space="0" w:color="auto"/>
              </w:divBdr>
            </w:div>
            <w:div w:id="118106783">
              <w:marLeft w:val="0"/>
              <w:marRight w:val="0"/>
              <w:marTop w:val="0"/>
              <w:marBottom w:val="0"/>
              <w:divBdr>
                <w:top w:val="none" w:sz="0" w:space="0" w:color="auto"/>
                <w:left w:val="none" w:sz="0" w:space="0" w:color="auto"/>
                <w:bottom w:val="none" w:sz="0" w:space="0" w:color="auto"/>
                <w:right w:val="none" w:sz="0" w:space="0" w:color="auto"/>
              </w:divBdr>
            </w:div>
            <w:div w:id="675033507">
              <w:marLeft w:val="0"/>
              <w:marRight w:val="0"/>
              <w:marTop w:val="0"/>
              <w:marBottom w:val="0"/>
              <w:divBdr>
                <w:top w:val="none" w:sz="0" w:space="0" w:color="auto"/>
                <w:left w:val="none" w:sz="0" w:space="0" w:color="auto"/>
                <w:bottom w:val="none" w:sz="0" w:space="0" w:color="auto"/>
                <w:right w:val="none" w:sz="0" w:space="0" w:color="auto"/>
              </w:divBdr>
            </w:div>
            <w:div w:id="1104152039">
              <w:marLeft w:val="0"/>
              <w:marRight w:val="0"/>
              <w:marTop w:val="0"/>
              <w:marBottom w:val="0"/>
              <w:divBdr>
                <w:top w:val="none" w:sz="0" w:space="0" w:color="auto"/>
                <w:left w:val="none" w:sz="0" w:space="0" w:color="auto"/>
                <w:bottom w:val="none" w:sz="0" w:space="0" w:color="auto"/>
                <w:right w:val="none" w:sz="0" w:space="0" w:color="auto"/>
              </w:divBdr>
            </w:div>
            <w:div w:id="1116484004">
              <w:marLeft w:val="0"/>
              <w:marRight w:val="0"/>
              <w:marTop w:val="0"/>
              <w:marBottom w:val="0"/>
              <w:divBdr>
                <w:top w:val="none" w:sz="0" w:space="0" w:color="auto"/>
                <w:left w:val="none" w:sz="0" w:space="0" w:color="auto"/>
                <w:bottom w:val="none" w:sz="0" w:space="0" w:color="auto"/>
                <w:right w:val="none" w:sz="0" w:space="0" w:color="auto"/>
              </w:divBdr>
            </w:div>
            <w:div w:id="1157915659">
              <w:marLeft w:val="0"/>
              <w:marRight w:val="0"/>
              <w:marTop w:val="0"/>
              <w:marBottom w:val="0"/>
              <w:divBdr>
                <w:top w:val="none" w:sz="0" w:space="0" w:color="auto"/>
                <w:left w:val="none" w:sz="0" w:space="0" w:color="auto"/>
                <w:bottom w:val="none" w:sz="0" w:space="0" w:color="auto"/>
                <w:right w:val="none" w:sz="0" w:space="0" w:color="auto"/>
              </w:divBdr>
            </w:div>
            <w:div w:id="1306659341">
              <w:marLeft w:val="0"/>
              <w:marRight w:val="0"/>
              <w:marTop w:val="0"/>
              <w:marBottom w:val="0"/>
              <w:divBdr>
                <w:top w:val="none" w:sz="0" w:space="0" w:color="auto"/>
                <w:left w:val="none" w:sz="0" w:space="0" w:color="auto"/>
                <w:bottom w:val="none" w:sz="0" w:space="0" w:color="auto"/>
                <w:right w:val="none" w:sz="0" w:space="0" w:color="auto"/>
              </w:divBdr>
            </w:div>
            <w:div w:id="1537696704">
              <w:marLeft w:val="0"/>
              <w:marRight w:val="0"/>
              <w:marTop w:val="0"/>
              <w:marBottom w:val="0"/>
              <w:divBdr>
                <w:top w:val="none" w:sz="0" w:space="0" w:color="auto"/>
                <w:left w:val="none" w:sz="0" w:space="0" w:color="auto"/>
                <w:bottom w:val="none" w:sz="0" w:space="0" w:color="auto"/>
                <w:right w:val="none" w:sz="0" w:space="0" w:color="auto"/>
              </w:divBdr>
            </w:div>
            <w:div w:id="1659000258">
              <w:marLeft w:val="0"/>
              <w:marRight w:val="0"/>
              <w:marTop w:val="0"/>
              <w:marBottom w:val="0"/>
              <w:divBdr>
                <w:top w:val="none" w:sz="0" w:space="0" w:color="auto"/>
                <w:left w:val="none" w:sz="0" w:space="0" w:color="auto"/>
                <w:bottom w:val="none" w:sz="0" w:space="0" w:color="auto"/>
                <w:right w:val="none" w:sz="0" w:space="0" w:color="auto"/>
              </w:divBdr>
            </w:div>
            <w:div w:id="1693531216">
              <w:marLeft w:val="0"/>
              <w:marRight w:val="0"/>
              <w:marTop w:val="0"/>
              <w:marBottom w:val="0"/>
              <w:divBdr>
                <w:top w:val="none" w:sz="0" w:space="0" w:color="auto"/>
                <w:left w:val="none" w:sz="0" w:space="0" w:color="auto"/>
                <w:bottom w:val="none" w:sz="0" w:space="0" w:color="auto"/>
                <w:right w:val="none" w:sz="0" w:space="0" w:color="auto"/>
              </w:divBdr>
            </w:div>
            <w:div w:id="1918978945">
              <w:marLeft w:val="0"/>
              <w:marRight w:val="0"/>
              <w:marTop w:val="0"/>
              <w:marBottom w:val="0"/>
              <w:divBdr>
                <w:top w:val="none" w:sz="0" w:space="0" w:color="auto"/>
                <w:left w:val="none" w:sz="0" w:space="0" w:color="auto"/>
                <w:bottom w:val="none" w:sz="0" w:space="0" w:color="auto"/>
                <w:right w:val="none" w:sz="0" w:space="0" w:color="auto"/>
              </w:divBdr>
            </w:div>
            <w:div w:id="1991207563">
              <w:marLeft w:val="0"/>
              <w:marRight w:val="0"/>
              <w:marTop w:val="0"/>
              <w:marBottom w:val="0"/>
              <w:divBdr>
                <w:top w:val="none" w:sz="0" w:space="0" w:color="auto"/>
                <w:left w:val="none" w:sz="0" w:space="0" w:color="auto"/>
                <w:bottom w:val="none" w:sz="0" w:space="0" w:color="auto"/>
                <w:right w:val="none" w:sz="0" w:space="0" w:color="auto"/>
              </w:divBdr>
            </w:div>
            <w:div w:id="2108307979">
              <w:marLeft w:val="0"/>
              <w:marRight w:val="0"/>
              <w:marTop w:val="0"/>
              <w:marBottom w:val="0"/>
              <w:divBdr>
                <w:top w:val="none" w:sz="0" w:space="0" w:color="auto"/>
                <w:left w:val="none" w:sz="0" w:space="0" w:color="auto"/>
                <w:bottom w:val="none" w:sz="0" w:space="0" w:color="auto"/>
                <w:right w:val="none" w:sz="0" w:space="0" w:color="auto"/>
              </w:divBdr>
            </w:div>
            <w:div w:id="2145076618">
              <w:marLeft w:val="0"/>
              <w:marRight w:val="0"/>
              <w:marTop w:val="0"/>
              <w:marBottom w:val="0"/>
              <w:divBdr>
                <w:top w:val="none" w:sz="0" w:space="0" w:color="auto"/>
                <w:left w:val="none" w:sz="0" w:space="0" w:color="auto"/>
                <w:bottom w:val="none" w:sz="0" w:space="0" w:color="auto"/>
                <w:right w:val="none" w:sz="0" w:space="0" w:color="auto"/>
              </w:divBdr>
            </w:div>
          </w:divsChild>
        </w:div>
        <w:div w:id="794443449">
          <w:marLeft w:val="0"/>
          <w:marRight w:val="0"/>
          <w:marTop w:val="0"/>
          <w:marBottom w:val="0"/>
          <w:divBdr>
            <w:top w:val="none" w:sz="0" w:space="0" w:color="auto"/>
            <w:left w:val="none" w:sz="0" w:space="0" w:color="auto"/>
            <w:bottom w:val="none" w:sz="0" w:space="0" w:color="auto"/>
            <w:right w:val="none" w:sz="0" w:space="0" w:color="auto"/>
          </w:divBdr>
          <w:divsChild>
            <w:div w:id="45881070">
              <w:marLeft w:val="0"/>
              <w:marRight w:val="0"/>
              <w:marTop w:val="0"/>
              <w:marBottom w:val="0"/>
              <w:divBdr>
                <w:top w:val="none" w:sz="0" w:space="0" w:color="auto"/>
                <w:left w:val="none" w:sz="0" w:space="0" w:color="auto"/>
                <w:bottom w:val="none" w:sz="0" w:space="0" w:color="auto"/>
                <w:right w:val="none" w:sz="0" w:space="0" w:color="auto"/>
              </w:divBdr>
            </w:div>
            <w:div w:id="57167786">
              <w:marLeft w:val="0"/>
              <w:marRight w:val="0"/>
              <w:marTop w:val="0"/>
              <w:marBottom w:val="0"/>
              <w:divBdr>
                <w:top w:val="none" w:sz="0" w:space="0" w:color="auto"/>
                <w:left w:val="none" w:sz="0" w:space="0" w:color="auto"/>
                <w:bottom w:val="none" w:sz="0" w:space="0" w:color="auto"/>
                <w:right w:val="none" w:sz="0" w:space="0" w:color="auto"/>
              </w:divBdr>
            </w:div>
            <w:div w:id="236133127">
              <w:marLeft w:val="0"/>
              <w:marRight w:val="0"/>
              <w:marTop w:val="0"/>
              <w:marBottom w:val="0"/>
              <w:divBdr>
                <w:top w:val="none" w:sz="0" w:space="0" w:color="auto"/>
                <w:left w:val="none" w:sz="0" w:space="0" w:color="auto"/>
                <w:bottom w:val="none" w:sz="0" w:space="0" w:color="auto"/>
                <w:right w:val="none" w:sz="0" w:space="0" w:color="auto"/>
              </w:divBdr>
            </w:div>
            <w:div w:id="392243597">
              <w:marLeft w:val="0"/>
              <w:marRight w:val="0"/>
              <w:marTop w:val="0"/>
              <w:marBottom w:val="0"/>
              <w:divBdr>
                <w:top w:val="none" w:sz="0" w:space="0" w:color="auto"/>
                <w:left w:val="none" w:sz="0" w:space="0" w:color="auto"/>
                <w:bottom w:val="none" w:sz="0" w:space="0" w:color="auto"/>
                <w:right w:val="none" w:sz="0" w:space="0" w:color="auto"/>
              </w:divBdr>
            </w:div>
            <w:div w:id="398603423">
              <w:marLeft w:val="0"/>
              <w:marRight w:val="0"/>
              <w:marTop w:val="0"/>
              <w:marBottom w:val="0"/>
              <w:divBdr>
                <w:top w:val="none" w:sz="0" w:space="0" w:color="auto"/>
                <w:left w:val="none" w:sz="0" w:space="0" w:color="auto"/>
                <w:bottom w:val="none" w:sz="0" w:space="0" w:color="auto"/>
                <w:right w:val="none" w:sz="0" w:space="0" w:color="auto"/>
              </w:divBdr>
            </w:div>
            <w:div w:id="522131477">
              <w:marLeft w:val="0"/>
              <w:marRight w:val="0"/>
              <w:marTop w:val="0"/>
              <w:marBottom w:val="0"/>
              <w:divBdr>
                <w:top w:val="none" w:sz="0" w:space="0" w:color="auto"/>
                <w:left w:val="none" w:sz="0" w:space="0" w:color="auto"/>
                <w:bottom w:val="none" w:sz="0" w:space="0" w:color="auto"/>
                <w:right w:val="none" w:sz="0" w:space="0" w:color="auto"/>
              </w:divBdr>
            </w:div>
            <w:div w:id="669330508">
              <w:marLeft w:val="0"/>
              <w:marRight w:val="0"/>
              <w:marTop w:val="0"/>
              <w:marBottom w:val="0"/>
              <w:divBdr>
                <w:top w:val="none" w:sz="0" w:space="0" w:color="auto"/>
                <w:left w:val="none" w:sz="0" w:space="0" w:color="auto"/>
                <w:bottom w:val="none" w:sz="0" w:space="0" w:color="auto"/>
                <w:right w:val="none" w:sz="0" w:space="0" w:color="auto"/>
              </w:divBdr>
            </w:div>
            <w:div w:id="682970901">
              <w:marLeft w:val="0"/>
              <w:marRight w:val="0"/>
              <w:marTop w:val="0"/>
              <w:marBottom w:val="0"/>
              <w:divBdr>
                <w:top w:val="none" w:sz="0" w:space="0" w:color="auto"/>
                <w:left w:val="none" w:sz="0" w:space="0" w:color="auto"/>
                <w:bottom w:val="none" w:sz="0" w:space="0" w:color="auto"/>
                <w:right w:val="none" w:sz="0" w:space="0" w:color="auto"/>
              </w:divBdr>
            </w:div>
            <w:div w:id="1068919602">
              <w:marLeft w:val="0"/>
              <w:marRight w:val="0"/>
              <w:marTop w:val="0"/>
              <w:marBottom w:val="0"/>
              <w:divBdr>
                <w:top w:val="none" w:sz="0" w:space="0" w:color="auto"/>
                <w:left w:val="none" w:sz="0" w:space="0" w:color="auto"/>
                <w:bottom w:val="none" w:sz="0" w:space="0" w:color="auto"/>
                <w:right w:val="none" w:sz="0" w:space="0" w:color="auto"/>
              </w:divBdr>
            </w:div>
            <w:div w:id="1110710523">
              <w:marLeft w:val="0"/>
              <w:marRight w:val="0"/>
              <w:marTop w:val="0"/>
              <w:marBottom w:val="0"/>
              <w:divBdr>
                <w:top w:val="none" w:sz="0" w:space="0" w:color="auto"/>
                <w:left w:val="none" w:sz="0" w:space="0" w:color="auto"/>
                <w:bottom w:val="none" w:sz="0" w:space="0" w:color="auto"/>
                <w:right w:val="none" w:sz="0" w:space="0" w:color="auto"/>
              </w:divBdr>
            </w:div>
            <w:div w:id="1188786449">
              <w:marLeft w:val="0"/>
              <w:marRight w:val="0"/>
              <w:marTop w:val="0"/>
              <w:marBottom w:val="0"/>
              <w:divBdr>
                <w:top w:val="none" w:sz="0" w:space="0" w:color="auto"/>
                <w:left w:val="none" w:sz="0" w:space="0" w:color="auto"/>
                <w:bottom w:val="none" w:sz="0" w:space="0" w:color="auto"/>
                <w:right w:val="none" w:sz="0" w:space="0" w:color="auto"/>
              </w:divBdr>
            </w:div>
            <w:div w:id="1209874286">
              <w:marLeft w:val="0"/>
              <w:marRight w:val="0"/>
              <w:marTop w:val="0"/>
              <w:marBottom w:val="0"/>
              <w:divBdr>
                <w:top w:val="none" w:sz="0" w:space="0" w:color="auto"/>
                <w:left w:val="none" w:sz="0" w:space="0" w:color="auto"/>
                <w:bottom w:val="none" w:sz="0" w:space="0" w:color="auto"/>
                <w:right w:val="none" w:sz="0" w:space="0" w:color="auto"/>
              </w:divBdr>
            </w:div>
            <w:div w:id="1265378039">
              <w:marLeft w:val="0"/>
              <w:marRight w:val="0"/>
              <w:marTop w:val="0"/>
              <w:marBottom w:val="0"/>
              <w:divBdr>
                <w:top w:val="none" w:sz="0" w:space="0" w:color="auto"/>
                <w:left w:val="none" w:sz="0" w:space="0" w:color="auto"/>
                <w:bottom w:val="none" w:sz="0" w:space="0" w:color="auto"/>
                <w:right w:val="none" w:sz="0" w:space="0" w:color="auto"/>
              </w:divBdr>
            </w:div>
            <w:div w:id="1439175716">
              <w:marLeft w:val="0"/>
              <w:marRight w:val="0"/>
              <w:marTop w:val="0"/>
              <w:marBottom w:val="0"/>
              <w:divBdr>
                <w:top w:val="none" w:sz="0" w:space="0" w:color="auto"/>
                <w:left w:val="none" w:sz="0" w:space="0" w:color="auto"/>
                <w:bottom w:val="none" w:sz="0" w:space="0" w:color="auto"/>
                <w:right w:val="none" w:sz="0" w:space="0" w:color="auto"/>
              </w:divBdr>
            </w:div>
            <w:div w:id="1511020839">
              <w:marLeft w:val="0"/>
              <w:marRight w:val="0"/>
              <w:marTop w:val="0"/>
              <w:marBottom w:val="0"/>
              <w:divBdr>
                <w:top w:val="none" w:sz="0" w:space="0" w:color="auto"/>
                <w:left w:val="none" w:sz="0" w:space="0" w:color="auto"/>
                <w:bottom w:val="none" w:sz="0" w:space="0" w:color="auto"/>
                <w:right w:val="none" w:sz="0" w:space="0" w:color="auto"/>
              </w:divBdr>
            </w:div>
            <w:div w:id="1527868729">
              <w:marLeft w:val="0"/>
              <w:marRight w:val="0"/>
              <w:marTop w:val="0"/>
              <w:marBottom w:val="0"/>
              <w:divBdr>
                <w:top w:val="none" w:sz="0" w:space="0" w:color="auto"/>
                <w:left w:val="none" w:sz="0" w:space="0" w:color="auto"/>
                <w:bottom w:val="none" w:sz="0" w:space="0" w:color="auto"/>
                <w:right w:val="none" w:sz="0" w:space="0" w:color="auto"/>
              </w:divBdr>
            </w:div>
            <w:div w:id="1578635027">
              <w:marLeft w:val="0"/>
              <w:marRight w:val="0"/>
              <w:marTop w:val="0"/>
              <w:marBottom w:val="0"/>
              <w:divBdr>
                <w:top w:val="none" w:sz="0" w:space="0" w:color="auto"/>
                <w:left w:val="none" w:sz="0" w:space="0" w:color="auto"/>
                <w:bottom w:val="none" w:sz="0" w:space="0" w:color="auto"/>
                <w:right w:val="none" w:sz="0" w:space="0" w:color="auto"/>
              </w:divBdr>
            </w:div>
            <w:div w:id="1758408024">
              <w:marLeft w:val="0"/>
              <w:marRight w:val="0"/>
              <w:marTop w:val="0"/>
              <w:marBottom w:val="0"/>
              <w:divBdr>
                <w:top w:val="none" w:sz="0" w:space="0" w:color="auto"/>
                <w:left w:val="none" w:sz="0" w:space="0" w:color="auto"/>
                <w:bottom w:val="none" w:sz="0" w:space="0" w:color="auto"/>
                <w:right w:val="none" w:sz="0" w:space="0" w:color="auto"/>
              </w:divBdr>
            </w:div>
            <w:div w:id="1799488887">
              <w:marLeft w:val="0"/>
              <w:marRight w:val="0"/>
              <w:marTop w:val="0"/>
              <w:marBottom w:val="0"/>
              <w:divBdr>
                <w:top w:val="none" w:sz="0" w:space="0" w:color="auto"/>
                <w:left w:val="none" w:sz="0" w:space="0" w:color="auto"/>
                <w:bottom w:val="none" w:sz="0" w:space="0" w:color="auto"/>
                <w:right w:val="none" w:sz="0" w:space="0" w:color="auto"/>
              </w:divBdr>
            </w:div>
            <w:div w:id="1799907300">
              <w:marLeft w:val="0"/>
              <w:marRight w:val="0"/>
              <w:marTop w:val="0"/>
              <w:marBottom w:val="0"/>
              <w:divBdr>
                <w:top w:val="none" w:sz="0" w:space="0" w:color="auto"/>
                <w:left w:val="none" w:sz="0" w:space="0" w:color="auto"/>
                <w:bottom w:val="none" w:sz="0" w:space="0" w:color="auto"/>
                <w:right w:val="none" w:sz="0" w:space="0" w:color="auto"/>
              </w:divBdr>
            </w:div>
          </w:divsChild>
        </w:div>
        <w:div w:id="1011176950">
          <w:marLeft w:val="0"/>
          <w:marRight w:val="0"/>
          <w:marTop w:val="0"/>
          <w:marBottom w:val="0"/>
          <w:divBdr>
            <w:top w:val="none" w:sz="0" w:space="0" w:color="auto"/>
            <w:left w:val="none" w:sz="0" w:space="0" w:color="auto"/>
            <w:bottom w:val="none" w:sz="0" w:space="0" w:color="auto"/>
            <w:right w:val="none" w:sz="0" w:space="0" w:color="auto"/>
          </w:divBdr>
        </w:div>
        <w:div w:id="1141079168">
          <w:marLeft w:val="0"/>
          <w:marRight w:val="0"/>
          <w:marTop w:val="0"/>
          <w:marBottom w:val="0"/>
          <w:divBdr>
            <w:top w:val="none" w:sz="0" w:space="0" w:color="auto"/>
            <w:left w:val="none" w:sz="0" w:space="0" w:color="auto"/>
            <w:bottom w:val="none" w:sz="0" w:space="0" w:color="auto"/>
            <w:right w:val="none" w:sz="0" w:space="0" w:color="auto"/>
          </w:divBdr>
        </w:div>
        <w:div w:id="1434328181">
          <w:marLeft w:val="0"/>
          <w:marRight w:val="0"/>
          <w:marTop w:val="0"/>
          <w:marBottom w:val="0"/>
          <w:divBdr>
            <w:top w:val="none" w:sz="0" w:space="0" w:color="auto"/>
            <w:left w:val="none" w:sz="0" w:space="0" w:color="auto"/>
            <w:bottom w:val="none" w:sz="0" w:space="0" w:color="auto"/>
            <w:right w:val="none" w:sz="0" w:space="0" w:color="auto"/>
          </w:divBdr>
        </w:div>
        <w:div w:id="1681421630">
          <w:marLeft w:val="0"/>
          <w:marRight w:val="0"/>
          <w:marTop w:val="0"/>
          <w:marBottom w:val="0"/>
          <w:divBdr>
            <w:top w:val="none" w:sz="0" w:space="0" w:color="auto"/>
            <w:left w:val="none" w:sz="0" w:space="0" w:color="auto"/>
            <w:bottom w:val="none" w:sz="0" w:space="0" w:color="auto"/>
            <w:right w:val="none" w:sz="0" w:space="0" w:color="auto"/>
          </w:divBdr>
          <w:divsChild>
            <w:div w:id="133916011">
              <w:marLeft w:val="0"/>
              <w:marRight w:val="0"/>
              <w:marTop w:val="0"/>
              <w:marBottom w:val="0"/>
              <w:divBdr>
                <w:top w:val="none" w:sz="0" w:space="0" w:color="auto"/>
                <w:left w:val="none" w:sz="0" w:space="0" w:color="auto"/>
                <w:bottom w:val="none" w:sz="0" w:space="0" w:color="auto"/>
                <w:right w:val="none" w:sz="0" w:space="0" w:color="auto"/>
              </w:divBdr>
            </w:div>
            <w:div w:id="200242910">
              <w:marLeft w:val="0"/>
              <w:marRight w:val="0"/>
              <w:marTop w:val="0"/>
              <w:marBottom w:val="0"/>
              <w:divBdr>
                <w:top w:val="none" w:sz="0" w:space="0" w:color="auto"/>
                <w:left w:val="none" w:sz="0" w:space="0" w:color="auto"/>
                <w:bottom w:val="none" w:sz="0" w:space="0" w:color="auto"/>
                <w:right w:val="none" w:sz="0" w:space="0" w:color="auto"/>
              </w:divBdr>
            </w:div>
            <w:div w:id="344601826">
              <w:marLeft w:val="0"/>
              <w:marRight w:val="0"/>
              <w:marTop w:val="0"/>
              <w:marBottom w:val="0"/>
              <w:divBdr>
                <w:top w:val="none" w:sz="0" w:space="0" w:color="auto"/>
                <w:left w:val="none" w:sz="0" w:space="0" w:color="auto"/>
                <w:bottom w:val="none" w:sz="0" w:space="0" w:color="auto"/>
                <w:right w:val="none" w:sz="0" w:space="0" w:color="auto"/>
              </w:divBdr>
            </w:div>
            <w:div w:id="419984296">
              <w:marLeft w:val="0"/>
              <w:marRight w:val="0"/>
              <w:marTop w:val="0"/>
              <w:marBottom w:val="0"/>
              <w:divBdr>
                <w:top w:val="none" w:sz="0" w:space="0" w:color="auto"/>
                <w:left w:val="none" w:sz="0" w:space="0" w:color="auto"/>
                <w:bottom w:val="none" w:sz="0" w:space="0" w:color="auto"/>
                <w:right w:val="none" w:sz="0" w:space="0" w:color="auto"/>
              </w:divBdr>
            </w:div>
            <w:div w:id="447355635">
              <w:marLeft w:val="0"/>
              <w:marRight w:val="0"/>
              <w:marTop w:val="0"/>
              <w:marBottom w:val="0"/>
              <w:divBdr>
                <w:top w:val="none" w:sz="0" w:space="0" w:color="auto"/>
                <w:left w:val="none" w:sz="0" w:space="0" w:color="auto"/>
                <w:bottom w:val="none" w:sz="0" w:space="0" w:color="auto"/>
                <w:right w:val="none" w:sz="0" w:space="0" w:color="auto"/>
              </w:divBdr>
            </w:div>
            <w:div w:id="455757841">
              <w:marLeft w:val="0"/>
              <w:marRight w:val="0"/>
              <w:marTop w:val="0"/>
              <w:marBottom w:val="0"/>
              <w:divBdr>
                <w:top w:val="none" w:sz="0" w:space="0" w:color="auto"/>
                <w:left w:val="none" w:sz="0" w:space="0" w:color="auto"/>
                <w:bottom w:val="none" w:sz="0" w:space="0" w:color="auto"/>
                <w:right w:val="none" w:sz="0" w:space="0" w:color="auto"/>
              </w:divBdr>
            </w:div>
            <w:div w:id="649750758">
              <w:marLeft w:val="0"/>
              <w:marRight w:val="0"/>
              <w:marTop w:val="0"/>
              <w:marBottom w:val="0"/>
              <w:divBdr>
                <w:top w:val="none" w:sz="0" w:space="0" w:color="auto"/>
                <w:left w:val="none" w:sz="0" w:space="0" w:color="auto"/>
                <w:bottom w:val="none" w:sz="0" w:space="0" w:color="auto"/>
                <w:right w:val="none" w:sz="0" w:space="0" w:color="auto"/>
              </w:divBdr>
            </w:div>
            <w:div w:id="688065008">
              <w:marLeft w:val="0"/>
              <w:marRight w:val="0"/>
              <w:marTop w:val="0"/>
              <w:marBottom w:val="0"/>
              <w:divBdr>
                <w:top w:val="none" w:sz="0" w:space="0" w:color="auto"/>
                <w:left w:val="none" w:sz="0" w:space="0" w:color="auto"/>
                <w:bottom w:val="none" w:sz="0" w:space="0" w:color="auto"/>
                <w:right w:val="none" w:sz="0" w:space="0" w:color="auto"/>
              </w:divBdr>
            </w:div>
            <w:div w:id="932779760">
              <w:marLeft w:val="0"/>
              <w:marRight w:val="0"/>
              <w:marTop w:val="0"/>
              <w:marBottom w:val="0"/>
              <w:divBdr>
                <w:top w:val="none" w:sz="0" w:space="0" w:color="auto"/>
                <w:left w:val="none" w:sz="0" w:space="0" w:color="auto"/>
                <w:bottom w:val="none" w:sz="0" w:space="0" w:color="auto"/>
                <w:right w:val="none" w:sz="0" w:space="0" w:color="auto"/>
              </w:divBdr>
            </w:div>
            <w:div w:id="963923597">
              <w:marLeft w:val="0"/>
              <w:marRight w:val="0"/>
              <w:marTop w:val="0"/>
              <w:marBottom w:val="0"/>
              <w:divBdr>
                <w:top w:val="none" w:sz="0" w:space="0" w:color="auto"/>
                <w:left w:val="none" w:sz="0" w:space="0" w:color="auto"/>
                <w:bottom w:val="none" w:sz="0" w:space="0" w:color="auto"/>
                <w:right w:val="none" w:sz="0" w:space="0" w:color="auto"/>
              </w:divBdr>
            </w:div>
            <w:div w:id="1036931787">
              <w:marLeft w:val="0"/>
              <w:marRight w:val="0"/>
              <w:marTop w:val="0"/>
              <w:marBottom w:val="0"/>
              <w:divBdr>
                <w:top w:val="none" w:sz="0" w:space="0" w:color="auto"/>
                <w:left w:val="none" w:sz="0" w:space="0" w:color="auto"/>
                <w:bottom w:val="none" w:sz="0" w:space="0" w:color="auto"/>
                <w:right w:val="none" w:sz="0" w:space="0" w:color="auto"/>
              </w:divBdr>
            </w:div>
            <w:div w:id="1088573373">
              <w:marLeft w:val="0"/>
              <w:marRight w:val="0"/>
              <w:marTop w:val="0"/>
              <w:marBottom w:val="0"/>
              <w:divBdr>
                <w:top w:val="none" w:sz="0" w:space="0" w:color="auto"/>
                <w:left w:val="none" w:sz="0" w:space="0" w:color="auto"/>
                <w:bottom w:val="none" w:sz="0" w:space="0" w:color="auto"/>
                <w:right w:val="none" w:sz="0" w:space="0" w:color="auto"/>
              </w:divBdr>
            </w:div>
            <w:div w:id="1109350610">
              <w:marLeft w:val="0"/>
              <w:marRight w:val="0"/>
              <w:marTop w:val="0"/>
              <w:marBottom w:val="0"/>
              <w:divBdr>
                <w:top w:val="none" w:sz="0" w:space="0" w:color="auto"/>
                <w:left w:val="none" w:sz="0" w:space="0" w:color="auto"/>
                <w:bottom w:val="none" w:sz="0" w:space="0" w:color="auto"/>
                <w:right w:val="none" w:sz="0" w:space="0" w:color="auto"/>
              </w:divBdr>
            </w:div>
            <w:div w:id="1167213700">
              <w:marLeft w:val="0"/>
              <w:marRight w:val="0"/>
              <w:marTop w:val="0"/>
              <w:marBottom w:val="0"/>
              <w:divBdr>
                <w:top w:val="none" w:sz="0" w:space="0" w:color="auto"/>
                <w:left w:val="none" w:sz="0" w:space="0" w:color="auto"/>
                <w:bottom w:val="none" w:sz="0" w:space="0" w:color="auto"/>
                <w:right w:val="none" w:sz="0" w:space="0" w:color="auto"/>
              </w:divBdr>
            </w:div>
            <w:div w:id="1321153963">
              <w:marLeft w:val="0"/>
              <w:marRight w:val="0"/>
              <w:marTop w:val="0"/>
              <w:marBottom w:val="0"/>
              <w:divBdr>
                <w:top w:val="none" w:sz="0" w:space="0" w:color="auto"/>
                <w:left w:val="none" w:sz="0" w:space="0" w:color="auto"/>
                <w:bottom w:val="none" w:sz="0" w:space="0" w:color="auto"/>
                <w:right w:val="none" w:sz="0" w:space="0" w:color="auto"/>
              </w:divBdr>
            </w:div>
            <w:div w:id="1399547835">
              <w:marLeft w:val="0"/>
              <w:marRight w:val="0"/>
              <w:marTop w:val="0"/>
              <w:marBottom w:val="0"/>
              <w:divBdr>
                <w:top w:val="none" w:sz="0" w:space="0" w:color="auto"/>
                <w:left w:val="none" w:sz="0" w:space="0" w:color="auto"/>
                <w:bottom w:val="none" w:sz="0" w:space="0" w:color="auto"/>
                <w:right w:val="none" w:sz="0" w:space="0" w:color="auto"/>
              </w:divBdr>
            </w:div>
            <w:div w:id="1601134656">
              <w:marLeft w:val="0"/>
              <w:marRight w:val="0"/>
              <w:marTop w:val="0"/>
              <w:marBottom w:val="0"/>
              <w:divBdr>
                <w:top w:val="none" w:sz="0" w:space="0" w:color="auto"/>
                <w:left w:val="none" w:sz="0" w:space="0" w:color="auto"/>
                <w:bottom w:val="none" w:sz="0" w:space="0" w:color="auto"/>
                <w:right w:val="none" w:sz="0" w:space="0" w:color="auto"/>
              </w:divBdr>
            </w:div>
            <w:div w:id="1666467769">
              <w:marLeft w:val="0"/>
              <w:marRight w:val="0"/>
              <w:marTop w:val="0"/>
              <w:marBottom w:val="0"/>
              <w:divBdr>
                <w:top w:val="none" w:sz="0" w:space="0" w:color="auto"/>
                <w:left w:val="none" w:sz="0" w:space="0" w:color="auto"/>
                <w:bottom w:val="none" w:sz="0" w:space="0" w:color="auto"/>
                <w:right w:val="none" w:sz="0" w:space="0" w:color="auto"/>
              </w:divBdr>
            </w:div>
            <w:div w:id="1828747981">
              <w:marLeft w:val="0"/>
              <w:marRight w:val="0"/>
              <w:marTop w:val="0"/>
              <w:marBottom w:val="0"/>
              <w:divBdr>
                <w:top w:val="none" w:sz="0" w:space="0" w:color="auto"/>
                <w:left w:val="none" w:sz="0" w:space="0" w:color="auto"/>
                <w:bottom w:val="none" w:sz="0" w:space="0" w:color="auto"/>
                <w:right w:val="none" w:sz="0" w:space="0" w:color="auto"/>
              </w:divBdr>
            </w:div>
            <w:div w:id="2104765675">
              <w:marLeft w:val="0"/>
              <w:marRight w:val="0"/>
              <w:marTop w:val="0"/>
              <w:marBottom w:val="0"/>
              <w:divBdr>
                <w:top w:val="none" w:sz="0" w:space="0" w:color="auto"/>
                <w:left w:val="none" w:sz="0" w:space="0" w:color="auto"/>
                <w:bottom w:val="none" w:sz="0" w:space="0" w:color="auto"/>
                <w:right w:val="none" w:sz="0" w:space="0" w:color="auto"/>
              </w:divBdr>
            </w:div>
          </w:divsChild>
        </w:div>
        <w:div w:id="1686247453">
          <w:marLeft w:val="0"/>
          <w:marRight w:val="0"/>
          <w:marTop w:val="0"/>
          <w:marBottom w:val="0"/>
          <w:divBdr>
            <w:top w:val="none" w:sz="0" w:space="0" w:color="auto"/>
            <w:left w:val="none" w:sz="0" w:space="0" w:color="auto"/>
            <w:bottom w:val="none" w:sz="0" w:space="0" w:color="auto"/>
            <w:right w:val="none" w:sz="0" w:space="0" w:color="auto"/>
          </w:divBdr>
        </w:div>
        <w:div w:id="1819955221">
          <w:marLeft w:val="0"/>
          <w:marRight w:val="0"/>
          <w:marTop w:val="0"/>
          <w:marBottom w:val="0"/>
          <w:divBdr>
            <w:top w:val="none" w:sz="0" w:space="0" w:color="auto"/>
            <w:left w:val="none" w:sz="0" w:space="0" w:color="auto"/>
            <w:bottom w:val="none" w:sz="0" w:space="0" w:color="auto"/>
            <w:right w:val="none" w:sz="0" w:space="0" w:color="auto"/>
          </w:divBdr>
        </w:div>
      </w:divsChild>
    </w:div>
    <w:div w:id="1602445540">
      <w:bodyDiv w:val="1"/>
      <w:marLeft w:val="0"/>
      <w:marRight w:val="0"/>
      <w:marTop w:val="0"/>
      <w:marBottom w:val="0"/>
      <w:divBdr>
        <w:top w:val="none" w:sz="0" w:space="0" w:color="auto"/>
        <w:left w:val="none" w:sz="0" w:space="0" w:color="auto"/>
        <w:bottom w:val="none" w:sz="0" w:space="0" w:color="auto"/>
        <w:right w:val="none" w:sz="0" w:space="0" w:color="auto"/>
      </w:divBdr>
      <w:divsChild>
        <w:div w:id="1249342084">
          <w:marLeft w:val="0"/>
          <w:marRight w:val="0"/>
          <w:marTop w:val="0"/>
          <w:marBottom w:val="0"/>
          <w:divBdr>
            <w:top w:val="none" w:sz="0" w:space="0" w:color="auto"/>
            <w:left w:val="none" w:sz="0" w:space="0" w:color="auto"/>
            <w:bottom w:val="none" w:sz="0" w:space="0" w:color="auto"/>
            <w:right w:val="none" w:sz="0" w:space="0" w:color="auto"/>
          </w:divBdr>
        </w:div>
        <w:div w:id="1712922852">
          <w:marLeft w:val="0"/>
          <w:marRight w:val="0"/>
          <w:marTop w:val="0"/>
          <w:marBottom w:val="0"/>
          <w:divBdr>
            <w:top w:val="none" w:sz="0" w:space="0" w:color="auto"/>
            <w:left w:val="none" w:sz="0" w:space="0" w:color="auto"/>
            <w:bottom w:val="none" w:sz="0" w:space="0" w:color="auto"/>
            <w:right w:val="none" w:sz="0" w:space="0" w:color="auto"/>
          </w:divBdr>
        </w:div>
      </w:divsChild>
    </w:div>
    <w:div w:id="1609044052">
      <w:bodyDiv w:val="1"/>
      <w:marLeft w:val="0"/>
      <w:marRight w:val="0"/>
      <w:marTop w:val="0"/>
      <w:marBottom w:val="0"/>
      <w:divBdr>
        <w:top w:val="none" w:sz="0" w:space="0" w:color="auto"/>
        <w:left w:val="none" w:sz="0" w:space="0" w:color="auto"/>
        <w:bottom w:val="none" w:sz="0" w:space="0" w:color="auto"/>
        <w:right w:val="none" w:sz="0" w:space="0" w:color="auto"/>
      </w:divBdr>
      <w:divsChild>
        <w:div w:id="1130781094">
          <w:marLeft w:val="0"/>
          <w:marRight w:val="0"/>
          <w:marTop w:val="0"/>
          <w:marBottom w:val="0"/>
          <w:divBdr>
            <w:top w:val="none" w:sz="0" w:space="0" w:color="auto"/>
            <w:left w:val="none" w:sz="0" w:space="0" w:color="auto"/>
            <w:bottom w:val="none" w:sz="0" w:space="0" w:color="auto"/>
            <w:right w:val="none" w:sz="0" w:space="0" w:color="auto"/>
          </w:divBdr>
        </w:div>
        <w:div w:id="1192062913">
          <w:marLeft w:val="0"/>
          <w:marRight w:val="0"/>
          <w:marTop w:val="0"/>
          <w:marBottom w:val="0"/>
          <w:divBdr>
            <w:top w:val="none" w:sz="0" w:space="0" w:color="auto"/>
            <w:left w:val="none" w:sz="0" w:space="0" w:color="auto"/>
            <w:bottom w:val="none" w:sz="0" w:space="0" w:color="auto"/>
            <w:right w:val="none" w:sz="0" w:space="0" w:color="auto"/>
          </w:divBdr>
        </w:div>
      </w:divsChild>
    </w:div>
    <w:div w:id="1611860334">
      <w:bodyDiv w:val="1"/>
      <w:marLeft w:val="0"/>
      <w:marRight w:val="0"/>
      <w:marTop w:val="0"/>
      <w:marBottom w:val="0"/>
      <w:divBdr>
        <w:top w:val="none" w:sz="0" w:space="0" w:color="auto"/>
        <w:left w:val="none" w:sz="0" w:space="0" w:color="auto"/>
        <w:bottom w:val="none" w:sz="0" w:space="0" w:color="auto"/>
        <w:right w:val="none" w:sz="0" w:space="0" w:color="auto"/>
      </w:divBdr>
      <w:divsChild>
        <w:div w:id="97800205">
          <w:marLeft w:val="0"/>
          <w:marRight w:val="0"/>
          <w:marTop w:val="0"/>
          <w:marBottom w:val="0"/>
          <w:divBdr>
            <w:top w:val="none" w:sz="0" w:space="0" w:color="auto"/>
            <w:left w:val="none" w:sz="0" w:space="0" w:color="auto"/>
            <w:bottom w:val="none" w:sz="0" w:space="0" w:color="auto"/>
            <w:right w:val="none" w:sz="0" w:space="0" w:color="auto"/>
          </w:divBdr>
        </w:div>
        <w:div w:id="102385539">
          <w:marLeft w:val="0"/>
          <w:marRight w:val="0"/>
          <w:marTop w:val="0"/>
          <w:marBottom w:val="0"/>
          <w:divBdr>
            <w:top w:val="none" w:sz="0" w:space="0" w:color="auto"/>
            <w:left w:val="none" w:sz="0" w:space="0" w:color="auto"/>
            <w:bottom w:val="none" w:sz="0" w:space="0" w:color="auto"/>
            <w:right w:val="none" w:sz="0" w:space="0" w:color="auto"/>
          </w:divBdr>
        </w:div>
        <w:div w:id="140969918">
          <w:marLeft w:val="0"/>
          <w:marRight w:val="0"/>
          <w:marTop w:val="0"/>
          <w:marBottom w:val="0"/>
          <w:divBdr>
            <w:top w:val="none" w:sz="0" w:space="0" w:color="auto"/>
            <w:left w:val="none" w:sz="0" w:space="0" w:color="auto"/>
            <w:bottom w:val="none" w:sz="0" w:space="0" w:color="auto"/>
            <w:right w:val="none" w:sz="0" w:space="0" w:color="auto"/>
          </w:divBdr>
        </w:div>
        <w:div w:id="459736969">
          <w:marLeft w:val="0"/>
          <w:marRight w:val="0"/>
          <w:marTop w:val="0"/>
          <w:marBottom w:val="0"/>
          <w:divBdr>
            <w:top w:val="none" w:sz="0" w:space="0" w:color="auto"/>
            <w:left w:val="none" w:sz="0" w:space="0" w:color="auto"/>
            <w:bottom w:val="none" w:sz="0" w:space="0" w:color="auto"/>
            <w:right w:val="none" w:sz="0" w:space="0" w:color="auto"/>
          </w:divBdr>
        </w:div>
        <w:div w:id="496655065">
          <w:marLeft w:val="0"/>
          <w:marRight w:val="0"/>
          <w:marTop w:val="0"/>
          <w:marBottom w:val="0"/>
          <w:divBdr>
            <w:top w:val="none" w:sz="0" w:space="0" w:color="auto"/>
            <w:left w:val="none" w:sz="0" w:space="0" w:color="auto"/>
            <w:bottom w:val="none" w:sz="0" w:space="0" w:color="auto"/>
            <w:right w:val="none" w:sz="0" w:space="0" w:color="auto"/>
          </w:divBdr>
        </w:div>
        <w:div w:id="537739783">
          <w:marLeft w:val="0"/>
          <w:marRight w:val="0"/>
          <w:marTop w:val="0"/>
          <w:marBottom w:val="0"/>
          <w:divBdr>
            <w:top w:val="none" w:sz="0" w:space="0" w:color="auto"/>
            <w:left w:val="none" w:sz="0" w:space="0" w:color="auto"/>
            <w:bottom w:val="none" w:sz="0" w:space="0" w:color="auto"/>
            <w:right w:val="none" w:sz="0" w:space="0" w:color="auto"/>
          </w:divBdr>
          <w:divsChild>
            <w:div w:id="34669405">
              <w:marLeft w:val="0"/>
              <w:marRight w:val="0"/>
              <w:marTop w:val="0"/>
              <w:marBottom w:val="0"/>
              <w:divBdr>
                <w:top w:val="none" w:sz="0" w:space="0" w:color="auto"/>
                <w:left w:val="none" w:sz="0" w:space="0" w:color="auto"/>
                <w:bottom w:val="none" w:sz="0" w:space="0" w:color="auto"/>
                <w:right w:val="none" w:sz="0" w:space="0" w:color="auto"/>
              </w:divBdr>
            </w:div>
            <w:div w:id="128479623">
              <w:marLeft w:val="0"/>
              <w:marRight w:val="0"/>
              <w:marTop w:val="0"/>
              <w:marBottom w:val="0"/>
              <w:divBdr>
                <w:top w:val="none" w:sz="0" w:space="0" w:color="auto"/>
                <w:left w:val="none" w:sz="0" w:space="0" w:color="auto"/>
                <w:bottom w:val="none" w:sz="0" w:space="0" w:color="auto"/>
                <w:right w:val="none" w:sz="0" w:space="0" w:color="auto"/>
              </w:divBdr>
            </w:div>
            <w:div w:id="257444690">
              <w:marLeft w:val="0"/>
              <w:marRight w:val="0"/>
              <w:marTop w:val="0"/>
              <w:marBottom w:val="0"/>
              <w:divBdr>
                <w:top w:val="none" w:sz="0" w:space="0" w:color="auto"/>
                <w:left w:val="none" w:sz="0" w:space="0" w:color="auto"/>
                <w:bottom w:val="none" w:sz="0" w:space="0" w:color="auto"/>
                <w:right w:val="none" w:sz="0" w:space="0" w:color="auto"/>
              </w:divBdr>
            </w:div>
            <w:div w:id="392002110">
              <w:marLeft w:val="0"/>
              <w:marRight w:val="0"/>
              <w:marTop w:val="0"/>
              <w:marBottom w:val="0"/>
              <w:divBdr>
                <w:top w:val="none" w:sz="0" w:space="0" w:color="auto"/>
                <w:left w:val="none" w:sz="0" w:space="0" w:color="auto"/>
                <w:bottom w:val="none" w:sz="0" w:space="0" w:color="auto"/>
                <w:right w:val="none" w:sz="0" w:space="0" w:color="auto"/>
              </w:divBdr>
            </w:div>
            <w:div w:id="461505675">
              <w:marLeft w:val="0"/>
              <w:marRight w:val="0"/>
              <w:marTop w:val="0"/>
              <w:marBottom w:val="0"/>
              <w:divBdr>
                <w:top w:val="none" w:sz="0" w:space="0" w:color="auto"/>
                <w:left w:val="none" w:sz="0" w:space="0" w:color="auto"/>
                <w:bottom w:val="none" w:sz="0" w:space="0" w:color="auto"/>
                <w:right w:val="none" w:sz="0" w:space="0" w:color="auto"/>
              </w:divBdr>
            </w:div>
            <w:div w:id="534467245">
              <w:marLeft w:val="0"/>
              <w:marRight w:val="0"/>
              <w:marTop w:val="0"/>
              <w:marBottom w:val="0"/>
              <w:divBdr>
                <w:top w:val="none" w:sz="0" w:space="0" w:color="auto"/>
                <w:left w:val="none" w:sz="0" w:space="0" w:color="auto"/>
                <w:bottom w:val="none" w:sz="0" w:space="0" w:color="auto"/>
                <w:right w:val="none" w:sz="0" w:space="0" w:color="auto"/>
              </w:divBdr>
            </w:div>
            <w:div w:id="642009077">
              <w:marLeft w:val="0"/>
              <w:marRight w:val="0"/>
              <w:marTop w:val="0"/>
              <w:marBottom w:val="0"/>
              <w:divBdr>
                <w:top w:val="none" w:sz="0" w:space="0" w:color="auto"/>
                <w:left w:val="none" w:sz="0" w:space="0" w:color="auto"/>
                <w:bottom w:val="none" w:sz="0" w:space="0" w:color="auto"/>
                <w:right w:val="none" w:sz="0" w:space="0" w:color="auto"/>
              </w:divBdr>
            </w:div>
            <w:div w:id="779765630">
              <w:marLeft w:val="0"/>
              <w:marRight w:val="0"/>
              <w:marTop w:val="0"/>
              <w:marBottom w:val="0"/>
              <w:divBdr>
                <w:top w:val="none" w:sz="0" w:space="0" w:color="auto"/>
                <w:left w:val="none" w:sz="0" w:space="0" w:color="auto"/>
                <w:bottom w:val="none" w:sz="0" w:space="0" w:color="auto"/>
                <w:right w:val="none" w:sz="0" w:space="0" w:color="auto"/>
              </w:divBdr>
            </w:div>
            <w:div w:id="843015891">
              <w:marLeft w:val="0"/>
              <w:marRight w:val="0"/>
              <w:marTop w:val="0"/>
              <w:marBottom w:val="0"/>
              <w:divBdr>
                <w:top w:val="none" w:sz="0" w:space="0" w:color="auto"/>
                <w:left w:val="none" w:sz="0" w:space="0" w:color="auto"/>
                <w:bottom w:val="none" w:sz="0" w:space="0" w:color="auto"/>
                <w:right w:val="none" w:sz="0" w:space="0" w:color="auto"/>
              </w:divBdr>
            </w:div>
            <w:div w:id="976108985">
              <w:marLeft w:val="0"/>
              <w:marRight w:val="0"/>
              <w:marTop w:val="0"/>
              <w:marBottom w:val="0"/>
              <w:divBdr>
                <w:top w:val="none" w:sz="0" w:space="0" w:color="auto"/>
                <w:left w:val="none" w:sz="0" w:space="0" w:color="auto"/>
                <w:bottom w:val="none" w:sz="0" w:space="0" w:color="auto"/>
                <w:right w:val="none" w:sz="0" w:space="0" w:color="auto"/>
              </w:divBdr>
            </w:div>
            <w:div w:id="1145777058">
              <w:marLeft w:val="0"/>
              <w:marRight w:val="0"/>
              <w:marTop w:val="0"/>
              <w:marBottom w:val="0"/>
              <w:divBdr>
                <w:top w:val="none" w:sz="0" w:space="0" w:color="auto"/>
                <w:left w:val="none" w:sz="0" w:space="0" w:color="auto"/>
                <w:bottom w:val="none" w:sz="0" w:space="0" w:color="auto"/>
                <w:right w:val="none" w:sz="0" w:space="0" w:color="auto"/>
              </w:divBdr>
            </w:div>
            <w:div w:id="1374035092">
              <w:marLeft w:val="0"/>
              <w:marRight w:val="0"/>
              <w:marTop w:val="0"/>
              <w:marBottom w:val="0"/>
              <w:divBdr>
                <w:top w:val="none" w:sz="0" w:space="0" w:color="auto"/>
                <w:left w:val="none" w:sz="0" w:space="0" w:color="auto"/>
                <w:bottom w:val="none" w:sz="0" w:space="0" w:color="auto"/>
                <w:right w:val="none" w:sz="0" w:space="0" w:color="auto"/>
              </w:divBdr>
            </w:div>
            <w:div w:id="1388794608">
              <w:marLeft w:val="0"/>
              <w:marRight w:val="0"/>
              <w:marTop w:val="0"/>
              <w:marBottom w:val="0"/>
              <w:divBdr>
                <w:top w:val="none" w:sz="0" w:space="0" w:color="auto"/>
                <w:left w:val="none" w:sz="0" w:space="0" w:color="auto"/>
                <w:bottom w:val="none" w:sz="0" w:space="0" w:color="auto"/>
                <w:right w:val="none" w:sz="0" w:space="0" w:color="auto"/>
              </w:divBdr>
            </w:div>
            <w:div w:id="1465079162">
              <w:marLeft w:val="0"/>
              <w:marRight w:val="0"/>
              <w:marTop w:val="0"/>
              <w:marBottom w:val="0"/>
              <w:divBdr>
                <w:top w:val="none" w:sz="0" w:space="0" w:color="auto"/>
                <w:left w:val="none" w:sz="0" w:space="0" w:color="auto"/>
                <w:bottom w:val="none" w:sz="0" w:space="0" w:color="auto"/>
                <w:right w:val="none" w:sz="0" w:space="0" w:color="auto"/>
              </w:divBdr>
            </w:div>
            <w:div w:id="1597592985">
              <w:marLeft w:val="0"/>
              <w:marRight w:val="0"/>
              <w:marTop w:val="0"/>
              <w:marBottom w:val="0"/>
              <w:divBdr>
                <w:top w:val="none" w:sz="0" w:space="0" w:color="auto"/>
                <w:left w:val="none" w:sz="0" w:space="0" w:color="auto"/>
                <w:bottom w:val="none" w:sz="0" w:space="0" w:color="auto"/>
                <w:right w:val="none" w:sz="0" w:space="0" w:color="auto"/>
              </w:divBdr>
            </w:div>
            <w:div w:id="1724865670">
              <w:marLeft w:val="0"/>
              <w:marRight w:val="0"/>
              <w:marTop w:val="0"/>
              <w:marBottom w:val="0"/>
              <w:divBdr>
                <w:top w:val="none" w:sz="0" w:space="0" w:color="auto"/>
                <w:left w:val="none" w:sz="0" w:space="0" w:color="auto"/>
                <w:bottom w:val="none" w:sz="0" w:space="0" w:color="auto"/>
                <w:right w:val="none" w:sz="0" w:space="0" w:color="auto"/>
              </w:divBdr>
            </w:div>
            <w:div w:id="1761943446">
              <w:marLeft w:val="0"/>
              <w:marRight w:val="0"/>
              <w:marTop w:val="0"/>
              <w:marBottom w:val="0"/>
              <w:divBdr>
                <w:top w:val="none" w:sz="0" w:space="0" w:color="auto"/>
                <w:left w:val="none" w:sz="0" w:space="0" w:color="auto"/>
                <w:bottom w:val="none" w:sz="0" w:space="0" w:color="auto"/>
                <w:right w:val="none" w:sz="0" w:space="0" w:color="auto"/>
              </w:divBdr>
            </w:div>
            <w:div w:id="1773938446">
              <w:marLeft w:val="0"/>
              <w:marRight w:val="0"/>
              <w:marTop w:val="0"/>
              <w:marBottom w:val="0"/>
              <w:divBdr>
                <w:top w:val="none" w:sz="0" w:space="0" w:color="auto"/>
                <w:left w:val="none" w:sz="0" w:space="0" w:color="auto"/>
                <w:bottom w:val="none" w:sz="0" w:space="0" w:color="auto"/>
                <w:right w:val="none" w:sz="0" w:space="0" w:color="auto"/>
              </w:divBdr>
            </w:div>
            <w:div w:id="1979190630">
              <w:marLeft w:val="0"/>
              <w:marRight w:val="0"/>
              <w:marTop w:val="0"/>
              <w:marBottom w:val="0"/>
              <w:divBdr>
                <w:top w:val="none" w:sz="0" w:space="0" w:color="auto"/>
                <w:left w:val="none" w:sz="0" w:space="0" w:color="auto"/>
                <w:bottom w:val="none" w:sz="0" w:space="0" w:color="auto"/>
                <w:right w:val="none" w:sz="0" w:space="0" w:color="auto"/>
              </w:divBdr>
            </w:div>
            <w:div w:id="2017539573">
              <w:marLeft w:val="0"/>
              <w:marRight w:val="0"/>
              <w:marTop w:val="0"/>
              <w:marBottom w:val="0"/>
              <w:divBdr>
                <w:top w:val="none" w:sz="0" w:space="0" w:color="auto"/>
                <w:left w:val="none" w:sz="0" w:space="0" w:color="auto"/>
                <w:bottom w:val="none" w:sz="0" w:space="0" w:color="auto"/>
                <w:right w:val="none" w:sz="0" w:space="0" w:color="auto"/>
              </w:divBdr>
            </w:div>
          </w:divsChild>
        </w:div>
        <w:div w:id="714744647">
          <w:marLeft w:val="0"/>
          <w:marRight w:val="0"/>
          <w:marTop w:val="0"/>
          <w:marBottom w:val="0"/>
          <w:divBdr>
            <w:top w:val="none" w:sz="0" w:space="0" w:color="auto"/>
            <w:left w:val="none" w:sz="0" w:space="0" w:color="auto"/>
            <w:bottom w:val="none" w:sz="0" w:space="0" w:color="auto"/>
            <w:right w:val="none" w:sz="0" w:space="0" w:color="auto"/>
          </w:divBdr>
        </w:div>
        <w:div w:id="761492480">
          <w:marLeft w:val="0"/>
          <w:marRight w:val="0"/>
          <w:marTop w:val="0"/>
          <w:marBottom w:val="0"/>
          <w:divBdr>
            <w:top w:val="none" w:sz="0" w:space="0" w:color="auto"/>
            <w:left w:val="none" w:sz="0" w:space="0" w:color="auto"/>
            <w:bottom w:val="none" w:sz="0" w:space="0" w:color="auto"/>
            <w:right w:val="none" w:sz="0" w:space="0" w:color="auto"/>
          </w:divBdr>
        </w:div>
        <w:div w:id="809130828">
          <w:marLeft w:val="0"/>
          <w:marRight w:val="0"/>
          <w:marTop w:val="0"/>
          <w:marBottom w:val="0"/>
          <w:divBdr>
            <w:top w:val="none" w:sz="0" w:space="0" w:color="auto"/>
            <w:left w:val="none" w:sz="0" w:space="0" w:color="auto"/>
            <w:bottom w:val="none" w:sz="0" w:space="0" w:color="auto"/>
            <w:right w:val="none" w:sz="0" w:space="0" w:color="auto"/>
          </w:divBdr>
        </w:div>
        <w:div w:id="1154949483">
          <w:marLeft w:val="0"/>
          <w:marRight w:val="0"/>
          <w:marTop w:val="0"/>
          <w:marBottom w:val="0"/>
          <w:divBdr>
            <w:top w:val="none" w:sz="0" w:space="0" w:color="auto"/>
            <w:left w:val="none" w:sz="0" w:space="0" w:color="auto"/>
            <w:bottom w:val="none" w:sz="0" w:space="0" w:color="auto"/>
            <w:right w:val="none" w:sz="0" w:space="0" w:color="auto"/>
          </w:divBdr>
          <w:divsChild>
            <w:div w:id="162858786">
              <w:marLeft w:val="0"/>
              <w:marRight w:val="0"/>
              <w:marTop w:val="0"/>
              <w:marBottom w:val="0"/>
              <w:divBdr>
                <w:top w:val="none" w:sz="0" w:space="0" w:color="auto"/>
                <w:left w:val="none" w:sz="0" w:space="0" w:color="auto"/>
                <w:bottom w:val="none" w:sz="0" w:space="0" w:color="auto"/>
                <w:right w:val="none" w:sz="0" w:space="0" w:color="auto"/>
              </w:divBdr>
            </w:div>
            <w:div w:id="224489328">
              <w:marLeft w:val="0"/>
              <w:marRight w:val="0"/>
              <w:marTop w:val="0"/>
              <w:marBottom w:val="0"/>
              <w:divBdr>
                <w:top w:val="none" w:sz="0" w:space="0" w:color="auto"/>
                <w:left w:val="none" w:sz="0" w:space="0" w:color="auto"/>
                <w:bottom w:val="none" w:sz="0" w:space="0" w:color="auto"/>
                <w:right w:val="none" w:sz="0" w:space="0" w:color="auto"/>
              </w:divBdr>
            </w:div>
            <w:div w:id="322784137">
              <w:marLeft w:val="0"/>
              <w:marRight w:val="0"/>
              <w:marTop w:val="0"/>
              <w:marBottom w:val="0"/>
              <w:divBdr>
                <w:top w:val="none" w:sz="0" w:space="0" w:color="auto"/>
                <w:left w:val="none" w:sz="0" w:space="0" w:color="auto"/>
                <w:bottom w:val="none" w:sz="0" w:space="0" w:color="auto"/>
                <w:right w:val="none" w:sz="0" w:space="0" w:color="auto"/>
              </w:divBdr>
            </w:div>
            <w:div w:id="422380624">
              <w:marLeft w:val="0"/>
              <w:marRight w:val="0"/>
              <w:marTop w:val="0"/>
              <w:marBottom w:val="0"/>
              <w:divBdr>
                <w:top w:val="none" w:sz="0" w:space="0" w:color="auto"/>
                <w:left w:val="none" w:sz="0" w:space="0" w:color="auto"/>
                <w:bottom w:val="none" w:sz="0" w:space="0" w:color="auto"/>
                <w:right w:val="none" w:sz="0" w:space="0" w:color="auto"/>
              </w:divBdr>
            </w:div>
            <w:div w:id="523445770">
              <w:marLeft w:val="0"/>
              <w:marRight w:val="0"/>
              <w:marTop w:val="0"/>
              <w:marBottom w:val="0"/>
              <w:divBdr>
                <w:top w:val="none" w:sz="0" w:space="0" w:color="auto"/>
                <w:left w:val="none" w:sz="0" w:space="0" w:color="auto"/>
                <w:bottom w:val="none" w:sz="0" w:space="0" w:color="auto"/>
                <w:right w:val="none" w:sz="0" w:space="0" w:color="auto"/>
              </w:divBdr>
            </w:div>
            <w:div w:id="790242015">
              <w:marLeft w:val="0"/>
              <w:marRight w:val="0"/>
              <w:marTop w:val="0"/>
              <w:marBottom w:val="0"/>
              <w:divBdr>
                <w:top w:val="none" w:sz="0" w:space="0" w:color="auto"/>
                <w:left w:val="none" w:sz="0" w:space="0" w:color="auto"/>
                <w:bottom w:val="none" w:sz="0" w:space="0" w:color="auto"/>
                <w:right w:val="none" w:sz="0" w:space="0" w:color="auto"/>
              </w:divBdr>
            </w:div>
            <w:div w:id="946350815">
              <w:marLeft w:val="0"/>
              <w:marRight w:val="0"/>
              <w:marTop w:val="0"/>
              <w:marBottom w:val="0"/>
              <w:divBdr>
                <w:top w:val="none" w:sz="0" w:space="0" w:color="auto"/>
                <w:left w:val="none" w:sz="0" w:space="0" w:color="auto"/>
                <w:bottom w:val="none" w:sz="0" w:space="0" w:color="auto"/>
                <w:right w:val="none" w:sz="0" w:space="0" w:color="auto"/>
              </w:divBdr>
            </w:div>
            <w:div w:id="1012418875">
              <w:marLeft w:val="0"/>
              <w:marRight w:val="0"/>
              <w:marTop w:val="0"/>
              <w:marBottom w:val="0"/>
              <w:divBdr>
                <w:top w:val="none" w:sz="0" w:space="0" w:color="auto"/>
                <w:left w:val="none" w:sz="0" w:space="0" w:color="auto"/>
                <w:bottom w:val="none" w:sz="0" w:space="0" w:color="auto"/>
                <w:right w:val="none" w:sz="0" w:space="0" w:color="auto"/>
              </w:divBdr>
            </w:div>
            <w:div w:id="1080255232">
              <w:marLeft w:val="0"/>
              <w:marRight w:val="0"/>
              <w:marTop w:val="0"/>
              <w:marBottom w:val="0"/>
              <w:divBdr>
                <w:top w:val="none" w:sz="0" w:space="0" w:color="auto"/>
                <w:left w:val="none" w:sz="0" w:space="0" w:color="auto"/>
                <w:bottom w:val="none" w:sz="0" w:space="0" w:color="auto"/>
                <w:right w:val="none" w:sz="0" w:space="0" w:color="auto"/>
              </w:divBdr>
            </w:div>
            <w:div w:id="1173646048">
              <w:marLeft w:val="0"/>
              <w:marRight w:val="0"/>
              <w:marTop w:val="0"/>
              <w:marBottom w:val="0"/>
              <w:divBdr>
                <w:top w:val="none" w:sz="0" w:space="0" w:color="auto"/>
                <w:left w:val="none" w:sz="0" w:space="0" w:color="auto"/>
                <w:bottom w:val="none" w:sz="0" w:space="0" w:color="auto"/>
                <w:right w:val="none" w:sz="0" w:space="0" w:color="auto"/>
              </w:divBdr>
            </w:div>
            <w:div w:id="1183934923">
              <w:marLeft w:val="0"/>
              <w:marRight w:val="0"/>
              <w:marTop w:val="0"/>
              <w:marBottom w:val="0"/>
              <w:divBdr>
                <w:top w:val="none" w:sz="0" w:space="0" w:color="auto"/>
                <w:left w:val="none" w:sz="0" w:space="0" w:color="auto"/>
                <w:bottom w:val="none" w:sz="0" w:space="0" w:color="auto"/>
                <w:right w:val="none" w:sz="0" w:space="0" w:color="auto"/>
              </w:divBdr>
            </w:div>
            <w:div w:id="1202476086">
              <w:marLeft w:val="0"/>
              <w:marRight w:val="0"/>
              <w:marTop w:val="0"/>
              <w:marBottom w:val="0"/>
              <w:divBdr>
                <w:top w:val="none" w:sz="0" w:space="0" w:color="auto"/>
                <w:left w:val="none" w:sz="0" w:space="0" w:color="auto"/>
                <w:bottom w:val="none" w:sz="0" w:space="0" w:color="auto"/>
                <w:right w:val="none" w:sz="0" w:space="0" w:color="auto"/>
              </w:divBdr>
            </w:div>
            <w:div w:id="1279141719">
              <w:marLeft w:val="0"/>
              <w:marRight w:val="0"/>
              <w:marTop w:val="0"/>
              <w:marBottom w:val="0"/>
              <w:divBdr>
                <w:top w:val="none" w:sz="0" w:space="0" w:color="auto"/>
                <w:left w:val="none" w:sz="0" w:space="0" w:color="auto"/>
                <w:bottom w:val="none" w:sz="0" w:space="0" w:color="auto"/>
                <w:right w:val="none" w:sz="0" w:space="0" w:color="auto"/>
              </w:divBdr>
            </w:div>
            <w:div w:id="1295135933">
              <w:marLeft w:val="0"/>
              <w:marRight w:val="0"/>
              <w:marTop w:val="0"/>
              <w:marBottom w:val="0"/>
              <w:divBdr>
                <w:top w:val="none" w:sz="0" w:space="0" w:color="auto"/>
                <w:left w:val="none" w:sz="0" w:space="0" w:color="auto"/>
                <w:bottom w:val="none" w:sz="0" w:space="0" w:color="auto"/>
                <w:right w:val="none" w:sz="0" w:space="0" w:color="auto"/>
              </w:divBdr>
            </w:div>
            <w:div w:id="1354843415">
              <w:marLeft w:val="0"/>
              <w:marRight w:val="0"/>
              <w:marTop w:val="0"/>
              <w:marBottom w:val="0"/>
              <w:divBdr>
                <w:top w:val="none" w:sz="0" w:space="0" w:color="auto"/>
                <w:left w:val="none" w:sz="0" w:space="0" w:color="auto"/>
                <w:bottom w:val="none" w:sz="0" w:space="0" w:color="auto"/>
                <w:right w:val="none" w:sz="0" w:space="0" w:color="auto"/>
              </w:divBdr>
            </w:div>
            <w:div w:id="1378164190">
              <w:marLeft w:val="0"/>
              <w:marRight w:val="0"/>
              <w:marTop w:val="0"/>
              <w:marBottom w:val="0"/>
              <w:divBdr>
                <w:top w:val="none" w:sz="0" w:space="0" w:color="auto"/>
                <w:left w:val="none" w:sz="0" w:space="0" w:color="auto"/>
                <w:bottom w:val="none" w:sz="0" w:space="0" w:color="auto"/>
                <w:right w:val="none" w:sz="0" w:space="0" w:color="auto"/>
              </w:divBdr>
            </w:div>
            <w:div w:id="1396473518">
              <w:marLeft w:val="0"/>
              <w:marRight w:val="0"/>
              <w:marTop w:val="0"/>
              <w:marBottom w:val="0"/>
              <w:divBdr>
                <w:top w:val="none" w:sz="0" w:space="0" w:color="auto"/>
                <w:left w:val="none" w:sz="0" w:space="0" w:color="auto"/>
                <w:bottom w:val="none" w:sz="0" w:space="0" w:color="auto"/>
                <w:right w:val="none" w:sz="0" w:space="0" w:color="auto"/>
              </w:divBdr>
            </w:div>
            <w:div w:id="1665619022">
              <w:marLeft w:val="0"/>
              <w:marRight w:val="0"/>
              <w:marTop w:val="0"/>
              <w:marBottom w:val="0"/>
              <w:divBdr>
                <w:top w:val="none" w:sz="0" w:space="0" w:color="auto"/>
                <w:left w:val="none" w:sz="0" w:space="0" w:color="auto"/>
                <w:bottom w:val="none" w:sz="0" w:space="0" w:color="auto"/>
                <w:right w:val="none" w:sz="0" w:space="0" w:color="auto"/>
              </w:divBdr>
            </w:div>
            <w:div w:id="2092503083">
              <w:marLeft w:val="0"/>
              <w:marRight w:val="0"/>
              <w:marTop w:val="0"/>
              <w:marBottom w:val="0"/>
              <w:divBdr>
                <w:top w:val="none" w:sz="0" w:space="0" w:color="auto"/>
                <w:left w:val="none" w:sz="0" w:space="0" w:color="auto"/>
                <w:bottom w:val="none" w:sz="0" w:space="0" w:color="auto"/>
                <w:right w:val="none" w:sz="0" w:space="0" w:color="auto"/>
              </w:divBdr>
            </w:div>
            <w:div w:id="2099477119">
              <w:marLeft w:val="0"/>
              <w:marRight w:val="0"/>
              <w:marTop w:val="0"/>
              <w:marBottom w:val="0"/>
              <w:divBdr>
                <w:top w:val="none" w:sz="0" w:space="0" w:color="auto"/>
                <w:left w:val="none" w:sz="0" w:space="0" w:color="auto"/>
                <w:bottom w:val="none" w:sz="0" w:space="0" w:color="auto"/>
                <w:right w:val="none" w:sz="0" w:space="0" w:color="auto"/>
              </w:divBdr>
            </w:div>
          </w:divsChild>
        </w:div>
        <w:div w:id="1417752169">
          <w:marLeft w:val="0"/>
          <w:marRight w:val="0"/>
          <w:marTop w:val="0"/>
          <w:marBottom w:val="0"/>
          <w:divBdr>
            <w:top w:val="none" w:sz="0" w:space="0" w:color="auto"/>
            <w:left w:val="none" w:sz="0" w:space="0" w:color="auto"/>
            <w:bottom w:val="none" w:sz="0" w:space="0" w:color="auto"/>
            <w:right w:val="none" w:sz="0" w:space="0" w:color="auto"/>
          </w:divBdr>
        </w:div>
        <w:div w:id="1950816608">
          <w:marLeft w:val="0"/>
          <w:marRight w:val="0"/>
          <w:marTop w:val="0"/>
          <w:marBottom w:val="0"/>
          <w:divBdr>
            <w:top w:val="none" w:sz="0" w:space="0" w:color="auto"/>
            <w:left w:val="none" w:sz="0" w:space="0" w:color="auto"/>
            <w:bottom w:val="none" w:sz="0" w:space="0" w:color="auto"/>
            <w:right w:val="none" w:sz="0" w:space="0" w:color="auto"/>
          </w:divBdr>
        </w:div>
        <w:div w:id="2137675777">
          <w:marLeft w:val="0"/>
          <w:marRight w:val="0"/>
          <w:marTop w:val="0"/>
          <w:marBottom w:val="0"/>
          <w:divBdr>
            <w:top w:val="none" w:sz="0" w:space="0" w:color="auto"/>
            <w:left w:val="none" w:sz="0" w:space="0" w:color="auto"/>
            <w:bottom w:val="none" w:sz="0" w:space="0" w:color="auto"/>
            <w:right w:val="none" w:sz="0" w:space="0" w:color="auto"/>
          </w:divBdr>
          <w:divsChild>
            <w:div w:id="2245245">
              <w:marLeft w:val="0"/>
              <w:marRight w:val="0"/>
              <w:marTop w:val="0"/>
              <w:marBottom w:val="0"/>
              <w:divBdr>
                <w:top w:val="none" w:sz="0" w:space="0" w:color="auto"/>
                <w:left w:val="none" w:sz="0" w:space="0" w:color="auto"/>
                <w:bottom w:val="none" w:sz="0" w:space="0" w:color="auto"/>
                <w:right w:val="none" w:sz="0" w:space="0" w:color="auto"/>
              </w:divBdr>
            </w:div>
            <w:div w:id="217908162">
              <w:marLeft w:val="0"/>
              <w:marRight w:val="0"/>
              <w:marTop w:val="0"/>
              <w:marBottom w:val="0"/>
              <w:divBdr>
                <w:top w:val="none" w:sz="0" w:space="0" w:color="auto"/>
                <w:left w:val="none" w:sz="0" w:space="0" w:color="auto"/>
                <w:bottom w:val="none" w:sz="0" w:space="0" w:color="auto"/>
                <w:right w:val="none" w:sz="0" w:space="0" w:color="auto"/>
              </w:divBdr>
            </w:div>
            <w:div w:id="411048583">
              <w:marLeft w:val="0"/>
              <w:marRight w:val="0"/>
              <w:marTop w:val="0"/>
              <w:marBottom w:val="0"/>
              <w:divBdr>
                <w:top w:val="none" w:sz="0" w:space="0" w:color="auto"/>
                <w:left w:val="none" w:sz="0" w:space="0" w:color="auto"/>
                <w:bottom w:val="none" w:sz="0" w:space="0" w:color="auto"/>
                <w:right w:val="none" w:sz="0" w:space="0" w:color="auto"/>
              </w:divBdr>
            </w:div>
            <w:div w:id="506208971">
              <w:marLeft w:val="0"/>
              <w:marRight w:val="0"/>
              <w:marTop w:val="0"/>
              <w:marBottom w:val="0"/>
              <w:divBdr>
                <w:top w:val="none" w:sz="0" w:space="0" w:color="auto"/>
                <w:left w:val="none" w:sz="0" w:space="0" w:color="auto"/>
                <w:bottom w:val="none" w:sz="0" w:space="0" w:color="auto"/>
                <w:right w:val="none" w:sz="0" w:space="0" w:color="auto"/>
              </w:divBdr>
            </w:div>
            <w:div w:id="647243462">
              <w:marLeft w:val="0"/>
              <w:marRight w:val="0"/>
              <w:marTop w:val="0"/>
              <w:marBottom w:val="0"/>
              <w:divBdr>
                <w:top w:val="none" w:sz="0" w:space="0" w:color="auto"/>
                <w:left w:val="none" w:sz="0" w:space="0" w:color="auto"/>
                <w:bottom w:val="none" w:sz="0" w:space="0" w:color="auto"/>
                <w:right w:val="none" w:sz="0" w:space="0" w:color="auto"/>
              </w:divBdr>
            </w:div>
            <w:div w:id="710811376">
              <w:marLeft w:val="0"/>
              <w:marRight w:val="0"/>
              <w:marTop w:val="0"/>
              <w:marBottom w:val="0"/>
              <w:divBdr>
                <w:top w:val="none" w:sz="0" w:space="0" w:color="auto"/>
                <w:left w:val="none" w:sz="0" w:space="0" w:color="auto"/>
                <w:bottom w:val="none" w:sz="0" w:space="0" w:color="auto"/>
                <w:right w:val="none" w:sz="0" w:space="0" w:color="auto"/>
              </w:divBdr>
            </w:div>
            <w:div w:id="785999540">
              <w:marLeft w:val="0"/>
              <w:marRight w:val="0"/>
              <w:marTop w:val="0"/>
              <w:marBottom w:val="0"/>
              <w:divBdr>
                <w:top w:val="none" w:sz="0" w:space="0" w:color="auto"/>
                <w:left w:val="none" w:sz="0" w:space="0" w:color="auto"/>
                <w:bottom w:val="none" w:sz="0" w:space="0" w:color="auto"/>
                <w:right w:val="none" w:sz="0" w:space="0" w:color="auto"/>
              </w:divBdr>
            </w:div>
            <w:div w:id="820077537">
              <w:marLeft w:val="0"/>
              <w:marRight w:val="0"/>
              <w:marTop w:val="0"/>
              <w:marBottom w:val="0"/>
              <w:divBdr>
                <w:top w:val="none" w:sz="0" w:space="0" w:color="auto"/>
                <w:left w:val="none" w:sz="0" w:space="0" w:color="auto"/>
                <w:bottom w:val="none" w:sz="0" w:space="0" w:color="auto"/>
                <w:right w:val="none" w:sz="0" w:space="0" w:color="auto"/>
              </w:divBdr>
            </w:div>
            <w:div w:id="850098882">
              <w:marLeft w:val="0"/>
              <w:marRight w:val="0"/>
              <w:marTop w:val="0"/>
              <w:marBottom w:val="0"/>
              <w:divBdr>
                <w:top w:val="none" w:sz="0" w:space="0" w:color="auto"/>
                <w:left w:val="none" w:sz="0" w:space="0" w:color="auto"/>
                <w:bottom w:val="none" w:sz="0" w:space="0" w:color="auto"/>
                <w:right w:val="none" w:sz="0" w:space="0" w:color="auto"/>
              </w:divBdr>
            </w:div>
            <w:div w:id="1196308207">
              <w:marLeft w:val="0"/>
              <w:marRight w:val="0"/>
              <w:marTop w:val="0"/>
              <w:marBottom w:val="0"/>
              <w:divBdr>
                <w:top w:val="none" w:sz="0" w:space="0" w:color="auto"/>
                <w:left w:val="none" w:sz="0" w:space="0" w:color="auto"/>
                <w:bottom w:val="none" w:sz="0" w:space="0" w:color="auto"/>
                <w:right w:val="none" w:sz="0" w:space="0" w:color="auto"/>
              </w:divBdr>
            </w:div>
            <w:div w:id="1474981066">
              <w:marLeft w:val="0"/>
              <w:marRight w:val="0"/>
              <w:marTop w:val="0"/>
              <w:marBottom w:val="0"/>
              <w:divBdr>
                <w:top w:val="none" w:sz="0" w:space="0" w:color="auto"/>
                <w:left w:val="none" w:sz="0" w:space="0" w:color="auto"/>
                <w:bottom w:val="none" w:sz="0" w:space="0" w:color="auto"/>
                <w:right w:val="none" w:sz="0" w:space="0" w:color="auto"/>
              </w:divBdr>
            </w:div>
            <w:div w:id="205923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47908">
      <w:bodyDiv w:val="1"/>
      <w:marLeft w:val="0"/>
      <w:marRight w:val="0"/>
      <w:marTop w:val="0"/>
      <w:marBottom w:val="0"/>
      <w:divBdr>
        <w:top w:val="none" w:sz="0" w:space="0" w:color="auto"/>
        <w:left w:val="none" w:sz="0" w:space="0" w:color="auto"/>
        <w:bottom w:val="none" w:sz="0" w:space="0" w:color="auto"/>
        <w:right w:val="none" w:sz="0" w:space="0" w:color="auto"/>
      </w:divBdr>
    </w:div>
    <w:div w:id="1617717430">
      <w:bodyDiv w:val="1"/>
      <w:marLeft w:val="0"/>
      <w:marRight w:val="0"/>
      <w:marTop w:val="0"/>
      <w:marBottom w:val="0"/>
      <w:divBdr>
        <w:top w:val="none" w:sz="0" w:space="0" w:color="auto"/>
        <w:left w:val="none" w:sz="0" w:space="0" w:color="auto"/>
        <w:bottom w:val="none" w:sz="0" w:space="0" w:color="auto"/>
        <w:right w:val="none" w:sz="0" w:space="0" w:color="auto"/>
      </w:divBdr>
      <w:divsChild>
        <w:div w:id="940603582">
          <w:marLeft w:val="0"/>
          <w:marRight w:val="0"/>
          <w:marTop w:val="0"/>
          <w:marBottom w:val="0"/>
          <w:divBdr>
            <w:top w:val="none" w:sz="0" w:space="0" w:color="auto"/>
            <w:left w:val="none" w:sz="0" w:space="0" w:color="auto"/>
            <w:bottom w:val="none" w:sz="0" w:space="0" w:color="auto"/>
            <w:right w:val="none" w:sz="0" w:space="0" w:color="auto"/>
          </w:divBdr>
        </w:div>
        <w:div w:id="1265191470">
          <w:marLeft w:val="0"/>
          <w:marRight w:val="0"/>
          <w:marTop w:val="0"/>
          <w:marBottom w:val="0"/>
          <w:divBdr>
            <w:top w:val="none" w:sz="0" w:space="0" w:color="auto"/>
            <w:left w:val="none" w:sz="0" w:space="0" w:color="auto"/>
            <w:bottom w:val="none" w:sz="0" w:space="0" w:color="auto"/>
            <w:right w:val="none" w:sz="0" w:space="0" w:color="auto"/>
          </w:divBdr>
        </w:div>
      </w:divsChild>
    </w:div>
    <w:div w:id="1652900816">
      <w:bodyDiv w:val="1"/>
      <w:marLeft w:val="0"/>
      <w:marRight w:val="0"/>
      <w:marTop w:val="0"/>
      <w:marBottom w:val="0"/>
      <w:divBdr>
        <w:top w:val="none" w:sz="0" w:space="0" w:color="auto"/>
        <w:left w:val="none" w:sz="0" w:space="0" w:color="auto"/>
        <w:bottom w:val="none" w:sz="0" w:space="0" w:color="auto"/>
        <w:right w:val="none" w:sz="0" w:space="0" w:color="auto"/>
      </w:divBdr>
    </w:div>
    <w:div w:id="1661539349">
      <w:bodyDiv w:val="1"/>
      <w:marLeft w:val="0"/>
      <w:marRight w:val="0"/>
      <w:marTop w:val="0"/>
      <w:marBottom w:val="0"/>
      <w:divBdr>
        <w:top w:val="none" w:sz="0" w:space="0" w:color="auto"/>
        <w:left w:val="none" w:sz="0" w:space="0" w:color="auto"/>
        <w:bottom w:val="none" w:sz="0" w:space="0" w:color="auto"/>
        <w:right w:val="none" w:sz="0" w:space="0" w:color="auto"/>
      </w:divBdr>
    </w:div>
    <w:div w:id="1684428693">
      <w:bodyDiv w:val="1"/>
      <w:marLeft w:val="0"/>
      <w:marRight w:val="0"/>
      <w:marTop w:val="0"/>
      <w:marBottom w:val="0"/>
      <w:divBdr>
        <w:top w:val="none" w:sz="0" w:space="0" w:color="auto"/>
        <w:left w:val="none" w:sz="0" w:space="0" w:color="auto"/>
        <w:bottom w:val="none" w:sz="0" w:space="0" w:color="auto"/>
        <w:right w:val="none" w:sz="0" w:space="0" w:color="auto"/>
      </w:divBdr>
    </w:div>
    <w:div w:id="1687168552">
      <w:bodyDiv w:val="1"/>
      <w:marLeft w:val="0"/>
      <w:marRight w:val="0"/>
      <w:marTop w:val="0"/>
      <w:marBottom w:val="0"/>
      <w:divBdr>
        <w:top w:val="none" w:sz="0" w:space="0" w:color="auto"/>
        <w:left w:val="none" w:sz="0" w:space="0" w:color="auto"/>
        <w:bottom w:val="none" w:sz="0" w:space="0" w:color="auto"/>
        <w:right w:val="none" w:sz="0" w:space="0" w:color="auto"/>
      </w:divBdr>
    </w:div>
    <w:div w:id="1695155189">
      <w:bodyDiv w:val="1"/>
      <w:marLeft w:val="0"/>
      <w:marRight w:val="0"/>
      <w:marTop w:val="0"/>
      <w:marBottom w:val="0"/>
      <w:divBdr>
        <w:top w:val="none" w:sz="0" w:space="0" w:color="auto"/>
        <w:left w:val="none" w:sz="0" w:space="0" w:color="auto"/>
        <w:bottom w:val="none" w:sz="0" w:space="0" w:color="auto"/>
        <w:right w:val="none" w:sz="0" w:space="0" w:color="auto"/>
      </w:divBdr>
      <w:divsChild>
        <w:div w:id="1502741807">
          <w:marLeft w:val="0"/>
          <w:marRight w:val="0"/>
          <w:marTop w:val="0"/>
          <w:marBottom w:val="0"/>
          <w:divBdr>
            <w:top w:val="none" w:sz="0" w:space="0" w:color="auto"/>
            <w:left w:val="none" w:sz="0" w:space="0" w:color="auto"/>
            <w:bottom w:val="none" w:sz="0" w:space="0" w:color="auto"/>
            <w:right w:val="none" w:sz="0" w:space="0" w:color="auto"/>
          </w:divBdr>
        </w:div>
        <w:div w:id="1811166601">
          <w:marLeft w:val="0"/>
          <w:marRight w:val="0"/>
          <w:marTop w:val="0"/>
          <w:marBottom w:val="0"/>
          <w:divBdr>
            <w:top w:val="none" w:sz="0" w:space="0" w:color="auto"/>
            <w:left w:val="none" w:sz="0" w:space="0" w:color="auto"/>
            <w:bottom w:val="none" w:sz="0" w:space="0" w:color="auto"/>
            <w:right w:val="none" w:sz="0" w:space="0" w:color="auto"/>
          </w:divBdr>
        </w:div>
      </w:divsChild>
    </w:div>
    <w:div w:id="1696417380">
      <w:bodyDiv w:val="1"/>
      <w:marLeft w:val="0"/>
      <w:marRight w:val="0"/>
      <w:marTop w:val="0"/>
      <w:marBottom w:val="0"/>
      <w:divBdr>
        <w:top w:val="none" w:sz="0" w:space="0" w:color="auto"/>
        <w:left w:val="none" w:sz="0" w:space="0" w:color="auto"/>
        <w:bottom w:val="none" w:sz="0" w:space="0" w:color="auto"/>
        <w:right w:val="none" w:sz="0" w:space="0" w:color="auto"/>
      </w:divBdr>
    </w:div>
    <w:div w:id="1717436504">
      <w:bodyDiv w:val="1"/>
      <w:marLeft w:val="0"/>
      <w:marRight w:val="0"/>
      <w:marTop w:val="0"/>
      <w:marBottom w:val="0"/>
      <w:divBdr>
        <w:top w:val="none" w:sz="0" w:space="0" w:color="auto"/>
        <w:left w:val="none" w:sz="0" w:space="0" w:color="auto"/>
        <w:bottom w:val="none" w:sz="0" w:space="0" w:color="auto"/>
        <w:right w:val="none" w:sz="0" w:space="0" w:color="auto"/>
      </w:divBdr>
      <w:divsChild>
        <w:div w:id="314262949">
          <w:marLeft w:val="0"/>
          <w:marRight w:val="0"/>
          <w:marTop w:val="0"/>
          <w:marBottom w:val="0"/>
          <w:divBdr>
            <w:top w:val="none" w:sz="0" w:space="0" w:color="auto"/>
            <w:left w:val="none" w:sz="0" w:space="0" w:color="auto"/>
            <w:bottom w:val="none" w:sz="0" w:space="0" w:color="auto"/>
            <w:right w:val="none" w:sz="0" w:space="0" w:color="auto"/>
          </w:divBdr>
        </w:div>
        <w:div w:id="332072600">
          <w:marLeft w:val="0"/>
          <w:marRight w:val="0"/>
          <w:marTop w:val="0"/>
          <w:marBottom w:val="0"/>
          <w:divBdr>
            <w:top w:val="none" w:sz="0" w:space="0" w:color="auto"/>
            <w:left w:val="none" w:sz="0" w:space="0" w:color="auto"/>
            <w:bottom w:val="none" w:sz="0" w:space="0" w:color="auto"/>
            <w:right w:val="none" w:sz="0" w:space="0" w:color="auto"/>
          </w:divBdr>
        </w:div>
        <w:div w:id="1014916444">
          <w:marLeft w:val="0"/>
          <w:marRight w:val="0"/>
          <w:marTop w:val="0"/>
          <w:marBottom w:val="0"/>
          <w:divBdr>
            <w:top w:val="none" w:sz="0" w:space="0" w:color="auto"/>
            <w:left w:val="none" w:sz="0" w:space="0" w:color="auto"/>
            <w:bottom w:val="none" w:sz="0" w:space="0" w:color="auto"/>
            <w:right w:val="none" w:sz="0" w:space="0" w:color="auto"/>
          </w:divBdr>
          <w:divsChild>
            <w:div w:id="89200384">
              <w:marLeft w:val="0"/>
              <w:marRight w:val="0"/>
              <w:marTop w:val="0"/>
              <w:marBottom w:val="0"/>
              <w:divBdr>
                <w:top w:val="none" w:sz="0" w:space="0" w:color="auto"/>
                <w:left w:val="none" w:sz="0" w:space="0" w:color="auto"/>
                <w:bottom w:val="none" w:sz="0" w:space="0" w:color="auto"/>
                <w:right w:val="none" w:sz="0" w:space="0" w:color="auto"/>
              </w:divBdr>
            </w:div>
            <w:div w:id="104426874">
              <w:marLeft w:val="0"/>
              <w:marRight w:val="0"/>
              <w:marTop w:val="0"/>
              <w:marBottom w:val="0"/>
              <w:divBdr>
                <w:top w:val="none" w:sz="0" w:space="0" w:color="auto"/>
                <w:left w:val="none" w:sz="0" w:space="0" w:color="auto"/>
                <w:bottom w:val="none" w:sz="0" w:space="0" w:color="auto"/>
                <w:right w:val="none" w:sz="0" w:space="0" w:color="auto"/>
              </w:divBdr>
            </w:div>
            <w:div w:id="465272402">
              <w:marLeft w:val="0"/>
              <w:marRight w:val="0"/>
              <w:marTop w:val="0"/>
              <w:marBottom w:val="0"/>
              <w:divBdr>
                <w:top w:val="none" w:sz="0" w:space="0" w:color="auto"/>
                <w:left w:val="none" w:sz="0" w:space="0" w:color="auto"/>
                <w:bottom w:val="none" w:sz="0" w:space="0" w:color="auto"/>
                <w:right w:val="none" w:sz="0" w:space="0" w:color="auto"/>
              </w:divBdr>
            </w:div>
            <w:div w:id="545528078">
              <w:marLeft w:val="0"/>
              <w:marRight w:val="0"/>
              <w:marTop w:val="0"/>
              <w:marBottom w:val="0"/>
              <w:divBdr>
                <w:top w:val="none" w:sz="0" w:space="0" w:color="auto"/>
                <w:left w:val="none" w:sz="0" w:space="0" w:color="auto"/>
                <w:bottom w:val="none" w:sz="0" w:space="0" w:color="auto"/>
                <w:right w:val="none" w:sz="0" w:space="0" w:color="auto"/>
              </w:divBdr>
            </w:div>
            <w:div w:id="678501973">
              <w:marLeft w:val="0"/>
              <w:marRight w:val="0"/>
              <w:marTop w:val="0"/>
              <w:marBottom w:val="0"/>
              <w:divBdr>
                <w:top w:val="none" w:sz="0" w:space="0" w:color="auto"/>
                <w:left w:val="none" w:sz="0" w:space="0" w:color="auto"/>
                <w:bottom w:val="none" w:sz="0" w:space="0" w:color="auto"/>
                <w:right w:val="none" w:sz="0" w:space="0" w:color="auto"/>
              </w:divBdr>
            </w:div>
            <w:div w:id="738862469">
              <w:marLeft w:val="0"/>
              <w:marRight w:val="0"/>
              <w:marTop w:val="0"/>
              <w:marBottom w:val="0"/>
              <w:divBdr>
                <w:top w:val="none" w:sz="0" w:space="0" w:color="auto"/>
                <w:left w:val="none" w:sz="0" w:space="0" w:color="auto"/>
                <w:bottom w:val="none" w:sz="0" w:space="0" w:color="auto"/>
                <w:right w:val="none" w:sz="0" w:space="0" w:color="auto"/>
              </w:divBdr>
            </w:div>
            <w:div w:id="759376478">
              <w:marLeft w:val="0"/>
              <w:marRight w:val="0"/>
              <w:marTop w:val="0"/>
              <w:marBottom w:val="0"/>
              <w:divBdr>
                <w:top w:val="none" w:sz="0" w:space="0" w:color="auto"/>
                <w:left w:val="none" w:sz="0" w:space="0" w:color="auto"/>
                <w:bottom w:val="none" w:sz="0" w:space="0" w:color="auto"/>
                <w:right w:val="none" w:sz="0" w:space="0" w:color="auto"/>
              </w:divBdr>
            </w:div>
            <w:div w:id="1024328856">
              <w:marLeft w:val="0"/>
              <w:marRight w:val="0"/>
              <w:marTop w:val="0"/>
              <w:marBottom w:val="0"/>
              <w:divBdr>
                <w:top w:val="none" w:sz="0" w:space="0" w:color="auto"/>
                <w:left w:val="none" w:sz="0" w:space="0" w:color="auto"/>
                <w:bottom w:val="none" w:sz="0" w:space="0" w:color="auto"/>
                <w:right w:val="none" w:sz="0" w:space="0" w:color="auto"/>
              </w:divBdr>
            </w:div>
            <w:div w:id="1280255188">
              <w:marLeft w:val="0"/>
              <w:marRight w:val="0"/>
              <w:marTop w:val="0"/>
              <w:marBottom w:val="0"/>
              <w:divBdr>
                <w:top w:val="none" w:sz="0" w:space="0" w:color="auto"/>
                <w:left w:val="none" w:sz="0" w:space="0" w:color="auto"/>
                <w:bottom w:val="none" w:sz="0" w:space="0" w:color="auto"/>
                <w:right w:val="none" w:sz="0" w:space="0" w:color="auto"/>
              </w:divBdr>
            </w:div>
            <w:div w:id="1315722347">
              <w:marLeft w:val="0"/>
              <w:marRight w:val="0"/>
              <w:marTop w:val="0"/>
              <w:marBottom w:val="0"/>
              <w:divBdr>
                <w:top w:val="none" w:sz="0" w:space="0" w:color="auto"/>
                <w:left w:val="none" w:sz="0" w:space="0" w:color="auto"/>
                <w:bottom w:val="none" w:sz="0" w:space="0" w:color="auto"/>
                <w:right w:val="none" w:sz="0" w:space="0" w:color="auto"/>
              </w:divBdr>
            </w:div>
            <w:div w:id="1336106335">
              <w:marLeft w:val="0"/>
              <w:marRight w:val="0"/>
              <w:marTop w:val="0"/>
              <w:marBottom w:val="0"/>
              <w:divBdr>
                <w:top w:val="none" w:sz="0" w:space="0" w:color="auto"/>
                <w:left w:val="none" w:sz="0" w:space="0" w:color="auto"/>
                <w:bottom w:val="none" w:sz="0" w:space="0" w:color="auto"/>
                <w:right w:val="none" w:sz="0" w:space="0" w:color="auto"/>
              </w:divBdr>
            </w:div>
            <w:div w:id="1668169756">
              <w:marLeft w:val="0"/>
              <w:marRight w:val="0"/>
              <w:marTop w:val="0"/>
              <w:marBottom w:val="0"/>
              <w:divBdr>
                <w:top w:val="none" w:sz="0" w:space="0" w:color="auto"/>
                <w:left w:val="none" w:sz="0" w:space="0" w:color="auto"/>
                <w:bottom w:val="none" w:sz="0" w:space="0" w:color="auto"/>
                <w:right w:val="none" w:sz="0" w:space="0" w:color="auto"/>
              </w:divBdr>
            </w:div>
            <w:div w:id="1706447771">
              <w:marLeft w:val="0"/>
              <w:marRight w:val="0"/>
              <w:marTop w:val="0"/>
              <w:marBottom w:val="0"/>
              <w:divBdr>
                <w:top w:val="none" w:sz="0" w:space="0" w:color="auto"/>
                <w:left w:val="none" w:sz="0" w:space="0" w:color="auto"/>
                <w:bottom w:val="none" w:sz="0" w:space="0" w:color="auto"/>
                <w:right w:val="none" w:sz="0" w:space="0" w:color="auto"/>
              </w:divBdr>
            </w:div>
            <w:div w:id="1943341545">
              <w:marLeft w:val="0"/>
              <w:marRight w:val="0"/>
              <w:marTop w:val="0"/>
              <w:marBottom w:val="0"/>
              <w:divBdr>
                <w:top w:val="none" w:sz="0" w:space="0" w:color="auto"/>
                <w:left w:val="none" w:sz="0" w:space="0" w:color="auto"/>
                <w:bottom w:val="none" w:sz="0" w:space="0" w:color="auto"/>
                <w:right w:val="none" w:sz="0" w:space="0" w:color="auto"/>
              </w:divBdr>
            </w:div>
          </w:divsChild>
        </w:div>
        <w:div w:id="1196113328">
          <w:marLeft w:val="0"/>
          <w:marRight w:val="0"/>
          <w:marTop w:val="0"/>
          <w:marBottom w:val="0"/>
          <w:divBdr>
            <w:top w:val="none" w:sz="0" w:space="0" w:color="auto"/>
            <w:left w:val="none" w:sz="0" w:space="0" w:color="auto"/>
            <w:bottom w:val="none" w:sz="0" w:space="0" w:color="auto"/>
            <w:right w:val="none" w:sz="0" w:space="0" w:color="auto"/>
          </w:divBdr>
          <w:divsChild>
            <w:div w:id="7371112">
              <w:marLeft w:val="0"/>
              <w:marRight w:val="0"/>
              <w:marTop w:val="0"/>
              <w:marBottom w:val="0"/>
              <w:divBdr>
                <w:top w:val="none" w:sz="0" w:space="0" w:color="auto"/>
                <w:left w:val="none" w:sz="0" w:space="0" w:color="auto"/>
                <w:bottom w:val="none" w:sz="0" w:space="0" w:color="auto"/>
                <w:right w:val="none" w:sz="0" w:space="0" w:color="auto"/>
              </w:divBdr>
            </w:div>
            <w:div w:id="245891822">
              <w:marLeft w:val="0"/>
              <w:marRight w:val="0"/>
              <w:marTop w:val="0"/>
              <w:marBottom w:val="0"/>
              <w:divBdr>
                <w:top w:val="none" w:sz="0" w:space="0" w:color="auto"/>
                <w:left w:val="none" w:sz="0" w:space="0" w:color="auto"/>
                <w:bottom w:val="none" w:sz="0" w:space="0" w:color="auto"/>
                <w:right w:val="none" w:sz="0" w:space="0" w:color="auto"/>
              </w:divBdr>
            </w:div>
            <w:div w:id="437988491">
              <w:marLeft w:val="0"/>
              <w:marRight w:val="0"/>
              <w:marTop w:val="0"/>
              <w:marBottom w:val="0"/>
              <w:divBdr>
                <w:top w:val="none" w:sz="0" w:space="0" w:color="auto"/>
                <w:left w:val="none" w:sz="0" w:space="0" w:color="auto"/>
                <w:bottom w:val="none" w:sz="0" w:space="0" w:color="auto"/>
                <w:right w:val="none" w:sz="0" w:space="0" w:color="auto"/>
              </w:divBdr>
            </w:div>
            <w:div w:id="498160029">
              <w:marLeft w:val="0"/>
              <w:marRight w:val="0"/>
              <w:marTop w:val="0"/>
              <w:marBottom w:val="0"/>
              <w:divBdr>
                <w:top w:val="none" w:sz="0" w:space="0" w:color="auto"/>
                <w:left w:val="none" w:sz="0" w:space="0" w:color="auto"/>
                <w:bottom w:val="none" w:sz="0" w:space="0" w:color="auto"/>
                <w:right w:val="none" w:sz="0" w:space="0" w:color="auto"/>
              </w:divBdr>
            </w:div>
            <w:div w:id="787629905">
              <w:marLeft w:val="0"/>
              <w:marRight w:val="0"/>
              <w:marTop w:val="0"/>
              <w:marBottom w:val="0"/>
              <w:divBdr>
                <w:top w:val="none" w:sz="0" w:space="0" w:color="auto"/>
                <w:left w:val="none" w:sz="0" w:space="0" w:color="auto"/>
                <w:bottom w:val="none" w:sz="0" w:space="0" w:color="auto"/>
                <w:right w:val="none" w:sz="0" w:space="0" w:color="auto"/>
              </w:divBdr>
            </w:div>
            <w:div w:id="854198285">
              <w:marLeft w:val="0"/>
              <w:marRight w:val="0"/>
              <w:marTop w:val="0"/>
              <w:marBottom w:val="0"/>
              <w:divBdr>
                <w:top w:val="none" w:sz="0" w:space="0" w:color="auto"/>
                <w:left w:val="none" w:sz="0" w:space="0" w:color="auto"/>
                <w:bottom w:val="none" w:sz="0" w:space="0" w:color="auto"/>
                <w:right w:val="none" w:sz="0" w:space="0" w:color="auto"/>
              </w:divBdr>
            </w:div>
            <w:div w:id="939607925">
              <w:marLeft w:val="0"/>
              <w:marRight w:val="0"/>
              <w:marTop w:val="0"/>
              <w:marBottom w:val="0"/>
              <w:divBdr>
                <w:top w:val="none" w:sz="0" w:space="0" w:color="auto"/>
                <w:left w:val="none" w:sz="0" w:space="0" w:color="auto"/>
                <w:bottom w:val="none" w:sz="0" w:space="0" w:color="auto"/>
                <w:right w:val="none" w:sz="0" w:space="0" w:color="auto"/>
              </w:divBdr>
            </w:div>
            <w:div w:id="951132548">
              <w:marLeft w:val="0"/>
              <w:marRight w:val="0"/>
              <w:marTop w:val="0"/>
              <w:marBottom w:val="0"/>
              <w:divBdr>
                <w:top w:val="none" w:sz="0" w:space="0" w:color="auto"/>
                <w:left w:val="none" w:sz="0" w:space="0" w:color="auto"/>
                <w:bottom w:val="none" w:sz="0" w:space="0" w:color="auto"/>
                <w:right w:val="none" w:sz="0" w:space="0" w:color="auto"/>
              </w:divBdr>
            </w:div>
            <w:div w:id="960376076">
              <w:marLeft w:val="0"/>
              <w:marRight w:val="0"/>
              <w:marTop w:val="0"/>
              <w:marBottom w:val="0"/>
              <w:divBdr>
                <w:top w:val="none" w:sz="0" w:space="0" w:color="auto"/>
                <w:left w:val="none" w:sz="0" w:space="0" w:color="auto"/>
                <w:bottom w:val="none" w:sz="0" w:space="0" w:color="auto"/>
                <w:right w:val="none" w:sz="0" w:space="0" w:color="auto"/>
              </w:divBdr>
            </w:div>
            <w:div w:id="1195734183">
              <w:marLeft w:val="0"/>
              <w:marRight w:val="0"/>
              <w:marTop w:val="0"/>
              <w:marBottom w:val="0"/>
              <w:divBdr>
                <w:top w:val="none" w:sz="0" w:space="0" w:color="auto"/>
                <w:left w:val="none" w:sz="0" w:space="0" w:color="auto"/>
                <w:bottom w:val="none" w:sz="0" w:space="0" w:color="auto"/>
                <w:right w:val="none" w:sz="0" w:space="0" w:color="auto"/>
              </w:divBdr>
            </w:div>
            <w:div w:id="1223642449">
              <w:marLeft w:val="0"/>
              <w:marRight w:val="0"/>
              <w:marTop w:val="0"/>
              <w:marBottom w:val="0"/>
              <w:divBdr>
                <w:top w:val="none" w:sz="0" w:space="0" w:color="auto"/>
                <w:left w:val="none" w:sz="0" w:space="0" w:color="auto"/>
                <w:bottom w:val="none" w:sz="0" w:space="0" w:color="auto"/>
                <w:right w:val="none" w:sz="0" w:space="0" w:color="auto"/>
              </w:divBdr>
            </w:div>
            <w:div w:id="1348169991">
              <w:marLeft w:val="0"/>
              <w:marRight w:val="0"/>
              <w:marTop w:val="0"/>
              <w:marBottom w:val="0"/>
              <w:divBdr>
                <w:top w:val="none" w:sz="0" w:space="0" w:color="auto"/>
                <w:left w:val="none" w:sz="0" w:space="0" w:color="auto"/>
                <w:bottom w:val="none" w:sz="0" w:space="0" w:color="auto"/>
                <w:right w:val="none" w:sz="0" w:space="0" w:color="auto"/>
              </w:divBdr>
            </w:div>
            <w:div w:id="1479229022">
              <w:marLeft w:val="0"/>
              <w:marRight w:val="0"/>
              <w:marTop w:val="0"/>
              <w:marBottom w:val="0"/>
              <w:divBdr>
                <w:top w:val="none" w:sz="0" w:space="0" w:color="auto"/>
                <w:left w:val="none" w:sz="0" w:space="0" w:color="auto"/>
                <w:bottom w:val="none" w:sz="0" w:space="0" w:color="auto"/>
                <w:right w:val="none" w:sz="0" w:space="0" w:color="auto"/>
              </w:divBdr>
            </w:div>
            <w:div w:id="1543903164">
              <w:marLeft w:val="0"/>
              <w:marRight w:val="0"/>
              <w:marTop w:val="0"/>
              <w:marBottom w:val="0"/>
              <w:divBdr>
                <w:top w:val="none" w:sz="0" w:space="0" w:color="auto"/>
                <w:left w:val="none" w:sz="0" w:space="0" w:color="auto"/>
                <w:bottom w:val="none" w:sz="0" w:space="0" w:color="auto"/>
                <w:right w:val="none" w:sz="0" w:space="0" w:color="auto"/>
              </w:divBdr>
            </w:div>
            <w:div w:id="1615404728">
              <w:marLeft w:val="0"/>
              <w:marRight w:val="0"/>
              <w:marTop w:val="0"/>
              <w:marBottom w:val="0"/>
              <w:divBdr>
                <w:top w:val="none" w:sz="0" w:space="0" w:color="auto"/>
                <w:left w:val="none" w:sz="0" w:space="0" w:color="auto"/>
                <w:bottom w:val="none" w:sz="0" w:space="0" w:color="auto"/>
                <w:right w:val="none" w:sz="0" w:space="0" w:color="auto"/>
              </w:divBdr>
            </w:div>
            <w:div w:id="1641613291">
              <w:marLeft w:val="0"/>
              <w:marRight w:val="0"/>
              <w:marTop w:val="0"/>
              <w:marBottom w:val="0"/>
              <w:divBdr>
                <w:top w:val="none" w:sz="0" w:space="0" w:color="auto"/>
                <w:left w:val="none" w:sz="0" w:space="0" w:color="auto"/>
                <w:bottom w:val="none" w:sz="0" w:space="0" w:color="auto"/>
                <w:right w:val="none" w:sz="0" w:space="0" w:color="auto"/>
              </w:divBdr>
            </w:div>
            <w:div w:id="1686781388">
              <w:marLeft w:val="0"/>
              <w:marRight w:val="0"/>
              <w:marTop w:val="0"/>
              <w:marBottom w:val="0"/>
              <w:divBdr>
                <w:top w:val="none" w:sz="0" w:space="0" w:color="auto"/>
                <w:left w:val="none" w:sz="0" w:space="0" w:color="auto"/>
                <w:bottom w:val="none" w:sz="0" w:space="0" w:color="auto"/>
                <w:right w:val="none" w:sz="0" w:space="0" w:color="auto"/>
              </w:divBdr>
            </w:div>
            <w:div w:id="1929458449">
              <w:marLeft w:val="0"/>
              <w:marRight w:val="0"/>
              <w:marTop w:val="0"/>
              <w:marBottom w:val="0"/>
              <w:divBdr>
                <w:top w:val="none" w:sz="0" w:space="0" w:color="auto"/>
                <w:left w:val="none" w:sz="0" w:space="0" w:color="auto"/>
                <w:bottom w:val="none" w:sz="0" w:space="0" w:color="auto"/>
                <w:right w:val="none" w:sz="0" w:space="0" w:color="auto"/>
              </w:divBdr>
            </w:div>
            <w:div w:id="1987201225">
              <w:marLeft w:val="0"/>
              <w:marRight w:val="0"/>
              <w:marTop w:val="0"/>
              <w:marBottom w:val="0"/>
              <w:divBdr>
                <w:top w:val="none" w:sz="0" w:space="0" w:color="auto"/>
                <w:left w:val="none" w:sz="0" w:space="0" w:color="auto"/>
                <w:bottom w:val="none" w:sz="0" w:space="0" w:color="auto"/>
                <w:right w:val="none" w:sz="0" w:space="0" w:color="auto"/>
              </w:divBdr>
            </w:div>
            <w:div w:id="2126457286">
              <w:marLeft w:val="0"/>
              <w:marRight w:val="0"/>
              <w:marTop w:val="0"/>
              <w:marBottom w:val="0"/>
              <w:divBdr>
                <w:top w:val="none" w:sz="0" w:space="0" w:color="auto"/>
                <w:left w:val="none" w:sz="0" w:space="0" w:color="auto"/>
                <w:bottom w:val="none" w:sz="0" w:space="0" w:color="auto"/>
                <w:right w:val="none" w:sz="0" w:space="0" w:color="auto"/>
              </w:divBdr>
            </w:div>
          </w:divsChild>
        </w:div>
        <w:div w:id="1269704562">
          <w:marLeft w:val="0"/>
          <w:marRight w:val="0"/>
          <w:marTop w:val="0"/>
          <w:marBottom w:val="0"/>
          <w:divBdr>
            <w:top w:val="none" w:sz="0" w:space="0" w:color="auto"/>
            <w:left w:val="none" w:sz="0" w:space="0" w:color="auto"/>
            <w:bottom w:val="none" w:sz="0" w:space="0" w:color="auto"/>
            <w:right w:val="none" w:sz="0" w:space="0" w:color="auto"/>
          </w:divBdr>
        </w:div>
        <w:div w:id="1453590449">
          <w:marLeft w:val="0"/>
          <w:marRight w:val="0"/>
          <w:marTop w:val="0"/>
          <w:marBottom w:val="0"/>
          <w:divBdr>
            <w:top w:val="none" w:sz="0" w:space="0" w:color="auto"/>
            <w:left w:val="none" w:sz="0" w:space="0" w:color="auto"/>
            <w:bottom w:val="none" w:sz="0" w:space="0" w:color="auto"/>
            <w:right w:val="none" w:sz="0" w:space="0" w:color="auto"/>
          </w:divBdr>
          <w:divsChild>
            <w:div w:id="332071063">
              <w:marLeft w:val="0"/>
              <w:marRight w:val="0"/>
              <w:marTop w:val="0"/>
              <w:marBottom w:val="0"/>
              <w:divBdr>
                <w:top w:val="none" w:sz="0" w:space="0" w:color="auto"/>
                <w:left w:val="none" w:sz="0" w:space="0" w:color="auto"/>
                <w:bottom w:val="none" w:sz="0" w:space="0" w:color="auto"/>
                <w:right w:val="none" w:sz="0" w:space="0" w:color="auto"/>
              </w:divBdr>
            </w:div>
            <w:div w:id="430977072">
              <w:marLeft w:val="0"/>
              <w:marRight w:val="0"/>
              <w:marTop w:val="0"/>
              <w:marBottom w:val="0"/>
              <w:divBdr>
                <w:top w:val="none" w:sz="0" w:space="0" w:color="auto"/>
                <w:left w:val="none" w:sz="0" w:space="0" w:color="auto"/>
                <w:bottom w:val="none" w:sz="0" w:space="0" w:color="auto"/>
                <w:right w:val="none" w:sz="0" w:space="0" w:color="auto"/>
              </w:divBdr>
            </w:div>
            <w:div w:id="437140777">
              <w:marLeft w:val="0"/>
              <w:marRight w:val="0"/>
              <w:marTop w:val="0"/>
              <w:marBottom w:val="0"/>
              <w:divBdr>
                <w:top w:val="none" w:sz="0" w:space="0" w:color="auto"/>
                <w:left w:val="none" w:sz="0" w:space="0" w:color="auto"/>
                <w:bottom w:val="none" w:sz="0" w:space="0" w:color="auto"/>
                <w:right w:val="none" w:sz="0" w:space="0" w:color="auto"/>
              </w:divBdr>
            </w:div>
            <w:div w:id="534923466">
              <w:marLeft w:val="0"/>
              <w:marRight w:val="0"/>
              <w:marTop w:val="0"/>
              <w:marBottom w:val="0"/>
              <w:divBdr>
                <w:top w:val="none" w:sz="0" w:space="0" w:color="auto"/>
                <w:left w:val="none" w:sz="0" w:space="0" w:color="auto"/>
                <w:bottom w:val="none" w:sz="0" w:space="0" w:color="auto"/>
                <w:right w:val="none" w:sz="0" w:space="0" w:color="auto"/>
              </w:divBdr>
            </w:div>
            <w:div w:id="549076785">
              <w:marLeft w:val="0"/>
              <w:marRight w:val="0"/>
              <w:marTop w:val="0"/>
              <w:marBottom w:val="0"/>
              <w:divBdr>
                <w:top w:val="none" w:sz="0" w:space="0" w:color="auto"/>
                <w:left w:val="none" w:sz="0" w:space="0" w:color="auto"/>
                <w:bottom w:val="none" w:sz="0" w:space="0" w:color="auto"/>
                <w:right w:val="none" w:sz="0" w:space="0" w:color="auto"/>
              </w:divBdr>
            </w:div>
            <w:div w:id="772357590">
              <w:marLeft w:val="0"/>
              <w:marRight w:val="0"/>
              <w:marTop w:val="0"/>
              <w:marBottom w:val="0"/>
              <w:divBdr>
                <w:top w:val="none" w:sz="0" w:space="0" w:color="auto"/>
                <w:left w:val="none" w:sz="0" w:space="0" w:color="auto"/>
                <w:bottom w:val="none" w:sz="0" w:space="0" w:color="auto"/>
                <w:right w:val="none" w:sz="0" w:space="0" w:color="auto"/>
              </w:divBdr>
            </w:div>
            <w:div w:id="891236269">
              <w:marLeft w:val="0"/>
              <w:marRight w:val="0"/>
              <w:marTop w:val="0"/>
              <w:marBottom w:val="0"/>
              <w:divBdr>
                <w:top w:val="none" w:sz="0" w:space="0" w:color="auto"/>
                <w:left w:val="none" w:sz="0" w:space="0" w:color="auto"/>
                <w:bottom w:val="none" w:sz="0" w:space="0" w:color="auto"/>
                <w:right w:val="none" w:sz="0" w:space="0" w:color="auto"/>
              </w:divBdr>
            </w:div>
            <w:div w:id="1027605602">
              <w:marLeft w:val="0"/>
              <w:marRight w:val="0"/>
              <w:marTop w:val="0"/>
              <w:marBottom w:val="0"/>
              <w:divBdr>
                <w:top w:val="none" w:sz="0" w:space="0" w:color="auto"/>
                <w:left w:val="none" w:sz="0" w:space="0" w:color="auto"/>
                <w:bottom w:val="none" w:sz="0" w:space="0" w:color="auto"/>
                <w:right w:val="none" w:sz="0" w:space="0" w:color="auto"/>
              </w:divBdr>
            </w:div>
            <w:div w:id="1040667049">
              <w:marLeft w:val="0"/>
              <w:marRight w:val="0"/>
              <w:marTop w:val="0"/>
              <w:marBottom w:val="0"/>
              <w:divBdr>
                <w:top w:val="none" w:sz="0" w:space="0" w:color="auto"/>
                <w:left w:val="none" w:sz="0" w:space="0" w:color="auto"/>
                <w:bottom w:val="none" w:sz="0" w:space="0" w:color="auto"/>
                <w:right w:val="none" w:sz="0" w:space="0" w:color="auto"/>
              </w:divBdr>
            </w:div>
            <w:div w:id="1124664760">
              <w:marLeft w:val="0"/>
              <w:marRight w:val="0"/>
              <w:marTop w:val="0"/>
              <w:marBottom w:val="0"/>
              <w:divBdr>
                <w:top w:val="none" w:sz="0" w:space="0" w:color="auto"/>
                <w:left w:val="none" w:sz="0" w:space="0" w:color="auto"/>
                <w:bottom w:val="none" w:sz="0" w:space="0" w:color="auto"/>
                <w:right w:val="none" w:sz="0" w:space="0" w:color="auto"/>
              </w:divBdr>
            </w:div>
            <w:div w:id="1225339506">
              <w:marLeft w:val="0"/>
              <w:marRight w:val="0"/>
              <w:marTop w:val="0"/>
              <w:marBottom w:val="0"/>
              <w:divBdr>
                <w:top w:val="none" w:sz="0" w:space="0" w:color="auto"/>
                <w:left w:val="none" w:sz="0" w:space="0" w:color="auto"/>
                <w:bottom w:val="none" w:sz="0" w:space="0" w:color="auto"/>
                <w:right w:val="none" w:sz="0" w:space="0" w:color="auto"/>
              </w:divBdr>
            </w:div>
            <w:div w:id="1288244144">
              <w:marLeft w:val="0"/>
              <w:marRight w:val="0"/>
              <w:marTop w:val="0"/>
              <w:marBottom w:val="0"/>
              <w:divBdr>
                <w:top w:val="none" w:sz="0" w:space="0" w:color="auto"/>
                <w:left w:val="none" w:sz="0" w:space="0" w:color="auto"/>
                <w:bottom w:val="none" w:sz="0" w:space="0" w:color="auto"/>
                <w:right w:val="none" w:sz="0" w:space="0" w:color="auto"/>
              </w:divBdr>
            </w:div>
            <w:div w:id="1324508323">
              <w:marLeft w:val="0"/>
              <w:marRight w:val="0"/>
              <w:marTop w:val="0"/>
              <w:marBottom w:val="0"/>
              <w:divBdr>
                <w:top w:val="none" w:sz="0" w:space="0" w:color="auto"/>
                <w:left w:val="none" w:sz="0" w:space="0" w:color="auto"/>
                <w:bottom w:val="none" w:sz="0" w:space="0" w:color="auto"/>
                <w:right w:val="none" w:sz="0" w:space="0" w:color="auto"/>
              </w:divBdr>
            </w:div>
            <w:div w:id="1383942098">
              <w:marLeft w:val="0"/>
              <w:marRight w:val="0"/>
              <w:marTop w:val="0"/>
              <w:marBottom w:val="0"/>
              <w:divBdr>
                <w:top w:val="none" w:sz="0" w:space="0" w:color="auto"/>
                <w:left w:val="none" w:sz="0" w:space="0" w:color="auto"/>
                <w:bottom w:val="none" w:sz="0" w:space="0" w:color="auto"/>
                <w:right w:val="none" w:sz="0" w:space="0" w:color="auto"/>
              </w:divBdr>
            </w:div>
            <w:div w:id="1707490050">
              <w:marLeft w:val="0"/>
              <w:marRight w:val="0"/>
              <w:marTop w:val="0"/>
              <w:marBottom w:val="0"/>
              <w:divBdr>
                <w:top w:val="none" w:sz="0" w:space="0" w:color="auto"/>
                <w:left w:val="none" w:sz="0" w:space="0" w:color="auto"/>
                <w:bottom w:val="none" w:sz="0" w:space="0" w:color="auto"/>
                <w:right w:val="none" w:sz="0" w:space="0" w:color="auto"/>
              </w:divBdr>
            </w:div>
            <w:div w:id="1803376059">
              <w:marLeft w:val="0"/>
              <w:marRight w:val="0"/>
              <w:marTop w:val="0"/>
              <w:marBottom w:val="0"/>
              <w:divBdr>
                <w:top w:val="none" w:sz="0" w:space="0" w:color="auto"/>
                <w:left w:val="none" w:sz="0" w:space="0" w:color="auto"/>
                <w:bottom w:val="none" w:sz="0" w:space="0" w:color="auto"/>
                <w:right w:val="none" w:sz="0" w:space="0" w:color="auto"/>
              </w:divBdr>
            </w:div>
            <w:div w:id="1832794417">
              <w:marLeft w:val="0"/>
              <w:marRight w:val="0"/>
              <w:marTop w:val="0"/>
              <w:marBottom w:val="0"/>
              <w:divBdr>
                <w:top w:val="none" w:sz="0" w:space="0" w:color="auto"/>
                <w:left w:val="none" w:sz="0" w:space="0" w:color="auto"/>
                <w:bottom w:val="none" w:sz="0" w:space="0" w:color="auto"/>
                <w:right w:val="none" w:sz="0" w:space="0" w:color="auto"/>
              </w:divBdr>
            </w:div>
            <w:div w:id="1870025889">
              <w:marLeft w:val="0"/>
              <w:marRight w:val="0"/>
              <w:marTop w:val="0"/>
              <w:marBottom w:val="0"/>
              <w:divBdr>
                <w:top w:val="none" w:sz="0" w:space="0" w:color="auto"/>
                <w:left w:val="none" w:sz="0" w:space="0" w:color="auto"/>
                <w:bottom w:val="none" w:sz="0" w:space="0" w:color="auto"/>
                <w:right w:val="none" w:sz="0" w:space="0" w:color="auto"/>
              </w:divBdr>
            </w:div>
            <w:div w:id="1913813047">
              <w:marLeft w:val="0"/>
              <w:marRight w:val="0"/>
              <w:marTop w:val="0"/>
              <w:marBottom w:val="0"/>
              <w:divBdr>
                <w:top w:val="none" w:sz="0" w:space="0" w:color="auto"/>
                <w:left w:val="none" w:sz="0" w:space="0" w:color="auto"/>
                <w:bottom w:val="none" w:sz="0" w:space="0" w:color="auto"/>
                <w:right w:val="none" w:sz="0" w:space="0" w:color="auto"/>
              </w:divBdr>
            </w:div>
            <w:div w:id="1973291422">
              <w:marLeft w:val="0"/>
              <w:marRight w:val="0"/>
              <w:marTop w:val="0"/>
              <w:marBottom w:val="0"/>
              <w:divBdr>
                <w:top w:val="none" w:sz="0" w:space="0" w:color="auto"/>
                <w:left w:val="none" w:sz="0" w:space="0" w:color="auto"/>
                <w:bottom w:val="none" w:sz="0" w:space="0" w:color="auto"/>
                <w:right w:val="none" w:sz="0" w:space="0" w:color="auto"/>
              </w:divBdr>
            </w:div>
          </w:divsChild>
        </w:div>
        <w:div w:id="1554121235">
          <w:marLeft w:val="0"/>
          <w:marRight w:val="0"/>
          <w:marTop w:val="0"/>
          <w:marBottom w:val="0"/>
          <w:divBdr>
            <w:top w:val="none" w:sz="0" w:space="0" w:color="auto"/>
            <w:left w:val="none" w:sz="0" w:space="0" w:color="auto"/>
            <w:bottom w:val="none" w:sz="0" w:space="0" w:color="auto"/>
            <w:right w:val="none" w:sz="0" w:space="0" w:color="auto"/>
          </w:divBdr>
        </w:div>
        <w:div w:id="1689673834">
          <w:marLeft w:val="0"/>
          <w:marRight w:val="0"/>
          <w:marTop w:val="0"/>
          <w:marBottom w:val="0"/>
          <w:divBdr>
            <w:top w:val="none" w:sz="0" w:space="0" w:color="auto"/>
            <w:left w:val="none" w:sz="0" w:space="0" w:color="auto"/>
            <w:bottom w:val="none" w:sz="0" w:space="0" w:color="auto"/>
            <w:right w:val="none" w:sz="0" w:space="0" w:color="auto"/>
          </w:divBdr>
        </w:div>
        <w:div w:id="1758558108">
          <w:marLeft w:val="0"/>
          <w:marRight w:val="0"/>
          <w:marTop w:val="0"/>
          <w:marBottom w:val="0"/>
          <w:divBdr>
            <w:top w:val="none" w:sz="0" w:space="0" w:color="auto"/>
            <w:left w:val="none" w:sz="0" w:space="0" w:color="auto"/>
            <w:bottom w:val="none" w:sz="0" w:space="0" w:color="auto"/>
            <w:right w:val="none" w:sz="0" w:space="0" w:color="auto"/>
          </w:divBdr>
        </w:div>
        <w:div w:id="2008243951">
          <w:marLeft w:val="0"/>
          <w:marRight w:val="0"/>
          <w:marTop w:val="0"/>
          <w:marBottom w:val="0"/>
          <w:divBdr>
            <w:top w:val="none" w:sz="0" w:space="0" w:color="auto"/>
            <w:left w:val="none" w:sz="0" w:space="0" w:color="auto"/>
            <w:bottom w:val="none" w:sz="0" w:space="0" w:color="auto"/>
            <w:right w:val="none" w:sz="0" w:space="0" w:color="auto"/>
          </w:divBdr>
          <w:divsChild>
            <w:div w:id="25448764">
              <w:marLeft w:val="0"/>
              <w:marRight w:val="0"/>
              <w:marTop w:val="0"/>
              <w:marBottom w:val="0"/>
              <w:divBdr>
                <w:top w:val="none" w:sz="0" w:space="0" w:color="auto"/>
                <w:left w:val="none" w:sz="0" w:space="0" w:color="auto"/>
                <w:bottom w:val="none" w:sz="0" w:space="0" w:color="auto"/>
                <w:right w:val="none" w:sz="0" w:space="0" w:color="auto"/>
              </w:divBdr>
            </w:div>
            <w:div w:id="164173604">
              <w:marLeft w:val="0"/>
              <w:marRight w:val="0"/>
              <w:marTop w:val="0"/>
              <w:marBottom w:val="0"/>
              <w:divBdr>
                <w:top w:val="none" w:sz="0" w:space="0" w:color="auto"/>
                <w:left w:val="none" w:sz="0" w:space="0" w:color="auto"/>
                <w:bottom w:val="none" w:sz="0" w:space="0" w:color="auto"/>
                <w:right w:val="none" w:sz="0" w:space="0" w:color="auto"/>
              </w:divBdr>
            </w:div>
            <w:div w:id="271742760">
              <w:marLeft w:val="0"/>
              <w:marRight w:val="0"/>
              <w:marTop w:val="0"/>
              <w:marBottom w:val="0"/>
              <w:divBdr>
                <w:top w:val="none" w:sz="0" w:space="0" w:color="auto"/>
                <w:left w:val="none" w:sz="0" w:space="0" w:color="auto"/>
                <w:bottom w:val="none" w:sz="0" w:space="0" w:color="auto"/>
                <w:right w:val="none" w:sz="0" w:space="0" w:color="auto"/>
              </w:divBdr>
            </w:div>
            <w:div w:id="437913258">
              <w:marLeft w:val="0"/>
              <w:marRight w:val="0"/>
              <w:marTop w:val="0"/>
              <w:marBottom w:val="0"/>
              <w:divBdr>
                <w:top w:val="none" w:sz="0" w:space="0" w:color="auto"/>
                <w:left w:val="none" w:sz="0" w:space="0" w:color="auto"/>
                <w:bottom w:val="none" w:sz="0" w:space="0" w:color="auto"/>
                <w:right w:val="none" w:sz="0" w:space="0" w:color="auto"/>
              </w:divBdr>
            </w:div>
            <w:div w:id="614947426">
              <w:marLeft w:val="0"/>
              <w:marRight w:val="0"/>
              <w:marTop w:val="0"/>
              <w:marBottom w:val="0"/>
              <w:divBdr>
                <w:top w:val="none" w:sz="0" w:space="0" w:color="auto"/>
                <w:left w:val="none" w:sz="0" w:space="0" w:color="auto"/>
                <w:bottom w:val="none" w:sz="0" w:space="0" w:color="auto"/>
                <w:right w:val="none" w:sz="0" w:space="0" w:color="auto"/>
              </w:divBdr>
            </w:div>
            <w:div w:id="665859294">
              <w:marLeft w:val="0"/>
              <w:marRight w:val="0"/>
              <w:marTop w:val="0"/>
              <w:marBottom w:val="0"/>
              <w:divBdr>
                <w:top w:val="none" w:sz="0" w:space="0" w:color="auto"/>
                <w:left w:val="none" w:sz="0" w:space="0" w:color="auto"/>
                <w:bottom w:val="none" w:sz="0" w:space="0" w:color="auto"/>
                <w:right w:val="none" w:sz="0" w:space="0" w:color="auto"/>
              </w:divBdr>
            </w:div>
            <w:div w:id="775753128">
              <w:marLeft w:val="0"/>
              <w:marRight w:val="0"/>
              <w:marTop w:val="0"/>
              <w:marBottom w:val="0"/>
              <w:divBdr>
                <w:top w:val="none" w:sz="0" w:space="0" w:color="auto"/>
                <w:left w:val="none" w:sz="0" w:space="0" w:color="auto"/>
                <w:bottom w:val="none" w:sz="0" w:space="0" w:color="auto"/>
                <w:right w:val="none" w:sz="0" w:space="0" w:color="auto"/>
              </w:divBdr>
            </w:div>
            <w:div w:id="801389309">
              <w:marLeft w:val="0"/>
              <w:marRight w:val="0"/>
              <w:marTop w:val="0"/>
              <w:marBottom w:val="0"/>
              <w:divBdr>
                <w:top w:val="none" w:sz="0" w:space="0" w:color="auto"/>
                <w:left w:val="none" w:sz="0" w:space="0" w:color="auto"/>
                <w:bottom w:val="none" w:sz="0" w:space="0" w:color="auto"/>
                <w:right w:val="none" w:sz="0" w:space="0" w:color="auto"/>
              </w:divBdr>
            </w:div>
            <w:div w:id="831288804">
              <w:marLeft w:val="0"/>
              <w:marRight w:val="0"/>
              <w:marTop w:val="0"/>
              <w:marBottom w:val="0"/>
              <w:divBdr>
                <w:top w:val="none" w:sz="0" w:space="0" w:color="auto"/>
                <w:left w:val="none" w:sz="0" w:space="0" w:color="auto"/>
                <w:bottom w:val="none" w:sz="0" w:space="0" w:color="auto"/>
                <w:right w:val="none" w:sz="0" w:space="0" w:color="auto"/>
              </w:divBdr>
            </w:div>
            <w:div w:id="1102804226">
              <w:marLeft w:val="0"/>
              <w:marRight w:val="0"/>
              <w:marTop w:val="0"/>
              <w:marBottom w:val="0"/>
              <w:divBdr>
                <w:top w:val="none" w:sz="0" w:space="0" w:color="auto"/>
                <w:left w:val="none" w:sz="0" w:space="0" w:color="auto"/>
                <w:bottom w:val="none" w:sz="0" w:space="0" w:color="auto"/>
                <w:right w:val="none" w:sz="0" w:space="0" w:color="auto"/>
              </w:divBdr>
            </w:div>
            <w:div w:id="1187601845">
              <w:marLeft w:val="0"/>
              <w:marRight w:val="0"/>
              <w:marTop w:val="0"/>
              <w:marBottom w:val="0"/>
              <w:divBdr>
                <w:top w:val="none" w:sz="0" w:space="0" w:color="auto"/>
                <w:left w:val="none" w:sz="0" w:space="0" w:color="auto"/>
                <w:bottom w:val="none" w:sz="0" w:space="0" w:color="auto"/>
                <w:right w:val="none" w:sz="0" w:space="0" w:color="auto"/>
              </w:divBdr>
            </w:div>
            <w:div w:id="1398359903">
              <w:marLeft w:val="0"/>
              <w:marRight w:val="0"/>
              <w:marTop w:val="0"/>
              <w:marBottom w:val="0"/>
              <w:divBdr>
                <w:top w:val="none" w:sz="0" w:space="0" w:color="auto"/>
                <w:left w:val="none" w:sz="0" w:space="0" w:color="auto"/>
                <w:bottom w:val="none" w:sz="0" w:space="0" w:color="auto"/>
                <w:right w:val="none" w:sz="0" w:space="0" w:color="auto"/>
              </w:divBdr>
            </w:div>
            <w:div w:id="1407922729">
              <w:marLeft w:val="0"/>
              <w:marRight w:val="0"/>
              <w:marTop w:val="0"/>
              <w:marBottom w:val="0"/>
              <w:divBdr>
                <w:top w:val="none" w:sz="0" w:space="0" w:color="auto"/>
                <w:left w:val="none" w:sz="0" w:space="0" w:color="auto"/>
                <w:bottom w:val="none" w:sz="0" w:space="0" w:color="auto"/>
                <w:right w:val="none" w:sz="0" w:space="0" w:color="auto"/>
              </w:divBdr>
            </w:div>
            <w:div w:id="1454057986">
              <w:marLeft w:val="0"/>
              <w:marRight w:val="0"/>
              <w:marTop w:val="0"/>
              <w:marBottom w:val="0"/>
              <w:divBdr>
                <w:top w:val="none" w:sz="0" w:space="0" w:color="auto"/>
                <w:left w:val="none" w:sz="0" w:space="0" w:color="auto"/>
                <w:bottom w:val="none" w:sz="0" w:space="0" w:color="auto"/>
                <w:right w:val="none" w:sz="0" w:space="0" w:color="auto"/>
              </w:divBdr>
            </w:div>
            <w:div w:id="1785926746">
              <w:marLeft w:val="0"/>
              <w:marRight w:val="0"/>
              <w:marTop w:val="0"/>
              <w:marBottom w:val="0"/>
              <w:divBdr>
                <w:top w:val="none" w:sz="0" w:space="0" w:color="auto"/>
                <w:left w:val="none" w:sz="0" w:space="0" w:color="auto"/>
                <w:bottom w:val="none" w:sz="0" w:space="0" w:color="auto"/>
                <w:right w:val="none" w:sz="0" w:space="0" w:color="auto"/>
              </w:divBdr>
            </w:div>
            <w:div w:id="1795251585">
              <w:marLeft w:val="0"/>
              <w:marRight w:val="0"/>
              <w:marTop w:val="0"/>
              <w:marBottom w:val="0"/>
              <w:divBdr>
                <w:top w:val="none" w:sz="0" w:space="0" w:color="auto"/>
                <w:left w:val="none" w:sz="0" w:space="0" w:color="auto"/>
                <w:bottom w:val="none" w:sz="0" w:space="0" w:color="auto"/>
                <w:right w:val="none" w:sz="0" w:space="0" w:color="auto"/>
              </w:divBdr>
            </w:div>
            <w:div w:id="1831867840">
              <w:marLeft w:val="0"/>
              <w:marRight w:val="0"/>
              <w:marTop w:val="0"/>
              <w:marBottom w:val="0"/>
              <w:divBdr>
                <w:top w:val="none" w:sz="0" w:space="0" w:color="auto"/>
                <w:left w:val="none" w:sz="0" w:space="0" w:color="auto"/>
                <w:bottom w:val="none" w:sz="0" w:space="0" w:color="auto"/>
                <w:right w:val="none" w:sz="0" w:space="0" w:color="auto"/>
              </w:divBdr>
            </w:div>
            <w:div w:id="1907064263">
              <w:marLeft w:val="0"/>
              <w:marRight w:val="0"/>
              <w:marTop w:val="0"/>
              <w:marBottom w:val="0"/>
              <w:divBdr>
                <w:top w:val="none" w:sz="0" w:space="0" w:color="auto"/>
                <w:left w:val="none" w:sz="0" w:space="0" w:color="auto"/>
                <w:bottom w:val="none" w:sz="0" w:space="0" w:color="auto"/>
                <w:right w:val="none" w:sz="0" w:space="0" w:color="auto"/>
              </w:divBdr>
            </w:div>
            <w:div w:id="2077513436">
              <w:marLeft w:val="0"/>
              <w:marRight w:val="0"/>
              <w:marTop w:val="0"/>
              <w:marBottom w:val="0"/>
              <w:divBdr>
                <w:top w:val="none" w:sz="0" w:space="0" w:color="auto"/>
                <w:left w:val="none" w:sz="0" w:space="0" w:color="auto"/>
                <w:bottom w:val="none" w:sz="0" w:space="0" w:color="auto"/>
                <w:right w:val="none" w:sz="0" w:space="0" w:color="auto"/>
              </w:divBdr>
            </w:div>
            <w:div w:id="2098094325">
              <w:marLeft w:val="0"/>
              <w:marRight w:val="0"/>
              <w:marTop w:val="0"/>
              <w:marBottom w:val="0"/>
              <w:divBdr>
                <w:top w:val="none" w:sz="0" w:space="0" w:color="auto"/>
                <w:left w:val="none" w:sz="0" w:space="0" w:color="auto"/>
                <w:bottom w:val="none" w:sz="0" w:space="0" w:color="auto"/>
                <w:right w:val="none" w:sz="0" w:space="0" w:color="auto"/>
              </w:divBdr>
            </w:div>
          </w:divsChild>
        </w:div>
        <w:div w:id="2010400892">
          <w:marLeft w:val="0"/>
          <w:marRight w:val="0"/>
          <w:marTop w:val="0"/>
          <w:marBottom w:val="0"/>
          <w:divBdr>
            <w:top w:val="none" w:sz="0" w:space="0" w:color="auto"/>
            <w:left w:val="none" w:sz="0" w:space="0" w:color="auto"/>
            <w:bottom w:val="none" w:sz="0" w:space="0" w:color="auto"/>
            <w:right w:val="none" w:sz="0" w:space="0" w:color="auto"/>
          </w:divBdr>
        </w:div>
      </w:divsChild>
    </w:div>
    <w:div w:id="1722707710">
      <w:bodyDiv w:val="1"/>
      <w:marLeft w:val="0"/>
      <w:marRight w:val="0"/>
      <w:marTop w:val="0"/>
      <w:marBottom w:val="0"/>
      <w:divBdr>
        <w:top w:val="none" w:sz="0" w:space="0" w:color="auto"/>
        <w:left w:val="none" w:sz="0" w:space="0" w:color="auto"/>
        <w:bottom w:val="none" w:sz="0" w:space="0" w:color="auto"/>
        <w:right w:val="none" w:sz="0" w:space="0" w:color="auto"/>
      </w:divBdr>
      <w:divsChild>
        <w:div w:id="84232249">
          <w:marLeft w:val="0"/>
          <w:marRight w:val="0"/>
          <w:marTop w:val="0"/>
          <w:marBottom w:val="0"/>
          <w:divBdr>
            <w:top w:val="none" w:sz="0" w:space="0" w:color="auto"/>
            <w:left w:val="none" w:sz="0" w:space="0" w:color="auto"/>
            <w:bottom w:val="none" w:sz="0" w:space="0" w:color="auto"/>
            <w:right w:val="none" w:sz="0" w:space="0" w:color="auto"/>
          </w:divBdr>
        </w:div>
        <w:div w:id="762648684">
          <w:marLeft w:val="0"/>
          <w:marRight w:val="0"/>
          <w:marTop w:val="0"/>
          <w:marBottom w:val="0"/>
          <w:divBdr>
            <w:top w:val="none" w:sz="0" w:space="0" w:color="auto"/>
            <w:left w:val="none" w:sz="0" w:space="0" w:color="auto"/>
            <w:bottom w:val="none" w:sz="0" w:space="0" w:color="auto"/>
            <w:right w:val="none" w:sz="0" w:space="0" w:color="auto"/>
          </w:divBdr>
        </w:div>
        <w:div w:id="1392339601">
          <w:marLeft w:val="0"/>
          <w:marRight w:val="0"/>
          <w:marTop w:val="0"/>
          <w:marBottom w:val="0"/>
          <w:divBdr>
            <w:top w:val="none" w:sz="0" w:space="0" w:color="auto"/>
            <w:left w:val="none" w:sz="0" w:space="0" w:color="auto"/>
            <w:bottom w:val="none" w:sz="0" w:space="0" w:color="auto"/>
            <w:right w:val="none" w:sz="0" w:space="0" w:color="auto"/>
          </w:divBdr>
        </w:div>
        <w:div w:id="1475296453">
          <w:marLeft w:val="0"/>
          <w:marRight w:val="0"/>
          <w:marTop w:val="0"/>
          <w:marBottom w:val="0"/>
          <w:divBdr>
            <w:top w:val="none" w:sz="0" w:space="0" w:color="auto"/>
            <w:left w:val="none" w:sz="0" w:space="0" w:color="auto"/>
            <w:bottom w:val="none" w:sz="0" w:space="0" w:color="auto"/>
            <w:right w:val="none" w:sz="0" w:space="0" w:color="auto"/>
          </w:divBdr>
        </w:div>
        <w:div w:id="1489858606">
          <w:marLeft w:val="0"/>
          <w:marRight w:val="0"/>
          <w:marTop w:val="0"/>
          <w:marBottom w:val="0"/>
          <w:divBdr>
            <w:top w:val="none" w:sz="0" w:space="0" w:color="auto"/>
            <w:left w:val="none" w:sz="0" w:space="0" w:color="auto"/>
            <w:bottom w:val="none" w:sz="0" w:space="0" w:color="auto"/>
            <w:right w:val="none" w:sz="0" w:space="0" w:color="auto"/>
          </w:divBdr>
        </w:div>
      </w:divsChild>
    </w:div>
    <w:div w:id="1765373383">
      <w:bodyDiv w:val="1"/>
      <w:marLeft w:val="0"/>
      <w:marRight w:val="0"/>
      <w:marTop w:val="0"/>
      <w:marBottom w:val="0"/>
      <w:divBdr>
        <w:top w:val="none" w:sz="0" w:space="0" w:color="auto"/>
        <w:left w:val="none" w:sz="0" w:space="0" w:color="auto"/>
        <w:bottom w:val="none" w:sz="0" w:space="0" w:color="auto"/>
        <w:right w:val="none" w:sz="0" w:space="0" w:color="auto"/>
      </w:divBdr>
      <w:divsChild>
        <w:div w:id="53161850">
          <w:marLeft w:val="0"/>
          <w:marRight w:val="0"/>
          <w:marTop w:val="0"/>
          <w:marBottom w:val="0"/>
          <w:divBdr>
            <w:top w:val="none" w:sz="0" w:space="0" w:color="auto"/>
            <w:left w:val="none" w:sz="0" w:space="0" w:color="auto"/>
            <w:bottom w:val="none" w:sz="0" w:space="0" w:color="auto"/>
            <w:right w:val="none" w:sz="0" w:space="0" w:color="auto"/>
          </w:divBdr>
        </w:div>
        <w:div w:id="137842978">
          <w:marLeft w:val="0"/>
          <w:marRight w:val="0"/>
          <w:marTop w:val="0"/>
          <w:marBottom w:val="0"/>
          <w:divBdr>
            <w:top w:val="none" w:sz="0" w:space="0" w:color="auto"/>
            <w:left w:val="none" w:sz="0" w:space="0" w:color="auto"/>
            <w:bottom w:val="none" w:sz="0" w:space="0" w:color="auto"/>
            <w:right w:val="none" w:sz="0" w:space="0" w:color="auto"/>
          </w:divBdr>
        </w:div>
        <w:div w:id="148643960">
          <w:marLeft w:val="0"/>
          <w:marRight w:val="0"/>
          <w:marTop w:val="0"/>
          <w:marBottom w:val="0"/>
          <w:divBdr>
            <w:top w:val="none" w:sz="0" w:space="0" w:color="auto"/>
            <w:left w:val="none" w:sz="0" w:space="0" w:color="auto"/>
            <w:bottom w:val="none" w:sz="0" w:space="0" w:color="auto"/>
            <w:right w:val="none" w:sz="0" w:space="0" w:color="auto"/>
          </w:divBdr>
        </w:div>
        <w:div w:id="252864259">
          <w:marLeft w:val="0"/>
          <w:marRight w:val="0"/>
          <w:marTop w:val="0"/>
          <w:marBottom w:val="0"/>
          <w:divBdr>
            <w:top w:val="none" w:sz="0" w:space="0" w:color="auto"/>
            <w:left w:val="none" w:sz="0" w:space="0" w:color="auto"/>
            <w:bottom w:val="none" w:sz="0" w:space="0" w:color="auto"/>
            <w:right w:val="none" w:sz="0" w:space="0" w:color="auto"/>
          </w:divBdr>
        </w:div>
        <w:div w:id="462776272">
          <w:marLeft w:val="0"/>
          <w:marRight w:val="0"/>
          <w:marTop w:val="0"/>
          <w:marBottom w:val="0"/>
          <w:divBdr>
            <w:top w:val="none" w:sz="0" w:space="0" w:color="auto"/>
            <w:left w:val="none" w:sz="0" w:space="0" w:color="auto"/>
            <w:bottom w:val="none" w:sz="0" w:space="0" w:color="auto"/>
            <w:right w:val="none" w:sz="0" w:space="0" w:color="auto"/>
          </w:divBdr>
        </w:div>
        <w:div w:id="1233278681">
          <w:marLeft w:val="0"/>
          <w:marRight w:val="0"/>
          <w:marTop w:val="0"/>
          <w:marBottom w:val="0"/>
          <w:divBdr>
            <w:top w:val="none" w:sz="0" w:space="0" w:color="auto"/>
            <w:left w:val="none" w:sz="0" w:space="0" w:color="auto"/>
            <w:bottom w:val="none" w:sz="0" w:space="0" w:color="auto"/>
            <w:right w:val="none" w:sz="0" w:space="0" w:color="auto"/>
          </w:divBdr>
        </w:div>
        <w:div w:id="1253775894">
          <w:marLeft w:val="0"/>
          <w:marRight w:val="0"/>
          <w:marTop w:val="0"/>
          <w:marBottom w:val="0"/>
          <w:divBdr>
            <w:top w:val="none" w:sz="0" w:space="0" w:color="auto"/>
            <w:left w:val="none" w:sz="0" w:space="0" w:color="auto"/>
            <w:bottom w:val="none" w:sz="0" w:space="0" w:color="auto"/>
            <w:right w:val="none" w:sz="0" w:space="0" w:color="auto"/>
          </w:divBdr>
        </w:div>
        <w:div w:id="1374773365">
          <w:marLeft w:val="0"/>
          <w:marRight w:val="0"/>
          <w:marTop w:val="0"/>
          <w:marBottom w:val="0"/>
          <w:divBdr>
            <w:top w:val="none" w:sz="0" w:space="0" w:color="auto"/>
            <w:left w:val="none" w:sz="0" w:space="0" w:color="auto"/>
            <w:bottom w:val="none" w:sz="0" w:space="0" w:color="auto"/>
            <w:right w:val="none" w:sz="0" w:space="0" w:color="auto"/>
          </w:divBdr>
        </w:div>
        <w:div w:id="1604459954">
          <w:marLeft w:val="0"/>
          <w:marRight w:val="0"/>
          <w:marTop w:val="0"/>
          <w:marBottom w:val="0"/>
          <w:divBdr>
            <w:top w:val="none" w:sz="0" w:space="0" w:color="auto"/>
            <w:left w:val="none" w:sz="0" w:space="0" w:color="auto"/>
            <w:bottom w:val="none" w:sz="0" w:space="0" w:color="auto"/>
            <w:right w:val="none" w:sz="0" w:space="0" w:color="auto"/>
          </w:divBdr>
        </w:div>
        <w:div w:id="1819416104">
          <w:marLeft w:val="0"/>
          <w:marRight w:val="0"/>
          <w:marTop w:val="0"/>
          <w:marBottom w:val="0"/>
          <w:divBdr>
            <w:top w:val="none" w:sz="0" w:space="0" w:color="auto"/>
            <w:left w:val="none" w:sz="0" w:space="0" w:color="auto"/>
            <w:bottom w:val="none" w:sz="0" w:space="0" w:color="auto"/>
            <w:right w:val="none" w:sz="0" w:space="0" w:color="auto"/>
          </w:divBdr>
        </w:div>
        <w:div w:id="1931305139">
          <w:marLeft w:val="0"/>
          <w:marRight w:val="0"/>
          <w:marTop w:val="0"/>
          <w:marBottom w:val="0"/>
          <w:divBdr>
            <w:top w:val="none" w:sz="0" w:space="0" w:color="auto"/>
            <w:left w:val="none" w:sz="0" w:space="0" w:color="auto"/>
            <w:bottom w:val="none" w:sz="0" w:space="0" w:color="auto"/>
            <w:right w:val="none" w:sz="0" w:space="0" w:color="auto"/>
          </w:divBdr>
        </w:div>
      </w:divsChild>
    </w:div>
    <w:div w:id="1798178735">
      <w:bodyDiv w:val="1"/>
      <w:marLeft w:val="0"/>
      <w:marRight w:val="0"/>
      <w:marTop w:val="0"/>
      <w:marBottom w:val="0"/>
      <w:divBdr>
        <w:top w:val="none" w:sz="0" w:space="0" w:color="auto"/>
        <w:left w:val="none" w:sz="0" w:space="0" w:color="auto"/>
        <w:bottom w:val="none" w:sz="0" w:space="0" w:color="auto"/>
        <w:right w:val="none" w:sz="0" w:space="0" w:color="auto"/>
      </w:divBdr>
    </w:div>
    <w:div w:id="1800608431">
      <w:bodyDiv w:val="1"/>
      <w:marLeft w:val="0"/>
      <w:marRight w:val="0"/>
      <w:marTop w:val="0"/>
      <w:marBottom w:val="0"/>
      <w:divBdr>
        <w:top w:val="none" w:sz="0" w:space="0" w:color="auto"/>
        <w:left w:val="none" w:sz="0" w:space="0" w:color="auto"/>
        <w:bottom w:val="none" w:sz="0" w:space="0" w:color="auto"/>
        <w:right w:val="none" w:sz="0" w:space="0" w:color="auto"/>
      </w:divBdr>
    </w:div>
    <w:div w:id="1828352343">
      <w:bodyDiv w:val="1"/>
      <w:marLeft w:val="0"/>
      <w:marRight w:val="0"/>
      <w:marTop w:val="0"/>
      <w:marBottom w:val="0"/>
      <w:divBdr>
        <w:top w:val="none" w:sz="0" w:space="0" w:color="auto"/>
        <w:left w:val="none" w:sz="0" w:space="0" w:color="auto"/>
        <w:bottom w:val="none" w:sz="0" w:space="0" w:color="auto"/>
        <w:right w:val="none" w:sz="0" w:space="0" w:color="auto"/>
      </w:divBdr>
      <w:divsChild>
        <w:div w:id="189227921">
          <w:marLeft w:val="0"/>
          <w:marRight w:val="0"/>
          <w:marTop w:val="0"/>
          <w:marBottom w:val="0"/>
          <w:divBdr>
            <w:top w:val="none" w:sz="0" w:space="0" w:color="auto"/>
            <w:left w:val="none" w:sz="0" w:space="0" w:color="auto"/>
            <w:bottom w:val="none" w:sz="0" w:space="0" w:color="auto"/>
            <w:right w:val="none" w:sz="0" w:space="0" w:color="auto"/>
          </w:divBdr>
        </w:div>
        <w:div w:id="202794716">
          <w:marLeft w:val="0"/>
          <w:marRight w:val="0"/>
          <w:marTop w:val="0"/>
          <w:marBottom w:val="0"/>
          <w:divBdr>
            <w:top w:val="none" w:sz="0" w:space="0" w:color="auto"/>
            <w:left w:val="none" w:sz="0" w:space="0" w:color="auto"/>
            <w:bottom w:val="none" w:sz="0" w:space="0" w:color="auto"/>
            <w:right w:val="none" w:sz="0" w:space="0" w:color="auto"/>
          </w:divBdr>
        </w:div>
        <w:div w:id="499778593">
          <w:marLeft w:val="0"/>
          <w:marRight w:val="0"/>
          <w:marTop w:val="0"/>
          <w:marBottom w:val="0"/>
          <w:divBdr>
            <w:top w:val="none" w:sz="0" w:space="0" w:color="auto"/>
            <w:left w:val="none" w:sz="0" w:space="0" w:color="auto"/>
            <w:bottom w:val="none" w:sz="0" w:space="0" w:color="auto"/>
            <w:right w:val="none" w:sz="0" w:space="0" w:color="auto"/>
          </w:divBdr>
        </w:div>
        <w:div w:id="583878686">
          <w:marLeft w:val="0"/>
          <w:marRight w:val="0"/>
          <w:marTop w:val="0"/>
          <w:marBottom w:val="0"/>
          <w:divBdr>
            <w:top w:val="none" w:sz="0" w:space="0" w:color="auto"/>
            <w:left w:val="none" w:sz="0" w:space="0" w:color="auto"/>
            <w:bottom w:val="none" w:sz="0" w:space="0" w:color="auto"/>
            <w:right w:val="none" w:sz="0" w:space="0" w:color="auto"/>
          </w:divBdr>
          <w:divsChild>
            <w:div w:id="42297633">
              <w:marLeft w:val="0"/>
              <w:marRight w:val="0"/>
              <w:marTop w:val="0"/>
              <w:marBottom w:val="0"/>
              <w:divBdr>
                <w:top w:val="none" w:sz="0" w:space="0" w:color="auto"/>
                <w:left w:val="none" w:sz="0" w:space="0" w:color="auto"/>
                <w:bottom w:val="none" w:sz="0" w:space="0" w:color="auto"/>
                <w:right w:val="none" w:sz="0" w:space="0" w:color="auto"/>
              </w:divBdr>
            </w:div>
            <w:div w:id="57825760">
              <w:marLeft w:val="0"/>
              <w:marRight w:val="0"/>
              <w:marTop w:val="0"/>
              <w:marBottom w:val="0"/>
              <w:divBdr>
                <w:top w:val="none" w:sz="0" w:space="0" w:color="auto"/>
                <w:left w:val="none" w:sz="0" w:space="0" w:color="auto"/>
                <w:bottom w:val="none" w:sz="0" w:space="0" w:color="auto"/>
                <w:right w:val="none" w:sz="0" w:space="0" w:color="auto"/>
              </w:divBdr>
            </w:div>
            <w:div w:id="97919332">
              <w:marLeft w:val="0"/>
              <w:marRight w:val="0"/>
              <w:marTop w:val="0"/>
              <w:marBottom w:val="0"/>
              <w:divBdr>
                <w:top w:val="none" w:sz="0" w:space="0" w:color="auto"/>
                <w:left w:val="none" w:sz="0" w:space="0" w:color="auto"/>
                <w:bottom w:val="none" w:sz="0" w:space="0" w:color="auto"/>
                <w:right w:val="none" w:sz="0" w:space="0" w:color="auto"/>
              </w:divBdr>
            </w:div>
            <w:div w:id="318845975">
              <w:marLeft w:val="0"/>
              <w:marRight w:val="0"/>
              <w:marTop w:val="0"/>
              <w:marBottom w:val="0"/>
              <w:divBdr>
                <w:top w:val="none" w:sz="0" w:space="0" w:color="auto"/>
                <w:left w:val="none" w:sz="0" w:space="0" w:color="auto"/>
                <w:bottom w:val="none" w:sz="0" w:space="0" w:color="auto"/>
                <w:right w:val="none" w:sz="0" w:space="0" w:color="auto"/>
              </w:divBdr>
            </w:div>
            <w:div w:id="435910923">
              <w:marLeft w:val="0"/>
              <w:marRight w:val="0"/>
              <w:marTop w:val="0"/>
              <w:marBottom w:val="0"/>
              <w:divBdr>
                <w:top w:val="none" w:sz="0" w:space="0" w:color="auto"/>
                <w:left w:val="none" w:sz="0" w:space="0" w:color="auto"/>
                <w:bottom w:val="none" w:sz="0" w:space="0" w:color="auto"/>
                <w:right w:val="none" w:sz="0" w:space="0" w:color="auto"/>
              </w:divBdr>
            </w:div>
            <w:div w:id="439183402">
              <w:marLeft w:val="0"/>
              <w:marRight w:val="0"/>
              <w:marTop w:val="0"/>
              <w:marBottom w:val="0"/>
              <w:divBdr>
                <w:top w:val="none" w:sz="0" w:space="0" w:color="auto"/>
                <w:left w:val="none" w:sz="0" w:space="0" w:color="auto"/>
                <w:bottom w:val="none" w:sz="0" w:space="0" w:color="auto"/>
                <w:right w:val="none" w:sz="0" w:space="0" w:color="auto"/>
              </w:divBdr>
            </w:div>
            <w:div w:id="582450140">
              <w:marLeft w:val="0"/>
              <w:marRight w:val="0"/>
              <w:marTop w:val="0"/>
              <w:marBottom w:val="0"/>
              <w:divBdr>
                <w:top w:val="none" w:sz="0" w:space="0" w:color="auto"/>
                <w:left w:val="none" w:sz="0" w:space="0" w:color="auto"/>
                <w:bottom w:val="none" w:sz="0" w:space="0" w:color="auto"/>
                <w:right w:val="none" w:sz="0" w:space="0" w:color="auto"/>
              </w:divBdr>
            </w:div>
            <w:div w:id="916136397">
              <w:marLeft w:val="0"/>
              <w:marRight w:val="0"/>
              <w:marTop w:val="0"/>
              <w:marBottom w:val="0"/>
              <w:divBdr>
                <w:top w:val="none" w:sz="0" w:space="0" w:color="auto"/>
                <w:left w:val="none" w:sz="0" w:space="0" w:color="auto"/>
                <w:bottom w:val="none" w:sz="0" w:space="0" w:color="auto"/>
                <w:right w:val="none" w:sz="0" w:space="0" w:color="auto"/>
              </w:divBdr>
            </w:div>
            <w:div w:id="1061178178">
              <w:marLeft w:val="0"/>
              <w:marRight w:val="0"/>
              <w:marTop w:val="0"/>
              <w:marBottom w:val="0"/>
              <w:divBdr>
                <w:top w:val="none" w:sz="0" w:space="0" w:color="auto"/>
                <w:left w:val="none" w:sz="0" w:space="0" w:color="auto"/>
                <w:bottom w:val="none" w:sz="0" w:space="0" w:color="auto"/>
                <w:right w:val="none" w:sz="0" w:space="0" w:color="auto"/>
              </w:divBdr>
            </w:div>
            <w:div w:id="1064176960">
              <w:marLeft w:val="0"/>
              <w:marRight w:val="0"/>
              <w:marTop w:val="0"/>
              <w:marBottom w:val="0"/>
              <w:divBdr>
                <w:top w:val="none" w:sz="0" w:space="0" w:color="auto"/>
                <w:left w:val="none" w:sz="0" w:space="0" w:color="auto"/>
                <w:bottom w:val="none" w:sz="0" w:space="0" w:color="auto"/>
                <w:right w:val="none" w:sz="0" w:space="0" w:color="auto"/>
              </w:divBdr>
            </w:div>
            <w:div w:id="1189101649">
              <w:marLeft w:val="0"/>
              <w:marRight w:val="0"/>
              <w:marTop w:val="0"/>
              <w:marBottom w:val="0"/>
              <w:divBdr>
                <w:top w:val="none" w:sz="0" w:space="0" w:color="auto"/>
                <w:left w:val="none" w:sz="0" w:space="0" w:color="auto"/>
                <w:bottom w:val="none" w:sz="0" w:space="0" w:color="auto"/>
                <w:right w:val="none" w:sz="0" w:space="0" w:color="auto"/>
              </w:divBdr>
            </w:div>
            <w:div w:id="1391536932">
              <w:marLeft w:val="0"/>
              <w:marRight w:val="0"/>
              <w:marTop w:val="0"/>
              <w:marBottom w:val="0"/>
              <w:divBdr>
                <w:top w:val="none" w:sz="0" w:space="0" w:color="auto"/>
                <w:left w:val="none" w:sz="0" w:space="0" w:color="auto"/>
                <w:bottom w:val="none" w:sz="0" w:space="0" w:color="auto"/>
                <w:right w:val="none" w:sz="0" w:space="0" w:color="auto"/>
              </w:divBdr>
            </w:div>
            <w:div w:id="1429078044">
              <w:marLeft w:val="0"/>
              <w:marRight w:val="0"/>
              <w:marTop w:val="0"/>
              <w:marBottom w:val="0"/>
              <w:divBdr>
                <w:top w:val="none" w:sz="0" w:space="0" w:color="auto"/>
                <w:left w:val="none" w:sz="0" w:space="0" w:color="auto"/>
                <w:bottom w:val="none" w:sz="0" w:space="0" w:color="auto"/>
                <w:right w:val="none" w:sz="0" w:space="0" w:color="auto"/>
              </w:divBdr>
            </w:div>
            <w:div w:id="1429961773">
              <w:marLeft w:val="0"/>
              <w:marRight w:val="0"/>
              <w:marTop w:val="0"/>
              <w:marBottom w:val="0"/>
              <w:divBdr>
                <w:top w:val="none" w:sz="0" w:space="0" w:color="auto"/>
                <w:left w:val="none" w:sz="0" w:space="0" w:color="auto"/>
                <w:bottom w:val="none" w:sz="0" w:space="0" w:color="auto"/>
                <w:right w:val="none" w:sz="0" w:space="0" w:color="auto"/>
              </w:divBdr>
            </w:div>
            <w:div w:id="1454909358">
              <w:marLeft w:val="0"/>
              <w:marRight w:val="0"/>
              <w:marTop w:val="0"/>
              <w:marBottom w:val="0"/>
              <w:divBdr>
                <w:top w:val="none" w:sz="0" w:space="0" w:color="auto"/>
                <w:left w:val="none" w:sz="0" w:space="0" w:color="auto"/>
                <w:bottom w:val="none" w:sz="0" w:space="0" w:color="auto"/>
                <w:right w:val="none" w:sz="0" w:space="0" w:color="auto"/>
              </w:divBdr>
            </w:div>
            <w:div w:id="1492522740">
              <w:marLeft w:val="0"/>
              <w:marRight w:val="0"/>
              <w:marTop w:val="0"/>
              <w:marBottom w:val="0"/>
              <w:divBdr>
                <w:top w:val="none" w:sz="0" w:space="0" w:color="auto"/>
                <w:left w:val="none" w:sz="0" w:space="0" w:color="auto"/>
                <w:bottom w:val="none" w:sz="0" w:space="0" w:color="auto"/>
                <w:right w:val="none" w:sz="0" w:space="0" w:color="auto"/>
              </w:divBdr>
            </w:div>
            <w:div w:id="1568303373">
              <w:marLeft w:val="0"/>
              <w:marRight w:val="0"/>
              <w:marTop w:val="0"/>
              <w:marBottom w:val="0"/>
              <w:divBdr>
                <w:top w:val="none" w:sz="0" w:space="0" w:color="auto"/>
                <w:left w:val="none" w:sz="0" w:space="0" w:color="auto"/>
                <w:bottom w:val="none" w:sz="0" w:space="0" w:color="auto"/>
                <w:right w:val="none" w:sz="0" w:space="0" w:color="auto"/>
              </w:divBdr>
            </w:div>
            <w:div w:id="1599632688">
              <w:marLeft w:val="0"/>
              <w:marRight w:val="0"/>
              <w:marTop w:val="0"/>
              <w:marBottom w:val="0"/>
              <w:divBdr>
                <w:top w:val="none" w:sz="0" w:space="0" w:color="auto"/>
                <w:left w:val="none" w:sz="0" w:space="0" w:color="auto"/>
                <w:bottom w:val="none" w:sz="0" w:space="0" w:color="auto"/>
                <w:right w:val="none" w:sz="0" w:space="0" w:color="auto"/>
              </w:divBdr>
            </w:div>
            <w:div w:id="1675764909">
              <w:marLeft w:val="0"/>
              <w:marRight w:val="0"/>
              <w:marTop w:val="0"/>
              <w:marBottom w:val="0"/>
              <w:divBdr>
                <w:top w:val="none" w:sz="0" w:space="0" w:color="auto"/>
                <w:left w:val="none" w:sz="0" w:space="0" w:color="auto"/>
                <w:bottom w:val="none" w:sz="0" w:space="0" w:color="auto"/>
                <w:right w:val="none" w:sz="0" w:space="0" w:color="auto"/>
              </w:divBdr>
            </w:div>
            <w:div w:id="1814446091">
              <w:marLeft w:val="0"/>
              <w:marRight w:val="0"/>
              <w:marTop w:val="0"/>
              <w:marBottom w:val="0"/>
              <w:divBdr>
                <w:top w:val="none" w:sz="0" w:space="0" w:color="auto"/>
                <w:left w:val="none" w:sz="0" w:space="0" w:color="auto"/>
                <w:bottom w:val="none" w:sz="0" w:space="0" w:color="auto"/>
                <w:right w:val="none" w:sz="0" w:space="0" w:color="auto"/>
              </w:divBdr>
            </w:div>
          </w:divsChild>
        </w:div>
        <w:div w:id="682976472">
          <w:marLeft w:val="0"/>
          <w:marRight w:val="0"/>
          <w:marTop w:val="0"/>
          <w:marBottom w:val="0"/>
          <w:divBdr>
            <w:top w:val="none" w:sz="0" w:space="0" w:color="auto"/>
            <w:left w:val="none" w:sz="0" w:space="0" w:color="auto"/>
            <w:bottom w:val="none" w:sz="0" w:space="0" w:color="auto"/>
            <w:right w:val="none" w:sz="0" w:space="0" w:color="auto"/>
          </w:divBdr>
        </w:div>
        <w:div w:id="713967426">
          <w:marLeft w:val="0"/>
          <w:marRight w:val="0"/>
          <w:marTop w:val="0"/>
          <w:marBottom w:val="0"/>
          <w:divBdr>
            <w:top w:val="none" w:sz="0" w:space="0" w:color="auto"/>
            <w:left w:val="none" w:sz="0" w:space="0" w:color="auto"/>
            <w:bottom w:val="none" w:sz="0" w:space="0" w:color="auto"/>
            <w:right w:val="none" w:sz="0" w:space="0" w:color="auto"/>
          </w:divBdr>
          <w:divsChild>
            <w:div w:id="5594530">
              <w:marLeft w:val="0"/>
              <w:marRight w:val="0"/>
              <w:marTop w:val="0"/>
              <w:marBottom w:val="0"/>
              <w:divBdr>
                <w:top w:val="none" w:sz="0" w:space="0" w:color="auto"/>
                <w:left w:val="none" w:sz="0" w:space="0" w:color="auto"/>
                <w:bottom w:val="none" w:sz="0" w:space="0" w:color="auto"/>
                <w:right w:val="none" w:sz="0" w:space="0" w:color="auto"/>
              </w:divBdr>
            </w:div>
            <w:div w:id="76749462">
              <w:marLeft w:val="0"/>
              <w:marRight w:val="0"/>
              <w:marTop w:val="0"/>
              <w:marBottom w:val="0"/>
              <w:divBdr>
                <w:top w:val="none" w:sz="0" w:space="0" w:color="auto"/>
                <w:left w:val="none" w:sz="0" w:space="0" w:color="auto"/>
                <w:bottom w:val="none" w:sz="0" w:space="0" w:color="auto"/>
                <w:right w:val="none" w:sz="0" w:space="0" w:color="auto"/>
              </w:divBdr>
            </w:div>
            <w:div w:id="97798037">
              <w:marLeft w:val="0"/>
              <w:marRight w:val="0"/>
              <w:marTop w:val="0"/>
              <w:marBottom w:val="0"/>
              <w:divBdr>
                <w:top w:val="none" w:sz="0" w:space="0" w:color="auto"/>
                <w:left w:val="none" w:sz="0" w:space="0" w:color="auto"/>
                <w:bottom w:val="none" w:sz="0" w:space="0" w:color="auto"/>
                <w:right w:val="none" w:sz="0" w:space="0" w:color="auto"/>
              </w:divBdr>
            </w:div>
            <w:div w:id="230317246">
              <w:marLeft w:val="0"/>
              <w:marRight w:val="0"/>
              <w:marTop w:val="0"/>
              <w:marBottom w:val="0"/>
              <w:divBdr>
                <w:top w:val="none" w:sz="0" w:space="0" w:color="auto"/>
                <w:left w:val="none" w:sz="0" w:space="0" w:color="auto"/>
                <w:bottom w:val="none" w:sz="0" w:space="0" w:color="auto"/>
                <w:right w:val="none" w:sz="0" w:space="0" w:color="auto"/>
              </w:divBdr>
            </w:div>
            <w:div w:id="410007541">
              <w:marLeft w:val="0"/>
              <w:marRight w:val="0"/>
              <w:marTop w:val="0"/>
              <w:marBottom w:val="0"/>
              <w:divBdr>
                <w:top w:val="none" w:sz="0" w:space="0" w:color="auto"/>
                <w:left w:val="none" w:sz="0" w:space="0" w:color="auto"/>
                <w:bottom w:val="none" w:sz="0" w:space="0" w:color="auto"/>
                <w:right w:val="none" w:sz="0" w:space="0" w:color="auto"/>
              </w:divBdr>
            </w:div>
            <w:div w:id="573247571">
              <w:marLeft w:val="0"/>
              <w:marRight w:val="0"/>
              <w:marTop w:val="0"/>
              <w:marBottom w:val="0"/>
              <w:divBdr>
                <w:top w:val="none" w:sz="0" w:space="0" w:color="auto"/>
                <w:left w:val="none" w:sz="0" w:space="0" w:color="auto"/>
                <w:bottom w:val="none" w:sz="0" w:space="0" w:color="auto"/>
                <w:right w:val="none" w:sz="0" w:space="0" w:color="auto"/>
              </w:divBdr>
            </w:div>
            <w:div w:id="690491504">
              <w:marLeft w:val="0"/>
              <w:marRight w:val="0"/>
              <w:marTop w:val="0"/>
              <w:marBottom w:val="0"/>
              <w:divBdr>
                <w:top w:val="none" w:sz="0" w:space="0" w:color="auto"/>
                <w:left w:val="none" w:sz="0" w:space="0" w:color="auto"/>
                <w:bottom w:val="none" w:sz="0" w:space="0" w:color="auto"/>
                <w:right w:val="none" w:sz="0" w:space="0" w:color="auto"/>
              </w:divBdr>
            </w:div>
            <w:div w:id="755902277">
              <w:marLeft w:val="0"/>
              <w:marRight w:val="0"/>
              <w:marTop w:val="0"/>
              <w:marBottom w:val="0"/>
              <w:divBdr>
                <w:top w:val="none" w:sz="0" w:space="0" w:color="auto"/>
                <w:left w:val="none" w:sz="0" w:space="0" w:color="auto"/>
                <w:bottom w:val="none" w:sz="0" w:space="0" w:color="auto"/>
                <w:right w:val="none" w:sz="0" w:space="0" w:color="auto"/>
              </w:divBdr>
            </w:div>
            <w:div w:id="779224420">
              <w:marLeft w:val="0"/>
              <w:marRight w:val="0"/>
              <w:marTop w:val="0"/>
              <w:marBottom w:val="0"/>
              <w:divBdr>
                <w:top w:val="none" w:sz="0" w:space="0" w:color="auto"/>
                <w:left w:val="none" w:sz="0" w:space="0" w:color="auto"/>
                <w:bottom w:val="none" w:sz="0" w:space="0" w:color="auto"/>
                <w:right w:val="none" w:sz="0" w:space="0" w:color="auto"/>
              </w:divBdr>
            </w:div>
            <w:div w:id="888414794">
              <w:marLeft w:val="0"/>
              <w:marRight w:val="0"/>
              <w:marTop w:val="0"/>
              <w:marBottom w:val="0"/>
              <w:divBdr>
                <w:top w:val="none" w:sz="0" w:space="0" w:color="auto"/>
                <w:left w:val="none" w:sz="0" w:space="0" w:color="auto"/>
                <w:bottom w:val="none" w:sz="0" w:space="0" w:color="auto"/>
                <w:right w:val="none" w:sz="0" w:space="0" w:color="auto"/>
              </w:divBdr>
            </w:div>
            <w:div w:id="935404082">
              <w:marLeft w:val="0"/>
              <w:marRight w:val="0"/>
              <w:marTop w:val="0"/>
              <w:marBottom w:val="0"/>
              <w:divBdr>
                <w:top w:val="none" w:sz="0" w:space="0" w:color="auto"/>
                <w:left w:val="none" w:sz="0" w:space="0" w:color="auto"/>
                <w:bottom w:val="none" w:sz="0" w:space="0" w:color="auto"/>
                <w:right w:val="none" w:sz="0" w:space="0" w:color="auto"/>
              </w:divBdr>
            </w:div>
            <w:div w:id="962231783">
              <w:marLeft w:val="0"/>
              <w:marRight w:val="0"/>
              <w:marTop w:val="0"/>
              <w:marBottom w:val="0"/>
              <w:divBdr>
                <w:top w:val="none" w:sz="0" w:space="0" w:color="auto"/>
                <w:left w:val="none" w:sz="0" w:space="0" w:color="auto"/>
                <w:bottom w:val="none" w:sz="0" w:space="0" w:color="auto"/>
                <w:right w:val="none" w:sz="0" w:space="0" w:color="auto"/>
              </w:divBdr>
            </w:div>
            <w:div w:id="1210260606">
              <w:marLeft w:val="0"/>
              <w:marRight w:val="0"/>
              <w:marTop w:val="0"/>
              <w:marBottom w:val="0"/>
              <w:divBdr>
                <w:top w:val="none" w:sz="0" w:space="0" w:color="auto"/>
                <w:left w:val="none" w:sz="0" w:space="0" w:color="auto"/>
                <w:bottom w:val="none" w:sz="0" w:space="0" w:color="auto"/>
                <w:right w:val="none" w:sz="0" w:space="0" w:color="auto"/>
              </w:divBdr>
            </w:div>
            <w:div w:id="1212963140">
              <w:marLeft w:val="0"/>
              <w:marRight w:val="0"/>
              <w:marTop w:val="0"/>
              <w:marBottom w:val="0"/>
              <w:divBdr>
                <w:top w:val="none" w:sz="0" w:space="0" w:color="auto"/>
                <w:left w:val="none" w:sz="0" w:space="0" w:color="auto"/>
                <w:bottom w:val="none" w:sz="0" w:space="0" w:color="auto"/>
                <w:right w:val="none" w:sz="0" w:space="0" w:color="auto"/>
              </w:divBdr>
            </w:div>
            <w:div w:id="1348479981">
              <w:marLeft w:val="0"/>
              <w:marRight w:val="0"/>
              <w:marTop w:val="0"/>
              <w:marBottom w:val="0"/>
              <w:divBdr>
                <w:top w:val="none" w:sz="0" w:space="0" w:color="auto"/>
                <w:left w:val="none" w:sz="0" w:space="0" w:color="auto"/>
                <w:bottom w:val="none" w:sz="0" w:space="0" w:color="auto"/>
                <w:right w:val="none" w:sz="0" w:space="0" w:color="auto"/>
              </w:divBdr>
            </w:div>
            <w:div w:id="1467237335">
              <w:marLeft w:val="0"/>
              <w:marRight w:val="0"/>
              <w:marTop w:val="0"/>
              <w:marBottom w:val="0"/>
              <w:divBdr>
                <w:top w:val="none" w:sz="0" w:space="0" w:color="auto"/>
                <w:left w:val="none" w:sz="0" w:space="0" w:color="auto"/>
                <w:bottom w:val="none" w:sz="0" w:space="0" w:color="auto"/>
                <w:right w:val="none" w:sz="0" w:space="0" w:color="auto"/>
              </w:divBdr>
            </w:div>
            <w:div w:id="1477146640">
              <w:marLeft w:val="0"/>
              <w:marRight w:val="0"/>
              <w:marTop w:val="0"/>
              <w:marBottom w:val="0"/>
              <w:divBdr>
                <w:top w:val="none" w:sz="0" w:space="0" w:color="auto"/>
                <w:left w:val="none" w:sz="0" w:space="0" w:color="auto"/>
                <w:bottom w:val="none" w:sz="0" w:space="0" w:color="auto"/>
                <w:right w:val="none" w:sz="0" w:space="0" w:color="auto"/>
              </w:divBdr>
            </w:div>
            <w:div w:id="1502164043">
              <w:marLeft w:val="0"/>
              <w:marRight w:val="0"/>
              <w:marTop w:val="0"/>
              <w:marBottom w:val="0"/>
              <w:divBdr>
                <w:top w:val="none" w:sz="0" w:space="0" w:color="auto"/>
                <w:left w:val="none" w:sz="0" w:space="0" w:color="auto"/>
                <w:bottom w:val="none" w:sz="0" w:space="0" w:color="auto"/>
                <w:right w:val="none" w:sz="0" w:space="0" w:color="auto"/>
              </w:divBdr>
            </w:div>
            <w:div w:id="1540314566">
              <w:marLeft w:val="0"/>
              <w:marRight w:val="0"/>
              <w:marTop w:val="0"/>
              <w:marBottom w:val="0"/>
              <w:divBdr>
                <w:top w:val="none" w:sz="0" w:space="0" w:color="auto"/>
                <w:left w:val="none" w:sz="0" w:space="0" w:color="auto"/>
                <w:bottom w:val="none" w:sz="0" w:space="0" w:color="auto"/>
                <w:right w:val="none" w:sz="0" w:space="0" w:color="auto"/>
              </w:divBdr>
            </w:div>
            <w:div w:id="1674188962">
              <w:marLeft w:val="0"/>
              <w:marRight w:val="0"/>
              <w:marTop w:val="0"/>
              <w:marBottom w:val="0"/>
              <w:divBdr>
                <w:top w:val="none" w:sz="0" w:space="0" w:color="auto"/>
                <w:left w:val="none" w:sz="0" w:space="0" w:color="auto"/>
                <w:bottom w:val="none" w:sz="0" w:space="0" w:color="auto"/>
                <w:right w:val="none" w:sz="0" w:space="0" w:color="auto"/>
              </w:divBdr>
            </w:div>
          </w:divsChild>
        </w:div>
        <w:div w:id="738095695">
          <w:marLeft w:val="0"/>
          <w:marRight w:val="0"/>
          <w:marTop w:val="0"/>
          <w:marBottom w:val="0"/>
          <w:divBdr>
            <w:top w:val="none" w:sz="0" w:space="0" w:color="auto"/>
            <w:left w:val="none" w:sz="0" w:space="0" w:color="auto"/>
            <w:bottom w:val="none" w:sz="0" w:space="0" w:color="auto"/>
            <w:right w:val="none" w:sz="0" w:space="0" w:color="auto"/>
          </w:divBdr>
        </w:div>
        <w:div w:id="967782151">
          <w:marLeft w:val="0"/>
          <w:marRight w:val="0"/>
          <w:marTop w:val="0"/>
          <w:marBottom w:val="0"/>
          <w:divBdr>
            <w:top w:val="none" w:sz="0" w:space="0" w:color="auto"/>
            <w:left w:val="none" w:sz="0" w:space="0" w:color="auto"/>
            <w:bottom w:val="none" w:sz="0" w:space="0" w:color="auto"/>
            <w:right w:val="none" w:sz="0" w:space="0" w:color="auto"/>
          </w:divBdr>
        </w:div>
        <w:div w:id="975061869">
          <w:marLeft w:val="0"/>
          <w:marRight w:val="0"/>
          <w:marTop w:val="0"/>
          <w:marBottom w:val="0"/>
          <w:divBdr>
            <w:top w:val="none" w:sz="0" w:space="0" w:color="auto"/>
            <w:left w:val="none" w:sz="0" w:space="0" w:color="auto"/>
            <w:bottom w:val="none" w:sz="0" w:space="0" w:color="auto"/>
            <w:right w:val="none" w:sz="0" w:space="0" w:color="auto"/>
          </w:divBdr>
        </w:div>
        <w:div w:id="1049112903">
          <w:marLeft w:val="0"/>
          <w:marRight w:val="0"/>
          <w:marTop w:val="0"/>
          <w:marBottom w:val="0"/>
          <w:divBdr>
            <w:top w:val="none" w:sz="0" w:space="0" w:color="auto"/>
            <w:left w:val="none" w:sz="0" w:space="0" w:color="auto"/>
            <w:bottom w:val="none" w:sz="0" w:space="0" w:color="auto"/>
            <w:right w:val="none" w:sz="0" w:space="0" w:color="auto"/>
          </w:divBdr>
        </w:div>
        <w:div w:id="1084305463">
          <w:marLeft w:val="0"/>
          <w:marRight w:val="0"/>
          <w:marTop w:val="0"/>
          <w:marBottom w:val="0"/>
          <w:divBdr>
            <w:top w:val="none" w:sz="0" w:space="0" w:color="auto"/>
            <w:left w:val="none" w:sz="0" w:space="0" w:color="auto"/>
            <w:bottom w:val="none" w:sz="0" w:space="0" w:color="auto"/>
            <w:right w:val="none" w:sz="0" w:space="0" w:color="auto"/>
          </w:divBdr>
        </w:div>
        <w:div w:id="1142037293">
          <w:marLeft w:val="0"/>
          <w:marRight w:val="0"/>
          <w:marTop w:val="0"/>
          <w:marBottom w:val="0"/>
          <w:divBdr>
            <w:top w:val="none" w:sz="0" w:space="0" w:color="auto"/>
            <w:left w:val="none" w:sz="0" w:space="0" w:color="auto"/>
            <w:bottom w:val="none" w:sz="0" w:space="0" w:color="auto"/>
            <w:right w:val="none" w:sz="0" w:space="0" w:color="auto"/>
          </w:divBdr>
        </w:div>
        <w:div w:id="1535851824">
          <w:marLeft w:val="0"/>
          <w:marRight w:val="0"/>
          <w:marTop w:val="0"/>
          <w:marBottom w:val="0"/>
          <w:divBdr>
            <w:top w:val="none" w:sz="0" w:space="0" w:color="auto"/>
            <w:left w:val="none" w:sz="0" w:space="0" w:color="auto"/>
            <w:bottom w:val="none" w:sz="0" w:space="0" w:color="auto"/>
            <w:right w:val="none" w:sz="0" w:space="0" w:color="auto"/>
          </w:divBdr>
          <w:divsChild>
            <w:div w:id="183324299">
              <w:marLeft w:val="0"/>
              <w:marRight w:val="0"/>
              <w:marTop w:val="0"/>
              <w:marBottom w:val="0"/>
              <w:divBdr>
                <w:top w:val="none" w:sz="0" w:space="0" w:color="auto"/>
                <w:left w:val="none" w:sz="0" w:space="0" w:color="auto"/>
                <w:bottom w:val="none" w:sz="0" w:space="0" w:color="auto"/>
                <w:right w:val="none" w:sz="0" w:space="0" w:color="auto"/>
              </w:divBdr>
            </w:div>
            <w:div w:id="360008902">
              <w:marLeft w:val="0"/>
              <w:marRight w:val="0"/>
              <w:marTop w:val="0"/>
              <w:marBottom w:val="0"/>
              <w:divBdr>
                <w:top w:val="none" w:sz="0" w:space="0" w:color="auto"/>
                <w:left w:val="none" w:sz="0" w:space="0" w:color="auto"/>
                <w:bottom w:val="none" w:sz="0" w:space="0" w:color="auto"/>
                <w:right w:val="none" w:sz="0" w:space="0" w:color="auto"/>
              </w:divBdr>
            </w:div>
            <w:div w:id="386148113">
              <w:marLeft w:val="0"/>
              <w:marRight w:val="0"/>
              <w:marTop w:val="0"/>
              <w:marBottom w:val="0"/>
              <w:divBdr>
                <w:top w:val="none" w:sz="0" w:space="0" w:color="auto"/>
                <w:left w:val="none" w:sz="0" w:space="0" w:color="auto"/>
                <w:bottom w:val="none" w:sz="0" w:space="0" w:color="auto"/>
                <w:right w:val="none" w:sz="0" w:space="0" w:color="auto"/>
              </w:divBdr>
            </w:div>
            <w:div w:id="452557736">
              <w:marLeft w:val="0"/>
              <w:marRight w:val="0"/>
              <w:marTop w:val="0"/>
              <w:marBottom w:val="0"/>
              <w:divBdr>
                <w:top w:val="none" w:sz="0" w:space="0" w:color="auto"/>
                <w:left w:val="none" w:sz="0" w:space="0" w:color="auto"/>
                <w:bottom w:val="none" w:sz="0" w:space="0" w:color="auto"/>
                <w:right w:val="none" w:sz="0" w:space="0" w:color="auto"/>
              </w:divBdr>
            </w:div>
            <w:div w:id="454252993">
              <w:marLeft w:val="0"/>
              <w:marRight w:val="0"/>
              <w:marTop w:val="0"/>
              <w:marBottom w:val="0"/>
              <w:divBdr>
                <w:top w:val="none" w:sz="0" w:space="0" w:color="auto"/>
                <w:left w:val="none" w:sz="0" w:space="0" w:color="auto"/>
                <w:bottom w:val="none" w:sz="0" w:space="0" w:color="auto"/>
                <w:right w:val="none" w:sz="0" w:space="0" w:color="auto"/>
              </w:divBdr>
            </w:div>
            <w:div w:id="625814782">
              <w:marLeft w:val="0"/>
              <w:marRight w:val="0"/>
              <w:marTop w:val="0"/>
              <w:marBottom w:val="0"/>
              <w:divBdr>
                <w:top w:val="none" w:sz="0" w:space="0" w:color="auto"/>
                <w:left w:val="none" w:sz="0" w:space="0" w:color="auto"/>
                <w:bottom w:val="none" w:sz="0" w:space="0" w:color="auto"/>
                <w:right w:val="none" w:sz="0" w:space="0" w:color="auto"/>
              </w:divBdr>
            </w:div>
            <w:div w:id="870612867">
              <w:marLeft w:val="0"/>
              <w:marRight w:val="0"/>
              <w:marTop w:val="0"/>
              <w:marBottom w:val="0"/>
              <w:divBdr>
                <w:top w:val="none" w:sz="0" w:space="0" w:color="auto"/>
                <w:left w:val="none" w:sz="0" w:space="0" w:color="auto"/>
                <w:bottom w:val="none" w:sz="0" w:space="0" w:color="auto"/>
                <w:right w:val="none" w:sz="0" w:space="0" w:color="auto"/>
              </w:divBdr>
            </w:div>
            <w:div w:id="933170031">
              <w:marLeft w:val="0"/>
              <w:marRight w:val="0"/>
              <w:marTop w:val="0"/>
              <w:marBottom w:val="0"/>
              <w:divBdr>
                <w:top w:val="none" w:sz="0" w:space="0" w:color="auto"/>
                <w:left w:val="none" w:sz="0" w:space="0" w:color="auto"/>
                <w:bottom w:val="none" w:sz="0" w:space="0" w:color="auto"/>
                <w:right w:val="none" w:sz="0" w:space="0" w:color="auto"/>
              </w:divBdr>
            </w:div>
            <w:div w:id="974676793">
              <w:marLeft w:val="0"/>
              <w:marRight w:val="0"/>
              <w:marTop w:val="0"/>
              <w:marBottom w:val="0"/>
              <w:divBdr>
                <w:top w:val="none" w:sz="0" w:space="0" w:color="auto"/>
                <w:left w:val="none" w:sz="0" w:space="0" w:color="auto"/>
                <w:bottom w:val="none" w:sz="0" w:space="0" w:color="auto"/>
                <w:right w:val="none" w:sz="0" w:space="0" w:color="auto"/>
              </w:divBdr>
            </w:div>
            <w:div w:id="1082292867">
              <w:marLeft w:val="0"/>
              <w:marRight w:val="0"/>
              <w:marTop w:val="0"/>
              <w:marBottom w:val="0"/>
              <w:divBdr>
                <w:top w:val="none" w:sz="0" w:space="0" w:color="auto"/>
                <w:left w:val="none" w:sz="0" w:space="0" w:color="auto"/>
                <w:bottom w:val="none" w:sz="0" w:space="0" w:color="auto"/>
                <w:right w:val="none" w:sz="0" w:space="0" w:color="auto"/>
              </w:divBdr>
            </w:div>
            <w:div w:id="1124690852">
              <w:marLeft w:val="0"/>
              <w:marRight w:val="0"/>
              <w:marTop w:val="0"/>
              <w:marBottom w:val="0"/>
              <w:divBdr>
                <w:top w:val="none" w:sz="0" w:space="0" w:color="auto"/>
                <w:left w:val="none" w:sz="0" w:space="0" w:color="auto"/>
                <w:bottom w:val="none" w:sz="0" w:space="0" w:color="auto"/>
                <w:right w:val="none" w:sz="0" w:space="0" w:color="auto"/>
              </w:divBdr>
            </w:div>
            <w:div w:id="1308826931">
              <w:marLeft w:val="0"/>
              <w:marRight w:val="0"/>
              <w:marTop w:val="0"/>
              <w:marBottom w:val="0"/>
              <w:divBdr>
                <w:top w:val="none" w:sz="0" w:space="0" w:color="auto"/>
                <w:left w:val="none" w:sz="0" w:space="0" w:color="auto"/>
                <w:bottom w:val="none" w:sz="0" w:space="0" w:color="auto"/>
                <w:right w:val="none" w:sz="0" w:space="0" w:color="auto"/>
              </w:divBdr>
            </w:div>
            <w:div w:id="1398941632">
              <w:marLeft w:val="0"/>
              <w:marRight w:val="0"/>
              <w:marTop w:val="0"/>
              <w:marBottom w:val="0"/>
              <w:divBdr>
                <w:top w:val="none" w:sz="0" w:space="0" w:color="auto"/>
                <w:left w:val="none" w:sz="0" w:space="0" w:color="auto"/>
                <w:bottom w:val="none" w:sz="0" w:space="0" w:color="auto"/>
                <w:right w:val="none" w:sz="0" w:space="0" w:color="auto"/>
              </w:divBdr>
            </w:div>
            <w:div w:id="1409813729">
              <w:marLeft w:val="0"/>
              <w:marRight w:val="0"/>
              <w:marTop w:val="0"/>
              <w:marBottom w:val="0"/>
              <w:divBdr>
                <w:top w:val="none" w:sz="0" w:space="0" w:color="auto"/>
                <w:left w:val="none" w:sz="0" w:space="0" w:color="auto"/>
                <w:bottom w:val="none" w:sz="0" w:space="0" w:color="auto"/>
                <w:right w:val="none" w:sz="0" w:space="0" w:color="auto"/>
              </w:divBdr>
            </w:div>
            <w:div w:id="1450392586">
              <w:marLeft w:val="0"/>
              <w:marRight w:val="0"/>
              <w:marTop w:val="0"/>
              <w:marBottom w:val="0"/>
              <w:divBdr>
                <w:top w:val="none" w:sz="0" w:space="0" w:color="auto"/>
                <w:left w:val="none" w:sz="0" w:space="0" w:color="auto"/>
                <w:bottom w:val="none" w:sz="0" w:space="0" w:color="auto"/>
                <w:right w:val="none" w:sz="0" w:space="0" w:color="auto"/>
              </w:divBdr>
            </w:div>
            <w:div w:id="1504320132">
              <w:marLeft w:val="0"/>
              <w:marRight w:val="0"/>
              <w:marTop w:val="0"/>
              <w:marBottom w:val="0"/>
              <w:divBdr>
                <w:top w:val="none" w:sz="0" w:space="0" w:color="auto"/>
                <w:left w:val="none" w:sz="0" w:space="0" w:color="auto"/>
                <w:bottom w:val="none" w:sz="0" w:space="0" w:color="auto"/>
                <w:right w:val="none" w:sz="0" w:space="0" w:color="auto"/>
              </w:divBdr>
            </w:div>
            <w:div w:id="1512180131">
              <w:marLeft w:val="0"/>
              <w:marRight w:val="0"/>
              <w:marTop w:val="0"/>
              <w:marBottom w:val="0"/>
              <w:divBdr>
                <w:top w:val="none" w:sz="0" w:space="0" w:color="auto"/>
                <w:left w:val="none" w:sz="0" w:space="0" w:color="auto"/>
                <w:bottom w:val="none" w:sz="0" w:space="0" w:color="auto"/>
                <w:right w:val="none" w:sz="0" w:space="0" w:color="auto"/>
              </w:divBdr>
            </w:div>
            <w:div w:id="1546453209">
              <w:marLeft w:val="0"/>
              <w:marRight w:val="0"/>
              <w:marTop w:val="0"/>
              <w:marBottom w:val="0"/>
              <w:divBdr>
                <w:top w:val="none" w:sz="0" w:space="0" w:color="auto"/>
                <w:left w:val="none" w:sz="0" w:space="0" w:color="auto"/>
                <w:bottom w:val="none" w:sz="0" w:space="0" w:color="auto"/>
                <w:right w:val="none" w:sz="0" w:space="0" w:color="auto"/>
              </w:divBdr>
            </w:div>
            <w:div w:id="1641838525">
              <w:marLeft w:val="0"/>
              <w:marRight w:val="0"/>
              <w:marTop w:val="0"/>
              <w:marBottom w:val="0"/>
              <w:divBdr>
                <w:top w:val="none" w:sz="0" w:space="0" w:color="auto"/>
                <w:left w:val="none" w:sz="0" w:space="0" w:color="auto"/>
                <w:bottom w:val="none" w:sz="0" w:space="0" w:color="auto"/>
                <w:right w:val="none" w:sz="0" w:space="0" w:color="auto"/>
              </w:divBdr>
            </w:div>
            <w:div w:id="2124882381">
              <w:marLeft w:val="0"/>
              <w:marRight w:val="0"/>
              <w:marTop w:val="0"/>
              <w:marBottom w:val="0"/>
              <w:divBdr>
                <w:top w:val="none" w:sz="0" w:space="0" w:color="auto"/>
                <w:left w:val="none" w:sz="0" w:space="0" w:color="auto"/>
                <w:bottom w:val="none" w:sz="0" w:space="0" w:color="auto"/>
                <w:right w:val="none" w:sz="0" w:space="0" w:color="auto"/>
              </w:divBdr>
            </w:div>
          </w:divsChild>
        </w:div>
        <w:div w:id="1566913738">
          <w:marLeft w:val="0"/>
          <w:marRight w:val="0"/>
          <w:marTop w:val="0"/>
          <w:marBottom w:val="0"/>
          <w:divBdr>
            <w:top w:val="none" w:sz="0" w:space="0" w:color="auto"/>
            <w:left w:val="none" w:sz="0" w:space="0" w:color="auto"/>
            <w:bottom w:val="none" w:sz="0" w:space="0" w:color="auto"/>
            <w:right w:val="none" w:sz="0" w:space="0" w:color="auto"/>
          </w:divBdr>
        </w:div>
        <w:div w:id="1567178471">
          <w:marLeft w:val="0"/>
          <w:marRight w:val="0"/>
          <w:marTop w:val="0"/>
          <w:marBottom w:val="0"/>
          <w:divBdr>
            <w:top w:val="none" w:sz="0" w:space="0" w:color="auto"/>
            <w:left w:val="none" w:sz="0" w:space="0" w:color="auto"/>
            <w:bottom w:val="none" w:sz="0" w:space="0" w:color="auto"/>
            <w:right w:val="none" w:sz="0" w:space="0" w:color="auto"/>
          </w:divBdr>
        </w:div>
        <w:div w:id="1568224292">
          <w:marLeft w:val="0"/>
          <w:marRight w:val="0"/>
          <w:marTop w:val="0"/>
          <w:marBottom w:val="0"/>
          <w:divBdr>
            <w:top w:val="none" w:sz="0" w:space="0" w:color="auto"/>
            <w:left w:val="none" w:sz="0" w:space="0" w:color="auto"/>
            <w:bottom w:val="none" w:sz="0" w:space="0" w:color="auto"/>
            <w:right w:val="none" w:sz="0" w:space="0" w:color="auto"/>
          </w:divBdr>
          <w:divsChild>
            <w:div w:id="437913051">
              <w:marLeft w:val="0"/>
              <w:marRight w:val="0"/>
              <w:marTop w:val="0"/>
              <w:marBottom w:val="0"/>
              <w:divBdr>
                <w:top w:val="none" w:sz="0" w:space="0" w:color="auto"/>
                <w:left w:val="none" w:sz="0" w:space="0" w:color="auto"/>
                <w:bottom w:val="none" w:sz="0" w:space="0" w:color="auto"/>
                <w:right w:val="none" w:sz="0" w:space="0" w:color="auto"/>
              </w:divBdr>
            </w:div>
            <w:div w:id="440296176">
              <w:marLeft w:val="0"/>
              <w:marRight w:val="0"/>
              <w:marTop w:val="0"/>
              <w:marBottom w:val="0"/>
              <w:divBdr>
                <w:top w:val="none" w:sz="0" w:space="0" w:color="auto"/>
                <w:left w:val="none" w:sz="0" w:space="0" w:color="auto"/>
                <w:bottom w:val="none" w:sz="0" w:space="0" w:color="auto"/>
                <w:right w:val="none" w:sz="0" w:space="0" w:color="auto"/>
              </w:divBdr>
            </w:div>
            <w:div w:id="464397305">
              <w:marLeft w:val="0"/>
              <w:marRight w:val="0"/>
              <w:marTop w:val="0"/>
              <w:marBottom w:val="0"/>
              <w:divBdr>
                <w:top w:val="none" w:sz="0" w:space="0" w:color="auto"/>
                <w:left w:val="none" w:sz="0" w:space="0" w:color="auto"/>
                <w:bottom w:val="none" w:sz="0" w:space="0" w:color="auto"/>
                <w:right w:val="none" w:sz="0" w:space="0" w:color="auto"/>
              </w:divBdr>
            </w:div>
            <w:div w:id="528951248">
              <w:marLeft w:val="0"/>
              <w:marRight w:val="0"/>
              <w:marTop w:val="0"/>
              <w:marBottom w:val="0"/>
              <w:divBdr>
                <w:top w:val="none" w:sz="0" w:space="0" w:color="auto"/>
                <w:left w:val="none" w:sz="0" w:space="0" w:color="auto"/>
                <w:bottom w:val="none" w:sz="0" w:space="0" w:color="auto"/>
                <w:right w:val="none" w:sz="0" w:space="0" w:color="auto"/>
              </w:divBdr>
            </w:div>
            <w:div w:id="539516857">
              <w:marLeft w:val="0"/>
              <w:marRight w:val="0"/>
              <w:marTop w:val="0"/>
              <w:marBottom w:val="0"/>
              <w:divBdr>
                <w:top w:val="none" w:sz="0" w:space="0" w:color="auto"/>
                <w:left w:val="none" w:sz="0" w:space="0" w:color="auto"/>
                <w:bottom w:val="none" w:sz="0" w:space="0" w:color="auto"/>
                <w:right w:val="none" w:sz="0" w:space="0" w:color="auto"/>
              </w:divBdr>
            </w:div>
            <w:div w:id="543827888">
              <w:marLeft w:val="0"/>
              <w:marRight w:val="0"/>
              <w:marTop w:val="0"/>
              <w:marBottom w:val="0"/>
              <w:divBdr>
                <w:top w:val="none" w:sz="0" w:space="0" w:color="auto"/>
                <w:left w:val="none" w:sz="0" w:space="0" w:color="auto"/>
                <w:bottom w:val="none" w:sz="0" w:space="0" w:color="auto"/>
                <w:right w:val="none" w:sz="0" w:space="0" w:color="auto"/>
              </w:divBdr>
            </w:div>
            <w:div w:id="582881411">
              <w:marLeft w:val="0"/>
              <w:marRight w:val="0"/>
              <w:marTop w:val="0"/>
              <w:marBottom w:val="0"/>
              <w:divBdr>
                <w:top w:val="none" w:sz="0" w:space="0" w:color="auto"/>
                <w:left w:val="none" w:sz="0" w:space="0" w:color="auto"/>
                <w:bottom w:val="none" w:sz="0" w:space="0" w:color="auto"/>
                <w:right w:val="none" w:sz="0" w:space="0" w:color="auto"/>
              </w:divBdr>
            </w:div>
            <w:div w:id="627902397">
              <w:marLeft w:val="0"/>
              <w:marRight w:val="0"/>
              <w:marTop w:val="0"/>
              <w:marBottom w:val="0"/>
              <w:divBdr>
                <w:top w:val="none" w:sz="0" w:space="0" w:color="auto"/>
                <w:left w:val="none" w:sz="0" w:space="0" w:color="auto"/>
                <w:bottom w:val="none" w:sz="0" w:space="0" w:color="auto"/>
                <w:right w:val="none" w:sz="0" w:space="0" w:color="auto"/>
              </w:divBdr>
            </w:div>
            <w:div w:id="731927791">
              <w:marLeft w:val="0"/>
              <w:marRight w:val="0"/>
              <w:marTop w:val="0"/>
              <w:marBottom w:val="0"/>
              <w:divBdr>
                <w:top w:val="none" w:sz="0" w:space="0" w:color="auto"/>
                <w:left w:val="none" w:sz="0" w:space="0" w:color="auto"/>
                <w:bottom w:val="none" w:sz="0" w:space="0" w:color="auto"/>
                <w:right w:val="none" w:sz="0" w:space="0" w:color="auto"/>
              </w:divBdr>
            </w:div>
            <w:div w:id="857960564">
              <w:marLeft w:val="0"/>
              <w:marRight w:val="0"/>
              <w:marTop w:val="0"/>
              <w:marBottom w:val="0"/>
              <w:divBdr>
                <w:top w:val="none" w:sz="0" w:space="0" w:color="auto"/>
                <w:left w:val="none" w:sz="0" w:space="0" w:color="auto"/>
                <w:bottom w:val="none" w:sz="0" w:space="0" w:color="auto"/>
                <w:right w:val="none" w:sz="0" w:space="0" w:color="auto"/>
              </w:divBdr>
            </w:div>
            <w:div w:id="966475588">
              <w:marLeft w:val="0"/>
              <w:marRight w:val="0"/>
              <w:marTop w:val="0"/>
              <w:marBottom w:val="0"/>
              <w:divBdr>
                <w:top w:val="none" w:sz="0" w:space="0" w:color="auto"/>
                <w:left w:val="none" w:sz="0" w:space="0" w:color="auto"/>
                <w:bottom w:val="none" w:sz="0" w:space="0" w:color="auto"/>
                <w:right w:val="none" w:sz="0" w:space="0" w:color="auto"/>
              </w:divBdr>
            </w:div>
            <w:div w:id="1221332030">
              <w:marLeft w:val="0"/>
              <w:marRight w:val="0"/>
              <w:marTop w:val="0"/>
              <w:marBottom w:val="0"/>
              <w:divBdr>
                <w:top w:val="none" w:sz="0" w:space="0" w:color="auto"/>
                <w:left w:val="none" w:sz="0" w:space="0" w:color="auto"/>
                <w:bottom w:val="none" w:sz="0" w:space="0" w:color="auto"/>
                <w:right w:val="none" w:sz="0" w:space="0" w:color="auto"/>
              </w:divBdr>
            </w:div>
            <w:div w:id="1227227942">
              <w:marLeft w:val="0"/>
              <w:marRight w:val="0"/>
              <w:marTop w:val="0"/>
              <w:marBottom w:val="0"/>
              <w:divBdr>
                <w:top w:val="none" w:sz="0" w:space="0" w:color="auto"/>
                <w:left w:val="none" w:sz="0" w:space="0" w:color="auto"/>
                <w:bottom w:val="none" w:sz="0" w:space="0" w:color="auto"/>
                <w:right w:val="none" w:sz="0" w:space="0" w:color="auto"/>
              </w:divBdr>
            </w:div>
            <w:div w:id="1624311817">
              <w:marLeft w:val="0"/>
              <w:marRight w:val="0"/>
              <w:marTop w:val="0"/>
              <w:marBottom w:val="0"/>
              <w:divBdr>
                <w:top w:val="none" w:sz="0" w:space="0" w:color="auto"/>
                <w:left w:val="none" w:sz="0" w:space="0" w:color="auto"/>
                <w:bottom w:val="none" w:sz="0" w:space="0" w:color="auto"/>
                <w:right w:val="none" w:sz="0" w:space="0" w:color="auto"/>
              </w:divBdr>
            </w:div>
            <w:div w:id="1822888881">
              <w:marLeft w:val="0"/>
              <w:marRight w:val="0"/>
              <w:marTop w:val="0"/>
              <w:marBottom w:val="0"/>
              <w:divBdr>
                <w:top w:val="none" w:sz="0" w:space="0" w:color="auto"/>
                <w:left w:val="none" w:sz="0" w:space="0" w:color="auto"/>
                <w:bottom w:val="none" w:sz="0" w:space="0" w:color="auto"/>
                <w:right w:val="none" w:sz="0" w:space="0" w:color="auto"/>
              </w:divBdr>
            </w:div>
            <w:div w:id="1876304554">
              <w:marLeft w:val="0"/>
              <w:marRight w:val="0"/>
              <w:marTop w:val="0"/>
              <w:marBottom w:val="0"/>
              <w:divBdr>
                <w:top w:val="none" w:sz="0" w:space="0" w:color="auto"/>
                <w:left w:val="none" w:sz="0" w:space="0" w:color="auto"/>
                <w:bottom w:val="none" w:sz="0" w:space="0" w:color="auto"/>
                <w:right w:val="none" w:sz="0" w:space="0" w:color="auto"/>
              </w:divBdr>
            </w:div>
            <w:div w:id="1880512780">
              <w:marLeft w:val="0"/>
              <w:marRight w:val="0"/>
              <w:marTop w:val="0"/>
              <w:marBottom w:val="0"/>
              <w:divBdr>
                <w:top w:val="none" w:sz="0" w:space="0" w:color="auto"/>
                <w:left w:val="none" w:sz="0" w:space="0" w:color="auto"/>
                <w:bottom w:val="none" w:sz="0" w:space="0" w:color="auto"/>
                <w:right w:val="none" w:sz="0" w:space="0" w:color="auto"/>
              </w:divBdr>
            </w:div>
            <w:div w:id="1883666039">
              <w:marLeft w:val="0"/>
              <w:marRight w:val="0"/>
              <w:marTop w:val="0"/>
              <w:marBottom w:val="0"/>
              <w:divBdr>
                <w:top w:val="none" w:sz="0" w:space="0" w:color="auto"/>
                <w:left w:val="none" w:sz="0" w:space="0" w:color="auto"/>
                <w:bottom w:val="none" w:sz="0" w:space="0" w:color="auto"/>
                <w:right w:val="none" w:sz="0" w:space="0" w:color="auto"/>
              </w:divBdr>
            </w:div>
            <w:div w:id="1906723045">
              <w:marLeft w:val="0"/>
              <w:marRight w:val="0"/>
              <w:marTop w:val="0"/>
              <w:marBottom w:val="0"/>
              <w:divBdr>
                <w:top w:val="none" w:sz="0" w:space="0" w:color="auto"/>
                <w:left w:val="none" w:sz="0" w:space="0" w:color="auto"/>
                <w:bottom w:val="none" w:sz="0" w:space="0" w:color="auto"/>
                <w:right w:val="none" w:sz="0" w:space="0" w:color="auto"/>
              </w:divBdr>
            </w:div>
            <w:div w:id="1916164618">
              <w:marLeft w:val="0"/>
              <w:marRight w:val="0"/>
              <w:marTop w:val="0"/>
              <w:marBottom w:val="0"/>
              <w:divBdr>
                <w:top w:val="none" w:sz="0" w:space="0" w:color="auto"/>
                <w:left w:val="none" w:sz="0" w:space="0" w:color="auto"/>
                <w:bottom w:val="none" w:sz="0" w:space="0" w:color="auto"/>
                <w:right w:val="none" w:sz="0" w:space="0" w:color="auto"/>
              </w:divBdr>
            </w:div>
          </w:divsChild>
        </w:div>
        <w:div w:id="1659767619">
          <w:marLeft w:val="0"/>
          <w:marRight w:val="0"/>
          <w:marTop w:val="0"/>
          <w:marBottom w:val="0"/>
          <w:divBdr>
            <w:top w:val="none" w:sz="0" w:space="0" w:color="auto"/>
            <w:left w:val="none" w:sz="0" w:space="0" w:color="auto"/>
            <w:bottom w:val="none" w:sz="0" w:space="0" w:color="auto"/>
            <w:right w:val="none" w:sz="0" w:space="0" w:color="auto"/>
          </w:divBdr>
        </w:div>
        <w:div w:id="1876770405">
          <w:marLeft w:val="0"/>
          <w:marRight w:val="0"/>
          <w:marTop w:val="0"/>
          <w:marBottom w:val="0"/>
          <w:divBdr>
            <w:top w:val="none" w:sz="0" w:space="0" w:color="auto"/>
            <w:left w:val="none" w:sz="0" w:space="0" w:color="auto"/>
            <w:bottom w:val="none" w:sz="0" w:space="0" w:color="auto"/>
            <w:right w:val="none" w:sz="0" w:space="0" w:color="auto"/>
          </w:divBdr>
        </w:div>
        <w:div w:id="1891500239">
          <w:marLeft w:val="0"/>
          <w:marRight w:val="0"/>
          <w:marTop w:val="0"/>
          <w:marBottom w:val="0"/>
          <w:divBdr>
            <w:top w:val="none" w:sz="0" w:space="0" w:color="auto"/>
            <w:left w:val="none" w:sz="0" w:space="0" w:color="auto"/>
            <w:bottom w:val="none" w:sz="0" w:space="0" w:color="auto"/>
            <w:right w:val="none" w:sz="0" w:space="0" w:color="auto"/>
          </w:divBdr>
          <w:divsChild>
            <w:div w:id="193815814">
              <w:marLeft w:val="0"/>
              <w:marRight w:val="0"/>
              <w:marTop w:val="0"/>
              <w:marBottom w:val="0"/>
              <w:divBdr>
                <w:top w:val="none" w:sz="0" w:space="0" w:color="auto"/>
                <w:left w:val="none" w:sz="0" w:space="0" w:color="auto"/>
                <w:bottom w:val="none" w:sz="0" w:space="0" w:color="auto"/>
                <w:right w:val="none" w:sz="0" w:space="0" w:color="auto"/>
              </w:divBdr>
            </w:div>
            <w:div w:id="522131157">
              <w:marLeft w:val="0"/>
              <w:marRight w:val="0"/>
              <w:marTop w:val="0"/>
              <w:marBottom w:val="0"/>
              <w:divBdr>
                <w:top w:val="none" w:sz="0" w:space="0" w:color="auto"/>
                <w:left w:val="none" w:sz="0" w:space="0" w:color="auto"/>
                <w:bottom w:val="none" w:sz="0" w:space="0" w:color="auto"/>
                <w:right w:val="none" w:sz="0" w:space="0" w:color="auto"/>
              </w:divBdr>
            </w:div>
            <w:div w:id="612828257">
              <w:marLeft w:val="0"/>
              <w:marRight w:val="0"/>
              <w:marTop w:val="0"/>
              <w:marBottom w:val="0"/>
              <w:divBdr>
                <w:top w:val="none" w:sz="0" w:space="0" w:color="auto"/>
                <w:left w:val="none" w:sz="0" w:space="0" w:color="auto"/>
                <w:bottom w:val="none" w:sz="0" w:space="0" w:color="auto"/>
                <w:right w:val="none" w:sz="0" w:space="0" w:color="auto"/>
              </w:divBdr>
            </w:div>
            <w:div w:id="1135608446">
              <w:marLeft w:val="0"/>
              <w:marRight w:val="0"/>
              <w:marTop w:val="0"/>
              <w:marBottom w:val="0"/>
              <w:divBdr>
                <w:top w:val="none" w:sz="0" w:space="0" w:color="auto"/>
                <w:left w:val="none" w:sz="0" w:space="0" w:color="auto"/>
                <w:bottom w:val="none" w:sz="0" w:space="0" w:color="auto"/>
                <w:right w:val="none" w:sz="0" w:space="0" w:color="auto"/>
              </w:divBdr>
            </w:div>
            <w:div w:id="1523665591">
              <w:marLeft w:val="0"/>
              <w:marRight w:val="0"/>
              <w:marTop w:val="0"/>
              <w:marBottom w:val="0"/>
              <w:divBdr>
                <w:top w:val="none" w:sz="0" w:space="0" w:color="auto"/>
                <w:left w:val="none" w:sz="0" w:space="0" w:color="auto"/>
                <w:bottom w:val="none" w:sz="0" w:space="0" w:color="auto"/>
                <w:right w:val="none" w:sz="0" w:space="0" w:color="auto"/>
              </w:divBdr>
            </w:div>
            <w:div w:id="1538469330">
              <w:marLeft w:val="0"/>
              <w:marRight w:val="0"/>
              <w:marTop w:val="0"/>
              <w:marBottom w:val="0"/>
              <w:divBdr>
                <w:top w:val="none" w:sz="0" w:space="0" w:color="auto"/>
                <w:left w:val="none" w:sz="0" w:space="0" w:color="auto"/>
                <w:bottom w:val="none" w:sz="0" w:space="0" w:color="auto"/>
                <w:right w:val="none" w:sz="0" w:space="0" w:color="auto"/>
              </w:divBdr>
            </w:div>
            <w:div w:id="1699886597">
              <w:marLeft w:val="0"/>
              <w:marRight w:val="0"/>
              <w:marTop w:val="0"/>
              <w:marBottom w:val="0"/>
              <w:divBdr>
                <w:top w:val="none" w:sz="0" w:space="0" w:color="auto"/>
                <w:left w:val="none" w:sz="0" w:space="0" w:color="auto"/>
                <w:bottom w:val="none" w:sz="0" w:space="0" w:color="auto"/>
                <w:right w:val="none" w:sz="0" w:space="0" w:color="auto"/>
              </w:divBdr>
            </w:div>
            <w:div w:id="1902011485">
              <w:marLeft w:val="0"/>
              <w:marRight w:val="0"/>
              <w:marTop w:val="0"/>
              <w:marBottom w:val="0"/>
              <w:divBdr>
                <w:top w:val="none" w:sz="0" w:space="0" w:color="auto"/>
                <w:left w:val="none" w:sz="0" w:space="0" w:color="auto"/>
                <w:bottom w:val="none" w:sz="0" w:space="0" w:color="auto"/>
                <w:right w:val="none" w:sz="0" w:space="0" w:color="auto"/>
              </w:divBdr>
            </w:div>
            <w:div w:id="1994796593">
              <w:marLeft w:val="0"/>
              <w:marRight w:val="0"/>
              <w:marTop w:val="0"/>
              <w:marBottom w:val="0"/>
              <w:divBdr>
                <w:top w:val="none" w:sz="0" w:space="0" w:color="auto"/>
                <w:left w:val="none" w:sz="0" w:space="0" w:color="auto"/>
                <w:bottom w:val="none" w:sz="0" w:space="0" w:color="auto"/>
                <w:right w:val="none" w:sz="0" w:space="0" w:color="auto"/>
              </w:divBdr>
            </w:div>
            <w:div w:id="206000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09950">
      <w:bodyDiv w:val="1"/>
      <w:marLeft w:val="0"/>
      <w:marRight w:val="0"/>
      <w:marTop w:val="0"/>
      <w:marBottom w:val="0"/>
      <w:divBdr>
        <w:top w:val="none" w:sz="0" w:space="0" w:color="auto"/>
        <w:left w:val="none" w:sz="0" w:space="0" w:color="auto"/>
        <w:bottom w:val="none" w:sz="0" w:space="0" w:color="auto"/>
        <w:right w:val="none" w:sz="0" w:space="0" w:color="auto"/>
      </w:divBdr>
    </w:div>
    <w:div w:id="1834904335">
      <w:bodyDiv w:val="1"/>
      <w:marLeft w:val="0"/>
      <w:marRight w:val="0"/>
      <w:marTop w:val="0"/>
      <w:marBottom w:val="0"/>
      <w:divBdr>
        <w:top w:val="none" w:sz="0" w:space="0" w:color="auto"/>
        <w:left w:val="none" w:sz="0" w:space="0" w:color="auto"/>
        <w:bottom w:val="none" w:sz="0" w:space="0" w:color="auto"/>
        <w:right w:val="none" w:sz="0" w:space="0" w:color="auto"/>
      </w:divBdr>
    </w:div>
    <w:div w:id="1841237090">
      <w:bodyDiv w:val="1"/>
      <w:marLeft w:val="0"/>
      <w:marRight w:val="0"/>
      <w:marTop w:val="0"/>
      <w:marBottom w:val="0"/>
      <w:divBdr>
        <w:top w:val="none" w:sz="0" w:space="0" w:color="auto"/>
        <w:left w:val="none" w:sz="0" w:space="0" w:color="auto"/>
        <w:bottom w:val="none" w:sz="0" w:space="0" w:color="auto"/>
        <w:right w:val="none" w:sz="0" w:space="0" w:color="auto"/>
      </w:divBdr>
    </w:div>
    <w:div w:id="1849438591">
      <w:bodyDiv w:val="1"/>
      <w:marLeft w:val="0"/>
      <w:marRight w:val="0"/>
      <w:marTop w:val="0"/>
      <w:marBottom w:val="0"/>
      <w:divBdr>
        <w:top w:val="none" w:sz="0" w:space="0" w:color="auto"/>
        <w:left w:val="none" w:sz="0" w:space="0" w:color="auto"/>
        <w:bottom w:val="none" w:sz="0" w:space="0" w:color="auto"/>
        <w:right w:val="none" w:sz="0" w:space="0" w:color="auto"/>
      </w:divBdr>
      <w:divsChild>
        <w:div w:id="760296625">
          <w:marLeft w:val="0"/>
          <w:marRight w:val="0"/>
          <w:marTop w:val="0"/>
          <w:marBottom w:val="0"/>
          <w:divBdr>
            <w:top w:val="none" w:sz="0" w:space="0" w:color="auto"/>
            <w:left w:val="none" w:sz="0" w:space="0" w:color="auto"/>
            <w:bottom w:val="none" w:sz="0" w:space="0" w:color="auto"/>
            <w:right w:val="none" w:sz="0" w:space="0" w:color="auto"/>
          </w:divBdr>
          <w:divsChild>
            <w:div w:id="235824153">
              <w:marLeft w:val="0"/>
              <w:marRight w:val="0"/>
              <w:marTop w:val="0"/>
              <w:marBottom w:val="0"/>
              <w:divBdr>
                <w:top w:val="none" w:sz="0" w:space="0" w:color="auto"/>
                <w:left w:val="none" w:sz="0" w:space="0" w:color="auto"/>
                <w:bottom w:val="none" w:sz="0" w:space="0" w:color="auto"/>
                <w:right w:val="none" w:sz="0" w:space="0" w:color="auto"/>
              </w:divBdr>
            </w:div>
            <w:div w:id="592664611">
              <w:marLeft w:val="0"/>
              <w:marRight w:val="0"/>
              <w:marTop w:val="0"/>
              <w:marBottom w:val="0"/>
              <w:divBdr>
                <w:top w:val="none" w:sz="0" w:space="0" w:color="auto"/>
                <w:left w:val="none" w:sz="0" w:space="0" w:color="auto"/>
                <w:bottom w:val="none" w:sz="0" w:space="0" w:color="auto"/>
                <w:right w:val="none" w:sz="0" w:space="0" w:color="auto"/>
              </w:divBdr>
            </w:div>
            <w:div w:id="784081468">
              <w:marLeft w:val="0"/>
              <w:marRight w:val="0"/>
              <w:marTop w:val="0"/>
              <w:marBottom w:val="0"/>
              <w:divBdr>
                <w:top w:val="none" w:sz="0" w:space="0" w:color="auto"/>
                <w:left w:val="none" w:sz="0" w:space="0" w:color="auto"/>
                <w:bottom w:val="none" w:sz="0" w:space="0" w:color="auto"/>
                <w:right w:val="none" w:sz="0" w:space="0" w:color="auto"/>
              </w:divBdr>
            </w:div>
            <w:div w:id="847014477">
              <w:marLeft w:val="0"/>
              <w:marRight w:val="0"/>
              <w:marTop w:val="0"/>
              <w:marBottom w:val="0"/>
              <w:divBdr>
                <w:top w:val="none" w:sz="0" w:space="0" w:color="auto"/>
                <w:left w:val="none" w:sz="0" w:space="0" w:color="auto"/>
                <w:bottom w:val="none" w:sz="0" w:space="0" w:color="auto"/>
                <w:right w:val="none" w:sz="0" w:space="0" w:color="auto"/>
              </w:divBdr>
            </w:div>
            <w:div w:id="861894647">
              <w:marLeft w:val="0"/>
              <w:marRight w:val="0"/>
              <w:marTop w:val="0"/>
              <w:marBottom w:val="0"/>
              <w:divBdr>
                <w:top w:val="none" w:sz="0" w:space="0" w:color="auto"/>
                <w:left w:val="none" w:sz="0" w:space="0" w:color="auto"/>
                <w:bottom w:val="none" w:sz="0" w:space="0" w:color="auto"/>
                <w:right w:val="none" w:sz="0" w:space="0" w:color="auto"/>
              </w:divBdr>
            </w:div>
            <w:div w:id="967978877">
              <w:marLeft w:val="0"/>
              <w:marRight w:val="0"/>
              <w:marTop w:val="0"/>
              <w:marBottom w:val="0"/>
              <w:divBdr>
                <w:top w:val="none" w:sz="0" w:space="0" w:color="auto"/>
                <w:left w:val="none" w:sz="0" w:space="0" w:color="auto"/>
                <w:bottom w:val="none" w:sz="0" w:space="0" w:color="auto"/>
                <w:right w:val="none" w:sz="0" w:space="0" w:color="auto"/>
              </w:divBdr>
            </w:div>
            <w:div w:id="1069964201">
              <w:marLeft w:val="0"/>
              <w:marRight w:val="0"/>
              <w:marTop w:val="0"/>
              <w:marBottom w:val="0"/>
              <w:divBdr>
                <w:top w:val="none" w:sz="0" w:space="0" w:color="auto"/>
                <w:left w:val="none" w:sz="0" w:space="0" w:color="auto"/>
                <w:bottom w:val="none" w:sz="0" w:space="0" w:color="auto"/>
                <w:right w:val="none" w:sz="0" w:space="0" w:color="auto"/>
              </w:divBdr>
            </w:div>
            <w:div w:id="1137069656">
              <w:marLeft w:val="0"/>
              <w:marRight w:val="0"/>
              <w:marTop w:val="0"/>
              <w:marBottom w:val="0"/>
              <w:divBdr>
                <w:top w:val="none" w:sz="0" w:space="0" w:color="auto"/>
                <w:left w:val="none" w:sz="0" w:space="0" w:color="auto"/>
                <w:bottom w:val="none" w:sz="0" w:space="0" w:color="auto"/>
                <w:right w:val="none" w:sz="0" w:space="0" w:color="auto"/>
              </w:divBdr>
            </w:div>
            <w:div w:id="1409840451">
              <w:marLeft w:val="0"/>
              <w:marRight w:val="0"/>
              <w:marTop w:val="0"/>
              <w:marBottom w:val="0"/>
              <w:divBdr>
                <w:top w:val="none" w:sz="0" w:space="0" w:color="auto"/>
                <w:left w:val="none" w:sz="0" w:space="0" w:color="auto"/>
                <w:bottom w:val="none" w:sz="0" w:space="0" w:color="auto"/>
                <w:right w:val="none" w:sz="0" w:space="0" w:color="auto"/>
              </w:divBdr>
            </w:div>
            <w:div w:id="1755084603">
              <w:marLeft w:val="0"/>
              <w:marRight w:val="0"/>
              <w:marTop w:val="0"/>
              <w:marBottom w:val="0"/>
              <w:divBdr>
                <w:top w:val="none" w:sz="0" w:space="0" w:color="auto"/>
                <w:left w:val="none" w:sz="0" w:space="0" w:color="auto"/>
                <w:bottom w:val="none" w:sz="0" w:space="0" w:color="auto"/>
                <w:right w:val="none" w:sz="0" w:space="0" w:color="auto"/>
              </w:divBdr>
            </w:div>
            <w:div w:id="2011592753">
              <w:marLeft w:val="0"/>
              <w:marRight w:val="0"/>
              <w:marTop w:val="0"/>
              <w:marBottom w:val="0"/>
              <w:divBdr>
                <w:top w:val="none" w:sz="0" w:space="0" w:color="auto"/>
                <w:left w:val="none" w:sz="0" w:space="0" w:color="auto"/>
                <w:bottom w:val="none" w:sz="0" w:space="0" w:color="auto"/>
                <w:right w:val="none" w:sz="0" w:space="0" w:color="auto"/>
              </w:divBdr>
            </w:div>
            <w:div w:id="2052680110">
              <w:marLeft w:val="0"/>
              <w:marRight w:val="0"/>
              <w:marTop w:val="0"/>
              <w:marBottom w:val="0"/>
              <w:divBdr>
                <w:top w:val="none" w:sz="0" w:space="0" w:color="auto"/>
                <w:left w:val="none" w:sz="0" w:space="0" w:color="auto"/>
                <w:bottom w:val="none" w:sz="0" w:space="0" w:color="auto"/>
                <w:right w:val="none" w:sz="0" w:space="0" w:color="auto"/>
              </w:divBdr>
            </w:div>
            <w:div w:id="2090349546">
              <w:marLeft w:val="0"/>
              <w:marRight w:val="0"/>
              <w:marTop w:val="0"/>
              <w:marBottom w:val="0"/>
              <w:divBdr>
                <w:top w:val="none" w:sz="0" w:space="0" w:color="auto"/>
                <w:left w:val="none" w:sz="0" w:space="0" w:color="auto"/>
                <w:bottom w:val="none" w:sz="0" w:space="0" w:color="auto"/>
                <w:right w:val="none" w:sz="0" w:space="0" w:color="auto"/>
              </w:divBdr>
            </w:div>
          </w:divsChild>
        </w:div>
        <w:div w:id="2135561437">
          <w:marLeft w:val="0"/>
          <w:marRight w:val="0"/>
          <w:marTop w:val="0"/>
          <w:marBottom w:val="0"/>
          <w:divBdr>
            <w:top w:val="none" w:sz="0" w:space="0" w:color="auto"/>
            <w:left w:val="none" w:sz="0" w:space="0" w:color="auto"/>
            <w:bottom w:val="none" w:sz="0" w:space="0" w:color="auto"/>
            <w:right w:val="none" w:sz="0" w:space="0" w:color="auto"/>
          </w:divBdr>
        </w:div>
      </w:divsChild>
    </w:div>
    <w:div w:id="1875998280">
      <w:bodyDiv w:val="1"/>
      <w:marLeft w:val="0"/>
      <w:marRight w:val="0"/>
      <w:marTop w:val="0"/>
      <w:marBottom w:val="0"/>
      <w:divBdr>
        <w:top w:val="none" w:sz="0" w:space="0" w:color="auto"/>
        <w:left w:val="none" w:sz="0" w:space="0" w:color="auto"/>
        <w:bottom w:val="none" w:sz="0" w:space="0" w:color="auto"/>
        <w:right w:val="none" w:sz="0" w:space="0" w:color="auto"/>
      </w:divBdr>
      <w:divsChild>
        <w:div w:id="21324099">
          <w:marLeft w:val="0"/>
          <w:marRight w:val="0"/>
          <w:marTop w:val="0"/>
          <w:marBottom w:val="0"/>
          <w:divBdr>
            <w:top w:val="none" w:sz="0" w:space="0" w:color="auto"/>
            <w:left w:val="none" w:sz="0" w:space="0" w:color="auto"/>
            <w:bottom w:val="none" w:sz="0" w:space="0" w:color="auto"/>
            <w:right w:val="none" w:sz="0" w:space="0" w:color="auto"/>
          </w:divBdr>
          <w:divsChild>
            <w:div w:id="427627555">
              <w:marLeft w:val="0"/>
              <w:marRight w:val="0"/>
              <w:marTop w:val="0"/>
              <w:marBottom w:val="0"/>
              <w:divBdr>
                <w:top w:val="none" w:sz="0" w:space="0" w:color="auto"/>
                <w:left w:val="none" w:sz="0" w:space="0" w:color="auto"/>
                <w:bottom w:val="none" w:sz="0" w:space="0" w:color="auto"/>
                <w:right w:val="none" w:sz="0" w:space="0" w:color="auto"/>
              </w:divBdr>
            </w:div>
            <w:div w:id="498539235">
              <w:marLeft w:val="0"/>
              <w:marRight w:val="0"/>
              <w:marTop w:val="0"/>
              <w:marBottom w:val="0"/>
              <w:divBdr>
                <w:top w:val="none" w:sz="0" w:space="0" w:color="auto"/>
                <w:left w:val="none" w:sz="0" w:space="0" w:color="auto"/>
                <w:bottom w:val="none" w:sz="0" w:space="0" w:color="auto"/>
                <w:right w:val="none" w:sz="0" w:space="0" w:color="auto"/>
              </w:divBdr>
            </w:div>
            <w:div w:id="527065814">
              <w:marLeft w:val="0"/>
              <w:marRight w:val="0"/>
              <w:marTop w:val="0"/>
              <w:marBottom w:val="0"/>
              <w:divBdr>
                <w:top w:val="none" w:sz="0" w:space="0" w:color="auto"/>
                <w:left w:val="none" w:sz="0" w:space="0" w:color="auto"/>
                <w:bottom w:val="none" w:sz="0" w:space="0" w:color="auto"/>
                <w:right w:val="none" w:sz="0" w:space="0" w:color="auto"/>
              </w:divBdr>
            </w:div>
            <w:div w:id="721901747">
              <w:marLeft w:val="0"/>
              <w:marRight w:val="0"/>
              <w:marTop w:val="0"/>
              <w:marBottom w:val="0"/>
              <w:divBdr>
                <w:top w:val="none" w:sz="0" w:space="0" w:color="auto"/>
                <w:left w:val="none" w:sz="0" w:space="0" w:color="auto"/>
                <w:bottom w:val="none" w:sz="0" w:space="0" w:color="auto"/>
                <w:right w:val="none" w:sz="0" w:space="0" w:color="auto"/>
              </w:divBdr>
            </w:div>
            <w:div w:id="751120048">
              <w:marLeft w:val="0"/>
              <w:marRight w:val="0"/>
              <w:marTop w:val="0"/>
              <w:marBottom w:val="0"/>
              <w:divBdr>
                <w:top w:val="none" w:sz="0" w:space="0" w:color="auto"/>
                <w:left w:val="none" w:sz="0" w:space="0" w:color="auto"/>
                <w:bottom w:val="none" w:sz="0" w:space="0" w:color="auto"/>
                <w:right w:val="none" w:sz="0" w:space="0" w:color="auto"/>
              </w:divBdr>
            </w:div>
            <w:div w:id="802848355">
              <w:marLeft w:val="0"/>
              <w:marRight w:val="0"/>
              <w:marTop w:val="0"/>
              <w:marBottom w:val="0"/>
              <w:divBdr>
                <w:top w:val="none" w:sz="0" w:space="0" w:color="auto"/>
                <w:left w:val="none" w:sz="0" w:space="0" w:color="auto"/>
                <w:bottom w:val="none" w:sz="0" w:space="0" w:color="auto"/>
                <w:right w:val="none" w:sz="0" w:space="0" w:color="auto"/>
              </w:divBdr>
            </w:div>
            <w:div w:id="810486715">
              <w:marLeft w:val="0"/>
              <w:marRight w:val="0"/>
              <w:marTop w:val="0"/>
              <w:marBottom w:val="0"/>
              <w:divBdr>
                <w:top w:val="none" w:sz="0" w:space="0" w:color="auto"/>
                <w:left w:val="none" w:sz="0" w:space="0" w:color="auto"/>
                <w:bottom w:val="none" w:sz="0" w:space="0" w:color="auto"/>
                <w:right w:val="none" w:sz="0" w:space="0" w:color="auto"/>
              </w:divBdr>
            </w:div>
            <w:div w:id="826213257">
              <w:marLeft w:val="0"/>
              <w:marRight w:val="0"/>
              <w:marTop w:val="0"/>
              <w:marBottom w:val="0"/>
              <w:divBdr>
                <w:top w:val="none" w:sz="0" w:space="0" w:color="auto"/>
                <w:left w:val="none" w:sz="0" w:space="0" w:color="auto"/>
                <w:bottom w:val="none" w:sz="0" w:space="0" w:color="auto"/>
                <w:right w:val="none" w:sz="0" w:space="0" w:color="auto"/>
              </w:divBdr>
            </w:div>
            <w:div w:id="966813621">
              <w:marLeft w:val="0"/>
              <w:marRight w:val="0"/>
              <w:marTop w:val="0"/>
              <w:marBottom w:val="0"/>
              <w:divBdr>
                <w:top w:val="none" w:sz="0" w:space="0" w:color="auto"/>
                <w:left w:val="none" w:sz="0" w:space="0" w:color="auto"/>
                <w:bottom w:val="none" w:sz="0" w:space="0" w:color="auto"/>
                <w:right w:val="none" w:sz="0" w:space="0" w:color="auto"/>
              </w:divBdr>
            </w:div>
            <w:div w:id="1033268979">
              <w:marLeft w:val="0"/>
              <w:marRight w:val="0"/>
              <w:marTop w:val="0"/>
              <w:marBottom w:val="0"/>
              <w:divBdr>
                <w:top w:val="none" w:sz="0" w:space="0" w:color="auto"/>
                <w:left w:val="none" w:sz="0" w:space="0" w:color="auto"/>
                <w:bottom w:val="none" w:sz="0" w:space="0" w:color="auto"/>
                <w:right w:val="none" w:sz="0" w:space="0" w:color="auto"/>
              </w:divBdr>
            </w:div>
            <w:div w:id="1044133841">
              <w:marLeft w:val="0"/>
              <w:marRight w:val="0"/>
              <w:marTop w:val="0"/>
              <w:marBottom w:val="0"/>
              <w:divBdr>
                <w:top w:val="none" w:sz="0" w:space="0" w:color="auto"/>
                <w:left w:val="none" w:sz="0" w:space="0" w:color="auto"/>
                <w:bottom w:val="none" w:sz="0" w:space="0" w:color="auto"/>
                <w:right w:val="none" w:sz="0" w:space="0" w:color="auto"/>
              </w:divBdr>
            </w:div>
            <w:div w:id="1181234828">
              <w:marLeft w:val="0"/>
              <w:marRight w:val="0"/>
              <w:marTop w:val="0"/>
              <w:marBottom w:val="0"/>
              <w:divBdr>
                <w:top w:val="none" w:sz="0" w:space="0" w:color="auto"/>
                <w:left w:val="none" w:sz="0" w:space="0" w:color="auto"/>
                <w:bottom w:val="none" w:sz="0" w:space="0" w:color="auto"/>
                <w:right w:val="none" w:sz="0" w:space="0" w:color="auto"/>
              </w:divBdr>
            </w:div>
            <w:div w:id="1221525874">
              <w:marLeft w:val="0"/>
              <w:marRight w:val="0"/>
              <w:marTop w:val="0"/>
              <w:marBottom w:val="0"/>
              <w:divBdr>
                <w:top w:val="none" w:sz="0" w:space="0" w:color="auto"/>
                <w:left w:val="none" w:sz="0" w:space="0" w:color="auto"/>
                <w:bottom w:val="none" w:sz="0" w:space="0" w:color="auto"/>
                <w:right w:val="none" w:sz="0" w:space="0" w:color="auto"/>
              </w:divBdr>
            </w:div>
            <w:div w:id="1262833170">
              <w:marLeft w:val="0"/>
              <w:marRight w:val="0"/>
              <w:marTop w:val="0"/>
              <w:marBottom w:val="0"/>
              <w:divBdr>
                <w:top w:val="none" w:sz="0" w:space="0" w:color="auto"/>
                <w:left w:val="none" w:sz="0" w:space="0" w:color="auto"/>
                <w:bottom w:val="none" w:sz="0" w:space="0" w:color="auto"/>
                <w:right w:val="none" w:sz="0" w:space="0" w:color="auto"/>
              </w:divBdr>
            </w:div>
            <w:div w:id="1376348519">
              <w:marLeft w:val="0"/>
              <w:marRight w:val="0"/>
              <w:marTop w:val="0"/>
              <w:marBottom w:val="0"/>
              <w:divBdr>
                <w:top w:val="none" w:sz="0" w:space="0" w:color="auto"/>
                <w:left w:val="none" w:sz="0" w:space="0" w:color="auto"/>
                <w:bottom w:val="none" w:sz="0" w:space="0" w:color="auto"/>
                <w:right w:val="none" w:sz="0" w:space="0" w:color="auto"/>
              </w:divBdr>
            </w:div>
            <w:div w:id="1466313177">
              <w:marLeft w:val="0"/>
              <w:marRight w:val="0"/>
              <w:marTop w:val="0"/>
              <w:marBottom w:val="0"/>
              <w:divBdr>
                <w:top w:val="none" w:sz="0" w:space="0" w:color="auto"/>
                <w:left w:val="none" w:sz="0" w:space="0" w:color="auto"/>
                <w:bottom w:val="none" w:sz="0" w:space="0" w:color="auto"/>
                <w:right w:val="none" w:sz="0" w:space="0" w:color="auto"/>
              </w:divBdr>
            </w:div>
            <w:div w:id="1575776616">
              <w:marLeft w:val="0"/>
              <w:marRight w:val="0"/>
              <w:marTop w:val="0"/>
              <w:marBottom w:val="0"/>
              <w:divBdr>
                <w:top w:val="none" w:sz="0" w:space="0" w:color="auto"/>
                <w:left w:val="none" w:sz="0" w:space="0" w:color="auto"/>
                <w:bottom w:val="none" w:sz="0" w:space="0" w:color="auto"/>
                <w:right w:val="none" w:sz="0" w:space="0" w:color="auto"/>
              </w:divBdr>
            </w:div>
            <w:div w:id="1625773773">
              <w:marLeft w:val="0"/>
              <w:marRight w:val="0"/>
              <w:marTop w:val="0"/>
              <w:marBottom w:val="0"/>
              <w:divBdr>
                <w:top w:val="none" w:sz="0" w:space="0" w:color="auto"/>
                <w:left w:val="none" w:sz="0" w:space="0" w:color="auto"/>
                <w:bottom w:val="none" w:sz="0" w:space="0" w:color="auto"/>
                <w:right w:val="none" w:sz="0" w:space="0" w:color="auto"/>
              </w:divBdr>
            </w:div>
            <w:div w:id="1841579414">
              <w:marLeft w:val="0"/>
              <w:marRight w:val="0"/>
              <w:marTop w:val="0"/>
              <w:marBottom w:val="0"/>
              <w:divBdr>
                <w:top w:val="none" w:sz="0" w:space="0" w:color="auto"/>
                <w:left w:val="none" w:sz="0" w:space="0" w:color="auto"/>
                <w:bottom w:val="none" w:sz="0" w:space="0" w:color="auto"/>
                <w:right w:val="none" w:sz="0" w:space="0" w:color="auto"/>
              </w:divBdr>
            </w:div>
            <w:div w:id="1875579326">
              <w:marLeft w:val="0"/>
              <w:marRight w:val="0"/>
              <w:marTop w:val="0"/>
              <w:marBottom w:val="0"/>
              <w:divBdr>
                <w:top w:val="none" w:sz="0" w:space="0" w:color="auto"/>
                <w:left w:val="none" w:sz="0" w:space="0" w:color="auto"/>
                <w:bottom w:val="none" w:sz="0" w:space="0" w:color="auto"/>
                <w:right w:val="none" w:sz="0" w:space="0" w:color="auto"/>
              </w:divBdr>
            </w:div>
          </w:divsChild>
        </w:div>
        <w:div w:id="164513160">
          <w:marLeft w:val="0"/>
          <w:marRight w:val="0"/>
          <w:marTop w:val="0"/>
          <w:marBottom w:val="0"/>
          <w:divBdr>
            <w:top w:val="none" w:sz="0" w:space="0" w:color="auto"/>
            <w:left w:val="none" w:sz="0" w:space="0" w:color="auto"/>
            <w:bottom w:val="none" w:sz="0" w:space="0" w:color="auto"/>
            <w:right w:val="none" w:sz="0" w:space="0" w:color="auto"/>
          </w:divBdr>
          <w:divsChild>
            <w:div w:id="132260945">
              <w:marLeft w:val="0"/>
              <w:marRight w:val="0"/>
              <w:marTop w:val="0"/>
              <w:marBottom w:val="0"/>
              <w:divBdr>
                <w:top w:val="none" w:sz="0" w:space="0" w:color="auto"/>
                <w:left w:val="none" w:sz="0" w:space="0" w:color="auto"/>
                <w:bottom w:val="none" w:sz="0" w:space="0" w:color="auto"/>
                <w:right w:val="none" w:sz="0" w:space="0" w:color="auto"/>
              </w:divBdr>
            </w:div>
            <w:div w:id="189219403">
              <w:marLeft w:val="0"/>
              <w:marRight w:val="0"/>
              <w:marTop w:val="0"/>
              <w:marBottom w:val="0"/>
              <w:divBdr>
                <w:top w:val="none" w:sz="0" w:space="0" w:color="auto"/>
                <w:left w:val="none" w:sz="0" w:space="0" w:color="auto"/>
                <w:bottom w:val="none" w:sz="0" w:space="0" w:color="auto"/>
                <w:right w:val="none" w:sz="0" w:space="0" w:color="auto"/>
              </w:divBdr>
            </w:div>
            <w:div w:id="294532548">
              <w:marLeft w:val="0"/>
              <w:marRight w:val="0"/>
              <w:marTop w:val="0"/>
              <w:marBottom w:val="0"/>
              <w:divBdr>
                <w:top w:val="none" w:sz="0" w:space="0" w:color="auto"/>
                <w:left w:val="none" w:sz="0" w:space="0" w:color="auto"/>
                <w:bottom w:val="none" w:sz="0" w:space="0" w:color="auto"/>
                <w:right w:val="none" w:sz="0" w:space="0" w:color="auto"/>
              </w:divBdr>
            </w:div>
            <w:div w:id="337394914">
              <w:marLeft w:val="0"/>
              <w:marRight w:val="0"/>
              <w:marTop w:val="0"/>
              <w:marBottom w:val="0"/>
              <w:divBdr>
                <w:top w:val="none" w:sz="0" w:space="0" w:color="auto"/>
                <w:left w:val="none" w:sz="0" w:space="0" w:color="auto"/>
                <w:bottom w:val="none" w:sz="0" w:space="0" w:color="auto"/>
                <w:right w:val="none" w:sz="0" w:space="0" w:color="auto"/>
              </w:divBdr>
            </w:div>
            <w:div w:id="343555287">
              <w:marLeft w:val="0"/>
              <w:marRight w:val="0"/>
              <w:marTop w:val="0"/>
              <w:marBottom w:val="0"/>
              <w:divBdr>
                <w:top w:val="none" w:sz="0" w:space="0" w:color="auto"/>
                <w:left w:val="none" w:sz="0" w:space="0" w:color="auto"/>
                <w:bottom w:val="none" w:sz="0" w:space="0" w:color="auto"/>
                <w:right w:val="none" w:sz="0" w:space="0" w:color="auto"/>
              </w:divBdr>
            </w:div>
            <w:div w:id="374158517">
              <w:marLeft w:val="0"/>
              <w:marRight w:val="0"/>
              <w:marTop w:val="0"/>
              <w:marBottom w:val="0"/>
              <w:divBdr>
                <w:top w:val="none" w:sz="0" w:space="0" w:color="auto"/>
                <w:left w:val="none" w:sz="0" w:space="0" w:color="auto"/>
                <w:bottom w:val="none" w:sz="0" w:space="0" w:color="auto"/>
                <w:right w:val="none" w:sz="0" w:space="0" w:color="auto"/>
              </w:divBdr>
            </w:div>
            <w:div w:id="652486929">
              <w:marLeft w:val="0"/>
              <w:marRight w:val="0"/>
              <w:marTop w:val="0"/>
              <w:marBottom w:val="0"/>
              <w:divBdr>
                <w:top w:val="none" w:sz="0" w:space="0" w:color="auto"/>
                <w:left w:val="none" w:sz="0" w:space="0" w:color="auto"/>
                <w:bottom w:val="none" w:sz="0" w:space="0" w:color="auto"/>
                <w:right w:val="none" w:sz="0" w:space="0" w:color="auto"/>
              </w:divBdr>
            </w:div>
            <w:div w:id="741023677">
              <w:marLeft w:val="0"/>
              <w:marRight w:val="0"/>
              <w:marTop w:val="0"/>
              <w:marBottom w:val="0"/>
              <w:divBdr>
                <w:top w:val="none" w:sz="0" w:space="0" w:color="auto"/>
                <w:left w:val="none" w:sz="0" w:space="0" w:color="auto"/>
                <w:bottom w:val="none" w:sz="0" w:space="0" w:color="auto"/>
                <w:right w:val="none" w:sz="0" w:space="0" w:color="auto"/>
              </w:divBdr>
            </w:div>
            <w:div w:id="832531334">
              <w:marLeft w:val="0"/>
              <w:marRight w:val="0"/>
              <w:marTop w:val="0"/>
              <w:marBottom w:val="0"/>
              <w:divBdr>
                <w:top w:val="none" w:sz="0" w:space="0" w:color="auto"/>
                <w:left w:val="none" w:sz="0" w:space="0" w:color="auto"/>
                <w:bottom w:val="none" w:sz="0" w:space="0" w:color="auto"/>
                <w:right w:val="none" w:sz="0" w:space="0" w:color="auto"/>
              </w:divBdr>
            </w:div>
            <w:div w:id="942344123">
              <w:marLeft w:val="0"/>
              <w:marRight w:val="0"/>
              <w:marTop w:val="0"/>
              <w:marBottom w:val="0"/>
              <w:divBdr>
                <w:top w:val="none" w:sz="0" w:space="0" w:color="auto"/>
                <w:left w:val="none" w:sz="0" w:space="0" w:color="auto"/>
                <w:bottom w:val="none" w:sz="0" w:space="0" w:color="auto"/>
                <w:right w:val="none" w:sz="0" w:space="0" w:color="auto"/>
              </w:divBdr>
            </w:div>
            <w:div w:id="1056129248">
              <w:marLeft w:val="0"/>
              <w:marRight w:val="0"/>
              <w:marTop w:val="0"/>
              <w:marBottom w:val="0"/>
              <w:divBdr>
                <w:top w:val="none" w:sz="0" w:space="0" w:color="auto"/>
                <w:left w:val="none" w:sz="0" w:space="0" w:color="auto"/>
                <w:bottom w:val="none" w:sz="0" w:space="0" w:color="auto"/>
                <w:right w:val="none" w:sz="0" w:space="0" w:color="auto"/>
              </w:divBdr>
            </w:div>
            <w:div w:id="1063872134">
              <w:marLeft w:val="0"/>
              <w:marRight w:val="0"/>
              <w:marTop w:val="0"/>
              <w:marBottom w:val="0"/>
              <w:divBdr>
                <w:top w:val="none" w:sz="0" w:space="0" w:color="auto"/>
                <w:left w:val="none" w:sz="0" w:space="0" w:color="auto"/>
                <w:bottom w:val="none" w:sz="0" w:space="0" w:color="auto"/>
                <w:right w:val="none" w:sz="0" w:space="0" w:color="auto"/>
              </w:divBdr>
            </w:div>
            <w:div w:id="1259412914">
              <w:marLeft w:val="0"/>
              <w:marRight w:val="0"/>
              <w:marTop w:val="0"/>
              <w:marBottom w:val="0"/>
              <w:divBdr>
                <w:top w:val="none" w:sz="0" w:space="0" w:color="auto"/>
                <w:left w:val="none" w:sz="0" w:space="0" w:color="auto"/>
                <w:bottom w:val="none" w:sz="0" w:space="0" w:color="auto"/>
                <w:right w:val="none" w:sz="0" w:space="0" w:color="auto"/>
              </w:divBdr>
            </w:div>
            <w:div w:id="1306280535">
              <w:marLeft w:val="0"/>
              <w:marRight w:val="0"/>
              <w:marTop w:val="0"/>
              <w:marBottom w:val="0"/>
              <w:divBdr>
                <w:top w:val="none" w:sz="0" w:space="0" w:color="auto"/>
                <w:left w:val="none" w:sz="0" w:space="0" w:color="auto"/>
                <w:bottom w:val="none" w:sz="0" w:space="0" w:color="auto"/>
                <w:right w:val="none" w:sz="0" w:space="0" w:color="auto"/>
              </w:divBdr>
            </w:div>
            <w:div w:id="1412701963">
              <w:marLeft w:val="0"/>
              <w:marRight w:val="0"/>
              <w:marTop w:val="0"/>
              <w:marBottom w:val="0"/>
              <w:divBdr>
                <w:top w:val="none" w:sz="0" w:space="0" w:color="auto"/>
                <w:left w:val="none" w:sz="0" w:space="0" w:color="auto"/>
                <w:bottom w:val="none" w:sz="0" w:space="0" w:color="auto"/>
                <w:right w:val="none" w:sz="0" w:space="0" w:color="auto"/>
              </w:divBdr>
            </w:div>
            <w:div w:id="1433163454">
              <w:marLeft w:val="0"/>
              <w:marRight w:val="0"/>
              <w:marTop w:val="0"/>
              <w:marBottom w:val="0"/>
              <w:divBdr>
                <w:top w:val="none" w:sz="0" w:space="0" w:color="auto"/>
                <w:left w:val="none" w:sz="0" w:space="0" w:color="auto"/>
                <w:bottom w:val="none" w:sz="0" w:space="0" w:color="auto"/>
                <w:right w:val="none" w:sz="0" w:space="0" w:color="auto"/>
              </w:divBdr>
            </w:div>
            <w:div w:id="1516535023">
              <w:marLeft w:val="0"/>
              <w:marRight w:val="0"/>
              <w:marTop w:val="0"/>
              <w:marBottom w:val="0"/>
              <w:divBdr>
                <w:top w:val="none" w:sz="0" w:space="0" w:color="auto"/>
                <w:left w:val="none" w:sz="0" w:space="0" w:color="auto"/>
                <w:bottom w:val="none" w:sz="0" w:space="0" w:color="auto"/>
                <w:right w:val="none" w:sz="0" w:space="0" w:color="auto"/>
              </w:divBdr>
            </w:div>
            <w:div w:id="1709184403">
              <w:marLeft w:val="0"/>
              <w:marRight w:val="0"/>
              <w:marTop w:val="0"/>
              <w:marBottom w:val="0"/>
              <w:divBdr>
                <w:top w:val="none" w:sz="0" w:space="0" w:color="auto"/>
                <w:left w:val="none" w:sz="0" w:space="0" w:color="auto"/>
                <w:bottom w:val="none" w:sz="0" w:space="0" w:color="auto"/>
                <w:right w:val="none" w:sz="0" w:space="0" w:color="auto"/>
              </w:divBdr>
            </w:div>
            <w:div w:id="1752239393">
              <w:marLeft w:val="0"/>
              <w:marRight w:val="0"/>
              <w:marTop w:val="0"/>
              <w:marBottom w:val="0"/>
              <w:divBdr>
                <w:top w:val="none" w:sz="0" w:space="0" w:color="auto"/>
                <w:left w:val="none" w:sz="0" w:space="0" w:color="auto"/>
                <w:bottom w:val="none" w:sz="0" w:space="0" w:color="auto"/>
                <w:right w:val="none" w:sz="0" w:space="0" w:color="auto"/>
              </w:divBdr>
            </w:div>
            <w:div w:id="1940679223">
              <w:marLeft w:val="0"/>
              <w:marRight w:val="0"/>
              <w:marTop w:val="0"/>
              <w:marBottom w:val="0"/>
              <w:divBdr>
                <w:top w:val="none" w:sz="0" w:space="0" w:color="auto"/>
                <w:left w:val="none" w:sz="0" w:space="0" w:color="auto"/>
                <w:bottom w:val="none" w:sz="0" w:space="0" w:color="auto"/>
                <w:right w:val="none" w:sz="0" w:space="0" w:color="auto"/>
              </w:divBdr>
            </w:div>
          </w:divsChild>
        </w:div>
        <w:div w:id="233468004">
          <w:marLeft w:val="0"/>
          <w:marRight w:val="0"/>
          <w:marTop w:val="0"/>
          <w:marBottom w:val="0"/>
          <w:divBdr>
            <w:top w:val="none" w:sz="0" w:space="0" w:color="auto"/>
            <w:left w:val="none" w:sz="0" w:space="0" w:color="auto"/>
            <w:bottom w:val="none" w:sz="0" w:space="0" w:color="auto"/>
            <w:right w:val="none" w:sz="0" w:space="0" w:color="auto"/>
          </w:divBdr>
          <w:divsChild>
            <w:div w:id="140317163">
              <w:marLeft w:val="0"/>
              <w:marRight w:val="0"/>
              <w:marTop w:val="0"/>
              <w:marBottom w:val="0"/>
              <w:divBdr>
                <w:top w:val="none" w:sz="0" w:space="0" w:color="auto"/>
                <w:left w:val="none" w:sz="0" w:space="0" w:color="auto"/>
                <w:bottom w:val="none" w:sz="0" w:space="0" w:color="auto"/>
                <w:right w:val="none" w:sz="0" w:space="0" w:color="auto"/>
              </w:divBdr>
            </w:div>
            <w:div w:id="140928282">
              <w:marLeft w:val="0"/>
              <w:marRight w:val="0"/>
              <w:marTop w:val="0"/>
              <w:marBottom w:val="0"/>
              <w:divBdr>
                <w:top w:val="none" w:sz="0" w:space="0" w:color="auto"/>
                <w:left w:val="none" w:sz="0" w:space="0" w:color="auto"/>
                <w:bottom w:val="none" w:sz="0" w:space="0" w:color="auto"/>
                <w:right w:val="none" w:sz="0" w:space="0" w:color="auto"/>
              </w:divBdr>
            </w:div>
            <w:div w:id="296107780">
              <w:marLeft w:val="0"/>
              <w:marRight w:val="0"/>
              <w:marTop w:val="0"/>
              <w:marBottom w:val="0"/>
              <w:divBdr>
                <w:top w:val="none" w:sz="0" w:space="0" w:color="auto"/>
                <w:left w:val="none" w:sz="0" w:space="0" w:color="auto"/>
                <w:bottom w:val="none" w:sz="0" w:space="0" w:color="auto"/>
                <w:right w:val="none" w:sz="0" w:space="0" w:color="auto"/>
              </w:divBdr>
            </w:div>
            <w:div w:id="1636131996">
              <w:marLeft w:val="0"/>
              <w:marRight w:val="0"/>
              <w:marTop w:val="0"/>
              <w:marBottom w:val="0"/>
              <w:divBdr>
                <w:top w:val="none" w:sz="0" w:space="0" w:color="auto"/>
                <w:left w:val="none" w:sz="0" w:space="0" w:color="auto"/>
                <w:bottom w:val="none" w:sz="0" w:space="0" w:color="auto"/>
                <w:right w:val="none" w:sz="0" w:space="0" w:color="auto"/>
              </w:divBdr>
            </w:div>
            <w:div w:id="1747848289">
              <w:marLeft w:val="0"/>
              <w:marRight w:val="0"/>
              <w:marTop w:val="0"/>
              <w:marBottom w:val="0"/>
              <w:divBdr>
                <w:top w:val="none" w:sz="0" w:space="0" w:color="auto"/>
                <w:left w:val="none" w:sz="0" w:space="0" w:color="auto"/>
                <w:bottom w:val="none" w:sz="0" w:space="0" w:color="auto"/>
                <w:right w:val="none" w:sz="0" w:space="0" w:color="auto"/>
              </w:divBdr>
            </w:div>
            <w:div w:id="1766920388">
              <w:marLeft w:val="0"/>
              <w:marRight w:val="0"/>
              <w:marTop w:val="0"/>
              <w:marBottom w:val="0"/>
              <w:divBdr>
                <w:top w:val="none" w:sz="0" w:space="0" w:color="auto"/>
                <w:left w:val="none" w:sz="0" w:space="0" w:color="auto"/>
                <w:bottom w:val="none" w:sz="0" w:space="0" w:color="auto"/>
                <w:right w:val="none" w:sz="0" w:space="0" w:color="auto"/>
              </w:divBdr>
            </w:div>
          </w:divsChild>
        </w:div>
        <w:div w:id="292903182">
          <w:marLeft w:val="0"/>
          <w:marRight w:val="0"/>
          <w:marTop w:val="0"/>
          <w:marBottom w:val="0"/>
          <w:divBdr>
            <w:top w:val="none" w:sz="0" w:space="0" w:color="auto"/>
            <w:left w:val="none" w:sz="0" w:space="0" w:color="auto"/>
            <w:bottom w:val="none" w:sz="0" w:space="0" w:color="auto"/>
            <w:right w:val="none" w:sz="0" w:space="0" w:color="auto"/>
          </w:divBdr>
          <w:divsChild>
            <w:div w:id="9379389">
              <w:marLeft w:val="0"/>
              <w:marRight w:val="0"/>
              <w:marTop w:val="0"/>
              <w:marBottom w:val="0"/>
              <w:divBdr>
                <w:top w:val="none" w:sz="0" w:space="0" w:color="auto"/>
                <w:left w:val="none" w:sz="0" w:space="0" w:color="auto"/>
                <w:bottom w:val="none" w:sz="0" w:space="0" w:color="auto"/>
                <w:right w:val="none" w:sz="0" w:space="0" w:color="auto"/>
              </w:divBdr>
            </w:div>
            <w:div w:id="10110841">
              <w:marLeft w:val="0"/>
              <w:marRight w:val="0"/>
              <w:marTop w:val="0"/>
              <w:marBottom w:val="0"/>
              <w:divBdr>
                <w:top w:val="none" w:sz="0" w:space="0" w:color="auto"/>
                <w:left w:val="none" w:sz="0" w:space="0" w:color="auto"/>
                <w:bottom w:val="none" w:sz="0" w:space="0" w:color="auto"/>
                <w:right w:val="none" w:sz="0" w:space="0" w:color="auto"/>
              </w:divBdr>
            </w:div>
            <w:div w:id="199319451">
              <w:marLeft w:val="0"/>
              <w:marRight w:val="0"/>
              <w:marTop w:val="0"/>
              <w:marBottom w:val="0"/>
              <w:divBdr>
                <w:top w:val="none" w:sz="0" w:space="0" w:color="auto"/>
                <w:left w:val="none" w:sz="0" w:space="0" w:color="auto"/>
                <w:bottom w:val="none" w:sz="0" w:space="0" w:color="auto"/>
                <w:right w:val="none" w:sz="0" w:space="0" w:color="auto"/>
              </w:divBdr>
            </w:div>
            <w:div w:id="241305492">
              <w:marLeft w:val="0"/>
              <w:marRight w:val="0"/>
              <w:marTop w:val="0"/>
              <w:marBottom w:val="0"/>
              <w:divBdr>
                <w:top w:val="none" w:sz="0" w:space="0" w:color="auto"/>
                <w:left w:val="none" w:sz="0" w:space="0" w:color="auto"/>
                <w:bottom w:val="none" w:sz="0" w:space="0" w:color="auto"/>
                <w:right w:val="none" w:sz="0" w:space="0" w:color="auto"/>
              </w:divBdr>
            </w:div>
            <w:div w:id="484318579">
              <w:marLeft w:val="0"/>
              <w:marRight w:val="0"/>
              <w:marTop w:val="0"/>
              <w:marBottom w:val="0"/>
              <w:divBdr>
                <w:top w:val="none" w:sz="0" w:space="0" w:color="auto"/>
                <w:left w:val="none" w:sz="0" w:space="0" w:color="auto"/>
                <w:bottom w:val="none" w:sz="0" w:space="0" w:color="auto"/>
                <w:right w:val="none" w:sz="0" w:space="0" w:color="auto"/>
              </w:divBdr>
            </w:div>
            <w:div w:id="491608243">
              <w:marLeft w:val="0"/>
              <w:marRight w:val="0"/>
              <w:marTop w:val="0"/>
              <w:marBottom w:val="0"/>
              <w:divBdr>
                <w:top w:val="none" w:sz="0" w:space="0" w:color="auto"/>
                <w:left w:val="none" w:sz="0" w:space="0" w:color="auto"/>
                <w:bottom w:val="none" w:sz="0" w:space="0" w:color="auto"/>
                <w:right w:val="none" w:sz="0" w:space="0" w:color="auto"/>
              </w:divBdr>
            </w:div>
            <w:div w:id="648287996">
              <w:marLeft w:val="0"/>
              <w:marRight w:val="0"/>
              <w:marTop w:val="0"/>
              <w:marBottom w:val="0"/>
              <w:divBdr>
                <w:top w:val="none" w:sz="0" w:space="0" w:color="auto"/>
                <w:left w:val="none" w:sz="0" w:space="0" w:color="auto"/>
                <w:bottom w:val="none" w:sz="0" w:space="0" w:color="auto"/>
                <w:right w:val="none" w:sz="0" w:space="0" w:color="auto"/>
              </w:divBdr>
            </w:div>
            <w:div w:id="668748485">
              <w:marLeft w:val="0"/>
              <w:marRight w:val="0"/>
              <w:marTop w:val="0"/>
              <w:marBottom w:val="0"/>
              <w:divBdr>
                <w:top w:val="none" w:sz="0" w:space="0" w:color="auto"/>
                <w:left w:val="none" w:sz="0" w:space="0" w:color="auto"/>
                <w:bottom w:val="none" w:sz="0" w:space="0" w:color="auto"/>
                <w:right w:val="none" w:sz="0" w:space="0" w:color="auto"/>
              </w:divBdr>
            </w:div>
            <w:div w:id="1075859099">
              <w:marLeft w:val="0"/>
              <w:marRight w:val="0"/>
              <w:marTop w:val="0"/>
              <w:marBottom w:val="0"/>
              <w:divBdr>
                <w:top w:val="none" w:sz="0" w:space="0" w:color="auto"/>
                <w:left w:val="none" w:sz="0" w:space="0" w:color="auto"/>
                <w:bottom w:val="none" w:sz="0" w:space="0" w:color="auto"/>
                <w:right w:val="none" w:sz="0" w:space="0" w:color="auto"/>
              </w:divBdr>
            </w:div>
            <w:div w:id="1123378066">
              <w:marLeft w:val="0"/>
              <w:marRight w:val="0"/>
              <w:marTop w:val="0"/>
              <w:marBottom w:val="0"/>
              <w:divBdr>
                <w:top w:val="none" w:sz="0" w:space="0" w:color="auto"/>
                <w:left w:val="none" w:sz="0" w:space="0" w:color="auto"/>
                <w:bottom w:val="none" w:sz="0" w:space="0" w:color="auto"/>
                <w:right w:val="none" w:sz="0" w:space="0" w:color="auto"/>
              </w:divBdr>
            </w:div>
            <w:div w:id="1165628565">
              <w:marLeft w:val="0"/>
              <w:marRight w:val="0"/>
              <w:marTop w:val="0"/>
              <w:marBottom w:val="0"/>
              <w:divBdr>
                <w:top w:val="none" w:sz="0" w:space="0" w:color="auto"/>
                <w:left w:val="none" w:sz="0" w:space="0" w:color="auto"/>
                <w:bottom w:val="none" w:sz="0" w:space="0" w:color="auto"/>
                <w:right w:val="none" w:sz="0" w:space="0" w:color="auto"/>
              </w:divBdr>
            </w:div>
            <w:div w:id="1321469452">
              <w:marLeft w:val="0"/>
              <w:marRight w:val="0"/>
              <w:marTop w:val="0"/>
              <w:marBottom w:val="0"/>
              <w:divBdr>
                <w:top w:val="none" w:sz="0" w:space="0" w:color="auto"/>
                <w:left w:val="none" w:sz="0" w:space="0" w:color="auto"/>
                <w:bottom w:val="none" w:sz="0" w:space="0" w:color="auto"/>
                <w:right w:val="none" w:sz="0" w:space="0" w:color="auto"/>
              </w:divBdr>
            </w:div>
            <w:div w:id="1472207200">
              <w:marLeft w:val="0"/>
              <w:marRight w:val="0"/>
              <w:marTop w:val="0"/>
              <w:marBottom w:val="0"/>
              <w:divBdr>
                <w:top w:val="none" w:sz="0" w:space="0" w:color="auto"/>
                <w:left w:val="none" w:sz="0" w:space="0" w:color="auto"/>
                <w:bottom w:val="none" w:sz="0" w:space="0" w:color="auto"/>
                <w:right w:val="none" w:sz="0" w:space="0" w:color="auto"/>
              </w:divBdr>
            </w:div>
            <w:div w:id="1636059838">
              <w:marLeft w:val="0"/>
              <w:marRight w:val="0"/>
              <w:marTop w:val="0"/>
              <w:marBottom w:val="0"/>
              <w:divBdr>
                <w:top w:val="none" w:sz="0" w:space="0" w:color="auto"/>
                <w:left w:val="none" w:sz="0" w:space="0" w:color="auto"/>
                <w:bottom w:val="none" w:sz="0" w:space="0" w:color="auto"/>
                <w:right w:val="none" w:sz="0" w:space="0" w:color="auto"/>
              </w:divBdr>
            </w:div>
            <w:div w:id="1684278950">
              <w:marLeft w:val="0"/>
              <w:marRight w:val="0"/>
              <w:marTop w:val="0"/>
              <w:marBottom w:val="0"/>
              <w:divBdr>
                <w:top w:val="none" w:sz="0" w:space="0" w:color="auto"/>
                <w:left w:val="none" w:sz="0" w:space="0" w:color="auto"/>
                <w:bottom w:val="none" w:sz="0" w:space="0" w:color="auto"/>
                <w:right w:val="none" w:sz="0" w:space="0" w:color="auto"/>
              </w:divBdr>
            </w:div>
            <w:div w:id="1881823945">
              <w:marLeft w:val="0"/>
              <w:marRight w:val="0"/>
              <w:marTop w:val="0"/>
              <w:marBottom w:val="0"/>
              <w:divBdr>
                <w:top w:val="none" w:sz="0" w:space="0" w:color="auto"/>
                <w:left w:val="none" w:sz="0" w:space="0" w:color="auto"/>
                <w:bottom w:val="none" w:sz="0" w:space="0" w:color="auto"/>
                <w:right w:val="none" w:sz="0" w:space="0" w:color="auto"/>
              </w:divBdr>
            </w:div>
            <w:div w:id="1968656341">
              <w:marLeft w:val="0"/>
              <w:marRight w:val="0"/>
              <w:marTop w:val="0"/>
              <w:marBottom w:val="0"/>
              <w:divBdr>
                <w:top w:val="none" w:sz="0" w:space="0" w:color="auto"/>
                <w:left w:val="none" w:sz="0" w:space="0" w:color="auto"/>
                <w:bottom w:val="none" w:sz="0" w:space="0" w:color="auto"/>
                <w:right w:val="none" w:sz="0" w:space="0" w:color="auto"/>
              </w:divBdr>
            </w:div>
            <w:div w:id="1981764000">
              <w:marLeft w:val="0"/>
              <w:marRight w:val="0"/>
              <w:marTop w:val="0"/>
              <w:marBottom w:val="0"/>
              <w:divBdr>
                <w:top w:val="none" w:sz="0" w:space="0" w:color="auto"/>
                <w:left w:val="none" w:sz="0" w:space="0" w:color="auto"/>
                <w:bottom w:val="none" w:sz="0" w:space="0" w:color="auto"/>
                <w:right w:val="none" w:sz="0" w:space="0" w:color="auto"/>
              </w:divBdr>
            </w:div>
            <w:div w:id="2000495801">
              <w:marLeft w:val="0"/>
              <w:marRight w:val="0"/>
              <w:marTop w:val="0"/>
              <w:marBottom w:val="0"/>
              <w:divBdr>
                <w:top w:val="none" w:sz="0" w:space="0" w:color="auto"/>
                <w:left w:val="none" w:sz="0" w:space="0" w:color="auto"/>
                <w:bottom w:val="none" w:sz="0" w:space="0" w:color="auto"/>
                <w:right w:val="none" w:sz="0" w:space="0" w:color="auto"/>
              </w:divBdr>
            </w:div>
            <w:div w:id="2099981436">
              <w:marLeft w:val="0"/>
              <w:marRight w:val="0"/>
              <w:marTop w:val="0"/>
              <w:marBottom w:val="0"/>
              <w:divBdr>
                <w:top w:val="none" w:sz="0" w:space="0" w:color="auto"/>
                <w:left w:val="none" w:sz="0" w:space="0" w:color="auto"/>
                <w:bottom w:val="none" w:sz="0" w:space="0" w:color="auto"/>
                <w:right w:val="none" w:sz="0" w:space="0" w:color="auto"/>
              </w:divBdr>
            </w:div>
          </w:divsChild>
        </w:div>
        <w:div w:id="300817457">
          <w:marLeft w:val="0"/>
          <w:marRight w:val="0"/>
          <w:marTop w:val="0"/>
          <w:marBottom w:val="0"/>
          <w:divBdr>
            <w:top w:val="none" w:sz="0" w:space="0" w:color="auto"/>
            <w:left w:val="none" w:sz="0" w:space="0" w:color="auto"/>
            <w:bottom w:val="none" w:sz="0" w:space="0" w:color="auto"/>
            <w:right w:val="none" w:sz="0" w:space="0" w:color="auto"/>
          </w:divBdr>
          <w:divsChild>
            <w:div w:id="52123244">
              <w:marLeft w:val="0"/>
              <w:marRight w:val="0"/>
              <w:marTop w:val="0"/>
              <w:marBottom w:val="0"/>
              <w:divBdr>
                <w:top w:val="none" w:sz="0" w:space="0" w:color="auto"/>
                <w:left w:val="none" w:sz="0" w:space="0" w:color="auto"/>
                <w:bottom w:val="none" w:sz="0" w:space="0" w:color="auto"/>
                <w:right w:val="none" w:sz="0" w:space="0" w:color="auto"/>
              </w:divBdr>
            </w:div>
            <w:div w:id="67509401">
              <w:marLeft w:val="0"/>
              <w:marRight w:val="0"/>
              <w:marTop w:val="0"/>
              <w:marBottom w:val="0"/>
              <w:divBdr>
                <w:top w:val="none" w:sz="0" w:space="0" w:color="auto"/>
                <w:left w:val="none" w:sz="0" w:space="0" w:color="auto"/>
                <w:bottom w:val="none" w:sz="0" w:space="0" w:color="auto"/>
                <w:right w:val="none" w:sz="0" w:space="0" w:color="auto"/>
              </w:divBdr>
            </w:div>
            <w:div w:id="153643200">
              <w:marLeft w:val="0"/>
              <w:marRight w:val="0"/>
              <w:marTop w:val="0"/>
              <w:marBottom w:val="0"/>
              <w:divBdr>
                <w:top w:val="none" w:sz="0" w:space="0" w:color="auto"/>
                <w:left w:val="none" w:sz="0" w:space="0" w:color="auto"/>
                <w:bottom w:val="none" w:sz="0" w:space="0" w:color="auto"/>
                <w:right w:val="none" w:sz="0" w:space="0" w:color="auto"/>
              </w:divBdr>
            </w:div>
            <w:div w:id="515579143">
              <w:marLeft w:val="0"/>
              <w:marRight w:val="0"/>
              <w:marTop w:val="0"/>
              <w:marBottom w:val="0"/>
              <w:divBdr>
                <w:top w:val="none" w:sz="0" w:space="0" w:color="auto"/>
                <w:left w:val="none" w:sz="0" w:space="0" w:color="auto"/>
                <w:bottom w:val="none" w:sz="0" w:space="0" w:color="auto"/>
                <w:right w:val="none" w:sz="0" w:space="0" w:color="auto"/>
              </w:divBdr>
            </w:div>
            <w:div w:id="590821959">
              <w:marLeft w:val="0"/>
              <w:marRight w:val="0"/>
              <w:marTop w:val="0"/>
              <w:marBottom w:val="0"/>
              <w:divBdr>
                <w:top w:val="none" w:sz="0" w:space="0" w:color="auto"/>
                <w:left w:val="none" w:sz="0" w:space="0" w:color="auto"/>
                <w:bottom w:val="none" w:sz="0" w:space="0" w:color="auto"/>
                <w:right w:val="none" w:sz="0" w:space="0" w:color="auto"/>
              </w:divBdr>
            </w:div>
            <w:div w:id="671689081">
              <w:marLeft w:val="0"/>
              <w:marRight w:val="0"/>
              <w:marTop w:val="0"/>
              <w:marBottom w:val="0"/>
              <w:divBdr>
                <w:top w:val="none" w:sz="0" w:space="0" w:color="auto"/>
                <w:left w:val="none" w:sz="0" w:space="0" w:color="auto"/>
                <w:bottom w:val="none" w:sz="0" w:space="0" w:color="auto"/>
                <w:right w:val="none" w:sz="0" w:space="0" w:color="auto"/>
              </w:divBdr>
            </w:div>
            <w:div w:id="735858145">
              <w:marLeft w:val="0"/>
              <w:marRight w:val="0"/>
              <w:marTop w:val="0"/>
              <w:marBottom w:val="0"/>
              <w:divBdr>
                <w:top w:val="none" w:sz="0" w:space="0" w:color="auto"/>
                <w:left w:val="none" w:sz="0" w:space="0" w:color="auto"/>
                <w:bottom w:val="none" w:sz="0" w:space="0" w:color="auto"/>
                <w:right w:val="none" w:sz="0" w:space="0" w:color="auto"/>
              </w:divBdr>
            </w:div>
            <w:div w:id="746072405">
              <w:marLeft w:val="0"/>
              <w:marRight w:val="0"/>
              <w:marTop w:val="0"/>
              <w:marBottom w:val="0"/>
              <w:divBdr>
                <w:top w:val="none" w:sz="0" w:space="0" w:color="auto"/>
                <w:left w:val="none" w:sz="0" w:space="0" w:color="auto"/>
                <w:bottom w:val="none" w:sz="0" w:space="0" w:color="auto"/>
                <w:right w:val="none" w:sz="0" w:space="0" w:color="auto"/>
              </w:divBdr>
            </w:div>
            <w:div w:id="774716923">
              <w:marLeft w:val="0"/>
              <w:marRight w:val="0"/>
              <w:marTop w:val="0"/>
              <w:marBottom w:val="0"/>
              <w:divBdr>
                <w:top w:val="none" w:sz="0" w:space="0" w:color="auto"/>
                <w:left w:val="none" w:sz="0" w:space="0" w:color="auto"/>
                <w:bottom w:val="none" w:sz="0" w:space="0" w:color="auto"/>
                <w:right w:val="none" w:sz="0" w:space="0" w:color="auto"/>
              </w:divBdr>
            </w:div>
            <w:div w:id="802619479">
              <w:marLeft w:val="0"/>
              <w:marRight w:val="0"/>
              <w:marTop w:val="0"/>
              <w:marBottom w:val="0"/>
              <w:divBdr>
                <w:top w:val="none" w:sz="0" w:space="0" w:color="auto"/>
                <w:left w:val="none" w:sz="0" w:space="0" w:color="auto"/>
                <w:bottom w:val="none" w:sz="0" w:space="0" w:color="auto"/>
                <w:right w:val="none" w:sz="0" w:space="0" w:color="auto"/>
              </w:divBdr>
            </w:div>
            <w:div w:id="851146221">
              <w:marLeft w:val="0"/>
              <w:marRight w:val="0"/>
              <w:marTop w:val="0"/>
              <w:marBottom w:val="0"/>
              <w:divBdr>
                <w:top w:val="none" w:sz="0" w:space="0" w:color="auto"/>
                <w:left w:val="none" w:sz="0" w:space="0" w:color="auto"/>
                <w:bottom w:val="none" w:sz="0" w:space="0" w:color="auto"/>
                <w:right w:val="none" w:sz="0" w:space="0" w:color="auto"/>
              </w:divBdr>
            </w:div>
            <w:div w:id="976184435">
              <w:marLeft w:val="0"/>
              <w:marRight w:val="0"/>
              <w:marTop w:val="0"/>
              <w:marBottom w:val="0"/>
              <w:divBdr>
                <w:top w:val="none" w:sz="0" w:space="0" w:color="auto"/>
                <w:left w:val="none" w:sz="0" w:space="0" w:color="auto"/>
                <w:bottom w:val="none" w:sz="0" w:space="0" w:color="auto"/>
                <w:right w:val="none" w:sz="0" w:space="0" w:color="auto"/>
              </w:divBdr>
            </w:div>
            <w:div w:id="991446425">
              <w:marLeft w:val="0"/>
              <w:marRight w:val="0"/>
              <w:marTop w:val="0"/>
              <w:marBottom w:val="0"/>
              <w:divBdr>
                <w:top w:val="none" w:sz="0" w:space="0" w:color="auto"/>
                <w:left w:val="none" w:sz="0" w:space="0" w:color="auto"/>
                <w:bottom w:val="none" w:sz="0" w:space="0" w:color="auto"/>
                <w:right w:val="none" w:sz="0" w:space="0" w:color="auto"/>
              </w:divBdr>
            </w:div>
            <w:div w:id="1116414025">
              <w:marLeft w:val="0"/>
              <w:marRight w:val="0"/>
              <w:marTop w:val="0"/>
              <w:marBottom w:val="0"/>
              <w:divBdr>
                <w:top w:val="none" w:sz="0" w:space="0" w:color="auto"/>
                <w:left w:val="none" w:sz="0" w:space="0" w:color="auto"/>
                <w:bottom w:val="none" w:sz="0" w:space="0" w:color="auto"/>
                <w:right w:val="none" w:sz="0" w:space="0" w:color="auto"/>
              </w:divBdr>
            </w:div>
            <w:div w:id="1149976401">
              <w:marLeft w:val="0"/>
              <w:marRight w:val="0"/>
              <w:marTop w:val="0"/>
              <w:marBottom w:val="0"/>
              <w:divBdr>
                <w:top w:val="none" w:sz="0" w:space="0" w:color="auto"/>
                <w:left w:val="none" w:sz="0" w:space="0" w:color="auto"/>
                <w:bottom w:val="none" w:sz="0" w:space="0" w:color="auto"/>
                <w:right w:val="none" w:sz="0" w:space="0" w:color="auto"/>
              </w:divBdr>
            </w:div>
            <w:div w:id="1171986550">
              <w:marLeft w:val="0"/>
              <w:marRight w:val="0"/>
              <w:marTop w:val="0"/>
              <w:marBottom w:val="0"/>
              <w:divBdr>
                <w:top w:val="none" w:sz="0" w:space="0" w:color="auto"/>
                <w:left w:val="none" w:sz="0" w:space="0" w:color="auto"/>
                <w:bottom w:val="none" w:sz="0" w:space="0" w:color="auto"/>
                <w:right w:val="none" w:sz="0" w:space="0" w:color="auto"/>
              </w:divBdr>
            </w:div>
            <w:div w:id="1316297651">
              <w:marLeft w:val="0"/>
              <w:marRight w:val="0"/>
              <w:marTop w:val="0"/>
              <w:marBottom w:val="0"/>
              <w:divBdr>
                <w:top w:val="none" w:sz="0" w:space="0" w:color="auto"/>
                <w:left w:val="none" w:sz="0" w:space="0" w:color="auto"/>
                <w:bottom w:val="none" w:sz="0" w:space="0" w:color="auto"/>
                <w:right w:val="none" w:sz="0" w:space="0" w:color="auto"/>
              </w:divBdr>
            </w:div>
            <w:div w:id="1394963443">
              <w:marLeft w:val="0"/>
              <w:marRight w:val="0"/>
              <w:marTop w:val="0"/>
              <w:marBottom w:val="0"/>
              <w:divBdr>
                <w:top w:val="none" w:sz="0" w:space="0" w:color="auto"/>
                <w:left w:val="none" w:sz="0" w:space="0" w:color="auto"/>
                <w:bottom w:val="none" w:sz="0" w:space="0" w:color="auto"/>
                <w:right w:val="none" w:sz="0" w:space="0" w:color="auto"/>
              </w:divBdr>
            </w:div>
            <w:div w:id="1428230411">
              <w:marLeft w:val="0"/>
              <w:marRight w:val="0"/>
              <w:marTop w:val="0"/>
              <w:marBottom w:val="0"/>
              <w:divBdr>
                <w:top w:val="none" w:sz="0" w:space="0" w:color="auto"/>
                <w:left w:val="none" w:sz="0" w:space="0" w:color="auto"/>
                <w:bottom w:val="none" w:sz="0" w:space="0" w:color="auto"/>
                <w:right w:val="none" w:sz="0" w:space="0" w:color="auto"/>
              </w:divBdr>
            </w:div>
            <w:div w:id="1552575787">
              <w:marLeft w:val="0"/>
              <w:marRight w:val="0"/>
              <w:marTop w:val="0"/>
              <w:marBottom w:val="0"/>
              <w:divBdr>
                <w:top w:val="none" w:sz="0" w:space="0" w:color="auto"/>
                <w:left w:val="none" w:sz="0" w:space="0" w:color="auto"/>
                <w:bottom w:val="none" w:sz="0" w:space="0" w:color="auto"/>
                <w:right w:val="none" w:sz="0" w:space="0" w:color="auto"/>
              </w:divBdr>
            </w:div>
          </w:divsChild>
        </w:div>
        <w:div w:id="320815172">
          <w:marLeft w:val="0"/>
          <w:marRight w:val="0"/>
          <w:marTop w:val="0"/>
          <w:marBottom w:val="0"/>
          <w:divBdr>
            <w:top w:val="none" w:sz="0" w:space="0" w:color="auto"/>
            <w:left w:val="none" w:sz="0" w:space="0" w:color="auto"/>
            <w:bottom w:val="none" w:sz="0" w:space="0" w:color="auto"/>
            <w:right w:val="none" w:sz="0" w:space="0" w:color="auto"/>
          </w:divBdr>
          <w:divsChild>
            <w:div w:id="363363748">
              <w:marLeft w:val="0"/>
              <w:marRight w:val="0"/>
              <w:marTop w:val="0"/>
              <w:marBottom w:val="0"/>
              <w:divBdr>
                <w:top w:val="none" w:sz="0" w:space="0" w:color="auto"/>
                <w:left w:val="none" w:sz="0" w:space="0" w:color="auto"/>
                <w:bottom w:val="none" w:sz="0" w:space="0" w:color="auto"/>
                <w:right w:val="none" w:sz="0" w:space="0" w:color="auto"/>
              </w:divBdr>
            </w:div>
            <w:div w:id="543761603">
              <w:marLeft w:val="0"/>
              <w:marRight w:val="0"/>
              <w:marTop w:val="0"/>
              <w:marBottom w:val="0"/>
              <w:divBdr>
                <w:top w:val="none" w:sz="0" w:space="0" w:color="auto"/>
                <w:left w:val="none" w:sz="0" w:space="0" w:color="auto"/>
                <w:bottom w:val="none" w:sz="0" w:space="0" w:color="auto"/>
                <w:right w:val="none" w:sz="0" w:space="0" w:color="auto"/>
              </w:divBdr>
            </w:div>
            <w:div w:id="592978855">
              <w:marLeft w:val="0"/>
              <w:marRight w:val="0"/>
              <w:marTop w:val="0"/>
              <w:marBottom w:val="0"/>
              <w:divBdr>
                <w:top w:val="none" w:sz="0" w:space="0" w:color="auto"/>
                <w:left w:val="none" w:sz="0" w:space="0" w:color="auto"/>
                <w:bottom w:val="none" w:sz="0" w:space="0" w:color="auto"/>
                <w:right w:val="none" w:sz="0" w:space="0" w:color="auto"/>
              </w:divBdr>
            </w:div>
            <w:div w:id="637993530">
              <w:marLeft w:val="0"/>
              <w:marRight w:val="0"/>
              <w:marTop w:val="0"/>
              <w:marBottom w:val="0"/>
              <w:divBdr>
                <w:top w:val="none" w:sz="0" w:space="0" w:color="auto"/>
                <w:left w:val="none" w:sz="0" w:space="0" w:color="auto"/>
                <w:bottom w:val="none" w:sz="0" w:space="0" w:color="auto"/>
                <w:right w:val="none" w:sz="0" w:space="0" w:color="auto"/>
              </w:divBdr>
            </w:div>
            <w:div w:id="648679151">
              <w:marLeft w:val="0"/>
              <w:marRight w:val="0"/>
              <w:marTop w:val="0"/>
              <w:marBottom w:val="0"/>
              <w:divBdr>
                <w:top w:val="none" w:sz="0" w:space="0" w:color="auto"/>
                <w:left w:val="none" w:sz="0" w:space="0" w:color="auto"/>
                <w:bottom w:val="none" w:sz="0" w:space="0" w:color="auto"/>
                <w:right w:val="none" w:sz="0" w:space="0" w:color="auto"/>
              </w:divBdr>
            </w:div>
            <w:div w:id="678433431">
              <w:marLeft w:val="0"/>
              <w:marRight w:val="0"/>
              <w:marTop w:val="0"/>
              <w:marBottom w:val="0"/>
              <w:divBdr>
                <w:top w:val="none" w:sz="0" w:space="0" w:color="auto"/>
                <w:left w:val="none" w:sz="0" w:space="0" w:color="auto"/>
                <w:bottom w:val="none" w:sz="0" w:space="0" w:color="auto"/>
                <w:right w:val="none" w:sz="0" w:space="0" w:color="auto"/>
              </w:divBdr>
            </w:div>
            <w:div w:id="694039548">
              <w:marLeft w:val="0"/>
              <w:marRight w:val="0"/>
              <w:marTop w:val="0"/>
              <w:marBottom w:val="0"/>
              <w:divBdr>
                <w:top w:val="none" w:sz="0" w:space="0" w:color="auto"/>
                <w:left w:val="none" w:sz="0" w:space="0" w:color="auto"/>
                <w:bottom w:val="none" w:sz="0" w:space="0" w:color="auto"/>
                <w:right w:val="none" w:sz="0" w:space="0" w:color="auto"/>
              </w:divBdr>
            </w:div>
            <w:div w:id="962266305">
              <w:marLeft w:val="0"/>
              <w:marRight w:val="0"/>
              <w:marTop w:val="0"/>
              <w:marBottom w:val="0"/>
              <w:divBdr>
                <w:top w:val="none" w:sz="0" w:space="0" w:color="auto"/>
                <w:left w:val="none" w:sz="0" w:space="0" w:color="auto"/>
                <w:bottom w:val="none" w:sz="0" w:space="0" w:color="auto"/>
                <w:right w:val="none" w:sz="0" w:space="0" w:color="auto"/>
              </w:divBdr>
            </w:div>
            <w:div w:id="998848894">
              <w:marLeft w:val="0"/>
              <w:marRight w:val="0"/>
              <w:marTop w:val="0"/>
              <w:marBottom w:val="0"/>
              <w:divBdr>
                <w:top w:val="none" w:sz="0" w:space="0" w:color="auto"/>
                <w:left w:val="none" w:sz="0" w:space="0" w:color="auto"/>
                <w:bottom w:val="none" w:sz="0" w:space="0" w:color="auto"/>
                <w:right w:val="none" w:sz="0" w:space="0" w:color="auto"/>
              </w:divBdr>
            </w:div>
            <w:div w:id="1111558573">
              <w:marLeft w:val="0"/>
              <w:marRight w:val="0"/>
              <w:marTop w:val="0"/>
              <w:marBottom w:val="0"/>
              <w:divBdr>
                <w:top w:val="none" w:sz="0" w:space="0" w:color="auto"/>
                <w:left w:val="none" w:sz="0" w:space="0" w:color="auto"/>
                <w:bottom w:val="none" w:sz="0" w:space="0" w:color="auto"/>
                <w:right w:val="none" w:sz="0" w:space="0" w:color="auto"/>
              </w:divBdr>
            </w:div>
            <w:div w:id="1173840860">
              <w:marLeft w:val="0"/>
              <w:marRight w:val="0"/>
              <w:marTop w:val="0"/>
              <w:marBottom w:val="0"/>
              <w:divBdr>
                <w:top w:val="none" w:sz="0" w:space="0" w:color="auto"/>
                <w:left w:val="none" w:sz="0" w:space="0" w:color="auto"/>
                <w:bottom w:val="none" w:sz="0" w:space="0" w:color="auto"/>
                <w:right w:val="none" w:sz="0" w:space="0" w:color="auto"/>
              </w:divBdr>
            </w:div>
            <w:div w:id="1379015418">
              <w:marLeft w:val="0"/>
              <w:marRight w:val="0"/>
              <w:marTop w:val="0"/>
              <w:marBottom w:val="0"/>
              <w:divBdr>
                <w:top w:val="none" w:sz="0" w:space="0" w:color="auto"/>
                <w:left w:val="none" w:sz="0" w:space="0" w:color="auto"/>
                <w:bottom w:val="none" w:sz="0" w:space="0" w:color="auto"/>
                <w:right w:val="none" w:sz="0" w:space="0" w:color="auto"/>
              </w:divBdr>
            </w:div>
            <w:div w:id="1400980845">
              <w:marLeft w:val="0"/>
              <w:marRight w:val="0"/>
              <w:marTop w:val="0"/>
              <w:marBottom w:val="0"/>
              <w:divBdr>
                <w:top w:val="none" w:sz="0" w:space="0" w:color="auto"/>
                <w:left w:val="none" w:sz="0" w:space="0" w:color="auto"/>
                <w:bottom w:val="none" w:sz="0" w:space="0" w:color="auto"/>
                <w:right w:val="none" w:sz="0" w:space="0" w:color="auto"/>
              </w:divBdr>
            </w:div>
            <w:div w:id="1440179797">
              <w:marLeft w:val="0"/>
              <w:marRight w:val="0"/>
              <w:marTop w:val="0"/>
              <w:marBottom w:val="0"/>
              <w:divBdr>
                <w:top w:val="none" w:sz="0" w:space="0" w:color="auto"/>
                <w:left w:val="none" w:sz="0" w:space="0" w:color="auto"/>
                <w:bottom w:val="none" w:sz="0" w:space="0" w:color="auto"/>
                <w:right w:val="none" w:sz="0" w:space="0" w:color="auto"/>
              </w:divBdr>
            </w:div>
            <w:div w:id="1533763716">
              <w:marLeft w:val="0"/>
              <w:marRight w:val="0"/>
              <w:marTop w:val="0"/>
              <w:marBottom w:val="0"/>
              <w:divBdr>
                <w:top w:val="none" w:sz="0" w:space="0" w:color="auto"/>
                <w:left w:val="none" w:sz="0" w:space="0" w:color="auto"/>
                <w:bottom w:val="none" w:sz="0" w:space="0" w:color="auto"/>
                <w:right w:val="none" w:sz="0" w:space="0" w:color="auto"/>
              </w:divBdr>
            </w:div>
            <w:div w:id="1598364468">
              <w:marLeft w:val="0"/>
              <w:marRight w:val="0"/>
              <w:marTop w:val="0"/>
              <w:marBottom w:val="0"/>
              <w:divBdr>
                <w:top w:val="none" w:sz="0" w:space="0" w:color="auto"/>
                <w:left w:val="none" w:sz="0" w:space="0" w:color="auto"/>
                <w:bottom w:val="none" w:sz="0" w:space="0" w:color="auto"/>
                <w:right w:val="none" w:sz="0" w:space="0" w:color="auto"/>
              </w:divBdr>
            </w:div>
            <w:div w:id="1638334472">
              <w:marLeft w:val="0"/>
              <w:marRight w:val="0"/>
              <w:marTop w:val="0"/>
              <w:marBottom w:val="0"/>
              <w:divBdr>
                <w:top w:val="none" w:sz="0" w:space="0" w:color="auto"/>
                <w:left w:val="none" w:sz="0" w:space="0" w:color="auto"/>
                <w:bottom w:val="none" w:sz="0" w:space="0" w:color="auto"/>
                <w:right w:val="none" w:sz="0" w:space="0" w:color="auto"/>
              </w:divBdr>
            </w:div>
            <w:div w:id="1649751211">
              <w:marLeft w:val="0"/>
              <w:marRight w:val="0"/>
              <w:marTop w:val="0"/>
              <w:marBottom w:val="0"/>
              <w:divBdr>
                <w:top w:val="none" w:sz="0" w:space="0" w:color="auto"/>
                <w:left w:val="none" w:sz="0" w:space="0" w:color="auto"/>
                <w:bottom w:val="none" w:sz="0" w:space="0" w:color="auto"/>
                <w:right w:val="none" w:sz="0" w:space="0" w:color="auto"/>
              </w:divBdr>
            </w:div>
            <w:div w:id="1990203608">
              <w:marLeft w:val="0"/>
              <w:marRight w:val="0"/>
              <w:marTop w:val="0"/>
              <w:marBottom w:val="0"/>
              <w:divBdr>
                <w:top w:val="none" w:sz="0" w:space="0" w:color="auto"/>
                <w:left w:val="none" w:sz="0" w:space="0" w:color="auto"/>
                <w:bottom w:val="none" w:sz="0" w:space="0" w:color="auto"/>
                <w:right w:val="none" w:sz="0" w:space="0" w:color="auto"/>
              </w:divBdr>
            </w:div>
            <w:div w:id="2080980718">
              <w:marLeft w:val="0"/>
              <w:marRight w:val="0"/>
              <w:marTop w:val="0"/>
              <w:marBottom w:val="0"/>
              <w:divBdr>
                <w:top w:val="none" w:sz="0" w:space="0" w:color="auto"/>
                <w:left w:val="none" w:sz="0" w:space="0" w:color="auto"/>
                <w:bottom w:val="none" w:sz="0" w:space="0" w:color="auto"/>
                <w:right w:val="none" w:sz="0" w:space="0" w:color="auto"/>
              </w:divBdr>
            </w:div>
          </w:divsChild>
        </w:div>
        <w:div w:id="507869771">
          <w:marLeft w:val="0"/>
          <w:marRight w:val="0"/>
          <w:marTop w:val="0"/>
          <w:marBottom w:val="0"/>
          <w:divBdr>
            <w:top w:val="none" w:sz="0" w:space="0" w:color="auto"/>
            <w:left w:val="none" w:sz="0" w:space="0" w:color="auto"/>
            <w:bottom w:val="none" w:sz="0" w:space="0" w:color="auto"/>
            <w:right w:val="none" w:sz="0" w:space="0" w:color="auto"/>
          </w:divBdr>
          <w:divsChild>
            <w:div w:id="1685861400">
              <w:marLeft w:val="-75"/>
              <w:marRight w:val="0"/>
              <w:marTop w:val="30"/>
              <w:marBottom w:val="30"/>
              <w:divBdr>
                <w:top w:val="none" w:sz="0" w:space="0" w:color="auto"/>
                <w:left w:val="none" w:sz="0" w:space="0" w:color="auto"/>
                <w:bottom w:val="none" w:sz="0" w:space="0" w:color="auto"/>
                <w:right w:val="none" w:sz="0" w:space="0" w:color="auto"/>
              </w:divBdr>
              <w:divsChild>
                <w:div w:id="20668389">
                  <w:marLeft w:val="0"/>
                  <w:marRight w:val="0"/>
                  <w:marTop w:val="0"/>
                  <w:marBottom w:val="0"/>
                  <w:divBdr>
                    <w:top w:val="none" w:sz="0" w:space="0" w:color="auto"/>
                    <w:left w:val="none" w:sz="0" w:space="0" w:color="auto"/>
                    <w:bottom w:val="none" w:sz="0" w:space="0" w:color="auto"/>
                    <w:right w:val="none" w:sz="0" w:space="0" w:color="auto"/>
                  </w:divBdr>
                  <w:divsChild>
                    <w:div w:id="1568220416">
                      <w:marLeft w:val="0"/>
                      <w:marRight w:val="0"/>
                      <w:marTop w:val="0"/>
                      <w:marBottom w:val="0"/>
                      <w:divBdr>
                        <w:top w:val="none" w:sz="0" w:space="0" w:color="auto"/>
                        <w:left w:val="none" w:sz="0" w:space="0" w:color="auto"/>
                        <w:bottom w:val="none" w:sz="0" w:space="0" w:color="auto"/>
                        <w:right w:val="none" w:sz="0" w:space="0" w:color="auto"/>
                      </w:divBdr>
                    </w:div>
                  </w:divsChild>
                </w:div>
                <w:div w:id="175122487">
                  <w:marLeft w:val="0"/>
                  <w:marRight w:val="0"/>
                  <w:marTop w:val="0"/>
                  <w:marBottom w:val="0"/>
                  <w:divBdr>
                    <w:top w:val="none" w:sz="0" w:space="0" w:color="auto"/>
                    <w:left w:val="none" w:sz="0" w:space="0" w:color="auto"/>
                    <w:bottom w:val="none" w:sz="0" w:space="0" w:color="auto"/>
                    <w:right w:val="none" w:sz="0" w:space="0" w:color="auto"/>
                  </w:divBdr>
                  <w:divsChild>
                    <w:div w:id="1201212504">
                      <w:marLeft w:val="0"/>
                      <w:marRight w:val="0"/>
                      <w:marTop w:val="0"/>
                      <w:marBottom w:val="0"/>
                      <w:divBdr>
                        <w:top w:val="none" w:sz="0" w:space="0" w:color="auto"/>
                        <w:left w:val="none" w:sz="0" w:space="0" w:color="auto"/>
                        <w:bottom w:val="none" w:sz="0" w:space="0" w:color="auto"/>
                        <w:right w:val="none" w:sz="0" w:space="0" w:color="auto"/>
                      </w:divBdr>
                    </w:div>
                  </w:divsChild>
                </w:div>
                <w:div w:id="373045781">
                  <w:marLeft w:val="0"/>
                  <w:marRight w:val="0"/>
                  <w:marTop w:val="0"/>
                  <w:marBottom w:val="0"/>
                  <w:divBdr>
                    <w:top w:val="none" w:sz="0" w:space="0" w:color="auto"/>
                    <w:left w:val="none" w:sz="0" w:space="0" w:color="auto"/>
                    <w:bottom w:val="none" w:sz="0" w:space="0" w:color="auto"/>
                    <w:right w:val="none" w:sz="0" w:space="0" w:color="auto"/>
                  </w:divBdr>
                  <w:divsChild>
                    <w:div w:id="103351590">
                      <w:marLeft w:val="0"/>
                      <w:marRight w:val="0"/>
                      <w:marTop w:val="0"/>
                      <w:marBottom w:val="0"/>
                      <w:divBdr>
                        <w:top w:val="none" w:sz="0" w:space="0" w:color="auto"/>
                        <w:left w:val="none" w:sz="0" w:space="0" w:color="auto"/>
                        <w:bottom w:val="none" w:sz="0" w:space="0" w:color="auto"/>
                        <w:right w:val="none" w:sz="0" w:space="0" w:color="auto"/>
                      </w:divBdr>
                    </w:div>
                  </w:divsChild>
                </w:div>
                <w:div w:id="435560370">
                  <w:marLeft w:val="0"/>
                  <w:marRight w:val="0"/>
                  <w:marTop w:val="0"/>
                  <w:marBottom w:val="0"/>
                  <w:divBdr>
                    <w:top w:val="none" w:sz="0" w:space="0" w:color="auto"/>
                    <w:left w:val="none" w:sz="0" w:space="0" w:color="auto"/>
                    <w:bottom w:val="none" w:sz="0" w:space="0" w:color="auto"/>
                    <w:right w:val="none" w:sz="0" w:space="0" w:color="auto"/>
                  </w:divBdr>
                  <w:divsChild>
                    <w:div w:id="1772504183">
                      <w:marLeft w:val="0"/>
                      <w:marRight w:val="0"/>
                      <w:marTop w:val="0"/>
                      <w:marBottom w:val="0"/>
                      <w:divBdr>
                        <w:top w:val="none" w:sz="0" w:space="0" w:color="auto"/>
                        <w:left w:val="none" w:sz="0" w:space="0" w:color="auto"/>
                        <w:bottom w:val="none" w:sz="0" w:space="0" w:color="auto"/>
                        <w:right w:val="none" w:sz="0" w:space="0" w:color="auto"/>
                      </w:divBdr>
                    </w:div>
                  </w:divsChild>
                </w:div>
                <w:div w:id="442381079">
                  <w:marLeft w:val="0"/>
                  <w:marRight w:val="0"/>
                  <w:marTop w:val="0"/>
                  <w:marBottom w:val="0"/>
                  <w:divBdr>
                    <w:top w:val="none" w:sz="0" w:space="0" w:color="auto"/>
                    <w:left w:val="none" w:sz="0" w:space="0" w:color="auto"/>
                    <w:bottom w:val="none" w:sz="0" w:space="0" w:color="auto"/>
                    <w:right w:val="none" w:sz="0" w:space="0" w:color="auto"/>
                  </w:divBdr>
                  <w:divsChild>
                    <w:div w:id="2012946862">
                      <w:marLeft w:val="0"/>
                      <w:marRight w:val="0"/>
                      <w:marTop w:val="0"/>
                      <w:marBottom w:val="0"/>
                      <w:divBdr>
                        <w:top w:val="none" w:sz="0" w:space="0" w:color="auto"/>
                        <w:left w:val="none" w:sz="0" w:space="0" w:color="auto"/>
                        <w:bottom w:val="none" w:sz="0" w:space="0" w:color="auto"/>
                        <w:right w:val="none" w:sz="0" w:space="0" w:color="auto"/>
                      </w:divBdr>
                    </w:div>
                  </w:divsChild>
                </w:div>
                <w:div w:id="469713865">
                  <w:marLeft w:val="0"/>
                  <w:marRight w:val="0"/>
                  <w:marTop w:val="0"/>
                  <w:marBottom w:val="0"/>
                  <w:divBdr>
                    <w:top w:val="none" w:sz="0" w:space="0" w:color="auto"/>
                    <w:left w:val="none" w:sz="0" w:space="0" w:color="auto"/>
                    <w:bottom w:val="none" w:sz="0" w:space="0" w:color="auto"/>
                    <w:right w:val="none" w:sz="0" w:space="0" w:color="auto"/>
                  </w:divBdr>
                  <w:divsChild>
                    <w:div w:id="759178036">
                      <w:marLeft w:val="0"/>
                      <w:marRight w:val="0"/>
                      <w:marTop w:val="0"/>
                      <w:marBottom w:val="0"/>
                      <w:divBdr>
                        <w:top w:val="none" w:sz="0" w:space="0" w:color="auto"/>
                        <w:left w:val="none" w:sz="0" w:space="0" w:color="auto"/>
                        <w:bottom w:val="none" w:sz="0" w:space="0" w:color="auto"/>
                        <w:right w:val="none" w:sz="0" w:space="0" w:color="auto"/>
                      </w:divBdr>
                    </w:div>
                  </w:divsChild>
                </w:div>
                <w:div w:id="1003775396">
                  <w:marLeft w:val="0"/>
                  <w:marRight w:val="0"/>
                  <w:marTop w:val="0"/>
                  <w:marBottom w:val="0"/>
                  <w:divBdr>
                    <w:top w:val="none" w:sz="0" w:space="0" w:color="auto"/>
                    <w:left w:val="none" w:sz="0" w:space="0" w:color="auto"/>
                    <w:bottom w:val="none" w:sz="0" w:space="0" w:color="auto"/>
                    <w:right w:val="none" w:sz="0" w:space="0" w:color="auto"/>
                  </w:divBdr>
                  <w:divsChild>
                    <w:div w:id="2133136327">
                      <w:marLeft w:val="0"/>
                      <w:marRight w:val="0"/>
                      <w:marTop w:val="0"/>
                      <w:marBottom w:val="0"/>
                      <w:divBdr>
                        <w:top w:val="none" w:sz="0" w:space="0" w:color="auto"/>
                        <w:left w:val="none" w:sz="0" w:space="0" w:color="auto"/>
                        <w:bottom w:val="none" w:sz="0" w:space="0" w:color="auto"/>
                        <w:right w:val="none" w:sz="0" w:space="0" w:color="auto"/>
                      </w:divBdr>
                    </w:div>
                  </w:divsChild>
                </w:div>
                <w:div w:id="1030763200">
                  <w:marLeft w:val="0"/>
                  <w:marRight w:val="0"/>
                  <w:marTop w:val="0"/>
                  <w:marBottom w:val="0"/>
                  <w:divBdr>
                    <w:top w:val="none" w:sz="0" w:space="0" w:color="auto"/>
                    <w:left w:val="none" w:sz="0" w:space="0" w:color="auto"/>
                    <w:bottom w:val="none" w:sz="0" w:space="0" w:color="auto"/>
                    <w:right w:val="none" w:sz="0" w:space="0" w:color="auto"/>
                  </w:divBdr>
                  <w:divsChild>
                    <w:div w:id="301663884">
                      <w:marLeft w:val="0"/>
                      <w:marRight w:val="0"/>
                      <w:marTop w:val="0"/>
                      <w:marBottom w:val="0"/>
                      <w:divBdr>
                        <w:top w:val="none" w:sz="0" w:space="0" w:color="auto"/>
                        <w:left w:val="none" w:sz="0" w:space="0" w:color="auto"/>
                        <w:bottom w:val="none" w:sz="0" w:space="0" w:color="auto"/>
                        <w:right w:val="none" w:sz="0" w:space="0" w:color="auto"/>
                      </w:divBdr>
                    </w:div>
                  </w:divsChild>
                </w:div>
                <w:div w:id="1054309835">
                  <w:marLeft w:val="0"/>
                  <w:marRight w:val="0"/>
                  <w:marTop w:val="0"/>
                  <w:marBottom w:val="0"/>
                  <w:divBdr>
                    <w:top w:val="none" w:sz="0" w:space="0" w:color="auto"/>
                    <w:left w:val="none" w:sz="0" w:space="0" w:color="auto"/>
                    <w:bottom w:val="none" w:sz="0" w:space="0" w:color="auto"/>
                    <w:right w:val="none" w:sz="0" w:space="0" w:color="auto"/>
                  </w:divBdr>
                  <w:divsChild>
                    <w:div w:id="1719818795">
                      <w:marLeft w:val="0"/>
                      <w:marRight w:val="0"/>
                      <w:marTop w:val="0"/>
                      <w:marBottom w:val="0"/>
                      <w:divBdr>
                        <w:top w:val="none" w:sz="0" w:space="0" w:color="auto"/>
                        <w:left w:val="none" w:sz="0" w:space="0" w:color="auto"/>
                        <w:bottom w:val="none" w:sz="0" w:space="0" w:color="auto"/>
                        <w:right w:val="none" w:sz="0" w:space="0" w:color="auto"/>
                      </w:divBdr>
                    </w:div>
                  </w:divsChild>
                </w:div>
                <w:div w:id="1134181540">
                  <w:marLeft w:val="0"/>
                  <w:marRight w:val="0"/>
                  <w:marTop w:val="0"/>
                  <w:marBottom w:val="0"/>
                  <w:divBdr>
                    <w:top w:val="none" w:sz="0" w:space="0" w:color="auto"/>
                    <w:left w:val="none" w:sz="0" w:space="0" w:color="auto"/>
                    <w:bottom w:val="none" w:sz="0" w:space="0" w:color="auto"/>
                    <w:right w:val="none" w:sz="0" w:space="0" w:color="auto"/>
                  </w:divBdr>
                  <w:divsChild>
                    <w:div w:id="1873494846">
                      <w:marLeft w:val="0"/>
                      <w:marRight w:val="0"/>
                      <w:marTop w:val="0"/>
                      <w:marBottom w:val="0"/>
                      <w:divBdr>
                        <w:top w:val="none" w:sz="0" w:space="0" w:color="auto"/>
                        <w:left w:val="none" w:sz="0" w:space="0" w:color="auto"/>
                        <w:bottom w:val="none" w:sz="0" w:space="0" w:color="auto"/>
                        <w:right w:val="none" w:sz="0" w:space="0" w:color="auto"/>
                      </w:divBdr>
                    </w:div>
                  </w:divsChild>
                </w:div>
                <w:div w:id="1294599739">
                  <w:marLeft w:val="0"/>
                  <w:marRight w:val="0"/>
                  <w:marTop w:val="0"/>
                  <w:marBottom w:val="0"/>
                  <w:divBdr>
                    <w:top w:val="none" w:sz="0" w:space="0" w:color="auto"/>
                    <w:left w:val="none" w:sz="0" w:space="0" w:color="auto"/>
                    <w:bottom w:val="none" w:sz="0" w:space="0" w:color="auto"/>
                    <w:right w:val="none" w:sz="0" w:space="0" w:color="auto"/>
                  </w:divBdr>
                  <w:divsChild>
                    <w:div w:id="423765096">
                      <w:marLeft w:val="0"/>
                      <w:marRight w:val="0"/>
                      <w:marTop w:val="0"/>
                      <w:marBottom w:val="0"/>
                      <w:divBdr>
                        <w:top w:val="none" w:sz="0" w:space="0" w:color="auto"/>
                        <w:left w:val="none" w:sz="0" w:space="0" w:color="auto"/>
                        <w:bottom w:val="none" w:sz="0" w:space="0" w:color="auto"/>
                        <w:right w:val="none" w:sz="0" w:space="0" w:color="auto"/>
                      </w:divBdr>
                    </w:div>
                  </w:divsChild>
                </w:div>
                <w:div w:id="1423453351">
                  <w:marLeft w:val="0"/>
                  <w:marRight w:val="0"/>
                  <w:marTop w:val="0"/>
                  <w:marBottom w:val="0"/>
                  <w:divBdr>
                    <w:top w:val="none" w:sz="0" w:space="0" w:color="auto"/>
                    <w:left w:val="none" w:sz="0" w:space="0" w:color="auto"/>
                    <w:bottom w:val="none" w:sz="0" w:space="0" w:color="auto"/>
                    <w:right w:val="none" w:sz="0" w:space="0" w:color="auto"/>
                  </w:divBdr>
                  <w:divsChild>
                    <w:div w:id="2114469771">
                      <w:marLeft w:val="0"/>
                      <w:marRight w:val="0"/>
                      <w:marTop w:val="0"/>
                      <w:marBottom w:val="0"/>
                      <w:divBdr>
                        <w:top w:val="none" w:sz="0" w:space="0" w:color="auto"/>
                        <w:left w:val="none" w:sz="0" w:space="0" w:color="auto"/>
                        <w:bottom w:val="none" w:sz="0" w:space="0" w:color="auto"/>
                        <w:right w:val="none" w:sz="0" w:space="0" w:color="auto"/>
                      </w:divBdr>
                    </w:div>
                  </w:divsChild>
                </w:div>
                <w:div w:id="1441294470">
                  <w:marLeft w:val="0"/>
                  <w:marRight w:val="0"/>
                  <w:marTop w:val="0"/>
                  <w:marBottom w:val="0"/>
                  <w:divBdr>
                    <w:top w:val="none" w:sz="0" w:space="0" w:color="auto"/>
                    <w:left w:val="none" w:sz="0" w:space="0" w:color="auto"/>
                    <w:bottom w:val="none" w:sz="0" w:space="0" w:color="auto"/>
                    <w:right w:val="none" w:sz="0" w:space="0" w:color="auto"/>
                  </w:divBdr>
                  <w:divsChild>
                    <w:div w:id="720247025">
                      <w:marLeft w:val="0"/>
                      <w:marRight w:val="0"/>
                      <w:marTop w:val="0"/>
                      <w:marBottom w:val="0"/>
                      <w:divBdr>
                        <w:top w:val="none" w:sz="0" w:space="0" w:color="auto"/>
                        <w:left w:val="none" w:sz="0" w:space="0" w:color="auto"/>
                        <w:bottom w:val="none" w:sz="0" w:space="0" w:color="auto"/>
                        <w:right w:val="none" w:sz="0" w:space="0" w:color="auto"/>
                      </w:divBdr>
                    </w:div>
                  </w:divsChild>
                </w:div>
                <w:div w:id="1452167987">
                  <w:marLeft w:val="0"/>
                  <w:marRight w:val="0"/>
                  <w:marTop w:val="0"/>
                  <w:marBottom w:val="0"/>
                  <w:divBdr>
                    <w:top w:val="none" w:sz="0" w:space="0" w:color="auto"/>
                    <w:left w:val="none" w:sz="0" w:space="0" w:color="auto"/>
                    <w:bottom w:val="none" w:sz="0" w:space="0" w:color="auto"/>
                    <w:right w:val="none" w:sz="0" w:space="0" w:color="auto"/>
                  </w:divBdr>
                  <w:divsChild>
                    <w:div w:id="161816474">
                      <w:marLeft w:val="0"/>
                      <w:marRight w:val="0"/>
                      <w:marTop w:val="0"/>
                      <w:marBottom w:val="0"/>
                      <w:divBdr>
                        <w:top w:val="none" w:sz="0" w:space="0" w:color="auto"/>
                        <w:left w:val="none" w:sz="0" w:space="0" w:color="auto"/>
                        <w:bottom w:val="none" w:sz="0" w:space="0" w:color="auto"/>
                        <w:right w:val="none" w:sz="0" w:space="0" w:color="auto"/>
                      </w:divBdr>
                    </w:div>
                  </w:divsChild>
                </w:div>
                <w:div w:id="1493714040">
                  <w:marLeft w:val="0"/>
                  <w:marRight w:val="0"/>
                  <w:marTop w:val="0"/>
                  <w:marBottom w:val="0"/>
                  <w:divBdr>
                    <w:top w:val="none" w:sz="0" w:space="0" w:color="auto"/>
                    <w:left w:val="none" w:sz="0" w:space="0" w:color="auto"/>
                    <w:bottom w:val="none" w:sz="0" w:space="0" w:color="auto"/>
                    <w:right w:val="none" w:sz="0" w:space="0" w:color="auto"/>
                  </w:divBdr>
                  <w:divsChild>
                    <w:div w:id="591821238">
                      <w:marLeft w:val="0"/>
                      <w:marRight w:val="0"/>
                      <w:marTop w:val="0"/>
                      <w:marBottom w:val="0"/>
                      <w:divBdr>
                        <w:top w:val="none" w:sz="0" w:space="0" w:color="auto"/>
                        <w:left w:val="none" w:sz="0" w:space="0" w:color="auto"/>
                        <w:bottom w:val="none" w:sz="0" w:space="0" w:color="auto"/>
                        <w:right w:val="none" w:sz="0" w:space="0" w:color="auto"/>
                      </w:divBdr>
                    </w:div>
                  </w:divsChild>
                </w:div>
                <w:div w:id="1637641047">
                  <w:marLeft w:val="0"/>
                  <w:marRight w:val="0"/>
                  <w:marTop w:val="0"/>
                  <w:marBottom w:val="0"/>
                  <w:divBdr>
                    <w:top w:val="none" w:sz="0" w:space="0" w:color="auto"/>
                    <w:left w:val="none" w:sz="0" w:space="0" w:color="auto"/>
                    <w:bottom w:val="none" w:sz="0" w:space="0" w:color="auto"/>
                    <w:right w:val="none" w:sz="0" w:space="0" w:color="auto"/>
                  </w:divBdr>
                  <w:divsChild>
                    <w:div w:id="1495606537">
                      <w:marLeft w:val="0"/>
                      <w:marRight w:val="0"/>
                      <w:marTop w:val="0"/>
                      <w:marBottom w:val="0"/>
                      <w:divBdr>
                        <w:top w:val="none" w:sz="0" w:space="0" w:color="auto"/>
                        <w:left w:val="none" w:sz="0" w:space="0" w:color="auto"/>
                        <w:bottom w:val="none" w:sz="0" w:space="0" w:color="auto"/>
                        <w:right w:val="none" w:sz="0" w:space="0" w:color="auto"/>
                      </w:divBdr>
                    </w:div>
                  </w:divsChild>
                </w:div>
                <w:div w:id="1894580280">
                  <w:marLeft w:val="0"/>
                  <w:marRight w:val="0"/>
                  <w:marTop w:val="0"/>
                  <w:marBottom w:val="0"/>
                  <w:divBdr>
                    <w:top w:val="none" w:sz="0" w:space="0" w:color="auto"/>
                    <w:left w:val="none" w:sz="0" w:space="0" w:color="auto"/>
                    <w:bottom w:val="none" w:sz="0" w:space="0" w:color="auto"/>
                    <w:right w:val="none" w:sz="0" w:space="0" w:color="auto"/>
                  </w:divBdr>
                  <w:divsChild>
                    <w:div w:id="1351375341">
                      <w:marLeft w:val="0"/>
                      <w:marRight w:val="0"/>
                      <w:marTop w:val="0"/>
                      <w:marBottom w:val="0"/>
                      <w:divBdr>
                        <w:top w:val="none" w:sz="0" w:space="0" w:color="auto"/>
                        <w:left w:val="none" w:sz="0" w:space="0" w:color="auto"/>
                        <w:bottom w:val="none" w:sz="0" w:space="0" w:color="auto"/>
                        <w:right w:val="none" w:sz="0" w:space="0" w:color="auto"/>
                      </w:divBdr>
                    </w:div>
                  </w:divsChild>
                </w:div>
                <w:div w:id="1944335190">
                  <w:marLeft w:val="0"/>
                  <w:marRight w:val="0"/>
                  <w:marTop w:val="0"/>
                  <w:marBottom w:val="0"/>
                  <w:divBdr>
                    <w:top w:val="none" w:sz="0" w:space="0" w:color="auto"/>
                    <w:left w:val="none" w:sz="0" w:space="0" w:color="auto"/>
                    <w:bottom w:val="none" w:sz="0" w:space="0" w:color="auto"/>
                    <w:right w:val="none" w:sz="0" w:space="0" w:color="auto"/>
                  </w:divBdr>
                  <w:divsChild>
                    <w:div w:id="1381586516">
                      <w:marLeft w:val="0"/>
                      <w:marRight w:val="0"/>
                      <w:marTop w:val="0"/>
                      <w:marBottom w:val="0"/>
                      <w:divBdr>
                        <w:top w:val="none" w:sz="0" w:space="0" w:color="auto"/>
                        <w:left w:val="none" w:sz="0" w:space="0" w:color="auto"/>
                        <w:bottom w:val="none" w:sz="0" w:space="0" w:color="auto"/>
                        <w:right w:val="none" w:sz="0" w:space="0" w:color="auto"/>
                      </w:divBdr>
                    </w:div>
                  </w:divsChild>
                </w:div>
                <w:div w:id="1957981814">
                  <w:marLeft w:val="0"/>
                  <w:marRight w:val="0"/>
                  <w:marTop w:val="0"/>
                  <w:marBottom w:val="0"/>
                  <w:divBdr>
                    <w:top w:val="none" w:sz="0" w:space="0" w:color="auto"/>
                    <w:left w:val="none" w:sz="0" w:space="0" w:color="auto"/>
                    <w:bottom w:val="none" w:sz="0" w:space="0" w:color="auto"/>
                    <w:right w:val="none" w:sz="0" w:space="0" w:color="auto"/>
                  </w:divBdr>
                  <w:divsChild>
                    <w:div w:id="231501134">
                      <w:marLeft w:val="0"/>
                      <w:marRight w:val="0"/>
                      <w:marTop w:val="0"/>
                      <w:marBottom w:val="0"/>
                      <w:divBdr>
                        <w:top w:val="none" w:sz="0" w:space="0" w:color="auto"/>
                        <w:left w:val="none" w:sz="0" w:space="0" w:color="auto"/>
                        <w:bottom w:val="none" w:sz="0" w:space="0" w:color="auto"/>
                        <w:right w:val="none" w:sz="0" w:space="0" w:color="auto"/>
                      </w:divBdr>
                    </w:div>
                  </w:divsChild>
                </w:div>
                <w:div w:id="1985233966">
                  <w:marLeft w:val="0"/>
                  <w:marRight w:val="0"/>
                  <w:marTop w:val="0"/>
                  <w:marBottom w:val="0"/>
                  <w:divBdr>
                    <w:top w:val="none" w:sz="0" w:space="0" w:color="auto"/>
                    <w:left w:val="none" w:sz="0" w:space="0" w:color="auto"/>
                    <w:bottom w:val="none" w:sz="0" w:space="0" w:color="auto"/>
                    <w:right w:val="none" w:sz="0" w:space="0" w:color="auto"/>
                  </w:divBdr>
                  <w:divsChild>
                    <w:div w:id="2111849069">
                      <w:marLeft w:val="0"/>
                      <w:marRight w:val="0"/>
                      <w:marTop w:val="0"/>
                      <w:marBottom w:val="0"/>
                      <w:divBdr>
                        <w:top w:val="none" w:sz="0" w:space="0" w:color="auto"/>
                        <w:left w:val="none" w:sz="0" w:space="0" w:color="auto"/>
                        <w:bottom w:val="none" w:sz="0" w:space="0" w:color="auto"/>
                        <w:right w:val="none" w:sz="0" w:space="0" w:color="auto"/>
                      </w:divBdr>
                    </w:div>
                  </w:divsChild>
                </w:div>
                <w:div w:id="2004507791">
                  <w:marLeft w:val="0"/>
                  <w:marRight w:val="0"/>
                  <w:marTop w:val="0"/>
                  <w:marBottom w:val="0"/>
                  <w:divBdr>
                    <w:top w:val="none" w:sz="0" w:space="0" w:color="auto"/>
                    <w:left w:val="none" w:sz="0" w:space="0" w:color="auto"/>
                    <w:bottom w:val="none" w:sz="0" w:space="0" w:color="auto"/>
                    <w:right w:val="none" w:sz="0" w:space="0" w:color="auto"/>
                  </w:divBdr>
                  <w:divsChild>
                    <w:div w:id="5674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061180">
          <w:marLeft w:val="0"/>
          <w:marRight w:val="0"/>
          <w:marTop w:val="0"/>
          <w:marBottom w:val="0"/>
          <w:divBdr>
            <w:top w:val="none" w:sz="0" w:space="0" w:color="auto"/>
            <w:left w:val="none" w:sz="0" w:space="0" w:color="auto"/>
            <w:bottom w:val="none" w:sz="0" w:space="0" w:color="auto"/>
            <w:right w:val="none" w:sz="0" w:space="0" w:color="auto"/>
          </w:divBdr>
          <w:divsChild>
            <w:div w:id="137771519">
              <w:marLeft w:val="0"/>
              <w:marRight w:val="0"/>
              <w:marTop w:val="0"/>
              <w:marBottom w:val="0"/>
              <w:divBdr>
                <w:top w:val="none" w:sz="0" w:space="0" w:color="auto"/>
                <w:left w:val="none" w:sz="0" w:space="0" w:color="auto"/>
                <w:bottom w:val="none" w:sz="0" w:space="0" w:color="auto"/>
                <w:right w:val="none" w:sz="0" w:space="0" w:color="auto"/>
              </w:divBdr>
            </w:div>
            <w:div w:id="261493137">
              <w:marLeft w:val="0"/>
              <w:marRight w:val="0"/>
              <w:marTop w:val="0"/>
              <w:marBottom w:val="0"/>
              <w:divBdr>
                <w:top w:val="none" w:sz="0" w:space="0" w:color="auto"/>
                <w:left w:val="none" w:sz="0" w:space="0" w:color="auto"/>
                <w:bottom w:val="none" w:sz="0" w:space="0" w:color="auto"/>
                <w:right w:val="none" w:sz="0" w:space="0" w:color="auto"/>
              </w:divBdr>
            </w:div>
            <w:div w:id="333580992">
              <w:marLeft w:val="0"/>
              <w:marRight w:val="0"/>
              <w:marTop w:val="0"/>
              <w:marBottom w:val="0"/>
              <w:divBdr>
                <w:top w:val="none" w:sz="0" w:space="0" w:color="auto"/>
                <w:left w:val="none" w:sz="0" w:space="0" w:color="auto"/>
                <w:bottom w:val="none" w:sz="0" w:space="0" w:color="auto"/>
                <w:right w:val="none" w:sz="0" w:space="0" w:color="auto"/>
              </w:divBdr>
            </w:div>
            <w:div w:id="490372143">
              <w:marLeft w:val="0"/>
              <w:marRight w:val="0"/>
              <w:marTop w:val="0"/>
              <w:marBottom w:val="0"/>
              <w:divBdr>
                <w:top w:val="none" w:sz="0" w:space="0" w:color="auto"/>
                <w:left w:val="none" w:sz="0" w:space="0" w:color="auto"/>
                <w:bottom w:val="none" w:sz="0" w:space="0" w:color="auto"/>
                <w:right w:val="none" w:sz="0" w:space="0" w:color="auto"/>
              </w:divBdr>
            </w:div>
            <w:div w:id="493691405">
              <w:marLeft w:val="0"/>
              <w:marRight w:val="0"/>
              <w:marTop w:val="0"/>
              <w:marBottom w:val="0"/>
              <w:divBdr>
                <w:top w:val="none" w:sz="0" w:space="0" w:color="auto"/>
                <w:left w:val="none" w:sz="0" w:space="0" w:color="auto"/>
                <w:bottom w:val="none" w:sz="0" w:space="0" w:color="auto"/>
                <w:right w:val="none" w:sz="0" w:space="0" w:color="auto"/>
              </w:divBdr>
            </w:div>
            <w:div w:id="527449976">
              <w:marLeft w:val="0"/>
              <w:marRight w:val="0"/>
              <w:marTop w:val="0"/>
              <w:marBottom w:val="0"/>
              <w:divBdr>
                <w:top w:val="none" w:sz="0" w:space="0" w:color="auto"/>
                <w:left w:val="none" w:sz="0" w:space="0" w:color="auto"/>
                <w:bottom w:val="none" w:sz="0" w:space="0" w:color="auto"/>
                <w:right w:val="none" w:sz="0" w:space="0" w:color="auto"/>
              </w:divBdr>
            </w:div>
            <w:div w:id="696855795">
              <w:marLeft w:val="0"/>
              <w:marRight w:val="0"/>
              <w:marTop w:val="0"/>
              <w:marBottom w:val="0"/>
              <w:divBdr>
                <w:top w:val="none" w:sz="0" w:space="0" w:color="auto"/>
                <w:left w:val="none" w:sz="0" w:space="0" w:color="auto"/>
                <w:bottom w:val="none" w:sz="0" w:space="0" w:color="auto"/>
                <w:right w:val="none" w:sz="0" w:space="0" w:color="auto"/>
              </w:divBdr>
            </w:div>
            <w:div w:id="945238264">
              <w:marLeft w:val="0"/>
              <w:marRight w:val="0"/>
              <w:marTop w:val="0"/>
              <w:marBottom w:val="0"/>
              <w:divBdr>
                <w:top w:val="none" w:sz="0" w:space="0" w:color="auto"/>
                <w:left w:val="none" w:sz="0" w:space="0" w:color="auto"/>
                <w:bottom w:val="none" w:sz="0" w:space="0" w:color="auto"/>
                <w:right w:val="none" w:sz="0" w:space="0" w:color="auto"/>
              </w:divBdr>
            </w:div>
            <w:div w:id="1116172508">
              <w:marLeft w:val="0"/>
              <w:marRight w:val="0"/>
              <w:marTop w:val="0"/>
              <w:marBottom w:val="0"/>
              <w:divBdr>
                <w:top w:val="none" w:sz="0" w:space="0" w:color="auto"/>
                <w:left w:val="none" w:sz="0" w:space="0" w:color="auto"/>
                <w:bottom w:val="none" w:sz="0" w:space="0" w:color="auto"/>
                <w:right w:val="none" w:sz="0" w:space="0" w:color="auto"/>
              </w:divBdr>
            </w:div>
            <w:div w:id="1167671094">
              <w:marLeft w:val="0"/>
              <w:marRight w:val="0"/>
              <w:marTop w:val="0"/>
              <w:marBottom w:val="0"/>
              <w:divBdr>
                <w:top w:val="none" w:sz="0" w:space="0" w:color="auto"/>
                <w:left w:val="none" w:sz="0" w:space="0" w:color="auto"/>
                <w:bottom w:val="none" w:sz="0" w:space="0" w:color="auto"/>
                <w:right w:val="none" w:sz="0" w:space="0" w:color="auto"/>
              </w:divBdr>
            </w:div>
            <w:div w:id="1270819135">
              <w:marLeft w:val="0"/>
              <w:marRight w:val="0"/>
              <w:marTop w:val="0"/>
              <w:marBottom w:val="0"/>
              <w:divBdr>
                <w:top w:val="none" w:sz="0" w:space="0" w:color="auto"/>
                <w:left w:val="none" w:sz="0" w:space="0" w:color="auto"/>
                <w:bottom w:val="none" w:sz="0" w:space="0" w:color="auto"/>
                <w:right w:val="none" w:sz="0" w:space="0" w:color="auto"/>
              </w:divBdr>
            </w:div>
            <w:div w:id="1352027649">
              <w:marLeft w:val="0"/>
              <w:marRight w:val="0"/>
              <w:marTop w:val="0"/>
              <w:marBottom w:val="0"/>
              <w:divBdr>
                <w:top w:val="none" w:sz="0" w:space="0" w:color="auto"/>
                <w:left w:val="none" w:sz="0" w:space="0" w:color="auto"/>
                <w:bottom w:val="none" w:sz="0" w:space="0" w:color="auto"/>
                <w:right w:val="none" w:sz="0" w:space="0" w:color="auto"/>
              </w:divBdr>
            </w:div>
            <w:div w:id="1357345454">
              <w:marLeft w:val="0"/>
              <w:marRight w:val="0"/>
              <w:marTop w:val="0"/>
              <w:marBottom w:val="0"/>
              <w:divBdr>
                <w:top w:val="none" w:sz="0" w:space="0" w:color="auto"/>
                <w:left w:val="none" w:sz="0" w:space="0" w:color="auto"/>
                <w:bottom w:val="none" w:sz="0" w:space="0" w:color="auto"/>
                <w:right w:val="none" w:sz="0" w:space="0" w:color="auto"/>
              </w:divBdr>
            </w:div>
            <w:div w:id="1475483834">
              <w:marLeft w:val="0"/>
              <w:marRight w:val="0"/>
              <w:marTop w:val="0"/>
              <w:marBottom w:val="0"/>
              <w:divBdr>
                <w:top w:val="none" w:sz="0" w:space="0" w:color="auto"/>
                <w:left w:val="none" w:sz="0" w:space="0" w:color="auto"/>
                <w:bottom w:val="none" w:sz="0" w:space="0" w:color="auto"/>
                <w:right w:val="none" w:sz="0" w:space="0" w:color="auto"/>
              </w:divBdr>
            </w:div>
            <w:div w:id="1608655666">
              <w:marLeft w:val="0"/>
              <w:marRight w:val="0"/>
              <w:marTop w:val="0"/>
              <w:marBottom w:val="0"/>
              <w:divBdr>
                <w:top w:val="none" w:sz="0" w:space="0" w:color="auto"/>
                <w:left w:val="none" w:sz="0" w:space="0" w:color="auto"/>
                <w:bottom w:val="none" w:sz="0" w:space="0" w:color="auto"/>
                <w:right w:val="none" w:sz="0" w:space="0" w:color="auto"/>
              </w:divBdr>
            </w:div>
            <w:div w:id="1720127311">
              <w:marLeft w:val="0"/>
              <w:marRight w:val="0"/>
              <w:marTop w:val="0"/>
              <w:marBottom w:val="0"/>
              <w:divBdr>
                <w:top w:val="none" w:sz="0" w:space="0" w:color="auto"/>
                <w:left w:val="none" w:sz="0" w:space="0" w:color="auto"/>
                <w:bottom w:val="none" w:sz="0" w:space="0" w:color="auto"/>
                <w:right w:val="none" w:sz="0" w:space="0" w:color="auto"/>
              </w:divBdr>
            </w:div>
            <w:div w:id="1790200999">
              <w:marLeft w:val="0"/>
              <w:marRight w:val="0"/>
              <w:marTop w:val="0"/>
              <w:marBottom w:val="0"/>
              <w:divBdr>
                <w:top w:val="none" w:sz="0" w:space="0" w:color="auto"/>
                <w:left w:val="none" w:sz="0" w:space="0" w:color="auto"/>
                <w:bottom w:val="none" w:sz="0" w:space="0" w:color="auto"/>
                <w:right w:val="none" w:sz="0" w:space="0" w:color="auto"/>
              </w:divBdr>
            </w:div>
            <w:div w:id="1932157084">
              <w:marLeft w:val="0"/>
              <w:marRight w:val="0"/>
              <w:marTop w:val="0"/>
              <w:marBottom w:val="0"/>
              <w:divBdr>
                <w:top w:val="none" w:sz="0" w:space="0" w:color="auto"/>
                <w:left w:val="none" w:sz="0" w:space="0" w:color="auto"/>
                <w:bottom w:val="none" w:sz="0" w:space="0" w:color="auto"/>
                <w:right w:val="none" w:sz="0" w:space="0" w:color="auto"/>
              </w:divBdr>
            </w:div>
            <w:div w:id="1960258886">
              <w:marLeft w:val="0"/>
              <w:marRight w:val="0"/>
              <w:marTop w:val="0"/>
              <w:marBottom w:val="0"/>
              <w:divBdr>
                <w:top w:val="none" w:sz="0" w:space="0" w:color="auto"/>
                <w:left w:val="none" w:sz="0" w:space="0" w:color="auto"/>
                <w:bottom w:val="none" w:sz="0" w:space="0" w:color="auto"/>
                <w:right w:val="none" w:sz="0" w:space="0" w:color="auto"/>
              </w:divBdr>
            </w:div>
            <w:div w:id="1966084723">
              <w:marLeft w:val="0"/>
              <w:marRight w:val="0"/>
              <w:marTop w:val="0"/>
              <w:marBottom w:val="0"/>
              <w:divBdr>
                <w:top w:val="none" w:sz="0" w:space="0" w:color="auto"/>
                <w:left w:val="none" w:sz="0" w:space="0" w:color="auto"/>
                <w:bottom w:val="none" w:sz="0" w:space="0" w:color="auto"/>
                <w:right w:val="none" w:sz="0" w:space="0" w:color="auto"/>
              </w:divBdr>
            </w:div>
          </w:divsChild>
        </w:div>
        <w:div w:id="667635945">
          <w:marLeft w:val="0"/>
          <w:marRight w:val="0"/>
          <w:marTop w:val="0"/>
          <w:marBottom w:val="0"/>
          <w:divBdr>
            <w:top w:val="none" w:sz="0" w:space="0" w:color="auto"/>
            <w:left w:val="none" w:sz="0" w:space="0" w:color="auto"/>
            <w:bottom w:val="none" w:sz="0" w:space="0" w:color="auto"/>
            <w:right w:val="none" w:sz="0" w:space="0" w:color="auto"/>
          </w:divBdr>
          <w:divsChild>
            <w:div w:id="97649723">
              <w:marLeft w:val="0"/>
              <w:marRight w:val="0"/>
              <w:marTop w:val="0"/>
              <w:marBottom w:val="0"/>
              <w:divBdr>
                <w:top w:val="none" w:sz="0" w:space="0" w:color="auto"/>
                <w:left w:val="none" w:sz="0" w:space="0" w:color="auto"/>
                <w:bottom w:val="none" w:sz="0" w:space="0" w:color="auto"/>
                <w:right w:val="none" w:sz="0" w:space="0" w:color="auto"/>
              </w:divBdr>
            </w:div>
            <w:div w:id="105732046">
              <w:marLeft w:val="0"/>
              <w:marRight w:val="0"/>
              <w:marTop w:val="0"/>
              <w:marBottom w:val="0"/>
              <w:divBdr>
                <w:top w:val="none" w:sz="0" w:space="0" w:color="auto"/>
                <w:left w:val="none" w:sz="0" w:space="0" w:color="auto"/>
                <w:bottom w:val="none" w:sz="0" w:space="0" w:color="auto"/>
                <w:right w:val="none" w:sz="0" w:space="0" w:color="auto"/>
              </w:divBdr>
            </w:div>
            <w:div w:id="291331043">
              <w:marLeft w:val="0"/>
              <w:marRight w:val="0"/>
              <w:marTop w:val="0"/>
              <w:marBottom w:val="0"/>
              <w:divBdr>
                <w:top w:val="none" w:sz="0" w:space="0" w:color="auto"/>
                <w:left w:val="none" w:sz="0" w:space="0" w:color="auto"/>
                <w:bottom w:val="none" w:sz="0" w:space="0" w:color="auto"/>
                <w:right w:val="none" w:sz="0" w:space="0" w:color="auto"/>
              </w:divBdr>
            </w:div>
            <w:div w:id="315764575">
              <w:marLeft w:val="0"/>
              <w:marRight w:val="0"/>
              <w:marTop w:val="0"/>
              <w:marBottom w:val="0"/>
              <w:divBdr>
                <w:top w:val="none" w:sz="0" w:space="0" w:color="auto"/>
                <w:left w:val="none" w:sz="0" w:space="0" w:color="auto"/>
                <w:bottom w:val="none" w:sz="0" w:space="0" w:color="auto"/>
                <w:right w:val="none" w:sz="0" w:space="0" w:color="auto"/>
              </w:divBdr>
            </w:div>
            <w:div w:id="893928878">
              <w:marLeft w:val="0"/>
              <w:marRight w:val="0"/>
              <w:marTop w:val="0"/>
              <w:marBottom w:val="0"/>
              <w:divBdr>
                <w:top w:val="none" w:sz="0" w:space="0" w:color="auto"/>
                <w:left w:val="none" w:sz="0" w:space="0" w:color="auto"/>
                <w:bottom w:val="none" w:sz="0" w:space="0" w:color="auto"/>
                <w:right w:val="none" w:sz="0" w:space="0" w:color="auto"/>
              </w:divBdr>
            </w:div>
            <w:div w:id="1153988147">
              <w:marLeft w:val="0"/>
              <w:marRight w:val="0"/>
              <w:marTop w:val="0"/>
              <w:marBottom w:val="0"/>
              <w:divBdr>
                <w:top w:val="none" w:sz="0" w:space="0" w:color="auto"/>
                <w:left w:val="none" w:sz="0" w:space="0" w:color="auto"/>
                <w:bottom w:val="none" w:sz="0" w:space="0" w:color="auto"/>
                <w:right w:val="none" w:sz="0" w:space="0" w:color="auto"/>
              </w:divBdr>
            </w:div>
            <w:div w:id="1164005527">
              <w:marLeft w:val="0"/>
              <w:marRight w:val="0"/>
              <w:marTop w:val="0"/>
              <w:marBottom w:val="0"/>
              <w:divBdr>
                <w:top w:val="none" w:sz="0" w:space="0" w:color="auto"/>
                <w:left w:val="none" w:sz="0" w:space="0" w:color="auto"/>
                <w:bottom w:val="none" w:sz="0" w:space="0" w:color="auto"/>
                <w:right w:val="none" w:sz="0" w:space="0" w:color="auto"/>
              </w:divBdr>
            </w:div>
            <w:div w:id="1439984137">
              <w:marLeft w:val="0"/>
              <w:marRight w:val="0"/>
              <w:marTop w:val="0"/>
              <w:marBottom w:val="0"/>
              <w:divBdr>
                <w:top w:val="none" w:sz="0" w:space="0" w:color="auto"/>
                <w:left w:val="none" w:sz="0" w:space="0" w:color="auto"/>
                <w:bottom w:val="none" w:sz="0" w:space="0" w:color="auto"/>
                <w:right w:val="none" w:sz="0" w:space="0" w:color="auto"/>
              </w:divBdr>
            </w:div>
            <w:div w:id="1460799570">
              <w:marLeft w:val="0"/>
              <w:marRight w:val="0"/>
              <w:marTop w:val="0"/>
              <w:marBottom w:val="0"/>
              <w:divBdr>
                <w:top w:val="none" w:sz="0" w:space="0" w:color="auto"/>
                <w:left w:val="none" w:sz="0" w:space="0" w:color="auto"/>
                <w:bottom w:val="none" w:sz="0" w:space="0" w:color="auto"/>
                <w:right w:val="none" w:sz="0" w:space="0" w:color="auto"/>
              </w:divBdr>
            </w:div>
            <w:div w:id="1489327023">
              <w:marLeft w:val="0"/>
              <w:marRight w:val="0"/>
              <w:marTop w:val="0"/>
              <w:marBottom w:val="0"/>
              <w:divBdr>
                <w:top w:val="none" w:sz="0" w:space="0" w:color="auto"/>
                <w:left w:val="none" w:sz="0" w:space="0" w:color="auto"/>
                <w:bottom w:val="none" w:sz="0" w:space="0" w:color="auto"/>
                <w:right w:val="none" w:sz="0" w:space="0" w:color="auto"/>
              </w:divBdr>
            </w:div>
            <w:div w:id="1513033585">
              <w:marLeft w:val="0"/>
              <w:marRight w:val="0"/>
              <w:marTop w:val="0"/>
              <w:marBottom w:val="0"/>
              <w:divBdr>
                <w:top w:val="none" w:sz="0" w:space="0" w:color="auto"/>
                <w:left w:val="none" w:sz="0" w:space="0" w:color="auto"/>
                <w:bottom w:val="none" w:sz="0" w:space="0" w:color="auto"/>
                <w:right w:val="none" w:sz="0" w:space="0" w:color="auto"/>
              </w:divBdr>
            </w:div>
            <w:div w:id="1519198276">
              <w:marLeft w:val="0"/>
              <w:marRight w:val="0"/>
              <w:marTop w:val="0"/>
              <w:marBottom w:val="0"/>
              <w:divBdr>
                <w:top w:val="none" w:sz="0" w:space="0" w:color="auto"/>
                <w:left w:val="none" w:sz="0" w:space="0" w:color="auto"/>
                <w:bottom w:val="none" w:sz="0" w:space="0" w:color="auto"/>
                <w:right w:val="none" w:sz="0" w:space="0" w:color="auto"/>
              </w:divBdr>
            </w:div>
            <w:div w:id="1549024880">
              <w:marLeft w:val="0"/>
              <w:marRight w:val="0"/>
              <w:marTop w:val="0"/>
              <w:marBottom w:val="0"/>
              <w:divBdr>
                <w:top w:val="none" w:sz="0" w:space="0" w:color="auto"/>
                <w:left w:val="none" w:sz="0" w:space="0" w:color="auto"/>
                <w:bottom w:val="none" w:sz="0" w:space="0" w:color="auto"/>
                <w:right w:val="none" w:sz="0" w:space="0" w:color="auto"/>
              </w:divBdr>
            </w:div>
            <w:div w:id="1603951182">
              <w:marLeft w:val="0"/>
              <w:marRight w:val="0"/>
              <w:marTop w:val="0"/>
              <w:marBottom w:val="0"/>
              <w:divBdr>
                <w:top w:val="none" w:sz="0" w:space="0" w:color="auto"/>
                <w:left w:val="none" w:sz="0" w:space="0" w:color="auto"/>
                <w:bottom w:val="none" w:sz="0" w:space="0" w:color="auto"/>
                <w:right w:val="none" w:sz="0" w:space="0" w:color="auto"/>
              </w:divBdr>
            </w:div>
            <w:div w:id="1611625451">
              <w:marLeft w:val="0"/>
              <w:marRight w:val="0"/>
              <w:marTop w:val="0"/>
              <w:marBottom w:val="0"/>
              <w:divBdr>
                <w:top w:val="none" w:sz="0" w:space="0" w:color="auto"/>
                <w:left w:val="none" w:sz="0" w:space="0" w:color="auto"/>
                <w:bottom w:val="none" w:sz="0" w:space="0" w:color="auto"/>
                <w:right w:val="none" w:sz="0" w:space="0" w:color="auto"/>
              </w:divBdr>
            </w:div>
            <w:div w:id="1615598087">
              <w:marLeft w:val="0"/>
              <w:marRight w:val="0"/>
              <w:marTop w:val="0"/>
              <w:marBottom w:val="0"/>
              <w:divBdr>
                <w:top w:val="none" w:sz="0" w:space="0" w:color="auto"/>
                <w:left w:val="none" w:sz="0" w:space="0" w:color="auto"/>
                <w:bottom w:val="none" w:sz="0" w:space="0" w:color="auto"/>
                <w:right w:val="none" w:sz="0" w:space="0" w:color="auto"/>
              </w:divBdr>
            </w:div>
            <w:div w:id="1641613348">
              <w:marLeft w:val="0"/>
              <w:marRight w:val="0"/>
              <w:marTop w:val="0"/>
              <w:marBottom w:val="0"/>
              <w:divBdr>
                <w:top w:val="none" w:sz="0" w:space="0" w:color="auto"/>
                <w:left w:val="none" w:sz="0" w:space="0" w:color="auto"/>
                <w:bottom w:val="none" w:sz="0" w:space="0" w:color="auto"/>
                <w:right w:val="none" w:sz="0" w:space="0" w:color="auto"/>
              </w:divBdr>
            </w:div>
            <w:div w:id="1671253272">
              <w:marLeft w:val="0"/>
              <w:marRight w:val="0"/>
              <w:marTop w:val="0"/>
              <w:marBottom w:val="0"/>
              <w:divBdr>
                <w:top w:val="none" w:sz="0" w:space="0" w:color="auto"/>
                <w:left w:val="none" w:sz="0" w:space="0" w:color="auto"/>
                <w:bottom w:val="none" w:sz="0" w:space="0" w:color="auto"/>
                <w:right w:val="none" w:sz="0" w:space="0" w:color="auto"/>
              </w:divBdr>
            </w:div>
            <w:div w:id="1829396578">
              <w:marLeft w:val="0"/>
              <w:marRight w:val="0"/>
              <w:marTop w:val="0"/>
              <w:marBottom w:val="0"/>
              <w:divBdr>
                <w:top w:val="none" w:sz="0" w:space="0" w:color="auto"/>
                <w:left w:val="none" w:sz="0" w:space="0" w:color="auto"/>
                <w:bottom w:val="none" w:sz="0" w:space="0" w:color="auto"/>
                <w:right w:val="none" w:sz="0" w:space="0" w:color="auto"/>
              </w:divBdr>
            </w:div>
            <w:div w:id="1998652773">
              <w:marLeft w:val="0"/>
              <w:marRight w:val="0"/>
              <w:marTop w:val="0"/>
              <w:marBottom w:val="0"/>
              <w:divBdr>
                <w:top w:val="none" w:sz="0" w:space="0" w:color="auto"/>
                <w:left w:val="none" w:sz="0" w:space="0" w:color="auto"/>
                <w:bottom w:val="none" w:sz="0" w:space="0" w:color="auto"/>
                <w:right w:val="none" w:sz="0" w:space="0" w:color="auto"/>
              </w:divBdr>
            </w:div>
          </w:divsChild>
        </w:div>
        <w:div w:id="796143329">
          <w:marLeft w:val="0"/>
          <w:marRight w:val="0"/>
          <w:marTop w:val="0"/>
          <w:marBottom w:val="0"/>
          <w:divBdr>
            <w:top w:val="none" w:sz="0" w:space="0" w:color="auto"/>
            <w:left w:val="none" w:sz="0" w:space="0" w:color="auto"/>
            <w:bottom w:val="none" w:sz="0" w:space="0" w:color="auto"/>
            <w:right w:val="none" w:sz="0" w:space="0" w:color="auto"/>
          </w:divBdr>
          <w:divsChild>
            <w:div w:id="19748117">
              <w:marLeft w:val="0"/>
              <w:marRight w:val="0"/>
              <w:marTop w:val="0"/>
              <w:marBottom w:val="0"/>
              <w:divBdr>
                <w:top w:val="none" w:sz="0" w:space="0" w:color="auto"/>
                <w:left w:val="none" w:sz="0" w:space="0" w:color="auto"/>
                <w:bottom w:val="none" w:sz="0" w:space="0" w:color="auto"/>
                <w:right w:val="none" w:sz="0" w:space="0" w:color="auto"/>
              </w:divBdr>
            </w:div>
            <w:div w:id="58208728">
              <w:marLeft w:val="0"/>
              <w:marRight w:val="0"/>
              <w:marTop w:val="0"/>
              <w:marBottom w:val="0"/>
              <w:divBdr>
                <w:top w:val="none" w:sz="0" w:space="0" w:color="auto"/>
                <w:left w:val="none" w:sz="0" w:space="0" w:color="auto"/>
                <w:bottom w:val="none" w:sz="0" w:space="0" w:color="auto"/>
                <w:right w:val="none" w:sz="0" w:space="0" w:color="auto"/>
              </w:divBdr>
            </w:div>
            <w:div w:id="176313633">
              <w:marLeft w:val="0"/>
              <w:marRight w:val="0"/>
              <w:marTop w:val="0"/>
              <w:marBottom w:val="0"/>
              <w:divBdr>
                <w:top w:val="none" w:sz="0" w:space="0" w:color="auto"/>
                <w:left w:val="none" w:sz="0" w:space="0" w:color="auto"/>
                <w:bottom w:val="none" w:sz="0" w:space="0" w:color="auto"/>
                <w:right w:val="none" w:sz="0" w:space="0" w:color="auto"/>
              </w:divBdr>
            </w:div>
            <w:div w:id="559440808">
              <w:marLeft w:val="0"/>
              <w:marRight w:val="0"/>
              <w:marTop w:val="0"/>
              <w:marBottom w:val="0"/>
              <w:divBdr>
                <w:top w:val="none" w:sz="0" w:space="0" w:color="auto"/>
                <w:left w:val="none" w:sz="0" w:space="0" w:color="auto"/>
                <w:bottom w:val="none" w:sz="0" w:space="0" w:color="auto"/>
                <w:right w:val="none" w:sz="0" w:space="0" w:color="auto"/>
              </w:divBdr>
            </w:div>
            <w:div w:id="738093563">
              <w:marLeft w:val="0"/>
              <w:marRight w:val="0"/>
              <w:marTop w:val="0"/>
              <w:marBottom w:val="0"/>
              <w:divBdr>
                <w:top w:val="none" w:sz="0" w:space="0" w:color="auto"/>
                <w:left w:val="none" w:sz="0" w:space="0" w:color="auto"/>
                <w:bottom w:val="none" w:sz="0" w:space="0" w:color="auto"/>
                <w:right w:val="none" w:sz="0" w:space="0" w:color="auto"/>
              </w:divBdr>
            </w:div>
            <w:div w:id="851264665">
              <w:marLeft w:val="0"/>
              <w:marRight w:val="0"/>
              <w:marTop w:val="0"/>
              <w:marBottom w:val="0"/>
              <w:divBdr>
                <w:top w:val="none" w:sz="0" w:space="0" w:color="auto"/>
                <w:left w:val="none" w:sz="0" w:space="0" w:color="auto"/>
                <w:bottom w:val="none" w:sz="0" w:space="0" w:color="auto"/>
                <w:right w:val="none" w:sz="0" w:space="0" w:color="auto"/>
              </w:divBdr>
            </w:div>
            <w:div w:id="1154099614">
              <w:marLeft w:val="0"/>
              <w:marRight w:val="0"/>
              <w:marTop w:val="0"/>
              <w:marBottom w:val="0"/>
              <w:divBdr>
                <w:top w:val="none" w:sz="0" w:space="0" w:color="auto"/>
                <w:left w:val="none" w:sz="0" w:space="0" w:color="auto"/>
                <w:bottom w:val="none" w:sz="0" w:space="0" w:color="auto"/>
                <w:right w:val="none" w:sz="0" w:space="0" w:color="auto"/>
              </w:divBdr>
            </w:div>
            <w:div w:id="1262107165">
              <w:marLeft w:val="0"/>
              <w:marRight w:val="0"/>
              <w:marTop w:val="0"/>
              <w:marBottom w:val="0"/>
              <w:divBdr>
                <w:top w:val="none" w:sz="0" w:space="0" w:color="auto"/>
                <w:left w:val="none" w:sz="0" w:space="0" w:color="auto"/>
                <w:bottom w:val="none" w:sz="0" w:space="0" w:color="auto"/>
                <w:right w:val="none" w:sz="0" w:space="0" w:color="auto"/>
              </w:divBdr>
            </w:div>
            <w:div w:id="1288270658">
              <w:marLeft w:val="0"/>
              <w:marRight w:val="0"/>
              <w:marTop w:val="0"/>
              <w:marBottom w:val="0"/>
              <w:divBdr>
                <w:top w:val="none" w:sz="0" w:space="0" w:color="auto"/>
                <w:left w:val="none" w:sz="0" w:space="0" w:color="auto"/>
                <w:bottom w:val="none" w:sz="0" w:space="0" w:color="auto"/>
                <w:right w:val="none" w:sz="0" w:space="0" w:color="auto"/>
              </w:divBdr>
            </w:div>
            <w:div w:id="1432504514">
              <w:marLeft w:val="0"/>
              <w:marRight w:val="0"/>
              <w:marTop w:val="0"/>
              <w:marBottom w:val="0"/>
              <w:divBdr>
                <w:top w:val="none" w:sz="0" w:space="0" w:color="auto"/>
                <w:left w:val="none" w:sz="0" w:space="0" w:color="auto"/>
                <w:bottom w:val="none" w:sz="0" w:space="0" w:color="auto"/>
                <w:right w:val="none" w:sz="0" w:space="0" w:color="auto"/>
              </w:divBdr>
            </w:div>
            <w:div w:id="1539049349">
              <w:marLeft w:val="0"/>
              <w:marRight w:val="0"/>
              <w:marTop w:val="0"/>
              <w:marBottom w:val="0"/>
              <w:divBdr>
                <w:top w:val="none" w:sz="0" w:space="0" w:color="auto"/>
                <w:left w:val="none" w:sz="0" w:space="0" w:color="auto"/>
                <w:bottom w:val="none" w:sz="0" w:space="0" w:color="auto"/>
                <w:right w:val="none" w:sz="0" w:space="0" w:color="auto"/>
              </w:divBdr>
            </w:div>
            <w:div w:id="1566839037">
              <w:marLeft w:val="0"/>
              <w:marRight w:val="0"/>
              <w:marTop w:val="0"/>
              <w:marBottom w:val="0"/>
              <w:divBdr>
                <w:top w:val="none" w:sz="0" w:space="0" w:color="auto"/>
                <w:left w:val="none" w:sz="0" w:space="0" w:color="auto"/>
                <w:bottom w:val="none" w:sz="0" w:space="0" w:color="auto"/>
                <w:right w:val="none" w:sz="0" w:space="0" w:color="auto"/>
              </w:divBdr>
            </w:div>
            <w:div w:id="1653564261">
              <w:marLeft w:val="0"/>
              <w:marRight w:val="0"/>
              <w:marTop w:val="0"/>
              <w:marBottom w:val="0"/>
              <w:divBdr>
                <w:top w:val="none" w:sz="0" w:space="0" w:color="auto"/>
                <w:left w:val="none" w:sz="0" w:space="0" w:color="auto"/>
                <w:bottom w:val="none" w:sz="0" w:space="0" w:color="auto"/>
                <w:right w:val="none" w:sz="0" w:space="0" w:color="auto"/>
              </w:divBdr>
            </w:div>
            <w:div w:id="1683970673">
              <w:marLeft w:val="0"/>
              <w:marRight w:val="0"/>
              <w:marTop w:val="0"/>
              <w:marBottom w:val="0"/>
              <w:divBdr>
                <w:top w:val="none" w:sz="0" w:space="0" w:color="auto"/>
                <w:left w:val="none" w:sz="0" w:space="0" w:color="auto"/>
                <w:bottom w:val="none" w:sz="0" w:space="0" w:color="auto"/>
                <w:right w:val="none" w:sz="0" w:space="0" w:color="auto"/>
              </w:divBdr>
            </w:div>
            <w:div w:id="1711682766">
              <w:marLeft w:val="0"/>
              <w:marRight w:val="0"/>
              <w:marTop w:val="0"/>
              <w:marBottom w:val="0"/>
              <w:divBdr>
                <w:top w:val="none" w:sz="0" w:space="0" w:color="auto"/>
                <w:left w:val="none" w:sz="0" w:space="0" w:color="auto"/>
                <w:bottom w:val="none" w:sz="0" w:space="0" w:color="auto"/>
                <w:right w:val="none" w:sz="0" w:space="0" w:color="auto"/>
              </w:divBdr>
            </w:div>
            <w:div w:id="1733917711">
              <w:marLeft w:val="0"/>
              <w:marRight w:val="0"/>
              <w:marTop w:val="0"/>
              <w:marBottom w:val="0"/>
              <w:divBdr>
                <w:top w:val="none" w:sz="0" w:space="0" w:color="auto"/>
                <w:left w:val="none" w:sz="0" w:space="0" w:color="auto"/>
                <w:bottom w:val="none" w:sz="0" w:space="0" w:color="auto"/>
                <w:right w:val="none" w:sz="0" w:space="0" w:color="auto"/>
              </w:divBdr>
            </w:div>
            <w:div w:id="1908103919">
              <w:marLeft w:val="0"/>
              <w:marRight w:val="0"/>
              <w:marTop w:val="0"/>
              <w:marBottom w:val="0"/>
              <w:divBdr>
                <w:top w:val="none" w:sz="0" w:space="0" w:color="auto"/>
                <w:left w:val="none" w:sz="0" w:space="0" w:color="auto"/>
                <w:bottom w:val="none" w:sz="0" w:space="0" w:color="auto"/>
                <w:right w:val="none" w:sz="0" w:space="0" w:color="auto"/>
              </w:divBdr>
            </w:div>
            <w:div w:id="1952780108">
              <w:marLeft w:val="0"/>
              <w:marRight w:val="0"/>
              <w:marTop w:val="0"/>
              <w:marBottom w:val="0"/>
              <w:divBdr>
                <w:top w:val="none" w:sz="0" w:space="0" w:color="auto"/>
                <w:left w:val="none" w:sz="0" w:space="0" w:color="auto"/>
                <w:bottom w:val="none" w:sz="0" w:space="0" w:color="auto"/>
                <w:right w:val="none" w:sz="0" w:space="0" w:color="auto"/>
              </w:divBdr>
            </w:div>
            <w:div w:id="2023699325">
              <w:marLeft w:val="0"/>
              <w:marRight w:val="0"/>
              <w:marTop w:val="0"/>
              <w:marBottom w:val="0"/>
              <w:divBdr>
                <w:top w:val="none" w:sz="0" w:space="0" w:color="auto"/>
                <w:left w:val="none" w:sz="0" w:space="0" w:color="auto"/>
                <w:bottom w:val="none" w:sz="0" w:space="0" w:color="auto"/>
                <w:right w:val="none" w:sz="0" w:space="0" w:color="auto"/>
              </w:divBdr>
            </w:div>
            <w:div w:id="2147162817">
              <w:marLeft w:val="0"/>
              <w:marRight w:val="0"/>
              <w:marTop w:val="0"/>
              <w:marBottom w:val="0"/>
              <w:divBdr>
                <w:top w:val="none" w:sz="0" w:space="0" w:color="auto"/>
                <w:left w:val="none" w:sz="0" w:space="0" w:color="auto"/>
                <w:bottom w:val="none" w:sz="0" w:space="0" w:color="auto"/>
                <w:right w:val="none" w:sz="0" w:space="0" w:color="auto"/>
              </w:divBdr>
            </w:div>
          </w:divsChild>
        </w:div>
        <w:div w:id="930698225">
          <w:marLeft w:val="0"/>
          <w:marRight w:val="0"/>
          <w:marTop w:val="0"/>
          <w:marBottom w:val="0"/>
          <w:divBdr>
            <w:top w:val="none" w:sz="0" w:space="0" w:color="auto"/>
            <w:left w:val="none" w:sz="0" w:space="0" w:color="auto"/>
            <w:bottom w:val="none" w:sz="0" w:space="0" w:color="auto"/>
            <w:right w:val="none" w:sz="0" w:space="0" w:color="auto"/>
          </w:divBdr>
        </w:div>
        <w:div w:id="990600385">
          <w:marLeft w:val="0"/>
          <w:marRight w:val="0"/>
          <w:marTop w:val="0"/>
          <w:marBottom w:val="0"/>
          <w:divBdr>
            <w:top w:val="none" w:sz="0" w:space="0" w:color="auto"/>
            <w:left w:val="none" w:sz="0" w:space="0" w:color="auto"/>
            <w:bottom w:val="none" w:sz="0" w:space="0" w:color="auto"/>
            <w:right w:val="none" w:sz="0" w:space="0" w:color="auto"/>
          </w:divBdr>
          <w:divsChild>
            <w:div w:id="26568025">
              <w:marLeft w:val="0"/>
              <w:marRight w:val="0"/>
              <w:marTop w:val="0"/>
              <w:marBottom w:val="0"/>
              <w:divBdr>
                <w:top w:val="none" w:sz="0" w:space="0" w:color="auto"/>
                <w:left w:val="none" w:sz="0" w:space="0" w:color="auto"/>
                <w:bottom w:val="none" w:sz="0" w:space="0" w:color="auto"/>
                <w:right w:val="none" w:sz="0" w:space="0" w:color="auto"/>
              </w:divBdr>
            </w:div>
            <w:div w:id="125663611">
              <w:marLeft w:val="0"/>
              <w:marRight w:val="0"/>
              <w:marTop w:val="0"/>
              <w:marBottom w:val="0"/>
              <w:divBdr>
                <w:top w:val="none" w:sz="0" w:space="0" w:color="auto"/>
                <w:left w:val="none" w:sz="0" w:space="0" w:color="auto"/>
                <w:bottom w:val="none" w:sz="0" w:space="0" w:color="auto"/>
                <w:right w:val="none" w:sz="0" w:space="0" w:color="auto"/>
              </w:divBdr>
            </w:div>
            <w:div w:id="305013909">
              <w:marLeft w:val="0"/>
              <w:marRight w:val="0"/>
              <w:marTop w:val="0"/>
              <w:marBottom w:val="0"/>
              <w:divBdr>
                <w:top w:val="none" w:sz="0" w:space="0" w:color="auto"/>
                <w:left w:val="none" w:sz="0" w:space="0" w:color="auto"/>
                <w:bottom w:val="none" w:sz="0" w:space="0" w:color="auto"/>
                <w:right w:val="none" w:sz="0" w:space="0" w:color="auto"/>
              </w:divBdr>
            </w:div>
            <w:div w:id="402727856">
              <w:marLeft w:val="0"/>
              <w:marRight w:val="0"/>
              <w:marTop w:val="0"/>
              <w:marBottom w:val="0"/>
              <w:divBdr>
                <w:top w:val="none" w:sz="0" w:space="0" w:color="auto"/>
                <w:left w:val="none" w:sz="0" w:space="0" w:color="auto"/>
                <w:bottom w:val="none" w:sz="0" w:space="0" w:color="auto"/>
                <w:right w:val="none" w:sz="0" w:space="0" w:color="auto"/>
              </w:divBdr>
            </w:div>
            <w:div w:id="491258003">
              <w:marLeft w:val="0"/>
              <w:marRight w:val="0"/>
              <w:marTop w:val="0"/>
              <w:marBottom w:val="0"/>
              <w:divBdr>
                <w:top w:val="none" w:sz="0" w:space="0" w:color="auto"/>
                <w:left w:val="none" w:sz="0" w:space="0" w:color="auto"/>
                <w:bottom w:val="none" w:sz="0" w:space="0" w:color="auto"/>
                <w:right w:val="none" w:sz="0" w:space="0" w:color="auto"/>
              </w:divBdr>
            </w:div>
            <w:div w:id="733505377">
              <w:marLeft w:val="0"/>
              <w:marRight w:val="0"/>
              <w:marTop w:val="0"/>
              <w:marBottom w:val="0"/>
              <w:divBdr>
                <w:top w:val="none" w:sz="0" w:space="0" w:color="auto"/>
                <w:left w:val="none" w:sz="0" w:space="0" w:color="auto"/>
                <w:bottom w:val="none" w:sz="0" w:space="0" w:color="auto"/>
                <w:right w:val="none" w:sz="0" w:space="0" w:color="auto"/>
              </w:divBdr>
            </w:div>
            <w:div w:id="834298782">
              <w:marLeft w:val="0"/>
              <w:marRight w:val="0"/>
              <w:marTop w:val="0"/>
              <w:marBottom w:val="0"/>
              <w:divBdr>
                <w:top w:val="none" w:sz="0" w:space="0" w:color="auto"/>
                <w:left w:val="none" w:sz="0" w:space="0" w:color="auto"/>
                <w:bottom w:val="none" w:sz="0" w:space="0" w:color="auto"/>
                <w:right w:val="none" w:sz="0" w:space="0" w:color="auto"/>
              </w:divBdr>
            </w:div>
            <w:div w:id="838424587">
              <w:marLeft w:val="0"/>
              <w:marRight w:val="0"/>
              <w:marTop w:val="0"/>
              <w:marBottom w:val="0"/>
              <w:divBdr>
                <w:top w:val="none" w:sz="0" w:space="0" w:color="auto"/>
                <w:left w:val="none" w:sz="0" w:space="0" w:color="auto"/>
                <w:bottom w:val="none" w:sz="0" w:space="0" w:color="auto"/>
                <w:right w:val="none" w:sz="0" w:space="0" w:color="auto"/>
              </w:divBdr>
            </w:div>
            <w:div w:id="1040786513">
              <w:marLeft w:val="0"/>
              <w:marRight w:val="0"/>
              <w:marTop w:val="0"/>
              <w:marBottom w:val="0"/>
              <w:divBdr>
                <w:top w:val="none" w:sz="0" w:space="0" w:color="auto"/>
                <w:left w:val="none" w:sz="0" w:space="0" w:color="auto"/>
                <w:bottom w:val="none" w:sz="0" w:space="0" w:color="auto"/>
                <w:right w:val="none" w:sz="0" w:space="0" w:color="auto"/>
              </w:divBdr>
            </w:div>
            <w:div w:id="1045327939">
              <w:marLeft w:val="0"/>
              <w:marRight w:val="0"/>
              <w:marTop w:val="0"/>
              <w:marBottom w:val="0"/>
              <w:divBdr>
                <w:top w:val="none" w:sz="0" w:space="0" w:color="auto"/>
                <w:left w:val="none" w:sz="0" w:space="0" w:color="auto"/>
                <w:bottom w:val="none" w:sz="0" w:space="0" w:color="auto"/>
                <w:right w:val="none" w:sz="0" w:space="0" w:color="auto"/>
              </w:divBdr>
            </w:div>
            <w:div w:id="1194002505">
              <w:marLeft w:val="0"/>
              <w:marRight w:val="0"/>
              <w:marTop w:val="0"/>
              <w:marBottom w:val="0"/>
              <w:divBdr>
                <w:top w:val="none" w:sz="0" w:space="0" w:color="auto"/>
                <w:left w:val="none" w:sz="0" w:space="0" w:color="auto"/>
                <w:bottom w:val="none" w:sz="0" w:space="0" w:color="auto"/>
                <w:right w:val="none" w:sz="0" w:space="0" w:color="auto"/>
              </w:divBdr>
            </w:div>
            <w:div w:id="1291130990">
              <w:marLeft w:val="0"/>
              <w:marRight w:val="0"/>
              <w:marTop w:val="0"/>
              <w:marBottom w:val="0"/>
              <w:divBdr>
                <w:top w:val="none" w:sz="0" w:space="0" w:color="auto"/>
                <w:left w:val="none" w:sz="0" w:space="0" w:color="auto"/>
                <w:bottom w:val="none" w:sz="0" w:space="0" w:color="auto"/>
                <w:right w:val="none" w:sz="0" w:space="0" w:color="auto"/>
              </w:divBdr>
            </w:div>
            <w:div w:id="1383141262">
              <w:marLeft w:val="0"/>
              <w:marRight w:val="0"/>
              <w:marTop w:val="0"/>
              <w:marBottom w:val="0"/>
              <w:divBdr>
                <w:top w:val="none" w:sz="0" w:space="0" w:color="auto"/>
                <w:left w:val="none" w:sz="0" w:space="0" w:color="auto"/>
                <w:bottom w:val="none" w:sz="0" w:space="0" w:color="auto"/>
                <w:right w:val="none" w:sz="0" w:space="0" w:color="auto"/>
              </w:divBdr>
            </w:div>
            <w:div w:id="1401444863">
              <w:marLeft w:val="0"/>
              <w:marRight w:val="0"/>
              <w:marTop w:val="0"/>
              <w:marBottom w:val="0"/>
              <w:divBdr>
                <w:top w:val="none" w:sz="0" w:space="0" w:color="auto"/>
                <w:left w:val="none" w:sz="0" w:space="0" w:color="auto"/>
                <w:bottom w:val="none" w:sz="0" w:space="0" w:color="auto"/>
                <w:right w:val="none" w:sz="0" w:space="0" w:color="auto"/>
              </w:divBdr>
            </w:div>
            <w:div w:id="1502352018">
              <w:marLeft w:val="0"/>
              <w:marRight w:val="0"/>
              <w:marTop w:val="0"/>
              <w:marBottom w:val="0"/>
              <w:divBdr>
                <w:top w:val="none" w:sz="0" w:space="0" w:color="auto"/>
                <w:left w:val="none" w:sz="0" w:space="0" w:color="auto"/>
                <w:bottom w:val="none" w:sz="0" w:space="0" w:color="auto"/>
                <w:right w:val="none" w:sz="0" w:space="0" w:color="auto"/>
              </w:divBdr>
            </w:div>
            <w:div w:id="1599754710">
              <w:marLeft w:val="0"/>
              <w:marRight w:val="0"/>
              <w:marTop w:val="0"/>
              <w:marBottom w:val="0"/>
              <w:divBdr>
                <w:top w:val="none" w:sz="0" w:space="0" w:color="auto"/>
                <w:left w:val="none" w:sz="0" w:space="0" w:color="auto"/>
                <w:bottom w:val="none" w:sz="0" w:space="0" w:color="auto"/>
                <w:right w:val="none" w:sz="0" w:space="0" w:color="auto"/>
              </w:divBdr>
            </w:div>
            <w:div w:id="1748770168">
              <w:marLeft w:val="0"/>
              <w:marRight w:val="0"/>
              <w:marTop w:val="0"/>
              <w:marBottom w:val="0"/>
              <w:divBdr>
                <w:top w:val="none" w:sz="0" w:space="0" w:color="auto"/>
                <w:left w:val="none" w:sz="0" w:space="0" w:color="auto"/>
                <w:bottom w:val="none" w:sz="0" w:space="0" w:color="auto"/>
                <w:right w:val="none" w:sz="0" w:space="0" w:color="auto"/>
              </w:divBdr>
            </w:div>
            <w:div w:id="1828008071">
              <w:marLeft w:val="0"/>
              <w:marRight w:val="0"/>
              <w:marTop w:val="0"/>
              <w:marBottom w:val="0"/>
              <w:divBdr>
                <w:top w:val="none" w:sz="0" w:space="0" w:color="auto"/>
                <w:left w:val="none" w:sz="0" w:space="0" w:color="auto"/>
                <w:bottom w:val="none" w:sz="0" w:space="0" w:color="auto"/>
                <w:right w:val="none" w:sz="0" w:space="0" w:color="auto"/>
              </w:divBdr>
            </w:div>
            <w:div w:id="1844081137">
              <w:marLeft w:val="0"/>
              <w:marRight w:val="0"/>
              <w:marTop w:val="0"/>
              <w:marBottom w:val="0"/>
              <w:divBdr>
                <w:top w:val="none" w:sz="0" w:space="0" w:color="auto"/>
                <w:left w:val="none" w:sz="0" w:space="0" w:color="auto"/>
                <w:bottom w:val="none" w:sz="0" w:space="0" w:color="auto"/>
                <w:right w:val="none" w:sz="0" w:space="0" w:color="auto"/>
              </w:divBdr>
            </w:div>
            <w:div w:id="1988630613">
              <w:marLeft w:val="0"/>
              <w:marRight w:val="0"/>
              <w:marTop w:val="0"/>
              <w:marBottom w:val="0"/>
              <w:divBdr>
                <w:top w:val="none" w:sz="0" w:space="0" w:color="auto"/>
                <w:left w:val="none" w:sz="0" w:space="0" w:color="auto"/>
                <w:bottom w:val="none" w:sz="0" w:space="0" w:color="auto"/>
                <w:right w:val="none" w:sz="0" w:space="0" w:color="auto"/>
              </w:divBdr>
            </w:div>
          </w:divsChild>
        </w:div>
        <w:div w:id="1035349192">
          <w:marLeft w:val="0"/>
          <w:marRight w:val="0"/>
          <w:marTop w:val="0"/>
          <w:marBottom w:val="0"/>
          <w:divBdr>
            <w:top w:val="none" w:sz="0" w:space="0" w:color="auto"/>
            <w:left w:val="none" w:sz="0" w:space="0" w:color="auto"/>
            <w:bottom w:val="none" w:sz="0" w:space="0" w:color="auto"/>
            <w:right w:val="none" w:sz="0" w:space="0" w:color="auto"/>
          </w:divBdr>
          <w:divsChild>
            <w:div w:id="32200026">
              <w:marLeft w:val="0"/>
              <w:marRight w:val="0"/>
              <w:marTop w:val="0"/>
              <w:marBottom w:val="0"/>
              <w:divBdr>
                <w:top w:val="none" w:sz="0" w:space="0" w:color="auto"/>
                <w:left w:val="none" w:sz="0" w:space="0" w:color="auto"/>
                <w:bottom w:val="none" w:sz="0" w:space="0" w:color="auto"/>
                <w:right w:val="none" w:sz="0" w:space="0" w:color="auto"/>
              </w:divBdr>
            </w:div>
            <w:div w:id="265815429">
              <w:marLeft w:val="0"/>
              <w:marRight w:val="0"/>
              <w:marTop w:val="0"/>
              <w:marBottom w:val="0"/>
              <w:divBdr>
                <w:top w:val="none" w:sz="0" w:space="0" w:color="auto"/>
                <w:left w:val="none" w:sz="0" w:space="0" w:color="auto"/>
                <w:bottom w:val="none" w:sz="0" w:space="0" w:color="auto"/>
                <w:right w:val="none" w:sz="0" w:space="0" w:color="auto"/>
              </w:divBdr>
            </w:div>
            <w:div w:id="326446993">
              <w:marLeft w:val="0"/>
              <w:marRight w:val="0"/>
              <w:marTop w:val="0"/>
              <w:marBottom w:val="0"/>
              <w:divBdr>
                <w:top w:val="none" w:sz="0" w:space="0" w:color="auto"/>
                <w:left w:val="none" w:sz="0" w:space="0" w:color="auto"/>
                <w:bottom w:val="none" w:sz="0" w:space="0" w:color="auto"/>
                <w:right w:val="none" w:sz="0" w:space="0" w:color="auto"/>
              </w:divBdr>
            </w:div>
            <w:div w:id="343897478">
              <w:marLeft w:val="0"/>
              <w:marRight w:val="0"/>
              <w:marTop w:val="0"/>
              <w:marBottom w:val="0"/>
              <w:divBdr>
                <w:top w:val="none" w:sz="0" w:space="0" w:color="auto"/>
                <w:left w:val="none" w:sz="0" w:space="0" w:color="auto"/>
                <w:bottom w:val="none" w:sz="0" w:space="0" w:color="auto"/>
                <w:right w:val="none" w:sz="0" w:space="0" w:color="auto"/>
              </w:divBdr>
            </w:div>
            <w:div w:id="447165139">
              <w:marLeft w:val="0"/>
              <w:marRight w:val="0"/>
              <w:marTop w:val="0"/>
              <w:marBottom w:val="0"/>
              <w:divBdr>
                <w:top w:val="none" w:sz="0" w:space="0" w:color="auto"/>
                <w:left w:val="none" w:sz="0" w:space="0" w:color="auto"/>
                <w:bottom w:val="none" w:sz="0" w:space="0" w:color="auto"/>
                <w:right w:val="none" w:sz="0" w:space="0" w:color="auto"/>
              </w:divBdr>
            </w:div>
            <w:div w:id="727649063">
              <w:marLeft w:val="0"/>
              <w:marRight w:val="0"/>
              <w:marTop w:val="0"/>
              <w:marBottom w:val="0"/>
              <w:divBdr>
                <w:top w:val="none" w:sz="0" w:space="0" w:color="auto"/>
                <w:left w:val="none" w:sz="0" w:space="0" w:color="auto"/>
                <w:bottom w:val="none" w:sz="0" w:space="0" w:color="auto"/>
                <w:right w:val="none" w:sz="0" w:space="0" w:color="auto"/>
              </w:divBdr>
            </w:div>
            <w:div w:id="762074770">
              <w:marLeft w:val="0"/>
              <w:marRight w:val="0"/>
              <w:marTop w:val="0"/>
              <w:marBottom w:val="0"/>
              <w:divBdr>
                <w:top w:val="none" w:sz="0" w:space="0" w:color="auto"/>
                <w:left w:val="none" w:sz="0" w:space="0" w:color="auto"/>
                <w:bottom w:val="none" w:sz="0" w:space="0" w:color="auto"/>
                <w:right w:val="none" w:sz="0" w:space="0" w:color="auto"/>
              </w:divBdr>
            </w:div>
            <w:div w:id="888684838">
              <w:marLeft w:val="0"/>
              <w:marRight w:val="0"/>
              <w:marTop w:val="0"/>
              <w:marBottom w:val="0"/>
              <w:divBdr>
                <w:top w:val="none" w:sz="0" w:space="0" w:color="auto"/>
                <w:left w:val="none" w:sz="0" w:space="0" w:color="auto"/>
                <w:bottom w:val="none" w:sz="0" w:space="0" w:color="auto"/>
                <w:right w:val="none" w:sz="0" w:space="0" w:color="auto"/>
              </w:divBdr>
            </w:div>
            <w:div w:id="919103334">
              <w:marLeft w:val="0"/>
              <w:marRight w:val="0"/>
              <w:marTop w:val="0"/>
              <w:marBottom w:val="0"/>
              <w:divBdr>
                <w:top w:val="none" w:sz="0" w:space="0" w:color="auto"/>
                <w:left w:val="none" w:sz="0" w:space="0" w:color="auto"/>
                <w:bottom w:val="none" w:sz="0" w:space="0" w:color="auto"/>
                <w:right w:val="none" w:sz="0" w:space="0" w:color="auto"/>
              </w:divBdr>
            </w:div>
            <w:div w:id="1047604780">
              <w:marLeft w:val="0"/>
              <w:marRight w:val="0"/>
              <w:marTop w:val="0"/>
              <w:marBottom w:val="0"/>
              <w:divBdr>
                <w:top w:val="none" w:sz="0" w:space="0" w:color="auto"/>
                <w:left w:val="none" w:sz="0" w:space="0" w:color="auto"/>
                <w:bottom w:val="none" w:sz="0" w:space="0" w:color="auto"/>
                <w:right w:val="none" w:sz="0" w:space="0" w:color="auto"/>
              </w:divBdr>
            </w:div>
            <w:div w:id="1158577362">
              <w:marLeft w:val="0"/>
              <w:marRight w:val="0"/>
              <w:marTop w:val="0"/>
              <w:marBottom w:val="0"/>
              <w:divBdr>
                <w:top w:val="none" w:sz="0" w:space="0" w:color="auto"/>
                <w:left w:val="none" w:sz="0" w:space="0" w:color="auto"/>
                <w:bottom w:val="none" w:sz="0" w:space="0" w:color="auto"/>
                <w:right w:val="none" w:sz="0" w:space="0" w:color="auto"/>
              </w:divBdr>
            </w:div>
            <w:div w:id="1573462079">
              <w:marLeft w:val="0"/>
              <w:marRight w:val="0"/>
              <w:marTop w:val="0"/>
              <w:marBottom w:val="0"/>
              <w:divBdr>
                <w:top w:val="none" w:sz="0" w:space="0" w:color="auto"/>
                <w:left w:val="none" w:sz="0" w:space="0" w:color="auto"/>
                <w:bottom w:val="none" w:sz="0" w:space="0" w:color="auto"/>
                <w:right w:val="none" w:sz="0" w:space="0" w:color="auto"/>
              </w:divBdr>
            </w:div>
            <w:div w:id="1588152341">
              <w:marLeft w:val="0"/>
              <w:marRight w:val="0"/>
              <w:marTop w:val="0"/>
              <w:marBottom w:val="0"/>
              <w:divBdr>
                <w:top w:val="none" w:sz="0" w:space="0" w:color="auto"/>
                <w:left w:val="none" w:sz="0" w:space="0" w:color="auto"/>
                <w:bottom w:val="none" w:sz="0" w:space="0" w:color="auto"/>
                <w:right w:val="none" w:sz="0" w:space="0" w:color="auto"/>
              </w:divBdr>
            </w:div>
            <w:div w:id="1671718505">
              <w:marLeft w:val="0"/>
              <w:marRight w:val="0"/>
              <w:marTop w:val="0"/>
              <w:marBottom w:val="0"/>
              <w:divBdr>
                <w:top w:val="none" w:sz="0" w:space="0" w:color="auto"/>
                <w:left w:val="none" w:sz="0" w:space="0" w:color="auto"/>
                <w:bottom w:val="none" w:sz="0" w:space="0" w:color="auto"/>
                <w:right w:val="none" w:sz="0" w:space="0" w:color="auto"/>
              </w:divBdr>
            </w:div>
            <w:div w:id="1740594939">
              <w:marLeft w:val="0"/>
              <w:marRight w:val="0"/>
              <w:marTop w:val="0"/>
              <w:marBottom w:val="0"/>
              <w:divBdr>
                <w:top w:val="none" w:sz="0" w:space="0" w:color="auto"/>
                <w:left w:val="none" w:sz="0" w:space="0" w:color="auto"/>
                <w:bottom w:val="none" w:sz="0" w:space="0" w:color="auto"/>
                <w:right w:val="none" w:sz="0" w:space="0" w:color="auto"/>
              </w:divBdr>
            </w:div>
            <w:div w:id="1917780693">
              <w:marLeft w:val="0"/>
              <w:marRight w:val="0"/>
              <w:marTop w:val="0"/>
              <w:marBottom w:val="0"/>
              <w:divBdr>
                <w:top w:val="none" w:sz="0" w:space="0" w:color="auto"/>
                <w:left w:val="none" w:sz="0" w:space="0" w:color="auto"/>
                <w:bottom w:val="none" w:sz="0" w:space="0" w:color="auto"/>
                <w:right w:val="none" w:sz="0" w:space="0" w:color="auto"/>
              </w:divBdr>
            </w:div>
            <w:div w:id="1918393638">
              <w:marLeft w:val="0"/>
              <w:marRight w:val="0"/>
              <w:marTop w:val="0"/>
              <w:marBottom w:val="0"/>
              <w:divBdr>
                <w:top w:val="none" w:sz="0" w:space="0" w:color="auto"/>
                <w:left w:val="none" w:sz="0" w:space="0" w:color="auto"/>
                <w:bottom w:val="none" w:sz="0" w:space="0" w:color="auto"/>
                <w:right w:val="none" w:sz="0" w:space="0" w:color="auto"/>
              </w:divBdr>
            </w:div>
            <w:div w:id="1940671327">
              <w:marLeft w:val="0"/>
              <w:marRight w:val="0"/>
              <w:marTop w:val="0"/>
              <w:marBottom w:val="0"/>
              <w:divBdr>
                <w:top w:val="none" w:sz="0" w:space="0" w:color="auto"/>
                <w:left w:val="none" w:sz="0" w:space="0" w:color="auto"/>
                <w:bottom w:val="none" w:sz="0" w:space="0" w:color="auto"/>
                <w:right w:val="none" w:sz="0" w:space="0" w:color="auto"/>
              </w:divBdr>
            </w:div>
            <w:div w:id="2029133343">
              <w:marLeft w:val="0"/>
              <w:marRight w:val="0"/>
              <w:marTop w:val="0"/>
              <w:marBottom w:val="0"/>
              <w:divBdr>
                <w:top w:val="none" w:sz="0" w:space="0" w:color="auto"/>
                <w:left w:val="none" w:sz="0" w:space="0" w:color="auto"/>
                <w:bottom w:val="none" w:sz="0" w:space="0" w:color="auto"/>
                <w:right w:val="none" w:sz="0" w:space="0" w:color="auto"/>
              </w:divBdr>
            </w:div>
            <w:div w:id="2139371215">
              <w:marLeft w:val="0"/>
              <w:marRight w:val="0"/>
              <w:marTop w:val="0"/>
              <w:marBottom w:val="0"/>
              <w:divBdr>
                <w:top w:val="none" w:sz="0" w:space="0" w:color="auto"/>
                <w:left w:val="none" w:sz="0" w:space="0" w:color="auto"/>
                <w:bottom w:val="none" w:sz="0" w:space="0" w:color="auto"/>
                <w:right w:val="none" w:sz="0" w:space="0" w:color="auto"/>
              </w:divBdr>
            </w:div>
          </w:divsChild>
        </w:div>
        <w:div w:id="1099330208">
          <w:marLeft w:val="0"/>
          <w:marRight w:val="0"/>
          <w:marTop w:val="0"/>
          <w:marBottom w:val="0"/>
          <w:divBdr>
            <w:top w:val="none" w:sz="0" w:space="0" w:color="auto"/>
            <w:left w:val="none" w:sz="0" w:space="0" w:color="auto"/>
            <w:bottom w:val="none" w:sz="0" w:space="0" w:color="auto"/>
            <w:right w:val="none" w:sz="0" w:space="0" w:color="auto"/>
          </w:divBdr>
          <w:divsChild>
            <w:div w:id="10646246">
              <w:marLeft w:val="0"/>
              <w:marRight w:val="0"/>
              <w:marTop w:val="0"/>
              <w:marBottom w:val="0"/>
              <w:divBdr>
                <w:top w:val="none" w:sz="0" w:space="0" w:color="auto"/>
                <w:left w:val="none" w:sz="0" w:space="0" w:color="auto"/>
                <w:bottom w:val="none" w:sz="0" w:space="0" w:color="auto"/>
                <w:right w:val="none" w:sz="0" w:space="0" w:color="auto"/>
              </w:divBdr>
            </w:div>
            <w:div w:id="25915838">
              <w:marLeft w:val="0"/>
              <w:marRight w:val="0"/>
              <w:marTop w:val="0"/>
              <w:marBottom w:val="0"/>
              <w:divBdr>
                <w:top w:val="none" w:sz="0" w:space="0" w:color="auto"/>
                <w:left w:val="none" w:sz="0" w:space="0" w:color="auto"/>
                <w:bottom w:val="none" w:sz="0" w:space="0" w:color="auto"/>
                <w:right w:val="none" w:sz="0" w:space="0" w:color="auto"/>
              </w:divBdr>
            </w:div>
            <w:div w:id="144204881">
              <w:marLeft w:val="0"/>
              <w:marRight w:val="0"/>
              <w:marTop w:val="0"/>
              <w:marBottom w:val="0"/>
              <w:divBdr>
                <w:top w:val="none" w:sz="0" w:space="0" w:color="auto"/>
                <w:left w:val="none" w:sz="0" w:space="0" w:color="auto"/>
                <w:bottom w:val="none" w:sz="0" w:space="0" w:color="auto"/>
                <w:right w:val="none" w:sz="0" w:space="0" w:color="auto"/>
              </w:divBdr>
            </w:div>
            <w:div w:id="266545532">
              <w:marLeft w:val="0"/>
              <w:marRight w:val="0"/>
              <w:marTop w:val="0"/>
              <w:marBottom w:val="0"/>
              <w:divBdr>
                <w:top w:val="none" w:sz="0" w:space="0" w:color="auto"/>
                <w:left w:val="none" w:sz="0" w:space="0" w:color="auto"/>
                <w:bottom w:val="none" w:sz="0" w:space="0" w:color="auto"/>
                <w:right w:val="none" w:sz="0" w:space="0" w:color="auto"/>
              </w:divBdr>
            </w:div>
            <w:div w:id="308829349">
              <w:marLeft w:val="0"/>
              <w:marRight w:val="0"/>
              <w:marTop w:val="0"/>
              <w:marBottom w:val="0"/>
              <w:divBdr>
                <w:top w:val="none" w:sz="0" w:space="0" w:color="auto"/>
                <w:left w:val="none" w:sz="0" w:space="0" w:color="auto"/>
                <w:bottom w:val="none" w:sz="0" w:space="0" w:color="auto"/>
                <w:right w:val="none" w:sz="0" w:space="0" w:color="auto"/>
              </w:divBdr>
            </w:div>
            <w:div w:id="421075773">
              <w:marLeft w:val="0"/>
              <w:marRight w:val="0"/>
              <w:marTop w:val="0"/>
              <w:marBottom w:val="0"/>
              <w:divBdr>
                <w:top w:val="none" w:sz="0" w:space="0" w:color="auto"/>
                <w:left w:val="none" w:sz="0" w:space="0" w:color="auto"/>
                <w:bottom w:val="none" w:sz="0" w:space="0" w:color="auto"/>
                <w:right w:val="none" w:sz="0" w:space="0" w:color="auto"/>
              </w:divBdr>
            </w:div>
            <w:div w:id="518390540">
              <w:marLeft w:val="0"/>
              <w:marRight w:val="0"/>
              <w:marTop w:val="0"/>
              <w:marBottom w:val="0"/>
              <w:divBdr>
                <w:top w:val="none" w:sz="0" w:space="0" w:color="auto"/>
                <w:left w:val="none" w:sz="0" w:space="0" w:color="auto"/>
                <w:bottom w:val="none" w:sz="0" w:space="0" w:color="auto"/>
                <w:right w:val="none" w:sz="0" w:space="0" w:color="auto"/>
              </w:divBdr>
            </w:div>
            <w:div w:id="533807834">
              <w:marLeft w:val="0"/>
              <w:marRight w:val="0"/>
              <w:marTop w:val="0"/>
              <w:marBottom w:val="0"/>
              <w:divBdr>
                <w:top w:val="none" w:sz="0" w:space="0" w:color="auto"/>
                <w:left w:val="none" w:sz="0" w:space="0" w:color="auto"/>
                <w:bottom w:val="none" w:sz="0" w:space="0" w:color="auto"/>
                <w:right w:val="none" w:sz="0" w:space="0" w:color="auto"/>
              </w:divBdr>
            </w:div>
            <w:div w:id="716859551">
              <w:marLeft w:val="0"/>
              <w:marRight w:val="0"/>
              <w:marTop w:val="0"/>
              <w:marBottom w:val="0"/>
              <w:divBdr>
                <w:top w:val="none" w:sz="0" w:space="0" w:color="auto"/>
                <w:left w:val="none" w:sz="0" w:space="0" w:color="auto"/>
                <w:bottom w:val="none" w:sz="0" w:space="0" w:color="auto"/>
                <w:right w:val="none" w:sz="0" w:space="0" w:color="auto"/>
              </w:divBdr>
            </w:div>
            <w:div w:id="763771316">
              <w:marLeft w:val="0"/>
              <w:marRight w:val="0"/>
              <w:marTop w:val="0"/>
              <w:marBottom w:val="0"/>
              <w:divBdr>
                <w:top w:val="none" w:sz="0" w:space="0" w:color="auto"/>
                <w:left w:val="none" w:sz="0" w:space="0" w:color="auto"/>
                <w:bottom w:val="none" w:sz="0" w:space="0" w:color="auto"/>
                <w:right w:val="none" w:sz="0" w:space="0" w:color="auto"/>
              </w:divBdr>
            </w:div>
            <w:div w:id="909775453">
              <w:marLeft w:val="0"/>
              <w:marRight w:val="0"/>
              <w:marTop w:val="0"/>
              <w:marBottom w:val="0"/>
              <w:divBdr>
                <w:top w:val="none" w:sz="0" w:space="0" w:color="auto"/>
                <w:left w:val="none" w:sz="0" w:space="0" w:color="auto"/>
                <w:bottom w:val="none" w:sz="0" w:space="0" w:color="auto"/>
                <w:right w:val="none" w:sz="0" w:space="0" w:color="auto"/>
              </w:divBdr>
            </w:div>
            <w:div w:id="1043602628">
              <w:marLeft w:val="0"/>
              <w:marRight w:val="0"/>
              <w:marTop w:val="0"/>
              <w:marBottom w:val="0"/>
              <w:divBdr>
                <w:top w:val="none" w:sz="0" w:space="0" w:color="auto"/>
                <w:left w:val="none" w:sz="0" w:space="0" w:color="auto"/>
                <w:bottom w:val="none" w:sz="0" w:space="0" w:color="auto"/>
                <w:right w:val="none" w:sz="0" w:space="0" w:color="auto"/>
              </w:divBdr>
            </w:div>
            <w:div w:id="1048379452">
              <w:marLeft w:val="0"/>
              <w:marRight w:val="0"/>
              <w:marTop w:val="0"/>
              <w:marBottom w:val="0"/>
              <w:divBdr>
                <w:top w:val="none" w:sz="0" w:space="0" w:color="auto"/>
                <w:left w:val="none" w:sz="0" w:space="0" w:color="auto"/>
                <w:bottom w:val="none" w:sz="0" w:space="0" w:color="auto"/>
                <w:right w:val="none" w:sz="0" w:space="0" w:color="auto"/>
              </w:divBdr>
            </w:div>
            <w:div w:id="1321734558">
              <w:marLeft w:val="0"/>
              <w:marRight w:val="0"/>
              <w:marTop w:val="0"/>
              <w:marBottom w:val="0"/>
              <w:divBdr>
                <w:top w:val="none" w:sz="0" w:space="0" w:color="auto"/>
                <w:left w:val="none" w:sz="0" w:space="0" w:color="auto"/>
                <w:bottom w:val="none" w:sz="0" w:space="0" w:color="auto"/>
                <w:right w:val="none" w:sz="0" w:space="0" w:color="auto"/>
              </w:divBdr>
            </w:div>
            <w:div w:id="1425227339">
              <w:marLeft w:val="0"/>
              <w:marRight w:val="0"/>
              <w:marTop w:val="0"/>
              <w:marBottom w:val="0"/>
              <w:divBdr>
                <w:top w:val="none" w:sz="0" w:space="0" w:color="auto"/>
                <w:left w:val="none" w:sz="0" w:space="0" w:color="auto"/>
                <w:bottom w:val="none" w:sz="0" w:space="0" w:color="auto"/>
                <w:right w:val="none" w:sz="0" w:space="0" w:color="auto"/>
              </w:divBdr>
            </w:div>
            <w:div w:id="1710255142">
              <w:marLeft w:val="0"/>
              <w:marRight w:val="0"/>
              <w:marTop w:val="0"/>
              <w:marBottom w:val="0"/>
              <w:divBdr>
                <w:top w:val="none" w:sz="0" w:space="0" w:color="auto"/>
                <w:left w:val="none" w:sz="0" w:space="0" w:color="auto"/>
                <w:bottom w:val="none" w:sz="0" w:space="0" w:color="auto"/>
                <w:right w:val="none" w:sz="0" w:space="0" w:color="auto"/>
              </w:divBdr>
            </w:div>
            <w:div w:id="1748915368">
              <w:marLeft w:val="0"/>
              <w:marRight w:val="0"/>
              <w:marTop w:val="0"/>
              <w:marBottom w:val="0"/>
              <w:divBdr>
                <w:top w:val="none" w:sz="0" w:space="0" w:color="auto"/>
                <w:left w:val="none" w:sz="0" w:space="0" w:color="auto"/>
                <w:bottom w:val="none" w:sz="0" w:space="0" w:color="auto"/>
                <w:right w:val="none" w:sz="0" w:space="0" w:color="auto"/>
              </w:divBdr>
            </w:div>
            <w:div w:id="1827089128">
              <w:marLeft w:val="0"/>
              <w:marRight w:val="0"/>
              <w:marTop w:val="0"/>
              <w:marBottom w:val="0"/>
              <w:divBdr>
                <w:top w:val="none" w:sz="0" w:space="0" w:color="auto"/>
                <w:left w:val="none" w:sz="0" w:space="0" w:color="auto"/>
                <w:bottom w:val="none" w:sz="0" w:space="0" w:color="auto"/>
                <w:right w:val="none" w:sz="0" w:space="0" w:color="auto"/>
              </w:divBdr>
            </w:div>
            <w:div w:id="2055695412">
              <w:marLeft w:val="0"/>
              <w:marRight w:val="0"/>
              <w:marTop w:val="0"/>
              <w:marBottom w:val="0"/>
              <w:divBdr>
                <w:top w:val="none" w:sz="0" w:space="0" w:color="auto"/>
                <w:left w:val="none" w:sz="0" w:space="0" w:color="auto"/>
                <w:bottom w:val="none" w:sz="0" w:space="0" w:color="auto"/>
                <w:right w:val="none" w:sz="0" w:space="0" w:color="auto"/>
              </w:divBdr>
            </w:div>
            <w:div w:id="2106030900">
              <w:marLeft w:val="0"/>
              <w:marRight w:val="0"/>
              <w:marTop w:val="0"/>
              <w:marBottom w:val="0"/>
              <w:divBdr>
                <w:top w:val="none" w:sz="0" w:space="0" w:color="auto"/>
                <w:left w:val="none" w:sz="0" w:space="0" w:color="auto"/>
                <w:bottom w:val="none" w:sz="0" w:space="0" w:color="auto"/>
                <w:right w:val="none" w:sz="0" w:space="0" w:color="auto"/>
              </w:divBdr>
            </w:div>
          </w:divsChild>
        </w:div>
        <w:div w:id="1111895577">
          <w:marLeft w:val="0"/>
          <w:marRight w:val="0"/>
          <w:marTop w:val="0"/>
          <w:marBottom w:val="0"/>
          <w:divBdr>
            <w:top w:val="none" w:sz="0" w:space="0" w:color="auto"/>
            <w:left w:val="none" w:sz="0" w:space="0" w:color="auto"/>
            <w:bottom w:val="none" w:sz="0" w:space="0" w:color="auto"/>
            <w:right w:val="none" w:sz="0" w:space="0" w:color="auto"/>
          </w:divBdr>
          <w:divsChild>
            <w:div w:id="4988270">
              <w:marLeft w:val="0"/>
              <w:marRight w:val="0"/>
              <w:marTop w:val="0"/>
              <w:marBottom w:val="0"/>
              <w:divBdr>
                <w:top w:val="none" w:sz="0" w:space="0" w:color="auto"/>
                <w:left w:val="none" w:sz="0" w:space="0" w:color="auto"/>
                <w:bottom w:val="none" w:sz="0" w:space="0" w:color="auto"/>
                <w:right w:val="none" w:sz="0" w:space="0" w:color="auto"/>
              </w:divBdr>
            </w:div>
            <w:div w:id="65344575">
              <w:marLeft w:val="0"/>
              <w:marRight w:val="0"/>
              <w:marTop w:val="0"/>
              <w:marBottom w:val="0"/>
              <w:divBdr>
                <w:top w:val="none" w:sz="0" w:space="0" w:color="auto"/>
                <w:left w:val="none" w:sz="0" w:space="0" w:color="auto"/>
                <w:bottom w:val="none" w:sz="0" w:space="0" w:color="auto"/>
                <w:right w:val="none" w:sz="0" w:space="0" w:color="auto"/>
              </w:divBdr>
            </w:div>
            <w:div w:id="96683165">
              <w:marLeft w:val="0"/>
              <w:marRight w:val="0"/>
              <w:marTop w:val="0"/>
              <w:marBottom w:val="0"/>
              <w:divBdr>
                <w:top w:val="none" w:sz="0" w:space="0" w:color="auto"/>
                <w:left w:val="none" w:sz="0" w:space="0" w:color="auto"/>
                <w:bottom w:val="none" w:sz="0" w:space="0" w:color="auto"/>
                <w:right w:val="none" w:sz="0" w:space="0" w:color="auto"/>
              </w:divBdr>
            </w:div>
            <w:div w:id="273484992">
              <w:marLeft w:val="0"/>
              <w:marRight w:val="0"/>
              <w:marTop w:val="0"/>
              <w:marBottom w:val="0"/>
              <w:divBdr>
                <w:top w:val="none" w:sz="0" w:space="0" w:color="auto"/>
                <w:left w:val="none" w:sz="0" w:space="0" w:color="auto"/>
                <w:bottom w:val="none" w:sz="0" w:space="0" w:color="auto"/>
                <w:right w:val="none" w:sz="0" w:space="0" w:color="auto"/>
              </w:divBdr>
            </w:div>
            <w:div w:id="307711100">
              <w:marLeft w:val="0"/>
              <w:marRight w:val="0"/>
              <w:marTop w:val="0"/>
              <w:marBottom w:val="0"/>
              <w:divBdr>
                <w:top w:val="none" w:sz="0" w:space="0" w:color="auto"/>
                <w:left w:val="none" w:sz="0" w:space="0" w:color="auto"/>
                <w:bottom w:val="none" w:sz="0" w:space="0" w:color="auto"/>
                <w:right w:val="none" w:sz="0" w:space="0" w:color="auto"/>
              </w:divBdr>
            </w:div>
            <w:div w:id="361631763">
              <w:marLeft w:val="0"/>
              <w:marRight w:val="0"/>
              <w:marTop w:val="0"/>
              <w:marBottom w:val="0"/>
              <w:divBdr>
                <w:top w:val="none" w:sz="0" w:space="0" w:color="auto"/>
                <w:left w:val="none" w:sz="0" w:space="0" w:color="auto"/>
                <w:bottom w:val="none" w:sz="0" w:space="0" w:color="auto"/>
                <w:right w:val="none" w:sz="0" w:space="0" w:color="auto"/>
              </w:divBdr>
            </w:div>
            <w:div w:id="448863634">
              <w:marLeft w:val="0"/>
              <w:marRight w:val="0"/>
              <w:marTop w:val="0"/>
              <w:marBottom w:val="0"/>
              <w:divBdr>
                <w:top w:val="none" w:sz="0" w:space="0" w:color="auto"/>
                <w:left w:val="none" w:sz="0" w:space="0" w:color="auto"/>
                <w:bottom w:val="none" w:sz="0" w:space="0" w:color="auto"/>
                <w:right w:val="none" w:sz="0" w:space="0" w:color="auto"/>
              </w:divBdr>
            </w:div>
            <w:div w:id="472530253">
              <w:marLeft w:val="0"/>
              <w:marRight w:val="0"/>
              <w:marTop w:val="0"/>
              <w:marBottom w:val="0"/>
              <w:divBdr>
                <w:top w:val="none" w:sz="0" w:space="0" w:color="auto"/>
                <w:left w:val="none" w:sz="0" w:space="0" w:color="auto"/>
                <w:bottom w:val="none" w:sz="0" w:space="0" w:color="auto"/>
                <w:right w:val="none" w:sz="0" w:space="0" w:color="auto"/>
              </w:divBdr>
            </w:div>
            <w:div w:id="731932347">
              <w:marLeft w:val="0"/>
              <w:marRight w:val="0"/>
              <w:marTop w:val="0"/>
              <w:marBottom w:val="0"/>
              <w:divBdr>
                <w:top w:val="none" w:sz="0" w:space="0" w:color="auto"/>
                <w:left w:val="none" w:sz="0" w:space="0" w:color="auto"/>
                <w:bottom w:val="none" w:sz="0" w:space="0" w:color="auto"/>
                <w:right w:val="none" w:sz="0" w:space="0" w:color="auto"/>
              </w:divBdr>
            </w:div>
            <w:div w:id="751196640">
              <w:marLeft w:val="0"/>
              <w:marRight w:val="0"/>
              <w:marTop w:val="0"/>
              <w:marBottom w:val="0"/>
              <w:divBdr>
                <w:top w:val="none" w:sz="0" w:space="0" w:color="auto"/>
                <w:left w:val="none" w:sz="0" w:space="0" w:color="auto"/>
                <w:bottom w:val="none" w:sz="0" w:space="0" w:color="auto"/>
                <w:right w:val="none" w:sz="0" w:space="0" w:color="auto"/>
              </w:divBdr>
            </w:div>
            <w:div w:id="865556179">
              <w:marLeft w:val="0"/>
              <w:marRight w:val="0"/>
              <w:marTop w:val="0"/>
              <w:marBottom w:val="0"/>
              <w:divBdr>
                <w:top w:val="none" w:sz="0" w:space="0" w:color="auto"/>
                <w:left w:val="none" w:sz="0" w:space="0" w:color="auto"/>
                <w:bottom w:val="none" w:sz="0" w:space="0" w:color="auto"/>
                <w:right w:val="none" w:sz="0" w:space="0" w:color="auto"/>
              </w:divBdr>
            </w:div>
            <w:div w:id="1143816284">
              <w:marLeft w:val="0"/>
              <w:marRight w:val="0"/>
              <w:marTop w:val="0"/>
              <w:marBottom w:val="0"/>
              <w:divBdr>
                <w:top w:val="none" w:sz="0" w:space="0" w:color="auto"/>
                <w:left w:val="none" w:sz="0" w:space="0" w:color="auto"/>
                <w:bottom w:val="none" w:sz="0" w:space="0" w:color="auto"/>
                <w:right w:val="none" w:sz="0" w:space="0" w:color="auto"/>
              </w:divBdr>
            </w:div>
            <w:div w:id="1456873223">
              <w:marLeft w:val="0"/>
              <w:marRight w:val="0"/>
              <w:marTop w:val="0"/>
              <w:marBottom w:val="0"/>
              <w:divBdr>
                <w:top w:val="none" w:sz="0" w:space="0" w:color="auto"/>
                <w:left w:val="none" w:sz="0" w:space="0" w:color="auto"/>
                <w:bottom w:val="none" w:sz="0" w:space="0" w:color="auto"/>
                <w:right w:val="none" w:sz="0" w:space="0" w:color="auto"/>
              </w:divBdr>
            </w:div>
            <w:div w:id="1509784824">
              <w:marLeft w:val="0"/>
              <w:marRight w:val="0"/>
              <w:marTop w:val="0"/>
              <w:marBottom w:val="0"/>
              <w:divBdr>
                <w:top w:val="none" w:sz="0" w:space="0" w:color="auto"/>
                <w:left w:val="none" w:sz="0" w:space="0" w:color="auto"/>
                <w:bottom w:val="none" w:sz="0" w:space="0" w:color="auto"/>
                <w:right w:val="none" w:sz="0" w:space="0" w:color="auto"/>
              </w:divBdr>
            </w:div>
            <w:div w:id="1608346753">
              <w:marLeft w:val="0"/>
              <w:marRight w:val="0"/>
              <w:marTop w:val="0"/>
              <w:marBottom w:val="0"/>
              <w:divBdr>
                <w:top w:val="none" w:sz="0" w:space="0" w:color="auto"/>
                <w:left w:val="none" w:sz="0" w:space="0" w:color="auto"/>
                <w:bottom w:val="none" w:sz="0" w:space="0" w:color="auto"/>
                <w:right w:val="none" w:sz="0" w:space="0" w:color="auto"/>
              </w:divBdr>
            </w:div>
            <w:div w:id="1620798093">
              <w:marLeft w:val="0"/>
              <w:marRight w:val="0"/>
              <w:marTop w:val="0"/>
              <w:marBottom w:val="0"/>
              <w:divBdr>
                <w:top w:val="none" w:sz="0" w:space="0" w:color="auto"/>
                <w:left w:val="none" w:sz="0" w:space="0" w:color="auto"/>
                <w:bottom w:val="none" w:sz="0" w:space="0" w:color="auto"/>
                <w:right w:val="none" w:sz="0" w:space="0" w:color="auto"/>
              </w:divBdr>
            </w:div>
            <w:div w:id="1639608922">
              <w:marLeft w:val="0"/>
              <w:marRight w:val="0"/>
              <w:marTop w:val="0"/>
              <w:marBottom w:val="0"/>
              <w:divBdr>
                <w:top w:val="none" w:sz="0" w:space="0" w:color="auto"/>
                <w:left w:val="none" w:sz="0" w:space="0" w:color="auto"/>
                <w:bottom w:val="none" w:sz="0" w:space="0" w:color="auto"/>
                <w:right w:val="none" w:sz="0" w:space="0" w:color="auto"/>
              </w:divBdr>
            </w:div>
            <w:div w:id="1741901010">
              <w:marLeft w:val="0"/>
              <w:marRight w:val="0"/>
              <w:marTop w:val="0"/>
              <w:marBottom w:val="0"/>
              <w:divBdr>
                <w:top w:val="none" w:sz="0" w:space="0" w:color="auto"/>
                <w:left w:val="none" w:sz="0" w:space="0" w:color="auto"/>
                <w:bottom w:val="none" w:sz="0" w:space="0" w:color="auto"/>
                <w:right w:val="none" w:sz="0" w:space="0" w:color="auto"/>
              </w:divBdr>
            </w:div>
            <w:div w:id="1748187800">
              <w:marLeft w:val="0"/>
              <w:marRight w:val="0"/>
              <w:marTop w:val="0"/>
              <w:marBottom w:val="0"/>
              <w:divBdr>
                <w:top w:val="none" w:sz="0" w:space="0" w:color="auto"/>
                <w:left w:val="none" w:sz="0" w:space="0" w:color="auto"/>
                <w:bottom w:val="none" w:sz="0" w:space="0" w:color="auto"/>
                <w:right w:val="none" w:sz="0" w:space="0" w:color="auto"/>
              </w:divBdr>
            </w:div>
            <w:div w:id="1780492030">
              <w:marLeft w:val="0"/>
              <w:marRight w:val="0"/>
              <w:marTop w:val="0"/>
              <w:marBottom w:val="0"/>
              <w:divBdr>
                <w:top w:val="none" w:sz="0" w:space="0" w:color="auto"/>
                <w:left w:val="none" w:sz="0" w:space="0" w:color="auto"/>
                <w:bottom w:val="none" w:sz="0" w:space="0" w:color="auto"/>
                <w:right w:val="none" w:sz="0" w:space="0" w:color="auto"/>
              </w:divBdr>
            </w:div>
          </w:divsChild>
        </w:div>
        <w:div w:id="1184634571">
          <w:marLeft w:val="0"/>
          <w:marRight w:val="0"/>
          <w:marTop w:val="0"/>
          <w:marBottom w:val="0"/>
          <w:divBdr>
            <w:top w:val="none" w:sz="0" w:space="0" w:color="auto"/>
            <w:left w:val="none" w:sz="0" w:space="0" w:color="auto"/>
            <w:bottom w:val="none" w:sz="0" w:space="0" w:color="auto"/>
            <w:right w:val="none" w:sz="0" w:space="0" w:color="auto"/>
          </w:divBdr>
        </w:div>
        <w:div w:id="1254434518">
          <w:marLeft w:val="0"/>
          <w:marRight w:val="0"/>
          <w:marTop w:val="0"/>
          <w:marBottom w:val="0"/>
          <w:divBdr>
            <w:top w:val="none" w:sz="0" w:space="0" w:color="auto"/>
            <w:left w:val="none" w:sz="0" w:space="0" w:color="auto"/>
            <w:bottom w:val="none" w:sz="0" w:space="0" w:color="auto"/>
            <w:right w:val="none" w:sz="0" w:space="0" w:color="auto"/>
          </w:divBdr>
          <w:divsChild>
            <w:div w:id="117339156">
              <w:marLeft w:val="0"/>
              <w:marRight w:val="0"/>
              <w:marTop w:val="0"/>
              <w:marBottom w:val="0"/>
              <w:divBdr>
                <w:top w:val="none" w:sz="0" w:space="0" w:color="auto"/>
                <w:left w:val="none" w:sz="0" w:space="0" w:color="auto"/>
                <w:bottom w:val="none" w:sz="0" w:space="0" w:color="auto"/>
                <w:right w:val="none" w:sz="0" w:space="0" w:color="auto"/>
              </w:divBdr>
            </w:div>
            <w:div w:id="226041210">
              <w:marLeft w:val="0"/>
              <w:marRight w:val="0"/>
              <w:marTop w:val="0"/>
              <w:marBottom w:val="0"/>
              <w:divBdr>
                <w:top w:val="none" w:sz="0" w:space="0" w:color="auto"/>
                <w:left w:val="none" w:sz="0" w:space="0" w:color="auto"/>
                <w:bottom w:val="none" w:sz="0" w:space="0" w:color="auto"/>
                <w:right w:val="none" w:sz="0" w:space="0" w:color="auto"/>
              </w:divBdr>
            </w:div>
            <w:div w:id="335574816">
              <w:marLeft w:val="0"/>
              <w:marRight w:val="0"/>
              <w:marTop w:val="0"/>
              <w:marBottom w:val="0"/>
              <w:divBdr>
                <w:top w:val="none" w:sz="0" w:space="0" w:color="auto"/>
                <w:left w:val="none" w:sz="0" w:space="0" w:color="auto"/>
                <w:bottom w:val="none" w:sz="0" w:space="0" w:color="auto"/>
                <w:right w:val="none" w:sz="0" w:space="0" w:color="auto"/>
              </w:divBdr>
            </w:div>
            <w:div w:id="613907123">
              <w:marLeft w:val="0"/>
              <w:marRight w:val="0"/>
              <w:marTop w:val="0"/>
              <w:marBottom w:val="0"/>
              <w:divBdr>
                <w:top w:val="none" w:sz="0" w:space="0" w:color="auto"/>
                <w:left w:val="none" w:sz="0" w:space="0" w:color="auto"/>
                <w:bottom w:val="none" w:sz="0" w:space="0" w:color="auto"/>
                <w:right w:val="none" w:sz="0" w:space="0" w:color="auto"/>
              </w:divBdr>
            </w:div>
            <w:div w:id="621230830">
              <w:marLeft w:val="0"/>
              <w:marRight w:val="0"/>
              <w:marTop w:val="0"/>
              <w:marBottom w:val="0"/>
              <w:divBdr>
                <w:top w:val="none" w:sz="0" w:space="0" w:color="auto"/>
                <w:left w:val="none" w:sz="0" w:space="0" w:color="auto"/>
                <w:bottom w:val="none" w:sz="0" w:space="0" w:color="auto"/>
                <w:right w:val="none" w:sz="0" w:space="0" w:color="auto"/>
              </w:divBdr>
            </w:div>
            <w:div w:id="832187380">
              <w:marLeft w:val="0"/>
              <w:marRight w:val="0"/>
              <w:marTop w:val="0"/>
              <w:marBottom w:val="0"/>
              <w:divBdr>
                <w:top w:val="none" w:sz="0" w:space="0" w:color="auto"/>
                <w:left w:val="none" w:sz="0" w:space="0" w:color="auto"/>
                <w:bottom w:val="none" w:sz="0" w:space="0" w:color="auto"/>
                <w:right w:val="none" w:sz="0" w:space="0" w:color="auto"/>
              </w:divBdr>
            </w:div>
            <w:div w:id="911507327">
              <w:marLeft w:val="0"/>
              <w:marRight w:val="0"/>
              <w:marTop w:val="0"/>
              <w:marBottom w:val="0"/>
              <w:divBdr>
                <w:top w:val="none" w:sz="0" w:space="0" w:color="auto"/>
                <w:left w:val="none" w:sz="0" w:space="0" w:color="auto"/>
                <w:bottom w:val="none" w:sz="0" w:space="0" w:color="auto"/>
                <w:right w:val="none" w:sz="0" w:space="0" w:color="auto"/>
              </w:divBdr>
            </w:div>
            <w:div w:id="946624636">
              <w:marLeft w:val="0"/>
              <w:marRight w:val="0"/>
              <w:marTop w:val="0"/>
              <w:marBottom w:val="0"/>
              <w:divBdr>
                <w:top w:val="none" w:sz="0" w:space="0" w:color="auto"/>
                <w:left w:val="none" w:sz="0" w:space="0" w:color="auto"/>
                <w:bottom w:val="none" w:sz="0" w:space="0" w:color="auto"/>
                <w:right w:val="none" w:sz="0" w:space="0" w:color="auto"/>
              </w:divBdr>
            </w:div>
            <w:div w:id="961426946">
              <w:marLeft w:val="0"/>
              <w:marRight w:val="0"/>
              <w:marTop w:val="0"/>
              <w:marBottom w:val="0"/>
              <w:divBdr>
                <w:top w:val="none" w:sz="0" w:space="0" w:color="auto"/>
                <w:left w:val="none" w:sz="0" w:space="0" w:color="auto"/>
                <w:bottom w:val="none" w:sz="0" w:space="0" w:color="auto"/>
                <w:right w:val="none" w:sz="0" w:space="0" w:color="auto"/>
              </w:divBdr>
            </w:div>
            <w:div w:id="982540441">
              <w:marLeft w:val="0"/>
              <w:marRight w:val="0"/>
              <w:marTop w:val="0"/>
              <w:marBottom w:val="0"/>
              <w:divBdr>
                <w:top w:val="none" w:sz="0" w:space="0" w:color="auto"/>
                <w:left w:val="none" w:sz="0" w:space="0" w:color="auto"/>
                <w:bottom w:val="none" w:sz="0" w:space="0" w:color="auto"/>
                <w:right w:val="none" w:sz="0" w:space="0" w:color="auto"/>
              </w:divBdr>
            </w:div>
            <w:div w:id="1180193101">
              <w:marLeft w:val="0"/>
              <w:marRight w:val="0"/>
              <w:marTop w:val="0"/>
              <w:marBottom w:val="0"/>
              <w:divBdr>
                <w:top w:val="none" w:sz="0" w:space="0" w:color="auto"/>
                <w:left w:val="none" w:sz="0" w:space="0" w:color="auto"/>
                <w:bottom w:val="none" w:sz="0" w:space="0" w:color="auto"/>
                <w:right w:val="none" w:sz="0" w:space="0" w:color="auto"/>
              </w:divBdr>
            </w:div>
            <w:div w:id="1183544962">
              <w:marLeft w:val="0"/>
              <w:marRight w:val="0"/>
              <w:marTop w:val="0"/>
              <w:marBottom w:val="0"/>
              <w:divBdr>
                <w:top w:val="none" w:sz="0" w:space="0" w:color="auto"/>
                <w:left w:val="none" w:sz="0" w:space="0" w:color="auto"/>
                <w:bottom w:val="none" w:sz="0" w:space="0" w:color="auto"/>
                <w:right w:val="none" w:sz="0" w:space="0" w:color="auto"/>
              </w:divBdr>
            </w:div>
            <w:div w:id="1294336633">
              <w:marLeft w:val="0"/>
              <w:marRight w:val="0"/>
              <w:marTop w:val="0"/>
              <w:marBottom w:val="0"/>
              <w:divBdr>
                <w:top w:val="none" w:sz="0" w:space="0" w:color="auto"/>
                <w:left w:val="none" w:sz="0" w:space="0" w:color="auto"/>
                <w:bottom w:val="none" w:sz="0" w:space="0" w:color="auto"/>
                <w:right w:val="none" w:sz="0" w:space="0" w:color="auto"/>
              </w:divBdr>
            </w:div>
            <w:div w:id="1658142841">
              <w:marLeft w:val="0"/>
              <w:marRight w:val="0"/>
              <w:marTop w:val="0"/>
              <w:marBottom w:val="0"/>
              <w:divBdr>
                <w:top w:val="none" w:sz="0" w:space="0" w:color="auto"/>
                <w:left w:val="none" w:sz="0" w:space="0" w:color="auto"/>
                <w:bottom w:val="none" w:sz="0" w:space="0" w:color="auto"/>
                <w:right w:val="none" w:sz="0" w:space="0" w:color="auto"/>
              </w:divBdr>
            </w:div>
            <w:div w:id="1723865333">
              <w:marLeft w:val="0"/>
              <w:marRight w:val="0"/>
              <w:marTop w:val="0"/>
              <w:marBottom w:val="0"/>
              <w:divBdr>
                <w:top w:val="none" w:sz="0" w:space="0" w:color="auto"/>
                <w:left w:val="none" w:sz="0" w:space="0" w:color="auto"/>
                <w:bottom w:val="none" w:sz="0" w:space="0" w:color="auto"/>
                <w:right w:val="none" w:sz="0" w:space="0" w:color="auto"/>
              </w:divBdr>
            </w:div>
            <w:div w:id="1733383937">
              <w:marLeft w:val="0"/>
              <w:marRight w:val="0"/>
              <w:marTop w:val="0"/>
              <w:marBottom w:val="0"/>
              <w:divBdr>
                <w:top w:val="none" w:sz="0" w:space="0" w:color="auto"/>
                <w:left w:val="none" w:sz="0" w:space="0" w:color="auto"/>
                <w:bottom w:val="none" w:sz="0" w:space="0" w:color="auto"/>
                <w:right w:val="none" w:sz="0" w:space="0" w:color="auto"/>
              </w:divBdr>
            </w:div>
            <w:div w:id="2050105577">
              <w:marLeft w:val="0"/>
              <w:marRight w:val="0"/>
              <w:marTop w:val="0"/>
              <w:marBottom w:val="0"/>
              <w:divBdr>
                <w:top w:val="none" w:sz="0" w:space="0" w:color="auto"/>
                <w:left w:val="none" w:sz="0" w:space="0" w:color="auto"/>
                <w:bottom w:val="none" w:sz="0" w:space="0" w:color="auto"/>
                <w:right w:val="none" w:sz="0" w:space="0" w:color="auto"/>
              </w:divBdr>
            </w:div>
            <w:div w:id="2112553151">
              <w:marLeft w:val="0"/>
              <w:marRight w:val="0"/>
              <w:marTop w:val="0"/>
              <w:marBottom w:val="0"/>
              <w:divBdr>
                <w:top w:val="none" w:sz="0" w:space="0" w:color="auto"/>
                <w:left w:val="none" w:sz="0" w:space="0" w:color="auto"/>
                <w:bottom w:val="none" w:sz="0" w:space="0" w:color="auto"/>
                <w:right w:val="none" w:sz="0" w:space="0" w:color="auto"/>
              </w:divBdr>
            </w:div>
            <w:div w:id="2119979508">
              <w:marLeft w:val="0"/>
              <w:marRight w:val="0"/>
              <w:marTop w:val="0"/>
              <w:marBottom w:val="0"/>
              <w:divBdr>
                <w:top w:val="none" w:sz="0" w:space="0" w:color="auto"/>
                <w:left w:val="none" w:sz="0" w:space="0" w:color="auto"/>
                <w:bottom w:val="none" w:sz="0" w:space="0" w:color="auto"/>
                <w:right w:val="none" w:sz="0" w:space="0" w:color="auto"/>
              </w:divBdr>
            </w:div>
            <w:div w:id="2136679799">
              <w:marLeft w:val="0"/>
              <w:marRight w:val="0"/>
              <w:marTop w:val="0"/>
              <w:marBottom w:val="0"/>
              <w:divBdr>
                <w:top w:val="none" w:sz="0" w:space="0" w:color="auto"/>
                <w:left w:val="none" w:sz="0" w:space="0" w:color="auto"/>
                <w:bottom w:val="none" w:sz="0" w:space="0" w:color="auto"/>
                <w:right w:val="none" w:sz="0" w:space="0" w:color="auto"/>
              </w:divBdr>
            </w:div>
          </w:divsChild>
        </w:div>
        <w:div w:id="1316184333">
          <w:marLeft w:val="0"/>
          <w:marRight w:val="0"/>
          <w:marTop w:val="0"/>
          <w:marBottom w:val="0"/>
          <w:divBdr>
            <w:top w:val="none" w:sz="0" w:space="0" w:color="auto"/>
            <w:left w:val="none" w:sz="0" w:space="0" w:color="auto"/>
            <w:bottom w:val="none" w:sz="0" w:space="0" w:color="auto"/>
            <w:right w:val="none" w:sz="0" w:space="0" w:color="auto"/>
          </w:divBdr>
          <w:divsChild>
            <w:div w:id="97333210">
              <w:marLeft w:val="0"/>
              <w:marRight w:val="0"/>
              <w:marTop w:val="0"/>
              <w:marBottom w:val="0"/>
              <w:divBdr>
                <w:top w:val="none" w:sz="0" w:space="0" w:color="auto"/>
                <w:left w:val="none" w:sz="0" w:space="0" w:color="auto"/>
                <w:bottom w:val="none" w:sz="0" w:space="0" w:color="auto"/>
                <w:right w:val="none" w:sz="0" w:space="0" w:color="auto"/>
              </w:divBdr>
            </w:div>
            <w:div w:id="277569854">
              <w:marLeft w:val="0"/>
              <w:marRight w:val="0"/>
              <w:marTop w:val="0"/>
              <w:marBottom w:val="0"/>
              <w:divBdr>
                <w:top w:val="none" w:sz="0" w:space="0" w:color="auto"/>
                <w:left w:val="none" w:sz="0" w:space="0" w:color="auto"/>
                <w:bottom w:val="none" w:sz="0" w:space="0" w:color="auto"/>
                <w:right w:val="none" w:sz="0" w:space="0" w:color="auto"/>
              </w:divBdr>
            </w:div>
            <w:div w:id="473177984">
              <w:marLeft w:val="0"/>
              <w:marRight w:val="0"/>
              <w:marTop w:val="0"/>
              <w:marBottom w:val="0"/>
              <w:divBdr>
                <w:top w:val="none" w:sz="0" w:space="0" w:color="auto"/>
                <w:left w:val="none" w:sz="0" w:space="0" w:color="auto"/>
                <w:bottom w:val="none" w:sz="0" w:space="0" w:color="auto"/>
                <w:right w:val="none" w:sz="0" w:space="0" w:color="auto"/>
              </w:divBdr>
            </w:div>
            <w:div w:id="543518554">
              <w:marLeft w:val="0"/>
              <w:marRight w:val="0"/>
              <w:marTop w:val="0"/>
              <w:marBottom w:val="0"/>
              <w:divBdr>
                <w:top w:val="none" w:sz="0" w:space="0" w:color="auto"/>
                <w:left w:val="none" w:sz="0" w:space="0" w:color="auto"/>
                <w:bottom w:val="none" w:sz="0" w:space="0" w:color="auto"/>
                <w:right w:val="none" w:sz="0" w:space="0" w:color="auto"/>
              </w:divBdr>
            </w:div>
            <w:div w:id="591621187">
              <w:marLeft w:val="0"/>
              <w:marRight w:val="0"/>
              <w:marTop w:val="0"/>
              <w:marBottom w:val="0"/>
              <w:divBdr>
                <w:top w:val="none" w:sz="0" w:space="0" w:color="auto"/>
                <w:left w:val="none" w:sz="0" w:space="0" w:color="auto"/>
                <w:bottom w:val="none" w:sz="0" w:space="0" w:color="auto"/>
                <w:right w:val="none" w:sz="0" w:space="0" w:color="auto"/>
              </w:divBdr>
            </w:div>
            <w:div w:id="645665335">
              <w:marLeft w:val="0"/>
              <w:marRight w:val="0"/>
              <w:marTop w:val="0"/>
              <w:marBottom w:val="0"/>
              <w:divBdr>
                <w:top w:val="none" w:sz="0" w:space="0" w:color="auto"/>
                <w:left w:val="none" w:sz="0" w:space="0" w:color="auto"/>
                <w:bottom w:val="none" w:sz="0" w:space="0" w:color="auto"/>
                <w:right w:val="none" w:sz="0" w:space="0" w:color="auto"/>
              </w:divBdr>
            </w:div>
            <w:div w:id="693773336">
              <w:marLeft w:val="0"/>
              <w:marRight w:val="0"/>
              <w:marTop w:val="0"/>
              <w:marBottom w:val="0"/>
              <w:divBdr>
                <w:top w:val="none" w:sz="0" w:space="0" w:color="auto"/>
                <w:left w:val="none" w:sz="0" w:space="0" w:color="auto"/>
                <w:bottom w:val="none" w:sz="0" w:space="0" w:color="auto"/>
                <w:right w:val="none" w:sz="0" w:space="0" w:color="auto"/>
              </w:divBdr>
            </w:div>
            <w:div w:id="779908232">
              <w:marLeft w:val="0"/>
              <w:marRight w:val="0"/>
              <w:marTop w:val="0"/>
              <w:marBottom w:val="0"/>
              <w:divBdr>
                <w:top w:val="none" w:sz="0" w:space="0" w:color="auto"/>
                <w:left w:val="none" w:sz="0" w:space="0" w:color="auto"/>
                <w:bottom w:val="none" w:sz="0" w:space="0" w:color="auto"/>
                <w:right w:val="none" w:sz="0" w:space="0" w:color="auto"/>
              </w:divBdr>
            </w:div>
            <w:div w:id="789516718">
              <w:marLeft w:val="0"/>
              <w:marRight w:val="0"/>
              <w:marTop w:val="0"/>
              <w:marBottom w:val="0"/>
              <w:divBdr>
                <w:top w:val="none" w:sz="0" w:space="0" w:color="auto"/>
                <w:left w:val="none" w:sz="0" w:space="0" w:color="auto"/>
                <w:bottom w:val="none" w:sz="0" w:space="0" w:color="auto"/>
                <w:right w:val="none" w:sz="0" w:space="0" w:color="auto"/>
              </w:divBdr>
            </w:div>
            <w:div w:id="946548385">
              <w:marLeft w:val="0"/>
              <w:marRight w:val="0"/>
              <w:marTop w:val="0"/>
              <w:marBottom w:val="0"/>
              <w:divBdr>
                <w:top w:val="none" w:sz="0" w:space="0" w:color="auto"/>
                <w:left w:val="none" w:sz="0" w:space="0" w:color="auto"/>
                <w:bottom w:val="none" w:sz="0" w:space="0" w:color="auto"/>
                <w:right w:val="none" w:sz="0" w:space="0" w:color="auto"/>
              </w:divBdr>
            </w:div>
            <w:div w:id="985208037">
              <w:marLeft w:val="0"/>
              <w:marRight w:val="0"/>
              <w:marTop w:val="0"/>
              <w:marBottom w:val="0"/>
              <w:divBdr>
                <w:top w:val="none" w:sz="0" w:space="0" w:color="auto"/>
                <w:left w:val="none" w:sz="0" w:space="0" w:color="auto"/>
                <w:bottom w:val="none" w:sz="0" w:space="0" w:color="auto"/>
                <w:right w:val="none" w:sz="0" w:space="0" w:color="auto"/>
              </w:divBdr>
            </w:div>
            <w:div w:id="1066802787">
              <w:marLeft w:val="0"/>
              <w:marRight w:val="0"/>
              <w:marTop w:val="0"/>
              <w:marBottom w:val="0"/>
              <w:divBdr>
                <w:top w:val="none" w:sz="0" w:space="0" w:color="auto"/>
                <w:left w:val="none" w:sz="0" w:space="0" w:color="auto"/>
                <w:bottom w:val="none" w:sz="0" w:space="0" w:color="auto"/>
                <w:right w:val="none" w:sz="0" w:space="0" w:color="auto"/>
              </w:divBdr>
            </w:div>
            <w:div w:id="1073314725">
              <w:marLeft w:val="0"/>
              <w:marRight w:val="0"/>
              <w:marTop w:val="0"/>
              <w:marBottom w:val="0"/>
              <w:divBdr>
                <w:top w:val="none" w:sz="0" w:space="0" w:color="auto"/>
                <w:left w:val="none" w:sz="0" w:space="0" w:color="auto"/>
                <w:bottom w:val="none" w:sz="0" w:space="0" w:color="auto"/>
                <w:right w:val="none" w:sz="0" w:space="0" w:color="auto"/>
              </w:divBdr>
            </w:div>
            <w:div w:id="1111125817">
              <w:marLeft w:val="0"/>
              <w:marRight w:val="0"/>
              <w:marTop w:val="0"/>
              <w:marBottom w:val="0"/>
              <w:divBdr>
                <w:top w:val="none" w:sz="0" w:space="0" w:color="auto"/>
                <w:left w:val="none" w:sz="0" w:space="0" w:color="auto"/>
                <w:bottom w:val="none" w:sz="0" w:space="0" w:color="auto"/>
                <w:right w:val="none" w:sz="0" w:space="0" w:color="auto"/>
              </w:divBdr>
            </w:div>
            <w:div w:id="1199002693">
              <w:marLeft w:val="0"/>
              <w:marRight w:val="0"/>
              <w:marTop w:val="0"/>
              <w:marBottom w:val="0"/>
              <w:divBdr>
                <w:top w:val="none" w:sz="0" w:space="0" w:color="auto"/>
                <w:left w:val="none" w:sz="0" w:space="0" w:color="auto"/>
                <w:bottom w:val="none" w:sz="0" w:space="0" w:color="auto"/>
                <w:right w:val="none" w:sz="0" w:space="0" w:color="auto"/>
              </w:divBdr>
            </w:div>
            <w:div w:id="1281261365">
              <w:marLeft w:val="0"/>
              <w:marRight w:val="0"/>
              <w:marTop w:val="0"/>
              <w:marBottom w:val="0"/>
              <w:divBdr>
                <w:top w:val="none" w:sz="0" w:space="0" w:color="auto"/>
                <w:left w:val="none" w:sz="0" w:space="0" w:color="auto"/>
                <w:bottom w:val="none" w:sz="0" w:space="0" w:color="auto"/>
                <w:right w:val="none" w:sz="0" w:space="0" w:color="auto"/>
              </w:divBdr>
            </w:div>
            <w:div w:id="1380325810">
              <w:marLeft w:val="0"/>
              <w:marRight w:val="0"/>
              <w:marTop w:val="0"/>
              <w:marBottom w:val="0"/>
              <w:divBdr>
                <w:top w:val="none" w:sz="0" w:space="0" w:color="auto"/>
                <w:left w:val="none" w:sz="0" w:space="0" w:color="auto"/>
                <w:bottom w:val="none" w:sz="0" w:space="0" w:color="auto"/>
                <w:right w:val="none" w:sz="0" w:space="0" w:color="auto"/>
              </w:divBdr>
            </w:div>
            <w:div w:id="1502038646">
              <w:marLeft w:val="0"/>
              <w:marRight w:val="0"/>
              <w:marTop w:val="0"/>
              <w:marBottom w:val="0"/>
              <w:divBdr>
                <w:top w:val="none" w:sz="0" w:space="0" w:color="auto"/>
                <w:left w:val="none" w:sz="0" w:space="0" w:color="auto"/>
                <w:bottom w:val="none" w:sz="0" w:space="0" w:color="auto"/>
                <w:right w:val="none" w:sz="0" w:space="0" w:color="auto"/>
              </w:divBdr>
            </w:div>
            <w:div w:id="1750033048">
              <w:marLeft w:val="0"/>
              <w:marRight w:val="0"/>
              <w:marTop w:val="0"/>
              <w:marBottom w:val="0"/>
              <w:divBdr>
                <w:top w:val="none" w:sz="0" w:space="0" w:color="auto"/>
                <w:left w:val="none" w:sz="0" w:space="0" w:color="auto"/>
                <w:bottom w:val="none" w:sz="0" w:space="0" w:color="auto"/>
                <w:right w:val="none" w:sz="0" w:space="0" w:color="auto"/>
              </w:divBdr>
            </w:div>
            <w:div w:id="1879203627">
              <w:marLeft w:val="0"/>
              <w:marRight w:val="0"/>
              <w:marTop w:val="0"/>
              <w:marBottom w:val="0"/>
              <w:divBdr>
                <w:top w:val="none" w:sz="0" w:space="0" w:color="auto"/>
                <w:left w:val="none" w:sz="0" w:space="0" w:color="auto"/>
                <w:bottom w:val="none" w:sz="0" w:space="0" w:color="auto"/>
                <w:right w:val="none" w:sz="0" w:space="0" w:color="auto"/>
              </w:divBdr>
            </w:div>
          </w:divsChild>
        </w:div>
        <w:div w:id="1618440315">
          <w:marLeft w:val="0"/>
          <w:marRight w:val="0"/>
          <w:marTop w:val="0"/>
          <w:marBottom w:val="0"/>
          <w:divBdr>
            <w:top w:val="none" w:sz="0" w:space="0" w:color="auto"/>
            <w:left w:val="none" w:sz="0" w:space="0" w:color="auto"/>
            <w:bottom w:val="none" w:sz="0" w:space="0" w:color="auto"/>
            <w:right w:val="none" w:sz="0" w:space="0" w:color="auto"/>
          </w:divBdr>
          <w:divsChild>
            <w:div w:id="126123164">
              <w:marLeft w:val="0"/>
              <w:marRight w:val="0"/>
              <w:marTop w:val="0"/>
              <w:marBottom w:val="0"/>
              <w:divBdr>
                <w:top w:val="none" w:sz="0" w:space="0" w:color="auto"/>
                <w:left w:val="none" w:sz="0" w:space="0" w:color="auto"/>
                <w:bottom w:val="none" w:sz="0" w:space="0" w:color="auto"/>
                <w:right w:val="none" w:sz="0" w:space="0" w:color="auto"/>
              </w:divBdr>
            </w:div>
            <w:div w:id="213472854">
              <w:marLeft w:val="0"/>
              <w:marRight w:val="0"/>
              <w:marTop w:val="0"/>
              <w:marBottom w:val="0"/>
              <w:divBdr>
                <w:top w:val="none" w:sz="0" w:space="0" w:color="auto"/>
                <w:left w:val="none" w:sz="0" w:space="0" w:color="auto"/>
                <w:bottom w:val="none" w:sz="0" w:space="0" w:color="auto"/>
                <w:right w:val="none" w:sz="0" w:space="0" w:color="auto"/>
              </w:divBdr>
            </w:div>
            <w:div w:id="240137623">
              <w:marLeft w:val="0"/>
              <w:marRight w:val="0"/>
              <w:marTop w:val="0"/>
              <w:marBottom w:val="0"/>
              <w:divBdr>
                <w:top w:val="none" w:sz="0" w:space="0" w:color="auto"/>
                <w:left w:val="none" w:sz="0" w:space="0" w:color="auto"/>
                <w:bottom w:val="none" w:sz="0" w:space="0" w:color="auto"/>
                <w:right w:val="none" w:sz="0" w:space="0" w:color="auto"/>
              </w:divBdr>
            </w:div>
            <w:div w:id="255403932">
              <w:marLeft w:val="0"/>
              <w:marRight w:val="0"/>
              <w:marTop w:val="0"/>
              <w:marBottom w:val="0"/>
              <w:divBdr>
                <w:top w:val="none" w:sz="0" w:space="0" w:color="auto"/>
                <w:left w:val="none" w:sz="0" w:space="0" w:color="auto"/>
                <w:bottom w:val="none" w:sz="0" w:space="0" w:color="auto"/>
                <w:right w:val="none" w:sz="0" w:space="0" w:color="auto"/>
              </w:divBdr>
            </w:div>
            <w:div w:id="299195371">
              <w:marLeft w:val="0"/>
              <w:marRight w:val="0"/>
              <w:marTop w:val="0"/>
              <w:marBottom w:val="0"/>
              <w:divBdr>
                <w:top w:val="none" w:sz="0" w:space="0" w:color="auto"/>
                <w:left w:val="none" w:sz="0" w:space="0" w:color="auto"/>
                <w:bottom w:val="none" w:sz="0" w:space="0" w:color="auto"/>
                <w:right w:val="none" w:sz="0" w:space="0" w:color="auto"/>
              </w:divBdr>
            </w:div>
            <w:div w:id="342439349">
              <w:marLeft w:val="0"/>
              <w:marRight w:val="0"/>
              <w:marTop w:val="0"/>
              <w:marBottom w:val="0"/>
              <w:divBdr>
                <w:top w:val="none" w:sz="0" w:space="0" w:color="auto"/>
                <w:left w:val="none" w:sz="0" w:space="0" w:color="auto"/>
                <w:bottom w:val="none" w:sz="0" w:space="0" w:color="auto"/>
                <w:right w:val="none" w:sz="0" w:space="0" w:color="auto"/>
              </w:divBdr>
            </w:div>
            <w:div w:id="424886944">
              <w:marLeft w:val="0"/>
              <w:marRight w:val="0"/>
              <w:marTop w:val="0"/>
              <w:marBottom w:val="0"/>
              <w:divBdr>
                <w:top w:val="none" w:sz="0" w:space="0" w:color="auto"/>
                <w:left w:val="none" w:sz="0" w:space="0" w:color="auto"/>
                <w:bottom w:val="none" w:sz="0" w:space="0" w:color="auto"/>
                <w:right w:val="none" w:sz="0" w:space="0" w:color="auto"/>
              </w:divBdr>
            </w:div>
            <w:div w:id="445853782">
              <w:marLeft w:val="0"/>
              <w:marRight w:val="0"/>
              <w:marTop w:val="0"/>
              <w:marBottom w:val="0"/>
              <w:divBdr>
                <w:top w:val="none" w:sz="0" w:space="0" w:color="auto"/>
                <w:left w:val="none" w:sz="0" w:space="0" w:color="auto"/>
                <w:bottom w:val="none" w:sz="0" w:space="0" w:color="auto"/>
                <w:right w:val="none" w:sz="0" w:space="0" w:color="auto"/>
              </w:divBdr>
            </w:div>
            <w:div w:id="466821533">
              <w:marLeft w:val="0"/>
              <w:marRight w:val="0"/>
              <w:marTop w:val="0"/>
              <w:marBottom w:val="0"/>
              <w:divBdr>
                <w:top w:val="none" w:sz="0" w:space="0" w:color="auto"/>
                <w:left w:val="none" w:sz="0" w:space="0" w:color="auto"/>
                <w:bottom w:val="none" w:sz="0" w:space="0" w:color="auto"/>
                <w:right w:val="none" w:sz="0" w:space="0" w:color="auto"/>
              </w:divBdr>
            </w:div>
            <w:div w:id="490802613">
              <w:marLeft w:val="0"/>
              <w:marRight w:val="0"/>
              <w:marTop w:val="0"/>
              <w:marBottom w:val="0"/>
              <w:divBdr>
                <w:top w:val="none" w:sz="0" w:space="0" w:color="auto"/>
                <w:left w:val="none" w:sz="0" w:space="0" w:color="auto"/>
                <w:bottom w:val="none" w:sz="0" w:space="0" w:color="auto"/>
                <w:right w:val="none" w:sz="0" w:space="0" w:color="auto"/>
              </w:divBdr>
            </w:div>
            <w:div w:id="490878070">
              <w:marLeft w:val="0"/>
              <w:marRight w:val="0"/>
              <w:marTop w:val="0"/>
              <w:marBottom w:val="0"/>
              <w:divBdr>
                <w:top w:val="none" w:sz="0" w:space="0" w:color="auto"/>
                <w:left w:val="none" w:sz="0" w:space="0" w:color="auto"/>
                <w:bottom w:val="none" w:sz="0" w:space="0" w:color="auto"/>
                <w:right w:val="none" w:sz="0" w:space="0" w:color="auto"/>
              </w:divBdr>
            </w:div>
            <w:div w:id="619074765">
              <w:marLeft w:val="0"/>
              <w:marRight w:val="0"/>
              <w:marTop w:val="0"/>
              <w:marBottom w:val="0"/>
              <w:divBdr>
                <w:top w:val="none" w:sz="0" w:space="0" w:color="auto"/>
                <w:left w:val="none" w:sz="0" w:space="0" w:color="auto"/>
                <w:bottom w:val="none" w:sz="0" w:space="0" w:color="auto"/>
                <w:right w:val="none" w:sz="0" w:space="0" w:color="auto"/>
              </w:divBdr>
            </w:div>
            <w:div w:id="747117533">
              <w:marLeft w:val="0"/>
              <w:marRight w:val="0"/>
              <w:marTop w:val="0"/>
              <w:marBottom w:val="0"/>
              <w:divBdr>
                <w:top w:val="none" w:sz="0" w:space="0" w:color="auto"/>
                <w:left w:val="none" w:sz="0" w:space="0" w:color="auto"/>
                <w:bottom w:val="none" w:sz="0" w:space="0" w:color="auto"/>
                <w:right w:val="none" w:sz="0" w:space="0" w:color="auto"/>
              </w:divBdr>
            </w:div>
            <w:div w:id="1049263096">
              <w:marLeft w:val="0"/>
              <w:marRight w:val="0"/>
              <w:marTop w:val="0"/>
              <w:marBottom w:val="0"/>
              <w:divBdr>
                <w:top w:val="none" w:sz="0" w:space="0" w:color="auto"/>
                <w:left w:val="none" w:sz="0" w:space="0" w:color="auto"/>
                <w:bottom w:val="none" w:sz="0" w:space="0" w:color="auto"/>
                <w:right w:val="none" w:sz="0" w:space="0" w:color="auto"/>
              </w:divBdr>
            </w:div>
            <w:div w:id="1106731362">
              <w:marLeft w:val="0"/>
              <w:marRight w:val="0"/>
              <w:marTop w:val="0"/>
              <w:marBottom w:val="0"/>
              <w:divBdr>
                <w:top w:val="none" w:sz="0" w:space="0" w:color="auto"/>
                <w:left w:val="none" w:sz="0" w:space="0" w:color="auto"/>
                <w:bottom w:val="none" w:sz="0" w:space="0" w:color="auto"/>
                <w:right w:val="none" w:sz="0" w:space="0" w:color="auto"/>
              </w:divBdr>
            </w:div>
            <w:div w:id="1317954010">
              <w:marLeft w:val="0"/>
              <w:marRight w:val="0"/>
              <w:marTop w:val="0"/>
              <w:marBottom w:val="0"/>
              <w:divBdr>
                <w:top w:val="none" w:sz="0" w:space="0" w:color="auto"/>
                <w:left w:val="none" w:sz="0" w:space="0" w:color="auto"/>
                <w:bottom w:val="none" w:sz="0" w:space="0" w:color="auto"/>
                <w:right w:val="none" w:sz="0" w:space="0" w:color="auto"/>
              </w:divBdr>
            </w:div>
            <w:div w:id="1539465685">
              <w:marLeft w:val="0"/>
              <w:marRight w:val="0"/>
              <w:marTop w:val="0"/>
              <w:marBottom w:val="0"/>
              <w:divBdr>
                <w:top w:val="none" w:sz="0" w:space="0" w:color="auto"/>
                <w:left w:val="none" w:sz="0" w:space="0" w:color="auto"/>
                <w:bottom w:val="none" w:sz="0" w:space="0" w:color="auto"/>
                <w:right w:val="none" w:sz="0" w:space="0" w:color="auto"/>
              </w:divBdr>
            </w:div>
            <w:div w:id="2070183932">
              <w:marLeft w:val="0"/>
              <w:marRight w:val="0"/>
              <w:marTop w:val="0"/>
              <w:marBottom w:val="0"/>
              <w:divBdr>
                <w:top w:val="none" w:sz="0" w:space="0" w:color="auto"/>
                <w:left w:val="none" w:sz="0" w:space="0" w:color="auto"/>
                <w:bottom w:val="none" w:sz="0" w:space="0" w:color="auto"/>
                <w:right w:val="none" w:sz="0" w:space="0" w:color="auto"/>
              </w:divBdr>
            </w:div>
            <w:div w:id="2077430789">
              <w:marLeft w:val="0"/>
              <w:marRight w:val="0"/>
              <w:marTop w:val="0"/>
              <w:marBottom w:val="0"/>
              <w:divBdr>
                <w:top w:val="none" w:sz="0" w:space="0" w:color="auto"/>
                <w:left w:val="none" w:sz="0" w:space="0" w:color="auto"/>
                <w:bottom w:val="none" w:sz="0" w:space="0" w:color="auto"/>
                <w:right w:val="none" w:sz="0" w:space="0" w:color="auto"/>
              </w:divBdr>
            </w:div>
            <w:div w:id="2110150415">
              <w:marLeft w:val="0"/>
              <w:marRight w:val="0"/>
              <w:marTop w:val="0"/>
              <w:marBottom w:val="0"/>
              <w:divBdr>
                <w:top w:val="none" w:sz="0" w:space="0" w:color="auto"/>
                <w:left w:val="none" w:sz="0" w:space="0" w:color="auto"/>
                <w:bottom w:val="none" w:sz="0" w:space="0" w:color="auto"/>
                <w:right w:val="none" w:sz="0" w:space="0" w:color="auto"/>
              </w:divBdr>
            </w:div>
          </w:divsChild>
        </w:div>
        <w:div w:id="1663852828">
          <w:marLeft w:val="0"/>
          <w:marRight w:val="0"/>
          <w:marTop w:val="0"/>
          <w:marBottom w:val="0"/>
          <w:divBdr>
            <w:top w:val="none" w:sz="0" w:space="0" w:color="auto"/>
            <w:left w:val="none" w:sz="0" w:space="0" w:color="auto"/>
            <w:bottom w:val="none" w:sz="0" w:space="0" w:color="auto"/>
            <w:right w:val="none" w:sz="0" w:space="0" w:color="auto"/>
          </w:divBdr>
          <w:divsChild>
            <w:div w:id="85080332">
              <w:marLeft w:val="0"/>
              <w:marRight w:val="0"/>
              <w:marTop w:val="0"/>
              <w:marBottom w:val="0"/>
              <w:divBdr>
                <w:top w:val="none" w:sz="0" w:space="0" w:color="auto"/>
                <w:left w:val="none" w:sz="0" w:space="0" w:color="auto"/>
                <w:bottom w:val="none" w:sz="0" w:space="0" w:color="auto"/>
                <w:right w:val="none" w:sz="0" w:space="0" w:color="auto"/>
              </w:divBdr>
            </w:div>
            <w:div w:id="143083366">
              <w:marLeft w:val="0"/>
              <w:marRight w:val="0"/>
              <w:marTop w:val="0"/>
              <w:marBottom w:val="0"/>
              <w:divBdr>
                <w:top w:val="none" w:sz="0" w:space="0" w:color="auto"/>
                <w:left w:val="none" w:sz="0" w:space="0" w:color="auto"/>
                <w:bottom w:val="none" w:sz="0" w:space="0" w:color="auto"/>
                <w:right w:val="none" w:sz="0" w:space="0" w:color="auto"/>
              </w:divBdr>
            </w:div>
            <w:div w:id="271136669">
              <w:marLeft w:val="0"/>
              <w:marRight w:val="0"/>
              <w:marTop w:val="0"/>
              <w:marBottom w:val="0"/>
              <w:divBdr>
                <w:top w:val="none" w:sz="0" w:space="0" w:color="auto"/>
                <w:left w:val="none" w:sz="0" w:space="0" w:color="auto"/>
                <w:bottom w:val="none" w:sz="0" w:space="0" w:color="auto"/>
                <w:right w:val="none" w:sz="0" w:space="0" w:color="auto"/>
              </w:divBdr>
            </w:div>
            <w:div w:id="328138768">
              <w:marLeft w:val="0"/>
              <w:marRight w:val="0"/>
              <w:marTop w:val="0"/>
              <w:marBottom w:val="0"/>
              <w:divBdr>
                <w:top w:val="none" w:sz="0" w:space="0" w:color="auto"/>
                <w:left w:val="none" w:sz="0" w:space="0" w:color="auto"/>
                <w:bottom w:val="none" w:sz="0" w:space="0" w:color="auto"/>
                <w:right w:val="none" w:sz="0" w:space="0" w:color="auto"/>
              </w:divBdr>
            </w:div>
            <w:div w:id="355619195">
              <w:marLeft w:val="0"/>
              <w:marRight w:val="0"/>
              <w:marTop w:val="0"/>
              <w:marBottom w:val="0"/>
              <w:divBdr>
                <w:top w:val="none" w:sz="0" w:space="0" w:color="auto"/>
                <w:left w:val="none" w:sz="0" w:space="0" w:color="auto"/>
                <w:bottom w:val="none" w:sz="0" w:space="0" w:color="auto"/>
                <w:right w:val="none" w:sz="0" w:space="0" w:color="auto"/>
              </w:divBdr>
            </w:div>
            <w:div w:id="448862643">
              <w:marLeft w:val="0"/>
              <w:marRight w:val="0"/>
              <w:marTop w:val="0"/>
              <w:marBottom w:val="0"/>
              <w:divBdr>
                <w:top w:val="none" w:sz="0" w:space="0" w:color="auto"/>
                <w:left w:val="none" w:sz="0" w:space="0" w:color="auto"/>
                <w:bottom w:val="none" w:sz="0" w:space="0" w:color="auto"/>
                <w:right w:val="none" w:sz="0" w:space="0" w:color="auto"/>
              </w:divBdr>
            </w:div>
            <w:div w:id="462119377">
              <w:marLeft w:val="0"/>
              <w:marRight w:val="0"/>
              <w:marTop w:val="0"/>
              <w:marBottom w:val="0"/>
              <w:divBdr>
                <w:top w:val="none" w:sz="0" w:space="0" w:color="auto"/>
                <w:left w:val="none" w:sz="0" w:space="0" w:color="auto"/>
                <w:bottom w:val="none" w:sz="0" w:space="0" w:color="auto"/>
                <w:right w:val="none" w:sz="0" w:space="0" w:color="auto"/>
              </w:divBdr>
            </w:div>
            <w:div w:id="507909594">
              <w:marLeft w:val="0"/>
              <w:marRight w:val="0"/>
              <w:marTop w:val="0"/>
              <w:marBottom w:val="0"/>
              <w:divBdr>
                <w:top w:val="none" w:sz="0" w:space="0" w:color="auto"/>
                <w:left w:val="none" w:sz="0" w:space="0" w:color="auto"/>
                <w:bottom w:val="none" w:sz="0" w:space="0" w:color="auto"/>
                <w:right w:val="none" w:sz="0" w:space="0" w:color="auto"/>
              </w:divBdr>
            </w:div>
            <w:div w:id="576403440">
              <w:marLeft w:val="0"/>
              <w:marRight w:val="0"/>
              <w:marTop w:val="0"/>
              <w:marBottom w:val="0"/>
              <w:divBdr>
                <w:top w:val="none" w:sz="0" w:space="0" w:color="auto"/>
                <w:left w:val="none" w:sz="0" w:space="0" w:color="auto"/>
                <w:bottom w:val="none" w:sz="0" w:space="0" w:color="auto"/>
                <w:right w:val="none" w:sz="0" w:space="0" w:color="auto"/>
              </w:divBdr>
            </w:div>
            <w:div w:id="620041715">
              <w:marLeft w:val="0"/>
              <w:marRight w:val="0"/>
              <w:marTop w:val="0"/>
              <w:marBottom w:val="0"/>
              <w:divBdr>
                <w:top w:val="none" w:sz="0" w:space="0" w:color="auto"/>
                <w:left w:val="none" w:sz="0" w:space="0" w:color="auto"/>
                <w:bottom w:val="none" w:sz="0" w:space="0" w:color="auto"/>
                <w:right w:val="none" w:sz="0" w:space="0" w:color="auto"/>
              </w:divBdr>
            </w:div>
            <w:div w:id="682784657">
              <w:marLeft w:val="0"/>
              <w:marRight w:val="0"/>
              <w:marTop w:val="0"/>
              <w:marBottom w:val="0"/>
              <w:divBdr>
                <w:top w:val="none" w:sz="0" w:space="0" w:color="auto"/>
                <w:left w:val="none" w:sz="0" w:space="0" w:color="auto"/>
                <w:bottom w:val="none" w:sz="0" w:space="0" w:color="auto"/>
                <w:right w:val="none" w:sz="0" w:space="0" w:color="auto"/>
              </w:divBdr>
            </w:div>
            <w:div w:id="730621300">
              <w:marLeft w:val="0"/>
              <w:marRight w:val="0"/>
              <w:marTop w:val="0"/>
              <w:marBottom w:val="0"/>
              <w:divBdr>
                <w:top w:val="none" w:sz="0" w:space="0" w:color="auto"/>
                <w:left w:val="none" w:sz="0" w:space="0" w:color="auto"/>
                <w:bottom w:val="none" w:sz="0" w:space="0" w:color="auto"/>
                <w:right w:val="none" w:sz="0" w:space="0" w:color="auto"/>
              </w:divBdr>
            </w:div>
            <w:div w:id="758449216">
              <w:marLeft w:val="0"/>
              <w:marRight w:val="0"/>
              <w:marTop w:val="0"/>
              <w:marBottom w:val="0"/>
              <w:divBdr>
                <w:top w:val="none" w:sz="0" w:space="0" w:color="auto"/>
                <w:left w:val="none" w:sz="0" w:space="0" w:color="auto"/>
                <w:bottom w:val="none" w:sz="0" w:space="0" w:color="auto"/>
                <w:right w:val="none" w:sz="0" w:space="0" w:color="auto"/>
              </w:divBdr>
            </w:div>
            <w:div w:id="944965596">
              <w:marLeft w:val="0"/>
              <w:marRight w:val="0"/>
              <w:marTop w:val="0"/>
              <w:marBottom w:val="0"/>
              <w:divBdr>
                <w:top w:val="none" w:sz="0" w:space="0" w:color="auto"/>
                <w:left w:val="none" w:sz="0" w:space="0" w:color="auto"/>
                <w:bottom w:val="none" w:sz="0" w:space="0" w:color="auto"/>
                <w:right w:val="none" w:sz="0" w:space="0" w:color="auto"/>
              </w:divBdr>
            </w:div>
            <w:div w:id="982126461">
              <w:marLeft w:val="0"/>
              <w:marRight w:val="0"/>
              <w:marTop w:val="0"/>
              <w:marBottom w:val="0"/>
              <w:divBdr>
                <w:top w:val="none" w:sz="0" w:space="0" w:color="auto"/>
                <w:left w:val="none" w:sz="0" w:space="0" w:color="auto"/>
                <w:bottom w:val="none" w:sz="0" w:space="0" w:color="auto"/>
                <w:right w:val="none" w:sz="0" w:space="0" w:color="auto"/>
              </w:divBdr>
            </w:div>
            <w:div w:id="1244611472">
              <w:marLeft w:val="0"/>
              <w:marRight w:val="0"/>
              <w:marTop w:val="0"/>
              <w:marBottom w:val="0"/>
              <w:divBdr>
                <w:top w:val="none" w:sz="0" w:space="0" w:color="auto"/>
                <w:left w:val="none" w:sz="0" w:space="0" w:color="auto"/>
                <w:bottom w:val="none" w:sz="0" w:space="0" w:color="auto"/>
                <w:right w:val="none" w:sz="0" w:space="0" w:color="auto"/>
              </w:divBdr>
            </w:div>
            <w:div w:id="1696737266">
              <w:marLeft w:val="0"/>
              <w:marRight w:val="0"/>
              <w:marTop w:val="0"/>
              <w:marBottom w:val="0"/>
              <w:divBdr>
                <w:top w:val="none" w:sz="0" w:space="0" w:color="auto"/>
                <w:left w:val="none" w:sz="0" w:space="0" w:color="auto"/>
                <w:bottom w:val="none" w:sz="0" w:space="0" w:color="auto"/>
                <w:right w:val="none" w:sz="0" w:space="0" w:color="auto"/>
              </w:divBdr>
            </w:div>
            <w:div w:id="1743986940">
              <w:marLeft w:val="0"/>
              <w:marRight w:val="0"/>
              <w:marTop w:val="0"/>
              <w:marBottom w:val="0"/>
              <w:divBdr>
                <w:top w:val="none" w:sz="0" w:space="0" w:color="auto"/>
                <w:left w:val="none" w:sz="0" w:space="0" w:color="auto"/>
                <w:bottom w:val="none" w:sz="0" w:space="0" w:color="auto"/>
                <w:right w:val="none" w:sz="0" w:space="0" w:color="auto"/>
              </w:divBdr>
            </w:div>
            <w:div w:id="1754472715">
              <w:marLeft w:val="0"/>
              <w:marRight w:val="0"/>
              <w:marTop w:val="0"/>
              <w:marBottom w:val="0"/>
              <w:divBdr>
                <w:top w:val="none" w:sz="0" w:space="0" w:color="auto"/>
                <w:left w:val="none" w:sz="0" w:space="0" w:color="auto"/>
                <w:bottom w:val="none" w:sz="0" w:space="0" w:color="auto"/>
                <w:right w:val="none" w:sz="0" w:space="0" w:color="auto"/>
              </w:divBdr>
            </w:div>
            <w:div w:id="2098286046">
              <w:marLeft w:val="0"/>
              <w:marRight w:val="0"/>
              <w:marTop w:val="0"/>
              <w:marBottom w:val="0"/>
              <w:divBdr>
                <w:top w:val="none" w:sz="0" w:space="0" w:color="auto"/>
                <w:left w:val="none" w:sz="0" w:space="0" w:color="auto"/>
                <w:bottom w:val="none" w:sz="0" w:space="0" w:color="auto"/>
                <w:right w:val="none" w:sz="0" w:space="0" w:color="auto"/>
              </w:divBdr>
            </w:div>
          </w:divsChild>
        </w:div>
        <w:div w:id="1664772039">
          <w:marLeft w:val="0"/>
          <w:marRight w:val="0"/>
          <w:marTop w:val="0"/>
          <w:marBottom w:val="0"/>
          <w:divBdr>
            <w:top w:val="none" w:sz="0" w:space="0" w:color="auto"/>
            <w:left w:val="none" w:sz="0" w:space="0" w:color="auto"/>
            <w:bottom w:val="none" w:sz="0" w:space="0" w:color="auto"/>
            <w:right w:val="none" w:sz="0" w:space="0" w:color="auto"/>
          </w:divBdr>
          <w:divsChild>
            <w:div w:id="22023580">
              <w:marLeft w:val="0"/>
              <w:marRight w:val="0"/>
              <w:marTop w:val="0"/>
              <w:marBottom w:val="0"/>
              <w:divBdr>
                <w:top w:val="none" w:sz="0" w:space="0" w:color="auto"/>
                <w:left w:val="none" w:sz="0" w:space="0" w:color="auto"/>
                <w:bottom w:val="none" w:sz="0" w:space="0" w:color="auto"/>
                <w:right w:val="none" w:sz="0" w:space="0" w:color="auto"/>
              </w:divBdr>
            </w:div>
            <w:div w:id="69235138">
              <w:marLeft w:val="0"/>
              <w:marRight w:val="0"/>
              <w:marTop w:val="0"/>
              <w:marBottom w:val="0"/>
              <w:divBdr>
                <w:top w:val="none" w:sz="0" w:space="0" w:color="auto"/>
                <w:left w:val="none" w:sz="0" w:space="0" w:color="auto"/>
                <w:bottom w:val="none" w:sz="0" w:space="0" w:color="auto"/>
                <w:right w:val="none" w:sz="0" w:space="0" w:color="auto"/>
              </w:divBdr>
            </w:div>
            <w:div w:id="169218269">
              <w:marLeft w:val="0"/>
              <w:marRight w:val="0"/>
              <w:marTop w:val="0"/>
              <w:marBottom w:val="0"/>
              <w:divBdr>
                <w:top w:val="none" w:sz="0" w:space="0" w:color="auto"/>
                <w:left w:val="none" w:sz="0" w:space="0" w:color="auto"/>
                <w:bottom w:val="none" w:sz="0" w:space="0" w:color="auto"/>
                <w:right w:val="none" w:sz="0" w:space="0" w:color="auto"/>
              </w:divBdr>
            </w:div>
            <w:div w:id="419915880">
              <w:marLeft w:val="0"/>
              <w:marRight w:val="0"/>
              <w:marTop w:val="0"/>
              <w:marBottom w:val="0"/>
              <w:divBdr>
                <w:top w:val="none" w:sz="0" w:space="0" w:color="auto"/>
                <w:left w:val="none" w:sz="0" w:space="0" w:color="auto"/>
                <w:bottom w:val="none" w:sz="0" w:space="0" w:color="auto"/>
                <w:right w:val="none" w:sz="0" w:space="0" w:color="auto"/>
              </w:divBdr>
            </w:div>
            <w:div w:id="461312216">
              <w:marLeft w:val="0"/>
              <w:marRight w:val="0"/>
              <w:marTop w:val="0"/>
              <w:marBottom w:val="0"/>
              <w:divBdr>
                <w:top w:val="none" w:sz="0" w:space="0" w:color="auto"/>
                <w:left w:val="none" w:sz="0" w:space="0" w:color="auto"/>
                <w:bottom w:val="none" w:sz="0" w:space="0" w:color="auto"/>
                <w:right w:val="none" w:sz="0" w:space="0" w:color="auto"/>
              </w:divBdr>
            </w:div>
            <w:div w:id="595946900">
              <w:marLeft w:val="0"/>
              <w:marRight w:val="0"/>
              <w:marTop w:val="0"/>
              <w:marBottom w:val="0"/>
              <w:divBdr>
                <w:top w:val="none" w:sz="0" w:space="0" w:color="auto"/>
                <w:left w:val="none" w:sz="0" w:space="0" w:color="auto"/>
                <w:bottom w:val="none" w:sz="0" w:space="0" w:color="auto"/>
                <w:right w:val="none" w:sz="0" w:space="0" w:color="auto"/>
              </w:divBdr>
            </w:div>
            <w:div w:id="631983440">
              <w:marLeft w:val="0"/>
              <w:marRight w:val="0"/>
              <w:marTop w:val="0"/>
              <w:marBottom w:val="0"/>
              <w:divBdr>
                <w:top w:val="none" w:sz="0" w:space="0" w:color="auto"/>
                <w:left w:val="none" w:sz="0" w:space="0" w:color="auto"/>
                <w:bottom w:val="none" w:sz="0" w:space="0" w:color="auto"/>
                <w:right w:val="none" w:sz="0" w:space="0" w:color="auto"/>
              </w:divBdr>
            </w:div>
            <w:div w:id="692343309">
              <w:marLeft w:val="0"/>
              <w:marRight w:val="0"/>
              <w:marTop w:val="0"/>
              <w:marBottom w:val="0"/>
              <w:divBdr>
                <w:top w:val="none" w:sz="0" w:space="0" w:color="auto"/>
                <w:left w:val="none" w:sz="0" w:space="0" w:color="auto"/>
                <w:bottom w:val="none" w:sz="0" w:space="0" w:color="auto"/>
                <w:right w:val="none" w:sz="0" w:space="0" w:color="auto"/>
              </w:divBdr>
            </w:div>
            <w:div w:id="707996361">
              <w:marLeft w:val="0"/>
              <w:marRight w:val="0"/>
              <w:marTop w:val="0"/>
              <w:marBottom w:val="0"/>
              <w:divBdr>
                <w:top w:val="none" w:sz="0" w:space="0" w:color="auto"/>
                <w:left w:val="none" w:sz="0" w:space="0" w:color="auto"/>
                <w:bottom w:val="none" w:sz="0" w:space="0" w:color="auto"/>
                <w:right w:val="none" w:sz="0" w:space="0" w:color="auto"/>
              </w:divBdr>
            </w:div>
            <w:div w:id="824277263">
              <w:marLeft w:val="0"/>
              <w:marRight w:val="0"/>
              <w:marTop w:val="0"/>
              <w:marBottom w:val="0"/>
              <w:divBdr>
                <w:top w:val="none" w:sz="0" w:space="0" w:color="auto"/>
                <w:left w:val="none" w:sz="0" w:space="0" w:color="auto"/>
                <w:bottom w:val="none" w:sz="0" w:space="0" w:color="auto"/>
                <w:right w:val="none" w:sz="0" w:space="0" w:color="auto"/>
              </w:divBdr>
            </w:div>
            <w:div w:id="992832092">
              <w:marLeft w:val="0"/>
              <w:marRight w:val="0"/>
              <w:marTop w:val="0"/>
              <w:marBottom w:val="0"/>
              <w:divBdr>
                <w:top w:val="none" w:sz="0" w:space="0" w:color="auto"/>
                <w:left w:val="none" w:sz="0" w:space="0" w:color="auto"/>
                <w:bottom w:val="none" w:sz="0" w:space="0" w:color="auto"/>
                <w:right w:val="none" w:sz="0" w:space="0" w:color="auto"/>
              </w:divBdr>
            </w:div>
            <w:div w:id="1104304339">
              <w:marLeft w:val="0"/>
              <w:marRight w:val="0"/>
              <w:marTop w:val="0"/>
              <w:marBottom w:val="0"/>
              <w:divBdr>
                <w:top w:val="none" w:sz="0" w:space="0" w:color="auto"/>
                <w:left w:val="none" w:sz="0" w:space="0" w:color="auto"/>
                <w:bottom w:val="none" w:sz="0" w:space="0" w:color="auto"/>
                <w:right w:val="none" w:sz="0" w:space="0" w:color="auto"/>
              </w:divBdr>
            </w:div>
            <w:div w:id="1341154594">
              <w:marLeft w:val="0"/>
              <w:marRight w:val="0"/>
              <w:marTop w:val="0"/>
              <w:marBottom w:val="0"/>
              <w:divBdr>
                <w:top w:val="none" w:sz="0" w:space="0" w:color="auto"/>
                <w:left w:val="none" w:sz="0" w:space="0" w:color="auto"/>
                <w:bottom w:val="none" w:sz="0" w:space="0" w:color="auto"/>
                <w:right w:val="none" w:sz="0" w:space="0" w:color="auto"/>
              </w:divBdr>
            </w:div>
            <w:div w:id="1382946302">
              <w:marLeft w:val="0"/>
              <w:marRight w:val="0"/>
              <w:marTop w:val="0"/>
              <w:marBottom w:val="0"/>
              <w:divBdr>
                <w:top w:val="none" w:sz="0" w:space="0" w:color="auto"/>
                <w:left w:val="none" w:sz="0" w:space="0" w:color="auto"/>
                <w:bottom w:val="none" w:sz="0" w:space="0" w:color="auto"/>
                <w:right w:val="none" w:sz="0" w:space="0" w:color="auto"/>
              </w:divBdr>
            </w:div>
            <w:div w:id="1495804403">
              <w:marLeft w:val="0"/>
              <w:marRight w:val="0"/>
              <w:marTop w:val="0"/>
              <w:marBottom w:val="0"/>
              <w:divBdr>
                <w:top w:val="none" w:sz="0" w:space="0" w:color="auto"/>
                <w:left w:val="none" w:sz="0" w:space="0" w:color="auto"/>
                <w:bottom w:val="none" w:sz="0" w:space="0" w:color="auto"/>
                <w:right w:val="none" w:sz="0" w:space="0" w:color="auto"/>
              </w:divBdr>
            </w:div>
            <w:div w:id="1596862640">
              <w:marLeft w:val="0"/>
              <w:marRight w:val="0"/>
              <w:marTop w:val="0"/>
              <w:marBottom w:val="0"/>
              <w:divBdr>
                <w:top w:val="none" w:sz="0" w:space="0" w:color="auto"/>
                <w:left w:val="none" w:sz="0" w:space="0" w:color="auto"/>
                <w:bottom w:val="none" w:sz="0" w:space="0" w:color="auto"/>
                <w:right w:val="none" w:sz="0" w:space="0" w:color="auto"/>
              </w:divBdr>
            </w:div>
            <w:div w:id="1789542167">
              <w:marLeft w:val="0"/>
              <w:marRight w:val="0"/>
              <w:marTop w:val="0"/>
              <w:marBottom w:val="0"/>
              <w:divBdr>
                <w:top w:val="none" w:sz="0" w:space="0" w:color="auto"/>
                <w:left w:val="none" w:sz="0" w:space="0" w:color="auto"/>
                <w:bottom w:val="none" w:sz="0" w:space="0" w:color="auto"/>
                <w:right w:val="none" w:sz="0" w:space="0" w:color="auto"/>
              </w:divBdr>
            </w:div>
            <w:div w:id="2072538056">
              <w:marLeft w:val="0"/>
              <w:marRight w:val="0"/>
              <w:marTop w:val="0"/>
              <w:marBottom w:val="0"/>
              <w:divBdr>
                <w:top w:val="none" w:sz="0" w:space="0" w:color="auto"/>
                <w:left w:val="none" w:sz="0" w:space="0" w:color="auto"/>
                <w:bottom w:val="none" w:sz="0" w:space="0" w:color="auto"/>
                <w:right w:val="none" w:sz="0" w:space="0" w:color="auto"/>
              </w:divBdr>
            </w:div>
            <w:div w:id="2111387605">
              <w:marLeft w:val="0"/>
              <w:marRight w:val="0"/>
              <w:marTop w:val="0"/>
              <w:marBottom w:val="0"/>
              <w:divBdr>
                <w:top w:val="none" w:sz="0" w:space="0" w:color="auto"/>
                <w:left w:val="none" w:sz="0" w:space="0" w:color="auto"/>
                <w:bottom w:val="none" w:sz="0" w:space="0" w:color="auto"/>
                <w:right w:val="none" w:sz="0" w:space="0" w:color="auto"/>
              </w:divBdr>
            </w:div>
            <w:div w:id="2140873368">
              <w:marLeft w:val="0"/>
              <w:marRight w:val="0"/>
              <w:marTop w:val="0"/>
              <w:marBottom w:val="0"/>
              <w:divBdr>
                <w:top w:val="none" w:sz="0" w:space="0" w:color="auto"/>
                <w:left w:val="none" w:sz="0" w:space="0" w:color="auto"/>
                <w:bottom w:val="none" w:sz="0" w:space="0" w:color="auto"/>
                <w:right w:val="none" w:sz="0" w:space="0" w:color="auto"/>
              </w:divBdr>
            </w:div>
          </w:divsChild>
        </w:div>
        <w:div w:id="1680350825">
          <w:marLeft w:val="0"/>
          <w:marRight w:val="0"/>
          <w:marTop w:val="0"/>
          <w:marBottom w:val="0"/>
          <w:divBdr>
            <w:top w:val="none" w:sz="0" w:space="0" w:color="auto"/>
            <w:left w:val="none" w:sz="0" w:space="0" w:color="auto"/>
            <w:bottom w:val="none" w:sz="0" w:space="0" w:color="auto"/>
            <w:right w:val="none" w:sz="0" w:space="0" w:color="auto"/>
          </w:divBdr>
          <w:divsChild>
            <w:div w:id="365103656">
              <w:marLeft w:val="0"/>
              <w:marRight w:val="0"/>
              <w:marTop w:val="0"/>
              <w:marBottom w:val="0"/>
              <w:divBdr>
                <w:top w:val="none" w:sz="0" w:space="0" w:color="auto"/>
                <w:left w:val="none" w:sz="0" w:space="0" w:color="auto"/>
                <w:bottom w:val="none" w:sz="0" w:space="0" w:color="auto"/>
                <w:right w:val="none" w:sz="0" w:space="0" w:color="auto"/>
              </w:divBdr>
            </w:div>
            <w:div w:id="400754756">
              <w:marLeft w:val="0"/>
              <w:marRight w:val="0"/>
              <w:marTop w:val="0"/>
              <w:marBottom w:val="0"/>
              <w:divBdr>
                <w:top w:val="none" w:sz="0" w:space="0" w:color="auto"/>
                <w:left w:val="none" w:sz="0" w:space="0" w:color="auto"/>
                <w:bottom w:val="none" w:sz="0" w:space="0" w:color="auto"/>
                <w:right w:val="none" w:sz="0" w:space="0" w:color="auto"/>
              </w:divBdr>
            </w:div>
            <w:div w:id="432938765">
              <w:marLeft w:val="0"/>
              <w:marRight w:val="0"/>
              <w:marTop w:val="0"/>
              <w:marBottom w:val="0"/>
              <w:divBdr>
                <w:top w:val="none" w:sz="0" w:space="0" w:color="auto"/>
                <w:left w:val="none" w:sz="0" w:space="0" w:color="auto"/>
                <w:bottom w:val="none" w:sz="0" w:space="0" w:color="auto"/>
                <w:right w:val="none" w:sz="0" w:space="0" w:color="auto"/>
              </w:divBdr>
            </w:div>
            <w:div w:id="442846118">
              <w:marLeft w:val="0"/>
              <w:marRight w:val="0"/>
              <w:marTop w:val="0"/>
              <w:marBottom w:val="0"/>
              <w:divBdr>
                <w:top w:val="none" w:sz="0" w:space="0" w:color="auto"/>
                <w:left w:val="none" w:sz="0" w:space="0" w:color="auto"/>
                <w:bottom w:val="none" w:sz="0" w:space="0" w:color="auto"/>
                <w:right w:val="none" w:sz="0" w:space="0" w:color="auto"/>
              </w:divBdr>
            </w:div>
            <w:div w:id="475681582">
              <w:marLeft w:val="0"/>
              <w:marRight w:val="0"/>
              <w:marTop w:val="0"/>
              <w:marBottom w:val="0"/>
              <w:divBdr>
                <w:top w:val="none" w:sz="0" w:space="0" w:color="auto"/>
                <w:left w:val="none" w:sz="0" w:space="0" w:color="auto"/>
                <w:bottom w:val="none" w:sz="0" w:space="0" w:color="auto"/>
                <w:right w:val="none" w:sz="0" w:space="0" w:color="auto"/>
              </w:divBdr>
            </w:div>
            <w:div w:id="663360065">
              <w:marLeft w:val="0"/>
              <w:marRight w:val="0"/>
              <w:marTop w:val="0"/>
              <w:marBottom w:val="0"/>
              <w:divBdr>
                <w:top w:val="none" w:sz="0" w:space="0" w:color="auto"/>
                <w:left w:val="none" w:sz="0" w:space="0" w:color="auto"/>
                <w:bottom w:val="none" w:sz="0" w:space="0" w:color="auto"/>
                <w:right w:val="none" w:sz="0" w:space="0" w:color="auto"/>
              </w:divBdr>
            </w:div>
            <w:div w:id="777598443">
              <w:marLeft w:val="0"/>
              <w:marRight w:val="0"/>
              <w:marTop w:val="0"/>
              <w:marBottom w:val="0"/>
              <w:divBdr>
                <w:top w:val="none" w:sz="0" w:space="0" w:color="auto"/>
                <w:left w:val="none" w:sz="0" w:space="0" w:color="auto"/>
                <w:bottom w:val="none" w:sz="0" w:space="0" w:color="auto"/>
                <w:right w:val="none" w:sz="0" w:space="0" w:color="auto"/>
              </w:divBdr>
            </w:div>
            <w:div w:id="778992996">
              <w:marLeft w:val="0"/>
              <w:marRight w:val="0"/>
              <w:marTop w:val="0"/>
              <w:marBottom w:val="0"/>
              <w:divBdr>
                <w:top w:val="none" w:sz="0" w:space="0" w:color="auto"/>
                <w:left w:val="none" w:sz="0" w:space="0" w:color="auto"/>
                <w:bottom w:val="none" w:sz="0" w:space="0" w:color="auto"/>
                <w:right w:val="none" w:sz="0" w:space="0" w:color="auto"/>
              </w:divBdr>
            </w:div>
            <w:div w:id="891766251">
              <w:marLeft w:val="0"/>
              <w:marRight w:val="0"/>
              <w:marTop w:val="0"/>
              <w:marBottom w:val="0"/>
              <w:divBdr>
                <w:top w:val="none" w:sz="0" w:space="0" w:color="auto"/>
                <w:left w:val="none" w:sz="0" w:space="0" w:color="auto"/>
                <w:bottom w:val="none" w:sz="0" w:space="0" w:color="auto"/>
                <w:right w:val="none" w:sz="0" w:space="0" w:color="auto"/>
              </w:divBdr>
            </w:div>
            <w:div w:id="909118323">
              <w:marLeft w:val="0"/>
              <w:marRight w:val="0"/>
              <w:marTop w:val="0"/>
              <w:marBottom w:val="0"/>
              <w:divBdr>
                <w:top w:val="none" w:sz="0" w:space="0" w:color="auto"/>
                <w:left w:val="none" w:sz="0" w:space="0" w:color="auto"/>
                <w:bottom w:val="none" w:sz="0" w:space="0" w:color="auto"/>
                <w:right w:val="none" w:sz="0" w:space="0" w:color="auto"/>
              </w:divBdr>
            </w:div>
            <w:div w:id="913012577">
              <w:marLeft w:val="0"/>
              <w:marRight w:val="0"/>
              <w:marTop w:val="0"/>
              <w:marBottom w:val="0"/>
              <w:divBdr>
                <w:top w:val="none" w:sz="0" w:space="0" w:color="auto"/>
                <w:left w:val="none" w:sz="0" w:space="0" w:color="auto"/>
                <w:bottom w:val="none" w:sz="0" w:space="0" w:color="auto"/>
                <w:right w:val="none" w:sz="0" w:space="0" w:color="auto"/>
              </w:divBdr>
            </w:div>
            <w:div w:id="1104574309">
              <w:marLeft w:val="0"/>
              <w:marRight w:val="0"/>
              <w:marTop w:val="0"/>
              <w:marBottom w:val="0"/>
              <w:divBdr>
                <w:top w:val="none" w:sz="0" w:space="0" w:color="auto"/>
                <w:left w:val="none" w:sz="0" w:space="0" w:color="auto"/>
                <w:bottom w:val="none" w:sz="0" w:space="0" w:color="auto"/>
                <w:right w:val="none" w:sz="0" w:space="0" w:color="auto"/>
              </w:divBdr>
            </w:div>
            <w:div w:id="1404334739">
              <w:marLeft w:val="0"/>
              <w:marRight w:val="0"/>
              <w:marTop w:val="0"/>
              <w:marBottom w:val="0"/>
              <w:divBdr>
                <w:top w:val="none" w:sz="0" w:space="0" w:color="auto"/>
                <w:left w:val="none" w:sz="0" w:space="0" w:color="auto"/>
                <w:bottom w:val="none" w:sz="0" w:space="0" w:color="auto"/>
                <w:right w:val="none" w:sz="0" w:space="0" w:color="auto"/>
              </w:divBdr>
            </w:div>
            <w:div w:id="1443257869">
              <w:marLeft w:val="0"/>
              <w:marRight w:val="0"/>
              <w:marTop w:val="0"/>
              <w:marBottom w:val="0"/>
              <w:divBdr>
                <w:top w:val="none" w:sz="0" w:space="0" w:color="auto"/>
                <w:left w:val="none" w:sz="0" w:space="0" w:color="auto"/>
                <w:bottom w:val="none" w:sz="0" w:space="0" w:color="auto"/>
                <w:right w:val="none" w:sz="0" w:space="0" w:color="auto"/>
              </w:divBdr>
            </w:div>
            <w:div w:id="1460492948">
              <w:marLeft w:val="0"/>
              <w:marRight w:val="0"/>
              <w:marTop w:val="0"/>
              <w:marBottom w:val="0"/>
              <w:divBdr>
                <w:top w:val="none" w:sz="0" w:space="0" w:color="auto"/>
                <w:left w:val="none" w:sz="0" w:space="0" w:color="auto"/>
                <w:bottom w:val="none" w:sz="0" w:space="0" w:color="auto"/>
                <w:right w:val="none" w:sz="0" w:space="0" w:color="auto"/>
              </w:divBdr>
            </w:div>
            <w:div w:id="1716812984">
              <w:marLeft w:val="0"/>
              <w:marRight w:val="0"/>
              <w:marTop w:val="0"/>
              <w:marBottom w:val="0"/>
              <w:divBdr>
                <w:top w:val="none" w:sz="0" w:space="0" w:color="auto"/>
                <w:left w:val="none" w:sz="0" w:space="0" w:color="auto"/>
                <w:bottom w:val="none" w:sz="0" w:space="0" w:color="auto"/>
                <w:right w:val="none" w:sz="0" w:space="0" w:color="auto"/>
              </w:divBdr>
            </w:div>
            <w:div w:id="1727407818">
              <w:marLeft w:val="0"/>
              <w:marRight w:val="0"/>
              <w:marTop w:val="0"/>
              <w:marBottom w:val="0"/>
              <w:divBdr>
                <w:top w:val="none" w:sz="0" w:space="0" w:color="auto"/>
                <w:left w:val="none" w:sz="0" w:space="0" w:color="auto"/>
                <w:bottom w:val="none" w:sz="0" w:space="0" w:color="auto"/>
                <w:right w:val="none" w:sz="0" w:space="0" w:color="auto"/>
              </w:divBdr>
            </w:div>
            <w:div w:id="1903560104">
              <w:marLeft w:val="0"/>
              <w:marRight w:val="0"/>
              <w:marTop w:val="0"/>
              <w:marBottom w:val="0"/>
              <w:divBdr>
                <w:top w:val="none" w:sz="0" w:space="0" w:color="auto"/>
                <w:left w:val="none" w:sz="0" w:space="0" w:color="auto"/>
                <w:bottom w:val="none" w:sz="0" w:space="0" w:color="auto"/>
                <w:right w:val="none" w:sz="0" w:space="0" w:color="auto"/>
              </w:divBdr>
            </w:div>
            <w:div w:id="1996839618">
              <w:marLeft w:val="0"/>
              <w:marRight w:val="0"/>
              <w:marTop w:val="0"/>
              <w:marBottom w:val="0"/>
              <w:divBdr>
                <w:top w:val="none" w:sz="0" w:space="0" w:color="auto"/>
                <w:left w:val="none" w:sz="0" w:space="0" w:color="auto"/>
                <w:bottom w:val="none" w:sz="0" w:space="0" w:color="auto"/>
                <w:right w:val="none" w:sz="0" w:space="0" w:color="auto"/>
              </w:divBdr>
            </w:div>
            <w:div w:id="2094811154">
              <w:marLeft w:val="0"/>
              <w:marRight w:val="0"/>
              <w:marTop w:val="0"/>
              <w:marBottom w:val="0"/>
              <w:divBdr>
                <w:top w:val="none" w:sz="0" w:space="0" w:color="auto"/>
                <w:left w:val="none" w:sz="0" w:space="0" w:color="auto"/>
                <w:bottom w:val="none" w:sz="0" w:space="0" w:color="auto"/>
                <w:right w:val="none" w:sz="0" w:space="0" w:color="auto"/>
              </w:divBdr>
            </w:div>
          </w:divsChild>
        </w:div>
        <w:div w:id="1785998491">
          <w:marLeft w:val="0"/>
          <w:marRight w:val="0"/>
          <w:marTop w:val="0"/>
          <w:marBottom w:val="0"/>
          <w:divBdr>
            <w:top w:val="none" w:sz="0" w:space="0" w:color="auto"/>
            <w:left w:val="none" w:sz="0" w:space="0" w:color="auto"/>
            <w:bottom w:val="none" w:sz="0" w:space="0" w:color="auto"/>
            <w:right w:val="none" w:sz="0" w:space="0" w:color="auto"/>
          </w:divBdr>
          <w:divsChild>
            <w:div w:id="30037030">
              <w:marLeft w:val="0"/>
              <w:marRight w:val="0"/>
              <w:marTop w:val="0"/>
              <w:marBottom w:val="0"/>
              <w:divBdr>
                <w:top w:val="none" w:sz="0" w:space="0" w:color="auto"/>
                <w:left w:val="none" w:sz="0" w:space="0" w:color="auto"/>
                <w:bottom w:val="none" w:sz="0" w:space="0" w:color="auto"/>
                <w:right w:val="none" w:sz="0" w:space="0" w:color="auto"/>
              </w:divBdr>
            </w:div>
            <w:div w:id="117260416">
              <w:marLeft w:val="0"/>
              <w:marRight w:val="0"/>
              <w:marTop w:val="0"/>
              <w:marBottom w:val="0"/>
              <w:divBdr>
                <w:top w:val="none" w:sz="0" w:space="0" w:color="auto"/>
                <w:left w:val="none" w:sz="0" w:space="0" w:color="auto"/>
                <w:bottom w:val="none" w:sz="0" w:space="0" w:color="auto"/>
                <w:right w:val="none" w:sz="0" w:space="0" w:color="auto"/>
              </w:divBdr>
            </w:div>
            <w:div w:id="122501700">
              <w:marLeft w:val="0"/>
              <w:marRight w:val="0"/>
              <w:marTop w:val="0"/>
              <w:marBottom w:val="0"/>
              <w:divBdr>
                <w:top w:val="none" w:sz="0" w:space="0" w:color="auto"/>
                <w:left w:val="none" w:sz="0" w:space="0" w:color="auto"/>
                <w:bottom w:val="none" w:sz="0" w:space="0" w:color="auto"/>
                <w:right w:val="none" w:sz="0" w:space="0" w:color="auto"/>
              </w:divBdr>
            </w:div>
            <w:div w:id="198057682">
              <w:marLeft w:val="0"/>
              <w:marRight w:val="0"/>
              <w:marTop w:val="0"/>
              <w:marBottom w:val="0"/>
              <w:divBdr>
                <w:top w:val="none" w:sz="0" w:space="0" w:color="auto"/>
                <w:left w:val="none" w:sz="0" w:space="0" w:color="auto"/>
                <w:bottom w:val="none" w:sz="0" w:space="0" w:color="auto"/>
                <w:right w:val="none" w:sz="0" w:space="0" w:color="auto"/>
              </w:divBdr>
            </w:div>
            <w:div w:id="243102486">
              <w:marLeft w:val="0"/>
              <w:marRight w:val="0"/>
              <w:marTop w:val="0"/>
              <w:marBottom w:val="0"/>
              <w:divBdr>
                <w:top w:val="none" w:sz="0" w:space="0" w:color="auto"/>
                <w:left w:val="none" w:sz="0" w:space="0" w:color="auto"/>
                <w:bottom w:val="none" w:sz="0" w:space="0" w:color="auto"/>
                <w:right w:val="none" w:sz="0" w:space="0" w:color="auto"/>
              </w:divBdr>
            </w:div>
            <w:div w:id="310521858">
              <w:marLeft w:val="0"/>
              <w:marRight w:val="0"/>
              <w:marTop w:val="0"/>
              <w:marBottom w:val="0"/>
              <w:divBdr>
                <w:top w:val="none" w:sz="0" w:space="0" w:color="auto"/>
                <w:left w:val="none" w:sz="0" w:space="0" w:color="auto"/>
                <w:bottom w:val="none" w:sz="0" w:space="0" w:color="auto"/>
                <w:right w:val="none" w:sz="0" w:space="0" w:color="auto"/>
              </w:divBdr>
            </w:div>
            <w:div w:id="500125979">
              <w:marLeft w:val="0"/>
              <w:marRight w:val="0"/>
              <w:marTop w:val="0"/>
              <w:marBottom w:val="0"/>
              <w:divBdr>
                <w:top w:val="none" w:sz="0" w:space="0" w:color="auto"/>
                <w:left w:val="none" w:sz="0" w:space="0" w:color="auto"/>
                <w:bottom w:val="none" w:sz="0" w:space="0" w:color="auto"/>
                <w:right w:val="none" w:sz="0" w:space="0" w:color="auto"/>
              </w:divBdr>
            </w:div>
            <w:div w:id="542139787">
              <w:marLeft w:val="0"/>
              <w:marRight w:val="0"/>
              <w:marTop w:val="0"/>
              <w:marBottom w:val="0"/>
              <w:divBdr>
                <w:top w:val="none" w:sz="0" w:space="0" w:color="auto"/>
                <w:left w:val="none" w:sz="0" w:space="0" w:color="auto"/>
                <w:bottom w:val="none" w:sz="0" w:space="0" w:color="auto"/>
                <w:right w:val="none" w:sz="0" w:space="0" w:color="auto"/>
              </w:divBdr>
            </w:div>
            <w:div w:id="550071136">
              <w:marLeft w:val="0"/>
              <w:marRight w:val="0"/>
              <w:marTop w:val="0"/>
              <w:marBottom w:val="0"/>
              <w:divBdr>
                <w:top w:val="none" w:sz="0" w:space="0" w:color="auto"/>
                <w:left w:val="none" w:sz="0" w:space="0" w:color="auto"/>
                <w:bottom w:val="none" w:sz="0" w:space="0" w:color="auto"/>
                <w:right w:val="none" w:sz="0" w:space="0" w:color="auto"/>
              </w:divBdr>
            </w:div>
            <w:div w:id="562066913">
              <w:marLeft w:val="0"/>
              <w:marRight w:val="0"/>
              <w:marTop w:val="0"/>
              <w:marBottom w:val="0"/>
              <w:divBdr>
                <w:top w:val="none" w:sz="0" w:space="0" w:color="auto"/>
                <w:left w:val="none" w:sz="0" w:space="0" w:color="auto"/>
                <w:bottom w:val="none" w:sz="0" w:space="0" w:color="auto"/>
                <w:right w:val="none" w:sz="0" w:space="0" w:color="auto"/>
              </w:divBdr>
            </w:div>
            <w:div w:id="590970862">
              <w:marLeft w:val="0"/>
              <w:marRight w:val="0"/>
              <w:marTop w:val="0"/>
              <w:marBottom w:val="0"/>
              <w:divBdr>
                <w:top w:val="none" w:sz="0" w:space="0" w:color="auto"/>
                <w:left w:val="none" w:sz="0" w:space="0" w:color="auto"/>
                <w:bottom w:val="none" w:sz="0" w:space="0" w:color="auto"/>
                <w:right w:val="none" w:sz="0" w:space="0" w:color="auto"/>
              </w:divBdr>
            </w:div>
            <w:div w:id="862940643">
              <w:marLeft w:val="0"/>
              <w:marRight w:val="0"/>
              <w:marTop w:val="0"/>
              <w:marBottom w:val="0"/>
              <w:divBdr>
                <w:top w:val="none" w:sz="0" w:space="0" w:color="auto"/>
                <w:left w:val="none" w:sz="0" w:space="0" w:color="auto"/>
                <w:bottom w:val="none" w:sz="0" w:space="0" w:color="auto"/>
                <w:right w:val="none" w:sz="0" w:space="0" w:color="auto"/>
              </w:divBdr>
            </w:div>
            <w:div w:id="912398112">
              <w:marLeft w:val="0"/>
              <w:marRight w:val="0"/>
              <w:marTop w:val="0"/>
              <w:marBottom w:val="0"/>
              <w:divBdr>
                <w:top w:val="none" w:sz="0" w:space="0" w:color="auto"/>
                <w:left w:val="none" w:sz="0" w:space="0" w:color="auto"/>
                <w:bottom w:val="none" w:sz="0" w:space="0" w:color="auto"/>
                <w:right w:val="none" w:sz="0" w:space="0" w:color="auto"/>
              </w:divBdr>
            </w:div>
            <w:div w:id="1268154070">
              <w:marLeft w:val="0"/>
              <w:marRight w:val="0"/>
              <w:marTop w:val="0"/>
              <w:marBottom w:val="0"/>
              <w:divBdr>
                <w:top w:val="none" w:sz="0" w:space="0" w:color="auto"/>
                <w:left w:val="none" w:sz="0" w:space="0" w:color="auto"/>
                <w:bottom w:val="none" w:sz="0" w:space="0" w:color="auto"/>
                <w:right w:val="none" w:sz="0" w:space="0" w:color="auto"/>
              </w:divBdr>
            </w:div>
            <w:div w:id="1276331102">
              <w:marLeft w:val="0"/>
              <w:marRight w:val="0"/>
              <w:marTop w:val="0"/>
              <w:marBottom w:val="0"/>
              <w:divBdr>
                <w:top w:val="none" w:sz="0" w:space="0" w:color="auto"/>
                <w:left w:val="none" w:sz="0" w:space="0" w:color="auto"/>
                <w:bottom w:val="none" w:sz="0" w:space="0" w:color="auto"/>
                <w:right w:val="none" w:sz="0" w:space="0" w:color="auto"/>
              </w:divBdr>
            </w:div>
            <w:div w:id="1455831663">
              <w:marLeft w:val="0"/>
              <w:marRight w:val="0"/>
              <w:marTop w:val="0"/>
              <w:marBottom w:val="0"/>
              <w:divBdr>
                <w:top w:val="none" w:sz="0" w:space="0" w:color="auto"/>
                <w:left w:val="none" w:sz="0" w:space="0" w:color="auto"/>
                <w:bottom w:val="none" w:sz="0" w:space="0" w:color="auto"/>
                <w:right w:val="none" w:sz="0" w:space="0" w:color="auto"/>
              </w:divBdr>
            </w:div>
            <w:div w:id="1522232885">
              <w:marLeft w:val="0"/>
              <w:marRight w:val="0"/>
              <w:marTop w:val="0"/>
              <w:marBottom w:val="0"/>
              <w:divBdr>
                <w:top w:val="none" w:sz="0" w:space="0" w:color="auto"/>
                <w:left w:val="none" w:sz="0" w:space="0" w:color="auto"/>
                <w:bottom w:val="none" w:sz="0" w:space="0" w:color="auto"/>
                <w:right w:val="none" w:sz="0" w:space="0" w:color="auto"/>
              </w:divBdr>
            </w:div>
            <w:div w:id="1603875033">
              <w:marLeft w:val="0"/>
              <w:marRight w:val="0"/>
              <w:marTop w:val="0"/>
              <w:marBottom w:val="0"/>
              <w:divBdr>
                <w:top w:val="none" w:sz="0" w:space="0" w:color="auto"/>
                <w:left w:val="none" w:sz="0" w:space="0" w:color="auto"/>
                <w:bottom w:val="none" w:sz="0" w:space="0" w:color="auto"/>
                <w:right w:val="none" w:sz="0" w:space="0" w:color="auto"/>
              </w:divBdr>
            </w:div>
            <w:div w:id="1680355242">
              <w:marLeft w:val="0"/>
              <w:marRight w:val="0"/>
              <w:marTop w:val="0"/>
              <w:marBottom w:val="0"/>
              <w:divBdr>
                <w:top w:val="none" w:sz="0" w:space="0" w:color="auto"/>
                <w:left w:val="none" w:sz="0" w:space="0" w:color="auto"/>
                <w:bottom w:val="none" w:sz="0" w:space="0" w:color="auto"/>
                <w:right w:val="none" w:sz="0" w:space="0" w:color="auto"/>
              </w:divBdr>
            </w:div>
            <w:div w:id="1816870338">
              <w:marLeft w:val="0"/>
              <w:marRight w:val="0"/>
              <w:marTop w:val="0"/>
              <w:marBottom w:val="0"/>
              <w:divBdr>
                <w:top w:val="none" w:sz="0" w:space="0" w:color="auto"/>
                <w:left w:val="none" w:sz="0" w:space="0" w:color="auto"/>
                <w:bottom w:val="none" w:sz="0" w:space="0" w:color="auto"/>
                <w:right w:val="none" w:sz="0" w:space="0" w:color="auto"/>
              </w:divBdr>
            </w:div>
          </w:divsChild>
        </w:div>
        <w:div w:id="1832522150">
          <w:marLeft w:val="0"/>
          <w:marRight w:val="0"/>
          <w:marTop w:val="0"/>
          <w:marBottom w:val="0"/>
          <w:divBdr>
            <w:top w:val="none" w:sz="0" w:space="0" w:color="auto"/>
            <w:left w:val="none" w:sz="0" w:space="0" w:color="auto"/>
            <w:bottom w:val="none" w:sz="0" w:space="0" w:color="auto"/>
            <w:right w:val="none" w:sz="0" w:space="0" w:color="auto"/>
          </w:divBdr>
          <w:divsChild>
            <w:div w:id="51126050">
              <w:marLeft w:val="0"/>
              <w:marRight w:val="0"/>
              <w:marTop w:val="0"/>
              <w:marBottom w:val="0"/>
              <w:divBdr>
                <w:top w:val="none" w:sz="0" w:space="0" w:color="auto"/>
                <w:left w:val="none" w:sz="0" w:space="0" w:color="auto"/>
                <w:bottom w:val="none" w:sz="0" w:space="0" w:color="auto"/>
                <w:right w:val="none" w:sz="0" w:space="0" w:color="auto"/>
              </w:divBdr>
            </w:div>
            <w:div w:id="125899337">
              <w:marLeft w:val="0"/>
              <w:marRight w:val="0"/>
              <w:marTop w:val="0"/>
              <w:marBottom w:val="0"/>
              <w:divBdr>
                <w:top w:val="none" w:sz="0" w:space="0" w:color="auto"/>
                <w:left w:val="none" w:sz="0" w:space="0" w:color="auto"/>
                <w:bottom w:val="none" w:sz="0" w:space="0" w:color="auto"/>
                <w:right w:val="none" w:sz="0" w:space="0" w:color="auto"/>
              </w:divBdr>
            </w:div>
            <w:div w:id="179515295">
              <w:marLeft w:val="0"/>
              <w:marRight w:val="0"/>
              <w:marTop w:val="0"/>
              <w:marBottom w:val="0"/>
              <w:divBdr>
                <w:top w:val="none" w:sz="0" w:space="0" w:color="auto"/>
                <w:left w:val="none" w:sz="0" w:space="0" w:color="auto"/>
                <w:bottom w:val="none" w:sz="0" w:space="0" w:color="auto"/>
                <w:right w:val="none" w:sz="0" w:space="0" w:color="auto"/>
              </w:divBdr>
            </w:div>
            <w:div w:id="366680701">
              <w:marLeft w:val="0"/>
              <w:marRight w:val="0"/>
              <w:marTop w:val="0"/>
              <w:marBottom w:val="0"/>
              <w:divBdr>
                <w:top w:val="none" w:sz="0" w:space="0" w:color="auto"/>
                <w:left w:val="none" w:sz="0" w:space="0" w:color="auto"/>
                <w:bottom w:val="none" w:sz="0" w:space="0" w:color="auto"/>
                <w:right w:val="none" w:sz="0" w:space="0" w:color="auto"/>
              </w:divBdr>
            </w:div>
            <w:div w:id="426510139">
              <w:marLeft w:val="0"/>
              <w:marRight w:val="0"/>
              <w:marTop w:val="0"/>
              <w:marBottom w:val="0"/>
              <w:divBdr>
                <w:top w:val="none" w:sz="0" w:space="0" w:color="auto"/>
                <w:left w:val="none" w:sz="0" w:space="0" w:color="auto"/>
                <w:bottom w:val="none" w:sz="0" w:space="0" w:color="auto"/>
                <w:right w:val="none" w:sz="0" w:space="0" w:color="auto"/>
              </w:divBdr>
            </w:div>
            <w:div w:id="431820334">
              <w:marLeft w:val="0"/>
              <w:marRight w:val="0"/>
              <w:marTop w:val="0"/>
              <w:marBottom w:val="0"/>
              <w:divBdr>
                <w:top w:val="none" w:sz="0" w:space="0" w:color="auto"/>
                <w:left w:val="none" w:sz="0" w:space="0" w:color="auto"/>
                <w:bottom w:val="none" w:sz="0" w:space="0" w:color="auto"/>
                <w:right w:val="none" w:sz="0" w:space="0" w:color="auto"/>
              </w:divBdr>
            </w:div>
            <w:div w:id="709232475">
              <w:marLeft w:val="0"/>
              <w:marRight w:val="0"/>
              <w:marTop w:val="0"/>
              <w:marBottom w:val="0"/>
              <w:divBdr>
                <w:top w:val="none" w:sz="0" w:space="0" w:color="auto"/>
                <w:left w:val="none" w:sz="0" w:space="0" w:color="auto"/>
                <w:bottom w:val="none" w:sz="0" w:space="0" w:color="auto"/>
                <w:right w:val="none" w:sz="0" w:space="0" w:color="auto"/>
              </w:divBdr>
            </w:div>
            <w:div w:id="709917492">
              <w:marLeft w:val="0"/>
              <w:marRight w:val="0"/>
              <w:marTop w:val="0"/>
              <w:marBottom w:val="0"/>
              <w:divBdr>
                <w:top w:val="none" w:sz="0" w:space="0" w:color="auto"/>
                <w:left w:val="none" w:sz="0" w:space="0" w:color="auto"/>
                <w:bottom w:val="none" w:sz="0" w:space="0" w:color="auto"/>
                <w:right w:val="none" w:sz="0" w:space="0" w:color="auto"/>
              </w:divBdr>
            </w:div>
            <w:div w:id="752552913">
              <w:marLeft w:val="0"/>
              <w:marRight w:val="0"/>
              <w:marTop w:val="0"/>
              <w:marBottom w:val="0"/>
              <w:divBdr>
                <w:top w:val="none" w:sz="0" w:space="0" w:color="auto"/>
                <w:left w:val="none" w:sz="0" w:space="0" w:color="auto"/>
                <w:bottom w:val="none" w:sz="0" w:space="0" w:color="auto"/>
                <w:right w:val="none" w:sz="0" w:space="0" w:color="auto"/>
              </w:divBdr>
            </w:div>
            <w:div w:id="907573673">
              <w:marLeft w:val="0"/>
              <w:marRight w:val="0"/>
              <w:marTop w:val="0"/>
              <w:marBottom w:val="0"/>
              <w:divBdr>
                <w:top w:val="none" w:sz="0" w:space="0" w:color="auto"/>
                <w:left w:val="none" w:sz="0" w:space="0" w:color="auto"/>
                <w:bottom w:val="none" w:sz="0" w:space="0" w:color="auto"/>
                <w:right w:val="none" w:sz="0" w:space="0" w:color="auto"/>
              </w:divBdr>
            </w:div>
            <w:div w:id="977956262">
              <w:marLeft w:val="0"/>
              <w:marRight w:val="0"/>
              <w:marTop w:val="0"/>
              <w:marBottom w:val="0"/>
              <w:divBdr>
                <w:top w:val="none" w:sz="0" w:space="0" w:color="auto"/>
                <w:left w:val="none" w:sz="0" w:space="0" w:color="auto"/>
                <w:bottom w:val="none" w:sz="0" w:space="0" w:color="auto"/>
                <w:right w:val="none" w:sz="0" w:space="0" w:color="auto"/>
              </w:divBdr>
            </w:div>
            <w:div w:id="993795218">
              <w:marLeft w:val="0"/>
              <w:marRight w:val="0"/>
              <w:marTop w:val="0"/>
              <w:marBottom w:val="0"/>
              <w:divBdr>
                <w:top w:val="none" w:sz="0" w:space="0" w:color="auto"/>
                <w:left w:val="none" w:sz="0" w:space="0" w:color="auto"/>
                <w:bottom w:val="none" w:sz="0" w:space="0" w:color="auto"/>
                <w:right w:val="none" w:sz="0" w:space="0" w:color="auto"/>
              </w:divBdr>
            </w:div>
            <w:div w:id="1039477282">
              <w:marLeft w:val="0"/>
              <w:marRight w:val="0"/>
              <w:marTop w:val="0"/>
              <w:marBottom w:val="0"/>
              <w:divBdr>
                <w:top w:val="none" w:sz="0" w:space="0" w:color="auto"/>
                <w:left w:val="none" w:sz="0" w:space="0" w:color="auto"/>
                <w:bottom w:val="none" w:sz="0" w:space="0" w:color="auto"/>
                <w:right w:val="none" w:sz="0" w:space="0" w:color="auto"/>
              </w:divBdr>
            </w:div>
            <w:div w:id="1177694910">
              <w:marLeft w:val="0"/>
              <w:marRight w:val="0"/>
              <w:marTop w:val="0"/>
              <w:marBottom w:val="0"/>
              <w:divBdr>
                <w:top w:val="none" w:sz="0" w:space="0" w:color="auto"/>
                <w:left w:val="none" w:sz="0" w:space="0" w:color="auto"/>
                <w:bottom w:val="none" w:sz="0" w:space="0" w:color="auto"/>
                <w:right w:val="none" w:sz="0" w:space="0" w:color="auto"/>
              </w:divBdr>
            </w:div>
            <w:div w:id="1519273013">
              <w:marLeft w:val="0"/>
              <w:marRight w:val="0"/>
              <w:marTop w:val="0"/>
              <w:marBottom w:val="0"/>
              <w:divBdr>
                <w:top w:val="none" w:sz="0" w:space="0" w:color="auto"/>
                <w:left w:val="none" w:sz="0" w:space="0" w:color="auto"/>
                <w:bottom w:val="none" w:sz="0" w:space="0" w:color="auto"/>
                <w:right w:val="none" w:sz="0" w:space="0" w:color="auto"/>
              </w:divBdr>
            </w:div>
            <w:div w:id="1661881757">
              <w:marLeft w:val="0"/>
              <w:marRight w:val="0"/>
              <w:marTop w:val="0"/>
              <w:marBottom w:val="0"/>
              <w:divBdr>
                <w:top w:val="none" w:sz="0" w:space="0" w:color="auto"/>
                <w:left w:val="none" w:sz="0" w:space="0" w:color="auto"/>
                <w:bottom w:val="none" w:sz="0" w:space="0" w:color="auto"/>
                <w:right w:val="none" w:sz="0" w:space="0" w:color="auto"/>
              </w:divBdr>
            </w:div>
            <w:div w:id="1824619025">
              <w:marLeft w:val="0"/>
              <w:marRight w:val="0"/>
              <w:marTop w:val="0"/>
              <w:marBottom w:val="0"/>
              <w:divBdr>
                <w:top w:val="none" w:sz="0" w:space="0" w:color="auto"/>
                <w:left w:val="none" w:sz="0" w:space="0" w:color="auto"/>
                <w:bottom w:val="none" w:sz="0" w:space="0" w:color="auto"/>
                <w:right w:val="none" w:sz="0" w:space="0" w:color="auto"/>
              </w:divBdr>
            </w:div>
            <w:div w:id="1856454847">
              <w:marLeft w:val="0"/>
              <w:marRight w:val="0"/>
              <w:marTop w:val="0"/>
              <w:marBottom w:val="0"/>
              <w:divBdr>
                <w:top w:val="none" w:sz="0" w:space="0" w:color="auto"/>
                <w:left w:val="none" w:sz="0" w:space="0" w:color="auto"/>
                <w:bottom w:val="none" w:sz="0" w:space="0" w:color="auto"/>
                <w:right w:val="none" w:sz="0" w:space="0" w:color="auto"/>
              </w:divBdr>
            </w:div>
            <w:div w:id="2106727399">
              <w:marLeft w:val="0"/>
              <w:marRight w:val="0"/>
              <w:marTop w:val="0"/>
              <w:marBottom w:val="0"/>
              <w:divBdr>
                <w:top w:val="none" w:sz="0" w:space="0" w:color="auto"/>
                <w:left w:val="none" w:sz="0" w:space="0" w:color="auto"/>
                <w:bottom w:val="none" w:sz="0" w:space="0" w:color="auto"/>
                <w:right w:val="none" w:sz="0" w:space="0" w:color="auto"/>
              </w:divBdr>
            </w:div>
            <w:div w:id="2130856267">
              <w:marLeft w:val="0"/>
              <w:marRight w:val="0"/>
              <w:marTop w:val="0"/>
              <w:marBottom w:val="0"/>
              <w:divBdr>
                <w:top w:val="none" w:sz="0" w:space="0" w:color="auto"/>
                <w:left w:val="none" w:sz="0" w:space="0" w:color="auto"/>
                <w:bottom w:val="none" w:sz="0" w:space="0" w:color="auto"/>
                <w:right w:val="none" w:sz="0" w:space="0" w:color="auto"/>
              </w:divBdr>
            </w:div>
          </w:divsChild>
        </w:div>
        <w:div w:id="1853062469">
          <w:marLeft w:val="0"/>
          <w:marRight w:val="0"/>
          <w:marTop w:val="0"/>
          <w:marBottom w:val="0"/>
          <w:divBdr>
            <w:top w:val="none" w:sz="0" w:space="0" w:color="auto"/>
            <w:left w:val="none" w:sz="0" w:space="0" w:color="auto"/>
            <w:bottom w:val="none" w:sz="0" w:space="0" w:color="auto"/>
            <w:right w:val="none" w:sz="0" w:space="0" w:color="auto"/>
          </w:divBdr>
          <w:divsChild>
            <w:div w:id="130028512">
              <w:marLeft w:val="0"/>
              <w:marRight w:val="0"/>
              <w:marTop w:val="0"/>
              <w:marBottom w:val="0"/>
              <w:divBdr>
                <w:top w:val="none" w:sz="0" w:space="0" w:color="auto"/>
                <w:left w:val="none" w:sz="0" w:space="0" w:color="auto"/>
                <w:bottom w:val="none" w:sz="0" w:space="0" w:color="auto"/>
                <w:right w:val="none" w:sz="0" w:space="0" w:color="auto"/>
              </w:divBdr>
            </w:div>
            <w:div w:id="196354576">
              <w:marLeft w:val="0"/>
              <w:marRight w:val="0"/>
              <w:marTop w:val="0"/>
              <w:marBottom w:val="0"/>
              <w:divBdr>
                <w:top w:val="none" w:sz="0" w:space="0" w:color="auto"/>
                <w:left w:val="none" w:sz="0" w:space="0" w:color="auto"/>
                <w:bottom w:val="none" w:sz="0" w:space="0" w:color="auto"/>
                <w:right w:val="none" w:sz="0" w:space="0" w:color="auto"/>
              </w:divBdr>
            </w:div>
            <w:div w:id="353503384">
              <w:marLeft w:val="0"/>
              <w:marRight w:val="0"/>
              <w:marTop w:val="0"/>
              <w:marBottom w:val="0"/>
              <w:divBdr>
                <w:top w:val="none" w:sz="0" w:space="0" w:color="auto"/>
                <w:left w:val="none" w:sz="0" w:space="0" w:color="auto"/>
                <w:bottom w:val="none" w:sz="0" w:space="0" w:color="auto"/>
                <w:right w:val="none" w:sz="0" w:space="0" w:color="auto"/>
              </w:divBdr>
            </w:div>
            <w:div w:id="470292087">
              <w:marLeft w:val="0"/>
              <w:marRight w:val="0"/>
              <w:marTop w:val="0"/>
              <w:marBottom w:val="0"/>
              <w:divBdr>
                <w:top w:val="none" w:sz="0" w:space="0" w:color="auto"/>
                <w:left w:val="none" w:sz="0" w:space="0" w:color="auto"/>
                <w:bottom w:val="none" w:sz="0" w:space="0" w:color="auto"/>
                <w:right w:val="none" w:sz="0" w:space="0" w:color="auto"/>
              </w:divBdr>
            </w:div>
            <w:div w:id="674497300">
              <w:marLeft w:val="0"/>
              <w:marRight w:val="0"/>
              <w:marTop w:val="0"/>
              <w:marBottom w:val="0"/>
              <w:divBdr>
                <w:top w:val="none" w:sz="0" w:space="0" w:color="auto"/>
                <w:left w:val="none" w:sz="0" w:space="0" w:color="auto"/>
                <w:bottom w:val="none" w:sz="0" w:space="0" w:color="auto"/>
                <w:right w:val="none" w:sz="0" w:space="0" w:color="auto"/>
              </w:divBdr>
            </w:div>
            <w:div w:id="682098861">
              <w:marLeft w:val="0"/>
              <w:marRight w:val="0"/>
              <w:marTop w:val="0"/>
              <w:marBottom w:val="0"/>
              <w:divBdr>
                <w:top w:val="none" w:sz="0" w:space="0" w:color="auto"/>
                <w:left w:val="none" w:sz="0" w:space="0" w:color="auto"/>
                <w:bottom w:val="none" w:sz="0" w:space="0" w:color="auto"/>
                <w:right w:val="none" w:sz="0" w:space="0" w:color="auto"/>
              </w:divBdr>
            </w:div>
            <w:div w:id="734475076">
              <w:marLeft w:val="0"/>
              <w:marRight w:val="0"/>
              <w:marTop w:val="0"/>
              <w:marBottom w:val="0"/>
              <w:divBdr>
                <w:top w:val="none" w:sz="0" w:space="0" w:color="auto"/>
                <w:left w:val="none" w:sz="0" w:space="0" w:color="auto"/>
                <w:bottom w:val="none" w:sz="0" w:space="0" w:color="auto"/>
                <w:right w:val="none" w:sz="0" w:space="0" w:color="auto"/>
              </w:divBdr>
            </w:div>
            <w:div w:id="823814164">
              <w:marLeft w:val="0"/>
              <w:marRight w:val="0"/>
              <w:marTop w:val="0"/>
              <w:marBottom w:val="0"/>
              <w:divBdr>
                <w:top w:val="none" w:sz="0" w:space="0" w:color="auto"/>
                <w:left w:val="none" w:sz="0" w:space="0" w:color="auto"/>
                <w:bottom w:val="none" w:sz="0" w:space="0" w:color="auto"/>
                <w:right w:val="none" w:sz="0" w:space="0" w:color="auto"/>
              </w:divBdr>
            </w:div>
            <w:div w:id="851921045">
              <w:marLeft w:val="0"/>
              <w:marRight w:val="0"/>
              <w:marTop w:val="0"/>
              <w:marBottom w:val="0"/>
              <w:divBdr>
                <w:top w:val="none" w:sz="0" w:space="0" w:color="auto"/>
                <w:left w:val="none" w:sz="0" w:space="0" w:color="auto"/>
                <w:bottom w:val="none" w:sz="0" w:space="0" w:color="auto"/>
                <w:right w:val="none" w:sz="0" w:space="0" w:color="auto"/>
              </w:divBdr>
            </w:div>
            <w:div w:id="1145244592">
              <w:marLeft w:val="0"/>
              <w:marRight w:val="0"/>
              <w:marTop w:val="0"/>
              <w:marBottom w:val="0"/>
              <w:divBdr>
                <w:top w:val="none" w:sz="0" w:space="0" w:color="auto"/>
                <w:left w:val="none" w:sz="0" w:space="0" w:color="auto"/>
                <w:bottom w:val="none" w:sz="0" w:space="0" w:color="auto"/>
                <w:right w:val="none" w:sz="0" w:space="0" w:color="auto"/>
              </w:divBdr>
            </w:div>
            <w:div w:id="1321230597">
              <w:marLeft w:val="0"/>
              <w:marRight w:val="0"/>
              <w:marTop w:val="0"/>
              <w:marBottom w:val="0"/>
              <w:divBdr>
                <w:top w:val="none" w:sz="0" w:space="0" w:color="auto"/>
                <w:left w:val="none" w:sz="0" w:space="0" w:color="auto"/>
                <w:bottom w:val="none" w:sz="0" w:space="0" w:color="auto"/>
                <w:right w:val="none" w:sz="0" w:space="0" w:color="auto"/>
              </w:divBdr>
            </w:div>
            <w:div w:id="1332026441">
              <w:marLeft w:val="0"/>
              <w:marRight w:val="0"/>
              <w:marTop w:val="0"/>
              <w:marBottom w:val="0"/>
              <w:divBdr>
                <w:top w:val="none" w:sz="0" w:space="0" w:color="auto"/>
                <w:left w:val="none" w:sz="0" w:space="0" w:color="auto"/>
                <w:bottom w:val="none" w:sz="0" w:space="0" w:color="auto"/>
                <w:right w:val="none" w:sz="0" w:space="0" w:color="auto"/>
              </w:divBdr>
            </w:div>
            <w:div w:id="1476484338">
              <w:marLeft w:val="0"/>
              <w:marRight w:val="0"/>
              <w:marTop w:val="0"/>
              <w:marBottom w:val="0"/>
              <w:divBdr>
                <w:top w:val="none" w:sz="0" w:space="0" w:color="auto"/>
                <w:left w:val="none" w:sz="0" w:space="0" w:color="auto"/>
                <w:bottom w:val="none" w:sz="0" w:space="0" w:color="auto"/>
                <w:right w:val="none" w:sz="0" w:space="0" w:color="auto"/>
              </w:divBdr>
            </w:div>
            <w:div w:id="1622956259">
              <w:marLeft w:val="0"/>
              <w:marRight w:val="0"/>
              <w:marTop w:val="0"/>
              <w:marBottom w:val="0"/>
              <w:divBdr>
                <w:top w:val="none" w:sz="0" w:space="0" w:color="auto"/>
                <w:left w:val="none" w:sz="0" w:space="0" w:color="auto"/>
                <w:bottom w:val="none" w:sz="0" w:space="0" w:color="auto"/>
                <w:right w:val="none" w:sz="0" w:space="0" w:color="auto"/>
              </w:divBdr>
            </w:div>
            <w:div w:id="1795444698">
              <w:marLeft w:val="0"/>
              <w:marRight w:val="0"/>
              <w:marTop w:val="0"/>
              <w:marBottom w:val="0"/>
              <w:divBdr>
                <w:top w:val="none" w:sz="0" w:space="0" w:color="auto"/>
                <w:left w:val="none" w:sz="0" w:space="0" w:color="auto"/>
                <w:bottom w:val="none" w:sz="0" w:space="0" w:color="auto"/>
                <w:right w:val="none" w:sz="0" w:space="0" w:color="auto"/>
              </w:divBdr>
            </w:div>
            <w:div w:id="1902523045">
              <w:marLeft w:val="0"/>
              <w:marRight w:val="0"/>
              <w:marTop w:val="0"/>
              <w:marBottom w:val="0"/>
              <w:divBdr>
                <w:top w:val="none" w:sz="0" w:space="0" w:color="auto"/>
                <w:left w:val="none" w:sz="0" w:space="0" w:color="auto"/>
                <w:bottom w:val="none" w:sz="0" w:space="0" w:color="auto"/>
                <w:right w:val="none" w:sz="0" w:space="0" w:color="auto"/>
              </w:divBdr>
            </w:div>
            <w:div w:id="1946307545">
              <w:marLeft w:val="0"/>
              <w:marRight w:val="0"/>
              <w:marTop w:val="0"/>
              <w:marBottom w:val="0"/>
              <w:divBdr>
                <w:top w:val="none" w:sz="0" w:space="0" w:color="auto"/>
                <w:left w:val="none" w:sz="0" w:space="0" w:color="auto"/>
                <w:bottom w:val="none" w:sz="0" w:space="0" w:color="auto"/>
                <w:right w:val="none" w:sz="0" w:space="0" w:color="auto"/>
              </w:divBdr>
            </w:div>
            <w:div w:id="1978097842">
              <w:marLeft w:val="0"/>
              <w:marRight w:val="0"/>
              <w:marTop w:val="0"/>
              <w:marBottom w:val="0"/>
              <w:divBdr>
                <w:top w:val="none" w:sz="0" w:space="0" w:color="auto"/>
                <w:left w:val="none" w:sz="0" w:space="0" w:color="auto"/>
                <w:bottom w:val="none" w:sz="0" w:space="0" w:color="auto"/>
                <w:right w:val="none" w:sz="0" w:space="0" w:color="auto"/>
              </w:divBdr>
            </w:div>
            <w:div w:id="2092191349">
              <w:marLeft w:val="0"/>
              <w:marRight w:val="0"/>
              <w:marTop w:val="0"/>
              <w:marBottom w:val="0"/>
              <w:divBdr>
                <w:top w:val="none" w:sz="0" w:space="0" w:color="auto"/>
                <w:left w:val="none" w:sz="0" w:space="0" w:color="auto"/>
                <w:bottom w:val="none" w:sz="0" w:space="0" w:color="auto"/>
                <w:right w:val="none" w:sz="0" w:space="0" w:color="auto"/>
              </w:divBdr>
            </w:div>
            <w:div w:id="2144928844">
              <w:marLeft w:val="0"/>
              <w:marRight w:val="0"/>
              <w:marTop w:val="0"/>
              <w:marBottom w:val="0"/>
              <w:divBdr>
                <w:top w:val="none" w:sz="0" w:space="0" w:color="auto"/>
                <w:left w:val="none" w:sz="0" w:space="0" w:color="auto"/>
                <w:bottom w:val="none" w:sz="0" w:space="0" w:color="auto"/>
                <w:right w:val="none" w:sz="0" w:space="0" w:color="auto"/>
              </w:divBdr>
            </w:div>
          </w:divsChild>
        </w:div>
        <w:div w:id="1855996088">
          <w:marLeft w:val="0"/>
          <w:marRight w:val="0"/>
          <w:marTop w:val="0"/>
          <w:marBottom w:val="0"/>
          <w:divBdr>
            <w:top w:val="none" w:sz="0" w:space="0" w:color="auto"/>
            <w:left w:val="none" w:sz="0" w:space="0" w:color="auto"/>
            <w:bottom w:val="none" w:sz="0" w:space="0" w:color="auto"/>
            <w:right w:val="none" w:sz="0" w:space="0" w:color="auto"/>
          </w:divBdr>
          <w:divsChild>
            <w:div w:id="35862960">
              <w:marLeft w:val="0"/>
              <w:marRight w:val="0"/>
              <w:marTop w:val="0"/>
              <w:marBottom w:val="0"/>
              <w:divBdr>
                <w:top w:val="none" w:sz="0" w:space="0" w:color="auto"/>
                <w:left w:val="none" w:sz="0" w:space="0" w:color="auto"/>
                <w:bottom w:val="none" w:sz="0" w:space="0" w:color="auto"/>
                <w:right w:val="none" w:sz="0" w:space="0" w:color="auto"/>
              </w:divBdr>
            </w:div>
            <w:div w:id="46420168">
              <w:marLeft w:val="0"/>
              <w:marRight w:val="0"/>
              <w:marTop w:val="0"/>
              <w:marBottom w:val="0"/>
              <w:divBdr>
                <w:top w:val="none" w:sz="0" w:space="0" w:color="auto"/>
                <w:left w:val="none" w:sz="0" w:space="0" w:color="auto"/>
                <w:bottom w:val="none" w:sz="0" w:space="0" w:color="auto"/>
                <w:right w:val="none" w:sz="0" w:space="0" w:color="auto"/>
              </w:divBdr>
            </w:div>
            <w:div w:id="192038758">
              <w:marLeft w:val="0"/>
              <w:marRight w:val="0"/>
              <w:marTop w:val="0"/>
              <w:marBottom w:val="0"/>
              <w:divBdr>
                <w:top w:val="none" w:sz="0" w:space="0" w:color="auto"/>
                <w:left w:val="none" w:sz="0" w:space="0" w:color="auto"/>
                <w:bottom w:val="none" w:sz="0" w:space="0" w:color="auto"/>
                <w:right w:val="none" w:sz="0" w:space="0" w:color="auto"/>
              </w:divBdr>
            </w:div>
            <w:div w:id="429394350">
              <w:marLeft w:val="0"/>
              <w:marRight w:val="0"/>
              <w:marTop w:val="0"/>
              <w:marBottom w:val="0"/>
              <w:divBdr>
                <w:top w:val="none" w:sz="0" w:space="0" w:color="auto"/>
                <w:left w:val="none" w:sz="0" w:space="0" w:color="auto"/>
                <w:bottom w:val="none" w:sz="0" w:space="0" w:color="auto"/>
                <w:right w:val="none" w:sz="0" w:space="0" w:color="auto"/>
              </w:divBdr>
            </w:div>
            <w:div w:id="441144681">
              <w:marLeft w:val="0"/>
              <w:marRight w:val="0"/>
              <w:marTop w:val="0"/>
              <w:marBottom w:val="0"/>
              <w:divBdr>
                <w:top w:val="none" w:sz="0" w:space="0" w:color="auto"/>
                <w:left w:val="none" w:sz="0" w:space="0" w:color="auto"/>
                <w:bottom w:val="none" w:sz="0" w:space="0" w:color="auto"/>
                <w:right w:val="none" w:sz="0" w:space="0" w:color="auto"/>
              </w:divBdr>
            </w:div>
            <w:div w:id="481313290">
              <w:marLeft w:val="0"/>
              <w:marRight w:val="0"/>
              <w:marTop w:val="0"/>
              <w:marBottom w:val="0"/>
              <w:divBdr>
                <w:top w:val="none" w:sz="0" w:space="0" w:color="auto"/>
                <w:left w:val="none" w:sz="0" w:space="0" w:color="auto"/>
                <w:bottom w:val="none" w:sz="0" w:space="0" w:color="auto"/>
                <w:right w:val="none" w:sz="0" w:space="0" w:color="auto"/>
              </w:divBdr>
            </w:div>
            <w:div w:id="526800187">
              <w:marLeft w:val="0"/>
              <w:marRight w:val="0"/>
              <w:marTop w:val="0"/>
              <w:marBottom w:val="0"/>
              <w:divBdr>
                <w:top w:val="none" w:sz="0" w:space="0" w:color="auto"/>
                <w:left w:val="none" w:sz="0" w:space="0" w:color="auto"/>
                <w:bottom w:val="none" w:sz="0" w:space="0" w:color="auto"/>
                <w:right w:val="none" w:sz="0" w:space="0" w:color="auto"/>
              </w:divBdr>
            </w:div>
            <w:div w:id="534971938">
              <w:marLeft w:val="0"/>
              <w:marRight w:val="0"/>
              <w:marTop w:val="0"/>
              <w:marBottom w:val="0"/>
              <w:divBdr>
                <w:top w:val="none" w:sz="0" w:space="0" w:color="auto"/>
                <w:left w:val="none" w:sz="0" w:space="0" w:color="auto"/>
                <w:bottom w:val="none" w:sz="0" w:space="0" w:color="auto"/>
                <w:right w:val="none" w:sz="0" w:space="0" w:color="auto"/>
              </w:divBdr>
            </w:div>
            <w:div w:id="574047666">
              <w:marLeft w:val="0"/>
              <w:marRight w:val="0"/>
              <w:marTop w:val="0"/>
              <w:marBottom w:val="0"/>
              <w:divBdr>
                <w:top w:val="none" w:sz="0" w:space="0" w:color="auto"/>
                <w:left w:val="none" w:sz="0" w:space="0" w:color="auto"/>
                <w:bottom w:val="none" w:sz="0" w:space="0" w:color="auto"/>
                <w:right w:val="none" w:sz="0" w:space="0" w:color="auto"/>
              </w:divBdr>
            </w:div>
            <w:div w:id="720519489">
              <w:marLeft w:val="0"/>
              <w:marRight w:val="0"/>
              <w:marTop w:val="0"/>
              <w:marBottom w:val="0"/>
              <w:divBdr>
                <w:top w:val="none" w:sz="0" w:space="0" w:color="auto"/>
                <w:left w:val="none" w:sz="0" w:space="0" w:color="auto"/>
                <w:bottom w:val="none" w:sz="0" w:space="0" w:color="auto"/>
                <w:right w:val="none" w:sz="0" w:space="0" w:color="auto"/>
              </w:divBdr>
            </w:div>
            <w:div w:id="808400974">
              <w:marLeft w:val="0"/>
              <w:marRight w:val="0"/>
              <w:marTop w:val="0"/>
              <w:marBottom w:val="0"/>
              <w:divBdr>
                <w:top w:val="none" w:sz="0" w:space="0" w:color="auto"/>
                <w:left w:val="none" w:sz="0" w:space="0" w:color="auto"/>
                <w:bottom w:val="none" w:sz="0" w:space="0" w:color="auto"/>
                <w:right w:val="none" w:sz="0" w:space="0" w:color="auto"/>
              </w:divBdr>
            </w:div>
            <w:div w:id="894244702">
              <w:marLeft w:val="0"/>
              <w:marRight w:val="0"/>
              <w:marTop w:val="0"/>
              <w:marBottom w:val="0"/>
              <w:divBdr>
                <w:top w:val="none" w:sz="0" w:space="0" w:color="auto"/>
                <w:left w:val="none" w:sz="0" w:space="0" w:color="auto"/>
                <w:bottom w:val="none" w:sz="0" w:space="0" w:color="auto"/>
                <w:right w:val="none" w:sz="0" w:space="0" w:color="auto"/>
              </w:divBdr>
            </w:div>
            <w:div w:id="902180255">
              <w:marLeft w:val="0"/>
              <w:marRight w:val="0"/>
              <w:marTop w:val="0"/>
              <w:marBottom w:val="0"/>
              <w:divBdr>
                <w:top w:val="none" w:sz="0" w:space="0" w:color="auto"/>
                <w:left w:val="none" w:sz="0" w:space="0" w:color="auto"/>
                <w:bottom w:val="none" w:sz="0" w:space="0" w:color="auto"/>
                <w:right w:val="none" w:sz="0" w:space="0" w:color="auto"/>
              </w:divBdr>
            </w:div>
            <w:div w:id="1083377524">
              <w:marLeft w:val="0"/>
              <w:marRight w:val="0"/>
              <w:marTop w:val="0"/>
              <w:marBottom w:val="0"/>
              <w:divBdr>
                <w:top w:val="none" w:sz="0" w:space="0" w:color="auto"/>
                <w:left w:val="none" w:sz="0" w:space="0" w:color="auto"/>
                <w:bottom w:val="none" w:sz="0" w:space="0" w:color="auto"/>
                <w:right w:val="none" w:sz="0" w:space="0" w:color="auto"/>
              </w:divBdr>
            </w:div>
            <w:div w:id="1199009388">
              <w:marLeft w:val="0"/>
              <w:marRight w:val="0"/>
              <w:marTop w:val="0"/>
              <w:marBottom w:val="0"/>
              <w:divBdr>
                <w:top w:val="none" w:sz="0" w:space="0" w:color="auto"/>
                <w:left w:val="none" w:sz="0" w:space="0" w:color="auto"/>
                <w:bottom w:val="none" w:sz="0" w:space="0" w:color="auto"/>
                <w:right w:val="none" w:sz="0" w:space="0" w:color="auto"/>
              </w:divBdr>
            </w:div>
            <w:div w:id="1300721372">
              <w:marLeft w:val="0"/>
              <w:marRight w:val="0"/>
              <w:marTop w:val="0"/>
              <w:marBottom w:val="0"/>
              <w:divBdr>
                <w:top w:val="none" w:sz="0" w:space="0" w:color="auto"/>
                <w:left w:val="none" w:sz="0" w:space="0" w:color="auto"/>
                <w:bottom w:val="none" w:sz="0" w:space="0" w:color="auto"/>
                <w:right w:val="none" w:sz="0" w:space="0" w:color="auto"/>
              </w:divBdr>
            </w:div>
            <w:div w:id="1359894764">
              <w:marLeft w:val="0"/>
              <w:marRight w:val="0"/>
              <w:marTop w:val="0"/>
              <w:marBottom w:val="0"/>
              <w:divBdr>
                <w:top w:val="none" w:sz="0" w:space="0" w:color="auto"/>
                <w:left w:val="none" w:sz="0" w:space="0" w:color="auto"/>
                <w:bottom w:val="none" w:sz="0" w:space="0" w:color="auto"/>
                <w:right w:val="none" w:sz="0" w:space="0" w:color="auto"/>
              </w:divBdr>
            </w:div>
            <w:div w:id="1433814593">
              <w:marLeft w:val="0"/>
              <w:marRight w:val="0"/>
              <w:marTop w:val="0"/>
              <w:marBottom w:val="0"/>
              <w:divBdr>
                <w:top w:val="none" w:sz="0" w:space="0" w:color="auto"/>
                <w:left w:val="none" w:sz="0" w:space="0" w:color="auto"/>
                <w:bottom w:val="none" w:sz="0" w:space="0" w:color="auto"/>
                <w:right w:val="none" w:sz="0" w:space="0" w:color="auto"/>
              </w:divBdr>
            </w:div>
            <w:div w:id="1517575528">
              <w:marLeft w:val="0"/>
              <w:marRight w:val="0"/>
              <w:marTop w:val="0"/>
              <w:marBottom w:val="0"/>
              <w:divBdr>
                <w:top w:val="none" w:sz="0" w:space="0" w:color="auto"/>
                <w:left w:val="none" w:sz="0" w:space="0" w:color="auto"/>
                <w:bottom w:val="none" w:sz="0" w:space="0" w:color="auto"/>
                <w:right w:val="none" w:sz="0" w:space="0" w:color="auto"/>
              </w:divBdr>
            </w:div>
            <w:div w:id="1740592225">
              <w:marLeft w:val="0"/>
              <w:marRight w:val="0"/>
              <w:marTop w:val="0"/>
              <w:marBottom w:val="0"/>
              <w:divBdr>
                <w:top w:val="none" w:sz="0" w:space="0" w:color="auto"/>
                <w:left w:val="none" w:sz="0" w:space="0" w:color="auto"/>
                <w:bottom w:val="none" w:sz="0" w:space="0" w:color="auto"/>
                <w:right w:val="none" w:sz="0" w:space="0" w:color="auto"/>
              </w:divBdr>
            </w:div>
          </w:divsChild>
        </w:div>
        <w:div w:id="1917393857">
          <w:marLeft w:val="0"/>
          <w:marRight w:val="0"/>
          <w:marTop w:val="0"/>
          <w:marBottom w:val="0"/>
          <w:divBdr>
            <w:top w:val="none" w:sz="0" w:space="0" w:color="auto"/>
            <w:left w:val="none" w:sz="0" w:space="0" w:color="auto"/>
            <w:bottom w:val="none" w:sz="0" w:space="0" w:color="auto"/>
            <w:right w:val="none" w:sz="0" w:space="0" w:color="auto"/>
          </w:divBdr>
          <w:divsChild>
            <w:div w:id="11105337">
              <w:marLeft w:val="0"/>
              <w:marRight w:val="0"/>
              <w:marTop w:val="0"/>
              <w:marBottom w:val="0"/>
              <w:divBdr>
                <w:top w:val="none" w:sz="0" w:space="0" w:color="auto"/>
                <w:left w:val="none" w:sz="0" w:space="0" w:color="auto"/>
                <w:bottom w:val="none" w:sz="0" w:space="0" w:color="auto"/>
                <w:right w:val="none" w:sz="0" w:space="0" w:color="auto"/>
              </w:divBdr>
            </w:div>
            <w:div w:id="249388366">
              <w:marLeft w:val="0"/>
              <w:marRight w:val="0"/>
              <w:marTop w:val="0"/>
              <w:marBottom w:val="0"/>
              <w:divBdr>
                <w:top w:val="none" w:sz="0" w:space="0" w:color="auto"/>
                <w:left w:val="none" w:sz="0" w:space="0" w:color="auto"/>
                <w:bottom w:val="none" w:sz="0" w:space="0" w:color="auto"/>
                <w:right w:val="none" w:sz="0" w:space="0" w:color="auto"/>
              </w:divBdr>
            </w:div>
            <w:div w:id="425199010">
              <w:marLeft w:val="0"/>
              <w:marRight w:val="0"/>
              <w:marTop w:val="0"/>
              <w:marBottom w:val="0"/>
              <w:divBdr>
                <w:top w:val="none" w:sz="0" w:space="0" w:color="auto"/>
                <w:left w:val="none" w:sz="0" w:space="0" w:color="auto"/>
                <w:bottom w:val="none" w:sz="0" w:space="0" w:color="auto"/>
                <w:right w:val="none" w:sz="0" w:space="0" w:color="auto"/>
              </w:divBdr>
            </w:div>
            <w:div w:id="490609722">
              <w:marLeft w:val="0"/>
              <w:marRight w:val="0"/>
              <w:marTop w:val="0"/>
              <w:marBottom w:val="0"/>
              <w:divBdr>
                <w:top w:val="none" w:sz="0" w:space="0" w:color="auto"/>
                <w:left w:val="none" w:sz="0" w:space="0" w:color="auto"/>
                <w:bottom w:val="none" w:sz="0" w:space="0" w:color="auto"/>
                <w:right w:val="none" w:sz="0" w:space="0" w:color="auto"/>
              </w:divBdr>
            </w:div>
            <w:div w:id="570119345">
              <w:marLeft w:val="0"/>
              <w:marRight w:val="0"/>
              <w:marTop w:val="0"/>
              <w:marBottom w:val="0"/>
              <w:divBdr>
                <w:top w:val="none" w:sz="0" w:space="0" w:color="auto"/>
                <w:left w:val="none" w:sz="0" w:space="0" w:color="auto"/>
                <w:bottom w:val="none" w:sz="0" w:space="0" w:color="auto"/>
                <w:right w:val="none" w:sz="0" w:space="0" w:color="auto"/>
              </w:divBdr>
            </w:div>
            <w:div w:id="835848901">
              <w:marLeft w:val="0"/>
              <w:marRight w:val="0"/>
              <w:marTop w:val="0"/>
              <w:marBottom w:val="0"/>
              <w:divBdr>
                <w:top w:val="none" w:sz="0" w:space="0" w:color="auto"/>
                <w:left w:val="none" w:sz="0" w:space="0" w:color="auto"/>
                <w:bottom w:val="none" w:sz="0" w:space="0" w:color="auto"/>
                <w:right w:val="none" w:sz="0" w:space="0" w:color="auto"/>
              </w:divBdr>
            </w:div>
            <w:div w:id="842013701">
              <w:marLeft w:val="0"/>
              <w:marRight w:val="0"/>
              <w:marTop w:val="0"/>
              <w:marBottom w:val="0"/>
              <w:divBdr>
                <w:top w:val="none" w:sz="0" w:space="0" w:color="auto"/>
                <w:left w:val="none" w:sz="0" w:space="0" w:color="auto"/>
                <w:bottom w:val="none" w:sz="0" w:space="0" w:color="auto"/>
                <w:right w:val="none" w:sz="0" w:space="0" w:color="auto"/>
              </w:divBdr>
            </w:div>
            <w:div w:id="887226411">
              <w:marLeft w:val="0"/>
              <w:marRight w:val="0"/>
              <w:marTop w:val="0"/>
              <w:marBottom w:val="0"/>
              <w:divBdr>
                <w:top w:val="none" w:sz="0" w:space="0" w:color="auto"/>
                <w:left w:val="none" w:sz="0" w:space="0" w:color="auto"/>
                <w:bottom w:val="none" w:sz="0" w:space="0" w:color="auto"/>
                <w:right w:val="none" w:sz="0" w:space="0" w:color="auto"/>
              </w:divBdr>
            </w:div>
            <w:div w:id="891773392">
              <w:marLeft w:val="0"/>
              <w:marRight w:val="0"/>
              <w:marTop w:val="0"/>
              <w:marBottom w:val="0"/>
              <w:divBdr>
                <w:top w:val="none" w:sz="0" w:space="0" w:color="auto"/>
                <w:left w:val="none" w:sz="0" w:space="0" w:color="auto"/>
                <w:bottom w:val="none" w:sz="0" w:space="0" w:color="auto"/>
                <w:right w:val="none" w:sz="0" w:space="0" w:color="auto"/>
              </w:divBdr>
            </w:div>
            <w:div w:id="1126389450">
              <w:marLeft w:val="0"/>
              <w:marRight w:val="0"/>
              <w:marTop w:val="0"/>
              <w:marBottom w:val="0"/>
              <w:divBdr>
                <w:top w:val="none" w:sz="0" w:space="0" w:color="auto"/>
                <w:left w:val="none" w:sz="0" w:space="0" w:color="auto"/>
                <w:bottom w:val="none" w:sz="0" w:space="0" w:color="auto"/>
                <w:right w:val="none" w:sz="0" w:space="0" w:color="auto"/>
              </w:divBdr>
            </w:div>
            <w:div w:id="1214582457">
              <w:marLeft w:val="0"/>
              <w:marRight w:val="0"/>
              <w:marTop w:val="0"/>
              <w:marBottom w:val="0"/>
              <w:divBdr>
                <w:top w:val="none" w:sz="0" w:space="0" w:color="auto"/>
                <w:left w:val="none" w:sz="0" w:space="0" w:color="auto"/>
                <w:bottom w:val="none" w:sz="0" w:space="0" w:color="auto"/>
                <w:right w:val="none" w:sz="0" w:space="0" w:color="auto"/>
              </w:divBdr>
            </w:div>
            <w:div w:id="1494299005">
              <w:marLeft w:val="0"/>
              <w:marRight w:val="0"/>
              <w:marTop w:val="0"/>
              <w:marBottom w:val="0"/>
              <w:divBdr>
                <w:top w:val="none" w:sz="0" w:space="0" w:color="auto"/>
                <w:left w:val="none" w:sz="0" w:space="0" w:color="auto"/>
                <w:bottom w:val="none" w:sz="0" w:space="0" w:color="auto"/>
                <w:right w:val="none" w:sz="0" w:space="0" w:color="auto"/>
              </w:divBdr>
            </w:div>
            <w:div w:id="1526477024">
              <w:marLeft w:val="0"/>
              <w:marRight w:val="0"/>
              <w:marTop w:val="0"/>
              <w:marBottom w:val="0"/>
              <w:divBdr>
                <w:top w:val="none" w:sz="0" w:space="0" w:color="auto"/>
                <w:left w:val="none" w:sz="0" w:space="0" w:color="auto"/>
                <w:bottom w:val="none" w:sz="0" w:space="0" w:color="auto"/>
                <w:right w:val="none" w:sz="0" w:space="0" w:color="auto"/>
              </w:divBdr>
            </w:div>
            <w:div w:id="1608346710">
              <w:marLeft w:val="0"/>
              <w:marRight w:val="0"/>
              <w:marTop w:val="0"/>
              <w:marBottom w:val="0"/>
              <w:divBdr>
                <w:top w:val="none" w:sz="0" w:space="0" w:color="auto"/>
                <w:left w:val="none" w:sz="0" w:space="0" w:color="auto"/>
                <w:bottom w:val="none" w:sz="0" w:space="0" w:color="auto"/>
                <w:right w:val="none" w:sz="0" w:space="0" w:color="auto"/>
              </w:divBdr>
            </w:div>
            <w:div w:id="1627275973">
              <w:marLeft w:val="0"/>
              <w:marRight w:val="0"/>
              <w:marTop w:val="0"/>
              <w:marBottom w:val="0"/>
              <w:divBdr>
                <w:top w:val="none" w:sz="0" w:space="0" w:color="auto"/>
                <w:left w:val="none" w:sz="0" w:space="0" w:color="auto"/>
                <w:bottom w:val="none" w:sz="0" w:space="0" w:color="auto"/>
                <w:right w:val="none" w:sz="0" w:space="0" w:color="auto"/>
              </w:divBdr>
            </w:div>
            <w:div w:id="1917858629">
              <w:marLeft w:val="0"/>
              <w:marRight w:val="0"/>
              <w:marTop w:val="0"/>
              <w:marBottom w:val="0"/>
              <w:divBdr>
                <w:top w:val="none" w:sz="0" w:space="0" w:color="auto"/>
                <w:left w:val="none" w:sz="0" w:space="0" w:color="auto"/>
                <w:bottom w:val="none" w:sz="0" w:space="0" w:color="auto"/>
                <w:right w:val="none" w:sz="0" w:space="0" w:color="auto"/>
              </w:divBdr>
            </w:div>
            <w:div w:id="2085180392">
              <w:marLeft w:val="0"/>
              <w:marRight w:val="0"/>
              <w:marTop w:val="0"/>
              <w:marBottom w:val="0"/>
              <w:divBdr>
                <w:top w:val="none" w:sz="0" w:space="0" w:color="auto"/>
                <w:left w:val="none" w:sz="0" w:space="0" w:color="auto"/>
                <w:bottom w:val="none" w:sz="0" w:space="0" w:color="auto"/>
                <w:right w:val="none" w:sz="0" w:space="0" w:color="auto"/>
              </w:divBdr>
            </w:div>
            <w:div w:id="2111510489">
              <w:marLeft w:val="0"/>
              <w:marRight w:val="0"/>
              <w:marTop w:val="0"/>
              <w:marBottom w:val="0"/>
              <w:divBdr>
                <w:top w:val="none" w:sz="0" w:space="0" w:color="auto"/>
                <w:left w:val="none" w:sz="0" w:space="0" w:color="auto"/>
                <w:bottom w:val="none" w:sz="0" w:space="0" w:color="auto"/>
                <w:right w:val="none" w:sz="0" w:space="0" w:color="auto"/>
              </w:divBdr>
            </w:div>
            <w:div w:id="2120295512">
              <w:marLeft w:val="0"/>
              <w:marRight w:val="0"/>
              <w:marTop w:val="0"/>
              <w:marBottom w:val="0"/>
              <w:divBdr>
                <w:top w:val="none" w:sz="0" w:space="0" w:color="auto"/>
                <w:left w:val="none" w:sz="0" w:space="0" w:color="auto"/>
                <w:bottom w:val="none" w:sz="0" w:space="0" w:color="auto"/>
                <w:right w:val="none" w:sz="0" w:space="0" w:color="auto"/>
              </w:divBdr>
            </w:div>
            <w:div w:id="2142074484">
              <w:marLeft w:val="0"/>
              <w:marRight w:val="0"/>
              <w:marTop w:val="0"/>
              <w:marBottom w:val="0"/>
              <w:divBdr>
                <w:top w:val="none" w:sz="0" w:space="0" w:color="auto"/>
                <w:left w:val="none" w:sz="0" w:space="0" w:color="auto"/>
                <w:bottom w:val="none" w:sz="0" w:space="0" w:color="auto"/>
                <w:right w:val="none" w:sz="0" w:space="0" w:color="auto"/>
              </w:divBdr>
            </w:div>
          </w:divsChild>
        </w:div>
        <w:div w:id="1921862492">
          <w:marLeft w:val="0"/>
          <w:marRight w:val="0"/>
          <w:marTop w:val="0"/>
          <w:marBottom w:val="0"/>
          <w:divBdr>
            <w:top w:val="none" w:sz="0" w:space="0" w:color="auto"/>
            <w:left w:val="none" w:sz="0" w:space="0" w:color="auto"/>
            <w:bottom w:val="none" w:sz="0" w:space="0" w:color="auto"/>
            <w:right w:val="none" w:sz="0" w:space="0" w:color="auto"/>
          </w:divBdr>
          <w:divsChild>
            <w:div w:id="159438">
              <w:marLeft w:val="0"/>
              <w:marRight w:val="0"/>
              <w:marTop w:val="0"/>
              <w:marBottom w:val="0"/>
              <w:divBdr>
                <w:top w:val="none" w:sz="0" w:space="0" w:color="auto"/>
                <w:left w:val="none" w:sz="0" w:space="0" w:color="auto"/>
                <w:bottom w:val="none" w:sz="0" w:space="0" w:color="auto"/>
                <w:right w:val="none" w:sz="0" w:space="0" w:color="auto"/>
              </w:divBdr>
            </w:div>
            <w:div w:id="173305430">
              <w:marLeft w:val="0"/>
              <w:marRight w:val="0"/>
              <w:marTop w:val="0"/>
              <w:marBottom w:val="0"/>
              <w:divBdr>
                <w:top w:val="none" w:sz="0" w:space="0" w:color="auto"/>
                <w:left w:val="none" w:sz="0" w:space="0" w:color="auto"/>
                <w:bottom w:val="none" w:sz="0" w:space="0" w:color="auto"/>
                <w:right w:val="none" w:sz="0" w:space="0" w:color="auto"/>
              </w:divBdr>
            </w:div>
            <w:div w:id="177548962">
              <w:marLeft w:val="0"/>
              <w:marRight w:val="0"/>
              <w:marTop w:val="0"/>
              <w:marBottom w:val="0"/>
              <w:divBdr>
                <w:top w:val="none" w:sz="0" w:space="0" w:color="auto"/>
                <w:left w:val="none" w:sz="0" w:space="0" w:color="auto"/>
                <w:bottom w:val="none" w:sz="0" w:space="0" w:color="auto"/>
                <w:right w:val="none" w:sz="0" w:space="0" w:color="auto"/>
              </w:divBdr>
            </w:div>
            <w:div w:id="189539091">
              <w:marLeft w:val="0"/>
              <w:marRight w:val="0"/>
              <w:marTop w:val="0"/>
              <w:marBottom w:val="0"/>
              <w:divBdr>
                <w:top w:val="none" w:sz="0" w:space="0" w:color="auto"/>
                <w:left w:val="none" w:sz="0" w:space="0" w:color="auto"/>
                <w:bottom w:val="none" w:sz="0" w:space="0" w:color="auto"/>
                <w:right w:val="none" w:sz="0" w:space="0" w:color="auto"/>
              </w:divBdr>
            </w:div>
            <w:div w:id="247006847">
              <w:marLeft w:val="0"/>
              <w:marRight w:val="0"/>
              <w:marTop w:val="0"/>
              <w:marBottom w:val="0"/>
              <w:divBdr>
                <w:top w:val="none" w:sz="0" w:space="0" w:color="auto"/>
                <w:left w:val="none" w:sz="0" w:space="0" w:color="auto"/>
                <w:bottom w:val="none" w:sz="0" w:space="0" w:color="auto"/>
                <w:right w:val="none" w:sz="0" w:space="0" w:color="auto"/>
              </w:divBdr>
            </w:div>
            <w:div w:id="396321466">
              <w:marLeft w:val="0"/>
              <w:marRight w:val="0"/>
              <w:marTop w:val="0"/>
              <w:marBottom w:val="0"/>
              <w:divBdr>
                <w:top w:val="none" w:sz="0" w:space="0" w:color="auto"/>
                <w:left w:val="none" w:sz="0" w:space="0" w:color="auto"/>
                <w:bottom w:val="none" w:sz="0" w:space="0" w:color="auto"/>
                <w:right w:val="none" w:sz="0" w:space="0" w:color="auto"/>
              </w:divBdr>
            </w:div>
            <w:div w:id="570386560">
              <w:marLeft w:val="0"/>
              <w:marRight w:val="0"/>
              <w:marTop w:val="0"/>
              <w:marBottom w:val="0"/>
              <w:divBdr>
                <w:top w:val="none" w:sz="0" w:space="0" w:color="auto"/>
                <w:left w:val="none" w:sz="0" w:space="0" w:color="auto"/>
                <w:bottom w:val="none" w:sz="0" w:space="0" w:color="auto"/>
                <w:right w:val="none" w:sz="0" w:space="0" w:color="auto"/>
              </w:divBdr>
            </w:div>
            <w:div w:id="586503524">
              <w:marLeft w:val="0"/>
              <w:marRight w:val="0"/>
              <w:marTop w:val="0"/>
              <w:marBottom w:val="0"/>
              <w:divBdr>
                <w:top w:val="none" w:sz="0" w:space="0" w:color="auto"/>
                <w:left w:val="none" w:sz="0" w:space="0" w:color="auto"/>
                <w:bottom w:val="none" w:sz="0" w:space="0" w:color="auto"/>
                <w:right w:val="none" w:sz="0" w:space="0" w:color="auto"/>
              </w:divBdr>
            </w:div>
            <w:div w:id="598561336">
              <w:marLeft w:val="0"/>
              <w:marRight w:val="0"/>
              <w:marTop w:val="0"/>
              <w:marBottom w:val="0"/>
              <w:divBdr>
                <w:top w:val="none" w:sz="0" w:space="0" w:color="auto"/>
                <w:left w:val="none" w:sz="0" w:space="0" w:color="auto"/>
                <w:bottom w:val="none" w:sz="0" w:space="0" w:color="auto"/>
                <w:right w:val="none" w:sz="0" w:space="0" w:color="auto"/>
              </w:divBdr>
            </w:div>
            <w:div w:id="1088043665">
              <w:marLeft w:val="0"/>
              <w:marRight w:val="0"/>
              <w:marTop w:val="0"/>
              <w:marBottom w:val="0"/>
              <w:divBdr>
                <w:top w:val="none" w:sz="0" w:space="0" w:color="auto"/>
                <w:left w:val="none" w:sz="0" w:space="0" w:color="auto"/>
                <w:bottom w:val="none" w:sz="0" w:space="0" w:color="auto"/>
                <w:right w:val="none" w:sz="0" w:space="0" w:color="auto"/>
              </w:divBdr>
            </w:div>
            <w:div w:id="1425611236">
              <w:marLeft w:val="0"/>
              <w:marRight w:val="0"/>
              <w:marTop w:val="0"/>
              <w:marBottom w:val="0"/>
              <w:divBdr>
                <w:top w:val="none" w:sz="0" w:space="0" w:color="auto"/>
                <w:left w:val="none" w:sz="0" w:space="0" w:color="auto"/>
                <w:bottom w:val="none" w:sz="0" w:space="0" w:color="auto"/>
                <w:right w:val="none" w:sz="0" w:space="0" w:color="auto"/>
              </w:divBdr>
            </w:div>
            <w:div w:id="1449079748">
              <w:marLeft w:val="0"/>
              <w:marRight w:val="0"/>
              <w:marTop w:val="0"/>
              <w:marBottom w:val="0"/>
              <w:divBdr>
                <w:top w:val="none" w:sz="0" w:space="0" w:color="auto"/>
                <w:left w:val="none" w:sz="0" w:space="0" w:color="auto"/>
                <w:bottom w:val="none" w:sz="0" w:space="0" w:color="auto"/>
                <w:right w:val="none" w:sz="0" w:space="0" w:color="auto"/>
              </w:divBdr>
            </w:div>
            <w:div w:id="1532691721">
              <w:marLeft w:val="0"/>
              <w:marRight w:val="0"/>
              <w:marTop w:val="0"/>
              <w:marBottom w:val="0"/>
              <w:divBdr>
                <w:top w:val="none" w:sz="0" w:space="0" w:color="auto"/>
                <w:left w:val="none" w:sz="0" w:space="0" w:color="auto"/>
                <w:bottom w:val="none" w:sz="0" w:space="0" w:color="auto"/>
                <w:right w:val="none" w:sz="0" w:space="0" w:color="auto"/>
              </w:divBdr>
            </w:div>
            <w:div w:id="1677539092">
              <w:marLeft w:val="0"/>
              <w:marRight w:val="0"/>
              <w:marTop w:val="0"/>
              <w:marBottom w:val="0"/>
              <w:divBdr>
                <w:top w:val="none" w:sz="0" w:space="0" w:color="auto"/>
                <w:left w:val="none" w:sz="0" w:space="0" w:color="auto"/>
                <w:bottom w:val="none" w:sz="0" w:space="0" w:color="auto"/>
                <w:right w:val="none" w:sz="0" w:space="0" w:color="auto"/>
              </w:divBdr>
            </w:div>
            <w:div w:id="1868907844">
              <w:marLeft w:val="0"/>
              <w:marRight w:val="0"/>
              <w:marTop w:val="0"/>
              <w:marBottom w:val="0"/>
              <w:divBdr>
                <w:top w:val="none" w:sz="0" w:space="0" w:color="auto"/>
                <w:left w:val="none" w:sz="0" w:space="0" w:color="auto"/>
                <w:bottom w:val="none" w:sz="0" w:space="0" w:color="auto"/>
                <w:right w:val="none" w:sz="0" w:space="0" w:color="auto"/>
              </w:divBdr>
            </w:div>
            <w:div w:id="1923249186">
              <w:marLeft w:val="0"/>
              <w:marRight w:val="0"/>
              <w:marTop w:val="0"/>
              <w:marBottom w:val="0"/>
              <w:divBdr>
                <w:top w:val="none" w:sz="0" w:space="0" w:color="auto"/>
                <w:left w:val="none" w:sz="0" w:space="0" w:color="auto"/>
                <w:bottom w:val="none" w:sz="0" w:space="0" w:color="auto"/>
                <w:right w:val="none" w:sz="0" w:space="0" w:color="auto"/>
              </w:divBdr>
            </w:div>
            <w:div w:id="1937977163">
              <w:marLeft w:val="0"/>
              <w:marRight w:val="0"/>
              <w:marTop w:val="0"/>
              <w:marBottom w:val="0"/>
              <w:divBdr>
                <w:top w:val="none" w:sz="0" w:space="0" w:color="auto"/>
                <w:left w:val="none" w:sz="0" w:space="0" w:color="auto"/>
                <w:bottom w:val="none" w:sz="0" w:space="0" w:color="auto"/>
                <w:right w:val="none" w:sz="0" w:space="0" w:color="auto"/>
              </w:divBdr>
            </w:div>
            <w:div w:id="1980331656">
              <w:marLeft w:val="0"/>
              <w:marRight w:val="0"/>
              <w:marTop w:val="0"/>
              <w:marBottom w:val="0"/>
              <w:divBdr>
                <w:top w:val="none" w:sz="0" w:space="0" w:color="auto"/>
                <w:left w:val="none" w:sz="0" w:space="0" w:color="auto"/>
                <w:bottom w:val="none" w:sz="0" w:space="0" w:color="auto"/>
                <w:right w:val="none" w:sz="0" w:space="0" w:color="auto"/>
              </w:divBdr>
            </w:div>
            <w:div w:id="2001690768">
              <w:marLeft w:val="0"/>
              <w:marRight w:val="0"/>
              <w:marTop w:val="0"/>
              <w:marBottom w:val="0"/>
              <w:divBdr>
                <w:top w:val="none" w:sz="0" w:space="0" w:color="auto"/>
                <w:left w:val="none" w:sz="0" w:space="0" w:color="auto"/>
                <w:bottom w:val="none" w:sz="0" w:space="0" w:color="auto"/>
                <w:right w:val="none" w:sz="0" w:space="0" w:color="auto"/>
              </w:divBdr>
            </w:div>
            <w:div w:id="2034309041">
              <w:marLeft w:val="0"/>
              <w:marRight w:val="0"/>
              <w:marTop w:val="0"/>
              <w:marBottom w:val="0"/>
              <w:divBdr>
                <w:top w:val="none" w:sz="0" w:space="0" w:color="auto"/>
                <w:left w:val="none" w:sz="0" w:space="0" w:color="auto"/>
                <w:bottom w:val="none" w:sz="0" w:space="0" w:color="auto"/>
                <w:right w:val="none" w:sz="0" w:space="0" w:color="auto"/>
              </w:divBdr>
            </w:div>
          </w:divsChild>
        </w:div>
        <w:div w:id="1947620333">
          <w:marLeft w:val="0"/>
          <w:marRight w:val="0"/>
          <w:marTop w:val="0"/>
          <w:marBottom w:val="0"/>
          <w:divBdr>
            <w:top w:val="none" w:sz="0" w:space="0" w:color="auto"/>
            <w:left w:val="none" w:sz="0" w:space="0" w:color="auto"/>
            <w:bottom w:val="none" w:sz="0" w:space="0" w:color="auto"/>
            <w:right w:val="none" w:sz="0" w:space="0" w:color="auto"/>
          </w:divBdr>
          <w:divsChild>
            <w:div w:id="21710165">
              <w:marLeft w:val="0"/>
              <w:marRight w:val="0"/>
              <w:marTop w:val="0"/>
              <w:marBottom w:val="0"/>
              <w:divBdr>
                <w:top w:val="none" w:sz="0" w:space="0" w:color="auto"/>
                <w:left w:val="none" w:sz="0" w:space="0" w:color="auto"/>
                <w:bottom w:val="none" w:sz="0" w:space="0" w:color="auto"/>
                <w:right w:val="none" w:sz="0" w:space="0" w:color="auto"/>
              </w:divBdr>
            </w:div>
            <w:div w:id="137454101">
              <w:marLeft w:val="0"/>
              <w:marRight w:val="0"/>
              <w:marTop w:val="0"/>
              <w:marBottom w:val="0"/>
              <w:divBdr>
                <w:top w:val="none" w:sz="0" w:space="0" w:color="auto"/>
                <w:left w:val="none" w:sz="0" w:space="0" w:color="auto"/>
                <w:bottom w:val="none" w:sz="0" w:space="0" w:color="auto"/>
                <w:right w:val="none" w:sz="0" w:space="0" w:color="auto"/>
              </w:divBdr>
            </w:div>
            <w:div w:id="215705073">
              <w:marLeft w:val="0"/>
              <w:marRight w:val="0"/>
              <w:marTop w:val="0"/>
              <w:marBottom w:val="0"/>
              <w:divBdr>
                <w:top w:val="none" w:sz="0" w:space="0" w:color="auto"/>
                <w:left w:val="none" w:sz="0" w:space="0" w:color="auto"/>
                <w:bottom w:val="none" w:sz="0" w:space="0" w:color="auto"/>
                <w:right w:val="none" w:sz="0" w:space="0" w:color="auto"/>
              </w:divBdr>
            </w:div>
            <w:div w:id="642856285">
              <w:marLeft w:val="0"/>
              <w:marRight w:val="0"/>
              <w:marTop w:val="0"/>
              <w:marBottom w:val="0"/>
              <w:divBdr>
                <w:top w:val="none" w:sz="0" w:space="0" w:color="auto"/>
                <w:left w:val="none" w:sz="0" w:space="0" w:color="auto"/>
                <w:bottom w:val="none" w:sz="0" w:space="0" w:color="auto"/>
                <w:right w:val="none" w:sz="0" w:space="0" w:color="auto"/>
              </w:divBdr>
            </w:div>
            <w:div w:id="797379241">
              <w:marLeft w:val="0"/>
              <w:marRight w:val="0"/>
              <w:marTop w:val="0"/>
              <w:marBottom w:val="0"/>
              <w:divBdr>
                <w:top w:val="none" w:sz="0" w:space="0" w:color="auto"/>
                <w:left w:val="none" w:sz="0" w:space="0" w:color="auto"/>
                <w:bottom w:val="none" w:sz="0" w:space="0" w:color="auto"/>
                <w:right w:val="none" w:sz="0" w:space="0" w:color="auto"/>
              </w:divBdr>
            </w:div>
            <w:div w:id="839737355">
              <w:marLeft w:val="0"/>
              <w:marRight w:val="0"/>
              <w:marTop w:val="0"/>
              <w:marBottom w:val="0"/>
              <w:divBdr>
                <w:top w:val="none" w:sz="0" w:space="0" w:color="auto"/>
                <w:left w:val="none" w:sz="0" w:space="0" w:color="auto"/>
                <w:bottom w:val="none" w:sz="0" w:space="0" w:color="auto"/>
                <w:right w:val="none" w:sz="0" w:space="0" w:color="auto"/>
              </w:divBdr>
            </w:div>
            <w:div w:id="845898651">
              <w:marLeft w:val="0"/>
              <w:marRight w:val="0"/>
              <w:marTop w:val="0"/>
              <w:marBottom w:val="0"/>
              <w:divBdr>
                <w:top w:val="none" w:sz="0" w:space="0" w:color="auto"/>
                <w:left w:val="none" w:sz="0" w:space="0" w:color="auto"/>
                <w:bottom w:val="none" w:sz="0" w:space="0" w:color="auto"/>
                <w:right w:val="none" w:sz="0" w:space="0" w:color="auto"/>
              </w:divBdr>
            </w:div>
            <w:div w:id="895506009">
              <w:marLeft w:val="0"/>
              <w:marRight w:val="0"/>
              <w:marTop w:val="0"/>
              <w:marBottom w:val="0"/>
              <w:divBdr>
                <w:top w:val="none" w:sz="0" w:space="0" w:color="auto"/>
                <w:left w:val="none" w:sz="0" w:space="0" w:color="auto"/>
                <w:bottom w:val="none" w:sz="0" w:space="0" w:color="auto"/>
                <w:right w:val="none" w:sz="0" w:space="0" w:color="auto"/>
              </w:divBdr>
            </w:div>
            <w:div w:id="1105618085">
              <w:marLeft w:val="0"/>
              <w:marRight w:val="0"/>
              <w:marTop w:val="0"/>
              <w:marBottom w:val="0"/>
              <w:divBdr>
                <w:top w:val="none" w:sz="0" w:space="0" w:color="auto"/>
                <w:left w:val="none" w:sz="0" w:space="0" w:color="auto"/>
                <w:bottom w:val="none" w:sz="0" w:space="0" w:color="auto"/>
                <w:right w:val="none" w:sz="0" w:space="0" w:color="auto"/>
              </w:divBdr>
            </w:div>
            <w:div w:id="1215854719">
              <w:marLeft w:val="0"/>
              <w:marRight w:val="0"/>
              <w:marTop w:val="0"/>
              <w:marBottom w:val="0"/>
              <w:divBdr>
                <w:top w:val="none" w:sz="0" w:space="0" w:color="auto"/>
                <w:left w:val="none" w:sz="0" w:space="0" w:color="auto"/>
                <w:bottom w:val="none" w:sz="0" w:space="0" w:color="auto"/>
                <w:right w:val="none" w:sz="0" w:space="0" w:color="auto"/>
              </w:divBdr>
            </w:div>
            <w:div w:id="1226913438">
              <w:marLeft w:val="0"/>
              <w:marRight w:val="0"/>
              <w:marTop w:val="0"/>
              <w:marBottom w:val="0"/>
              <w:divBdr>
                <w:top w:val="none" w:sz="0" w:space="0" w:color="auto"/>
                <w:left w:val="none" w:sz="0" w:space="0" w:color="auto"/>
                <w:bottom w:val="none" w:sz="0" w:space="0" w:color="auto"/>
                <w:right w:val="none" w:sz="0" w:space="0" w:color="auto"/>
              </w:divBdr>
            </w:div>
            <w:div w:id="1336615305">
              <w:marLeft w:val="0"/>
              <w:marRight w:val="0"/>
              <w:marTop w:val="0"/>
              <w:marBottom w:val="0"/>
              <w:divBdr>
                <w:top w:val="none" w:sz="0" w:space="0" w:color="auto"/>
                <w:left w:val="none" w:sz="0" w:space="0" w:color="auto"/>
                <w:bottom w:val="none" w:sz="0" w:space="0" w:color="auto"/>
                <w:right w:val="none" w:sz="0" w:space="0" w:color="auto"/>
              </w:divBdr>
            </w:div>
            <w:div w:id="1442408020">
              <w:marLeft w:val="0"/>
              <w:marRight w:val="0"/>
              <w:marTop w:val="0"/>
              <w:marBottom w:val="0"/>
              <w:divBdr>
                <w:top w:val="none" w:sz="0" w:space="0" w:color="auto"/>
                <w:left w:val="none" w:sz="0" w:space="0" w:color="auto"/>
                <w:bottom w:val="none" w:sz="0" w:space="0" w:color="auto"/>
                <w:right w:val="none" w:sz="0" w:space="0" w:color="auto"/>
              </w:divBdr>
            </w:div>
            <w:div w:id="1454208575">
              <w:marLeft w:val="0"/>
              <w:marRight w:val="0"/>
              <w:marTop w:val="0"/>
              <w:marBottom w:val="0"/>
              <w:divBdr>
                <w:top w:val="none" w:sz="0" w:space="0" w:color="auto"/>
                <w:left w:val="none" w:sz="0" w:space="0" w:color="auto"/>
                <w:bottom w:val="none" w:sz="0" w:space="0" w:color="auto"/>
                <w:right w:val="none" w:sz="0" w:space="0" w:color="auto"/>
              </w:divBdr>
            </w:div>
            <w:div w:id="1507675196">
              <w:marLeft w:val="0"/>
              <w:marRight w:val="0"/>
              <w:marTop w:val="0"/>
              <w:marBottom w:val="0"/>
              <w:divBdr>
                <w:top w:val="none" w:sz="0" w:space="0" w:color="auto"/>
                <w:left w:val="none" w:sz="0" w:space="0" w:color="auto"/>
                <w:bottom w:val="none" w:sz="0" w:space="0" w:color="auto"/>
                <w:right w:val="none" w:sz="0" w:space="0" w:color="auto"/>
              </w:divBdr>
            </w:div>
            <w:div w:id="1528563480">
              <w:marLeft w:val="0"/>
              <w:marRight w:val="0"/>
              <w:marTop w:val="0"/>
              <w:marBottom w:val="0"/>
              <w:divBdr>
                <w:top w:val="none" w:sz="0" w:space="0" w:color="auto"/>
                <w:left w:val="none" w:sz="0" w:space="0" w:color="auto"/>
                <w:bottom w:val="none" w:sz="0" w:space="0" w:color="auto"/>
                <w:right w:val="none" w:sz="0" w:space="0" w:color="auto"/>
              </w:divBdr>
            </w:div>
            <w:div w:id="1782799111">
              <w:marLeft w:val="0"/>
              <w:marRight w:val="0"/>
              <w:marTop w:val="0"/>
              <w:marBottom w:val="0"/>
              <w:divBdr>
                <w:top w:val="none" w:sz="0" w:space="0" w:color="auto"/>
                <w:left w:val="none" w:sz="0" w:space="0" w:color="auto"/>
                <w:bottom w:val="none" w:sz="0" w:space="0" w:color="auto"/>
                <w:right w:val="none" w:sz="0" w:space="0" w:color="auto"/>
              </w:divBdr>
            </w:div>
            <w:div w:id="1896620305">
              <w:marLeft w:val="0"/>
              <w:marRight w:val="0"/>
              <w:marTop w:val="0"/>
              <w:marBottom w:val="0"/>
              <w:divBdr>
                <w:top w:val="none" w:sz="0" w:space="0" w:color="auto"/>
                <w:left w:val="none" w:sz="0" w:space="0" w:color="auto"/>
                <w:bottom w:val="none" w:sz="0" w:space="0" w:color="auto"/>
                <w:right w:val="none" w:sz="0" w:space="0" w:color="auto"/>
              </w:divBdr>
            </w:div>
            <w:div w:id="2060663550">
              <w:marLeft w:val="0"/>
              <w:marRight w:val="0"/>
              <w:marTop w:val="0"/>
              <w:marBottom w:val="0"/>
              <w:divBdr>
                <w:top w:val="none" w:sz="0" w:space="0" w:color="auto"/>
                <w:left w:val="none" w:sz="0" w:space="0" w:color="auto"/>
                <w:bottom w:val="none" w:sz="0" w:space="0" w:color="auto"/>
                <w:right w:val="none" w:sz="0" w:space="0" w:color="auto"/>
              </w:divBdr>
            </w:div>
            <w:div w:id="2121533509">
              <w:marLeft w:val="0"/>
              <w:marRight w:val="0"/>
              <w:marTop w:val="0"/>
              <w:marBottom w:val="0"/>
              <w:divBdr>
                <w:top w:val="none" w:sz="0" w:space="0" w:color="auto"/>
                <w:left w:val="none" w:sz="0" w:space="0" w:color="auto"/>
                <w:bottom w:val="none" w:sz="0" w:space="0" w:color="auto"/>
                <w:right w:val="none" w:sz="0" w:space="0" w:color="auto"/>
              </w:divBdr>
            </w:div>
          </w:divsChild>
        </w:div>
        <w:div w:id="1954357501">
          <w:marLeft w:val="0"/>
          <w:marRight w:val="0"/>
          <w:marTop w:val="0"/>
          <w:marBottom w:val="0"/>
          <w:divBdr>
            <w:top w:val="none" w:sz="0" w:space="0" w:color="auto"/>
            <w:left w:val="none" w:sz="0" w:space="0" w:color="auto"/>
            <w:bottom w:val="none" w:sz="0" w:space="0" w:color="auto"/>
            <w:right w:val="none" w:sz="0" w:space="0" w:color="auto"/>
          </w:divBdr>
          <w:divsChild>
            <w:div w:id="37442093">
              <w:marLeft w:val="0"/>
              <w:marRight w:val="0"/>
              <w:marTop w:val="0"/>
              <w:marBottom w:val="0"/>
              <w:divBdr>
                <w:top w:val="none" w:sz="0" w:space="0" w:color="auto"/>
                <w:left w:val="none" w:sz="0" w:space="0" w:color="auto"/>
                <w:bottom w:val="none" w:sz="0" w:space="0" w:color="auto"/>
                <w:right w:val="none" w:sz="0" w:space="0" w:color="auto"/>
              </w:divBdr>
            </w:div>
            <w:div w:id="40175598">
              <w:marLeft w:val="0"/>
              <w:marRight w:val="0"/>
              <w:marTop w:val="0"/>
              <w:marBottom w:val="0"/>
              <w:divBdr>
                <w:top w:val="none" w:sz="0" w:space="0" w:color="auto"/>
                <w:left w:val="none" w:sz="0" w:space="0" w:color="auto"/>
                <w:bottom w:val="none" w:sz="0" w:space="0" w:color="auto"/>
                <w:right w:val="none" w:sz="0" w:space="0" w:color="auto"/>
              </w:divBdr>
            </w:div>
            <w:div w:id="111680154">
              <w:marLeft w:val="0"/>
              <w:marRight w:val="0"/>
              <w:marTop w:val="0"/>
              <w:marBottom w:val="0"/>
              <w:divBdr>
                <w:top w:val="none" w:sz="0" w:space="0" w:color="auto"/>
                <w:left w:val="none" w:sz="0" w:space="0" w:color="auto"/>
                <w:bottom w:val="none" w:sz="0" w:space="0" w:color="auto"/>
                <w:right w:val="none" w:sz="0" w:space="0" w:color="auto"/>
              </w:divBdr>
            </w:div>
            <w:div w:id="400636661">
              <w:marLeft w:val="0"/>
              <w:marRight w:val="0"/>
              <w:marTop w:val="0"/>
              <w:marBottom w:val="0"/>
              <w:divBdr>
                <w:top w:val="none" w:sz="0" w:space="0" w:color="auto"/>
                <w:left w:val="none" w:sz="0" w:space="0" w:color="auto"/>
                <w:bottom w:val="none" w:sz="0" w:space="0" w:color="auto"/>
                <w:right w:val="none" w:sz="0" w:space="0" w:color="auto"/>
              </w:divBdr>
            </w:div>
            <w:div w:id="455149176">
              <w:marLeft w:val="0"/>
              <w:marRight w:val="0"/>
              <w:marTop w:val="0"/>
              <w:marBottom w:val="0"/>
              <w:divBdr>
                <w:top w:val="none" w:sz="0" w:space="0" w:color="auto"/>
                <w:left w:val="none" w:sz="0" w:space="0" w:color="auto"/>
                <w:bottom w:val="none" w:sz="0" w:space="0" w:color="auto"/>
                <w:right w:val="none" w:sz="0" w:space="0" w:color="auto"/>
              </w:divBdr>
            </w:div>
            <w:div w:id="745416476">
              <w:marLeft w:val="0"/>
              <w:marRight w:val="0"/>
              <w:marTop w:val="0"/>
              <w:marBottom w:val="0"/>
              <w:divBdr>
                <w:top w:val="none" w:sz="0" w:space="0" w:color="auto"/>
                <w:left w:val="none" w:sz="0" w:space="0" w:color="auto"/>
                <w:bottom w:val="none" w:sz="0" w:space="0" w:color="auto"/>
                <w:right w:val="none" w:sz="0" w:space="0" w:color="auto"/>
              </w:divBdr>
            </w:div>
            <w:div w:id="828054220">
              <w:marLeft w:val="0"/>
              <w:marRight w:val="0"/>
              <w:marTop w:val="0"/>
              <w:marBottom w:val="0"/>
              <w:divBdr>
                <w:top w:val="none" w:sz="0" w:space="0" w:color="auto"/>
                <w:left w:val="none" w:sz="0" w:space="0" w:color="auto"/>
                <w:bottom w:val="none" w:sz="0" w:space="0" w:color="auto"/>
                <w:right w:val="none" w:sz="0" w:space="0" w:color="auto"/>
              </w:divBdr>
            </w:div>
            <w:div w:id="878661904">
              <w:marLeft w:val="0"/>
              <w:marRight w:val="0"/>
              <w:marTop w:val="0"/>
              <w:marBottom w:val="0"/>
              <w:divBdr>
                <w:top w:val="none" w:sz="0" w:space="0" w:color="auto"/>
                <w:left w:val="none" w:sz="0" w:space="0" w:color="auto"/>
                <w:bottom w:val="none" w:sz="0" w:space="0" w:color="auto"/>
                <w:right w:val="none" w:sz="0" w:space="0" w:color="auto"/>
              </w:divBdr>
            </w:div>
            <w:div w:id="894780836">
              <w:marLeft w:val="0"/>
              <w:marRight w:val="0"/>
              <w:marTop w:val="0"/>
              <w:marBottom w:val="0"/>
              <w:divBdr>
                <w:top w:val="none" w:sz="0" w:space="0" w:color="auto"/>
                <w:left w:val="none" w:sz="0" w:space="0" w:color="auto"/>
                <w:bottom w:val="none" w:sz="0" w:space="0" w:color="auto"/>
                <w:right w:val="none" w:sz="0" w:space="0" w:color="auto"/>
              </w:divBdr>
            </w:div>
            <w:div w:id="1035697194">
              <w:marLeft w:val="0"/>
              <w:marRight w:val="0"/>
              <w:marTop w:val="0"/>
              <w:marBottom w:val="0"/>
              <w:divBdr>
                <w:top w:val="none" w:sz="0" w:space="0" w:color="auto"/>
                <w:left w:val="none" w:sz="0" w:space="0" w:color="auto"/>
                <w:bottom w:val="none" w:sz="0" w:space="0" w:color="auto"/>
                <w:right w:val="none" w:sz="0" w:space="0" w:color="auto"/>
              </w:divBdr>
            </w:div>
            <w:div w:id="1103761939">
              <w:marLeft w:val="0"/>
              <w:marRight w:val="0"/>
              <w:marTop w:val="0"/>
              <w:marBottom w:val="0"/>
              <w:divBdr>
                <w:top w:val="none" w:sz="0" w:space="0" w:color="auto"/>
                <w:left w:val="none" w:sz="0" w:space="0" w:color="auto"/>
                <w:bottom w:val="none" w:sz="0" w:space="0" w:color="auto"/>
                <w:right w:val="none" w:sz="0" w:space="0" w:color="auto"/>
              </w:divBdr>
            </w:div>
            <w:div w:id="1150748593">
              <w:marLeft w:val="0"/>
              <w:marRight w:val="0"/>
              <w:marTop w:val="0"/>
              <w:marBottom w:val="0"/>
              <w:divBdr>
                <w:top w:val="none" w:sz="0" w:space="0" w:color="auto"/>
                <w:left w:val="none" w:sz="0" w:space="0" w:color="auto"/>
                <w:bottom w:val="none" w:sz="0" w:space="0" w:color="auto"/>
                <w:right w:val="none" w:sz="0" w:space="0" w:color="auto"/>
              </w:divBdr>
            </w:div>
            <w:div w:id="1256354623">
              <w:marLeft w:val="0"/>
              <w:marRight w:val="0"/>
              <w:marTop w:val="0"/>
              <w:marBottom w:val="0"/>
              <w:divBdr>
                <w:top w:val="none" w:sz="0" w:space="0" w:color="auto"/>
                <w:left w:val="none" w:sz="0" w:space="0" w:color="auto"/>
                <w:bottom w:val="none" w:sz="0" w:space="0" w:color="auto"/>
                <w:right w:val="none" w:sz="0" w:space="0" w:color="auto"/>
              </w:divBdr>
            </w:div>
            <w:div w:id="1722093845">
              <w:marLeft w:val="0"/>
              <w:marRight w:val="0"/>
              <w:marTop w:val="0"/>
              <w:marBottom w:val="0"/>
              <w:divBdr>
                <w:top w:val="none" w:sz="0" w:space="0" w:color="auto"/>
                <w:left w:val="none" w:sz="0" w:space="0" w:color="auto"/>
                <w:bottom w:val="none" w:sz="0" w:space="0" w:color="auto"/>
                <w:right w:val="none" w:sz="0" w:space="0" w:color="auto"/>
              </w:divBdr>
            </w:div>
            <w:div w:id="1868714769">
              <w:marLeft w:val="0"/>
              <w:marRight w:val="0"/>
              <w:marTop w:val="0"/>
              <w:marBottom w:val="0"/>
              <w:divBdr>
                <w:top w:val="none" w:sz="0" w:space="0" w:color="auto"/>
                <w:left w:val="none" w:sz="0" w:space="0" w:color="auto"/>
                <w:bottom w:val="none" w:sz="0" w:space="0" w:color="auto"/>
                <w:right w:val="none" w:sz="0" w:space="0" w:color="auto"/>
              </w:divBdr>
            </w:div>
            <w:div w:id="1951008700">
              <w:marLeft w:val="0"/>
              <w:marRight w:val="0"/>
              <w:marTop w:val="0"/>
              <w:marBottom w:val="0"/>
              <w:divBdr>
                <w:top w:val="none" w:sz="0" w:space="0" w:color="auto"/>
                <w:left w:val="none" w:sz="0" w:space="0" w:color="auto"/>
                <w:bottom w:val="none" w:sz="0" w:space="0" w:color="auto"/>
                <w:right w:val="none" w:sz="0" w:space="0" w:color="auto"/>
              </w:divBdr>
            </w:div>
            <w:div w:id="2024431214">
              <w:marLeft w:val="0"/>
              <w:marRight w:val="0"/>
              <w:marTop w:val="0"/>
              <w:marBottom w:val="0"/>
              <w:divBdr>
                <w:top w:val="none" w:sz="0" w:space="0" w:color="auto"/>
                <w:left w:val="none" w:sz="0" w:space="0" w:color="auto"/>
                <w:bottom w:val="none" w:sz="0" w:space="0" w:color="auto"/>
                <w:right w:val="none" w:sz="0" w:space="0" w:color="auto"/>
              </w:divBdr>
            </w:div>
            <w:div w:id="2114394943">
              <w:marLeft w:val="0"/>
              <w:marRight w:val="0"/>
              <w:marTop w:val="0"/>
              <w:marBottom w:val="0"/>
              <w:divBdr>
                <w:top w:val="none" w:sz="0" w:space="0" w:color="auto"/>
                <w:left w:val="none" w:sz="0" w:space="0" w:color="auto"/>
                <w:bottom w:val="none" w:sz="0" w:space="0" w:color="auto"/>
                <w:right w:val="none" w:sz="0" w:space="0" w:color="auto"/>
              </w:divBdr>
            </w:div>
          </w:divsChild>
        </w:div>
        <w:div w:id="2002191231">
          <w:marLeft w:val="0"/>
          <w:marRight w:val="0"/>
          <w:marTop w:val="0"/>
          <w:marBottom w:val="0"/>
          <w:divBdr>
            <w:top w:val="none" w:sz="0" w:space="0" w:color="auto"/>
            <w:left w:val="none" w:sz="0" w:space="0" w:color="auto"/>
            <w:bottom w:val="none" w:sz="0" w:space="0" w:color="auto"/>
            <w:right w:val="none" w:sz="0" w:space="0" w:color="auto"/>
          </w:divBdr>
        </w:div>
        <w:div w:id="2021080040">
          <w:marLeft w:val="0"/>
          <w:marRight w:val="0"/>
          <w:marTop w:val="0"/>
          <w:marBottom w:val="0"/>
          <w:divBdr>
            <w:top w:val="none" w:sz="0" w:space="0" w:color="auto"/>
            <w:left w:val="none" w:sz="0" w:space="0" w:color="auto"/>
            <w:bottom w:val="none" w:sz="0" w:space="0" w:color="auto"/>
            <w:right w:val="none" w:sz="0" w:space="0" w:color="auto"/>
          </w:divBdr>
          <w:divsChild>
            <w:div w:id="67924219">
              <w:marLeft w:val="0"/>
              <w:marRight w:val="0"/>
              <w:marTop w:val="0"/>
              <w:marBottom w:val="0"/>
              <w:divBdr>
                <w:top w:val="none" w:sz="0" w:space="0" w:color="auto"/>
                <w:left w:val="none" w:sz="0" w:space="0" w:color="auto"/>
                <w:bottom w:val="none" w:sz="0" w:space="0" w:color="auto"/>
                <w:right w:val="none" w:sz="0" w:space="0" w:color="auto"/>
              </w:divBdr>
            </w:div>
            <w:div w:id="187985449">
              <w:marLeft w:val="0"/>
              <w:marRight w:val="0"/>
              <w:marTop w:val="0"/>
              <w:marBottom w:val="0"/>
              <w:divBdr>
                <w:top w:val="none" w:sz="0" w:space="0" w:color="auto"/>
                <w:left w:val="none" w:sz="0" w:space="0" w:color="auto"/>
                <w:bottom w:val="none" w:sz="0" w:space="0" w:color="auto"/>
                <w:right w:val="none" w:sz="0" w:space="0" w:color="auto"/>
              </w:divBdr>
            </w:div>
            <w:div w:id="310865306">
              <w:marLeft w:val="0"/>
              <w:marRight w:val="0"/>
              <w:marTop w:val="0"/>
              <w:marBottom w:val="0"/>
              <w:divBdr>
                <w:top w:val="none" w:sz="0" w:space="0" w:color="auto"/>
                <w:left w:val="none" w:sz="0" w:space="0" w:color="auto"/>
                <w:bottom w:val="none" w:sz="0" w:space="0" w:color="auto"/>
                <w:right w:val="none" w:sz="0" w:space="0" w:color="auto"/>
              </w:divBdr>
            </w:div>
            <w:div w:id="311061207">
              <w:marLeft w:val="0"/>
              <w:marRight w:val="0"/>
              <w:marTop w:val="0"/>
              <w:marBottom w:val="0"/>
              <w:divBdr>
                <w:top w:val="none" w:sz="0" w:space="0" w:color="auto"/>
                <w:left w:val="none" w:sz="0" w:space="0" w:color="auto"/>
                <w:bottom w:val="none" w:sz="0" w:space="0" w:color="auto"/>
                <w:right w:val="none" w:sz="0" w:space="0" w:color="auto"/>
              </w:divBdr>
            </w:div>
            <w:div w:id="411203287">
              <w:marLeft w:val="0"/>
              <w:marRight w:val="0"/>
              <w:marTop w:val="0"/>
              <w:marBottom w:val="0"/>
              <w:divBdr>
                <w:top w:val="none" w:sz="0" w:space="0" w:color="auto"/>
                <w:left w:val="none" w:sz="0" w:space="0" w:color="auto"/>
                <w:bottom w:val="none" w:sz="0" w:space="0" w:color="auto"/>
                <w:right w:val="none" w:sz="0" w:space="0" w:color="auto"/>
              </w:divBdr>
            </w:div>
            <w:div w:id="447628659">
              <w:marLeft w:val="0"/>
              <w:marRight w:val="0"/>
              <w:marTop w:val="0"/>
              <w:marBottom w:val="0"/>
              <w:divBdr>
                <w:top w:val="none" w:sz="0" w:space="0" w:color="auto"/>
                <w:left w:val="none" w:sz="0" w:space="0" w:color="auto"/>
                <w:bottom w:val="none" w:sz="0" w:space="0" w:color="auto"/>
                <w:right w:val="none" w:sz="0" w:space="0" w:color="auto"/>
              </w:divBdr>
            </w:div>
            <w:div w:id="447824309">
              <w:marLeft w:val="0"/>
              <w:marRight w:val="0"/>
              <w:marTop w:val="0"/>
              <w:marBottom w:val="0"/>
              <w:divBdr>
                <w:top w:val="none" w:sz="0" w:space="0" w:color="auto"/>
                <w:left w:val="none" w:sz="0" w:space="0" w:color="auto"/>
                <w:bottom w:val="none" w:sz="0" w:space="0" w:color="auto"/>
                <w:right w:val="none" w:sz="0" w:space="0" w:color="auto"/>
              </w:divBdr>
            </w:div>
            <w:div w:id="545947003">
              <w:marLeft w:val="0"/>
              <w:marRight w:val="0"/>
              <w:marTop w:val="0"/>
              <w:marBottom w:val="0"/>
              <w:divBdr>
                <w:top w:val="none" w:sz="0" w:space="0" w:color="auto"/>
                <w:left w:val="none" w:sz="0" w:space="0" w:color="auto"/>
                <w:bottom w:val="none" w:sz="0" w:space="0" w:color="auto"/>
                <w:right w:val="none" w:sz="0" w:space="0" w:color="auto"/>
              </w:divBdr>
            </w:div>
            <w:div w:id="687490949">
              <w:marLeft w:val="0"/>
              <w:marRight w:val="0"/>
              <w:marTop w:val="0"/>
              <w:marBottom w:val="0"/>
              <w:divBdr>
                <w:top w:val="none" w:sz="0" w:space="0" w:color="auto"/>
                <w:left w:val="none" w:sz="0" w:space="0" w:color="auto"/>
                <w:bottom w:val="none" w:sz="0" w:space="0" w:color="auto"/>
                <w:right w:val="none" w:sz="0" w:space="0" w:color="auto"/>
              </w:divBdr>
            </w:div>
            <w:div w:id="860434745">
              <w:marLeft w:val="0"/>
              <w:marRight w:val="0"/>
              <w:marTop w:val="0"/>
              <w:marBottom w:val="0"/>
              <w:divBdr>
                <w:top w:val="none" w:sz="0" w:space="0" w:color="auto"/>
                <w:left w:val="none" w:sz="0" w:space="0" w:color="auto"/>
                <w:bottom w:val="none" w:sz="0" w:space="0" w:color="auto"/>
                <w:right w:val="none" w:sz="0" w:space="0" w:color="auto"/>
              </w:divBdr>
            </w:div>
            <w:div w:id="896168151">
              <w:marLeft w:val="0"/>
              <w:marRight w:val="0"/>
              <w:marTop w:val="0"/>
              <w:marBottom w:val="0"/>
              <w:divBdr>
                <w:top w:val="none" w:sz="0" w:space="0" w:color="auto"/>
                <w:left w:val="none" w:sz="0" w:space="0" w:color="auto"/>
                <w:bottom w:val="none" w:sz="0" w:space="0" w:color="auto"/>
                <w:right w:val="none" w:sz="0" w:space="0" w:color="auto"/>
              </w:divBdr>
            </w:div>
            <w:div w:id="1005353462">
              <w:marLeft w:val="0"/>
              <w:marRight w:val="0"/>
              <w:marTop w:val="0"/>
              <w:marBottom w:val="0"/>
              <w:divBdr>
                <w:top w:val="none" w:sz="0" w:space="0" w:color="auto"/>
                <w:left w:val="none" w:sz="0" w:space="0" w:color="auto"/>
                <w:bottom w:val="none" w:sz="0" w:space="0" w:color="auto"/>
                <w:right w:val="none" w:sz="0" w:space="0" w:color="auto"/>
              </w:divBdr>
            </w:div>
            <w:div w:id="1026642689">
              <w:marLeft w:val="0"/>
              <w:marRight w:val="0"/>
              <w:marTop w:val="0"/>
              <w:marBottom w:val="0"/>
              <w:divBdr>
                <w:top w:val="none" w:sz="0" w:space="0" w:color="auto"/>
                <w:left w:val="none" w:sz="0" w:space="0" w:color="auto"/>
                <w:bottom w:val="none" w:sz="0" w:space="0" w:color="auto"/>
                <w:right w:val="none" w:sz="0" w:space="0" w:color="auto"/>
              </w:divBdr>
            </w:div>
            <w:div w:id="1160465691">
              <w:marLeft w:val="0"/>
              <w:marRight w:val="0"/>
              <w:marTop w:val="0"/>
              <w:marBottom w:val="0"/>
              <w:divBdr>
                <w:top w:val="none" w:sz="0" w:space="0" w:color="auto"/>
                <w:left w:val="none" w:sz="0" w:space="0" w:color="auto"/>
                <w:bottom w:val="none" w:sz="0" w:space="0" w:color="auto"/>
                <w:right w:val="none" w:sz="0" w:space="0" w:color="auto"/>
              </w:divBdr>
            </w:div>
            <w:div w:id="1673604957">
              <w:marLeft w:val="0"/>
              <w:marRight w:val="0"/>
              <w:marTop w:val="0"/>
              <w:marBottom w:val="0"/>
              <w:divBdr>
                <w:top w:val="none" w:sz="0" w:space="0" w:color="auto"/>
                <w:left w:val="none" w:sz="0" w:space="0" w:color="auto"/>
                <w:bottom w:val="none" w:sz="0" w:space="0" w:color="auto"/>
                <w:right w:val="none" w:sz="0" w:space="0" w:color="auto"/>
              </w:divBdr>
            </w:div>
            <w:div w:id="1781098968">
              <w:marLeft w:val="0"/>
              <w:marRight w:val="0"/>
              <w:marTop w:val="0"/>
              <w:marBottom w:val="0"/>
              <w:divBdr>
                <w:top w:val="none" w:sz="0" w:space="0" w:color="auto"/>
                <w:left w:val="none" w:sz="0" w:space="0" w:color="auto"/>
                <w:bottom w:val="none" w:sz="0" w:space="0" w:color="auto"/>
                <w:right w:val="none" w:sz="0" w:space="0" w:color="auto"/>
              </w:divBdr>
            </w:div>
            <w:div w:id="1812819616">
              <w:marLeft w:val="0"/>
              <w:marRight w:val="0"/>
              <w:marTop w:val="0"/>
              <w:marBottom w:val="0"/>
              <w:divBdr>
                <w:top w:val="none" w:sz="0" w:space="0" w:color="auto"/>
                <w:left w:val="none" w:sz="0" w:space="0" w:color="auto"/>
                <w:bottom w:val="none" w:sz="0" w:space="0" w:color="auto"/>
                <w:right w:val="none" w:sz="0" w:space="0" w:color="auto"/>
              </w:divBdr>
            </w:div>
            <w:div w:id="1852720389">
              <w:marLeft w:val="0"/>
              <w:marRight w:val="0"/>
              <w:marTop w:val="0"/>
              <w:marBottom w:val="0"/>
              <w:divBdr>
                <w:top w:val="none" w:sz="0" w:space="0" w:color="auto"/>
                <w:left w:val="none" w:sz="0" w:space="0" w:color="auto"/>
                <w:bottom w:val="none" w:sz="0" w:space="0" w:color="auto"/>
                <w:right w:val="none" w:sz="0" w:space="0" w:color="auto"/>
              </w:divBdr>
            </w:div>
            <w:div w:id="2055231903">
              <w:marLeft w:val="0"/>
              <w:marRight w:val="0"/>
              <w:marTop w:val="0"/>
              <w:marBottom w:val="0"/>
              <w:divBdr>
                <w:top w:val="none" w:sz="0" w:space="0" w:color="auto"/>
                <w:left w:val="none" w:sz="0" w:space="0" w:color="auto"/>
                <w:bottom w:val="none" w:sz="0" w:space="0" w:color="auto"/>
                <w:right w:val="none" w:sz="0" w:space="0" w:color="auto"/>
              </w:divBdr>
            </w:div>
            <w:div w:id="2096511131">
              <w:marLeft w:val="0"/>
              <w:marRight w:val="0"/>
              <w:marTop w:val="0"/>
              <w:marBottom w:val="0"/>
              <w:divBdr>
                <w:top w:val="none" w:sz="0" w:space="0" w:color="auto"/>
                <w:left w:val="none" w:sz="0" w:space="0" w:color="auto"/>
                <w:bottom w:val="none" w:sz="0" w:space="0" w:color="auto"/>
                <w:right w:val="none" w:sz="0" w:space="0" w:color="auto"/>
              </w:divBdr>
            </w:div>
          </w:divsChild>
        </w:div>
        <w:div w:id="2042779436">
          <w:marLeft w:val="0"/>
          <w:marRight w:val="0"/>
          <w:marTop w:val="0"/>
          <w:marBottom w:val="0"/>
          <w:divBdr>
            <w:top w:val="none" w:sz="0" w:space="0" w:color="auto"/>
            <w:left w:val="none" w:sz="0" w:space="0" w:color="auto"/>
            <w:bottom w:val="none" w:sz="0" w:space="0" w:color="auto"/>
            <w:right w:val="none" w:sz="0" w:space="0" w:color="auto"/>
          </w:divBdr>
          <w:divsChild>
            <w:div w:id="109590370">
              <w:marLeft w:val="0"/>
              <w:marRight w:val="0"/>
              <w:marTop w:val="0"/>
              <w:marBottom w:val="0"/>
              <w:divBdr>
                <w:top w:val="none" w:sz="0" w:space="0" w:color="auto"/>
                <w:left w:val="none" w:sz="0" w:space="0" w:color="auto"/>
                <w:bottom w:val="none" w:sz="0" w:space="0" w:color="auto"/>
                <w:right w:val="none" w:sz="0" w:space="0" w:color="auto"/>
              </w:divBdr>
            </w:div>
            <w:div w:id="172496486">
              <w:marLeft w:val="0"/>
              <w:marRight w:val="0"/>
              <w:marTop w:val="0"/>
              <w:marBottom w:val="0"/>
              <w:divBdr>
                <w:top w:val="none" w:sz="0" w:space="0" w:color="auto"/>
                <w:left w:val="none" w:sz="0" w:space="0" w:color="auto"/>
                <w:bottom w:val="none" w:sz="0" w:space="0" w:color="auto"/>
                <w:right w:val="none" w:sz="0" w:space="0" w:color="auto"/>
              </w:divBdr>
            </w:div>
            <w:div w:id="386881219">
              <w:marLeft w:val="0"/>
              <w:marRight w:val="0"/>
              <w:marTop w:val="0"/>
              <w:marBottom w:val="0"/>
              <w:divBdr>
                <w:top w:val="none" w:sz="0" w:space="0" w:color="auto"/>
                <w:left w:val="none" w:sz="0" w:space="0" w:color="auto"/>
                <w:bottom w:val="none" w:sz="0" w:space="0" w:color="auto"/>
                <w:right w:val="none" w:sz="0" w:space="0" w:color="auto"/>
              </w:divBdr>
            </w:div>
            <w:div w:id="422655132">
              <w:marLeft w:val="0"/>
              <w:marRight w:val="0"/>
              <w:marTop w:val="0"/>
              <w:marBottom w:val="0"/>
              <w:divBdr>
                <w:top w:val="none" w:sz="0" w:space="0" w:color="auto"/>
                <w:left w:val="none" w:sz="0" w:space="0" w:color="auto"/>
                <w:bottom w:val="none" w:sz="0" w:space="0" w:color="auto"/>
                <w:right w:val="none" w:sz="0" w:space="0" w:color="auto"/>
              </w:divBdr>
            </w:div>
            <w:div w:id="687221329">
              <w:marLeft w:val="0"/>
              <w:marRight w:val="0"/>
              <w:marTop w:val="0"/>
              <w:marBottom w:val="0"/>
              <w:divBdr>
                <w:top w:val="none" w:sz="0" w:space="0" w:color="auto"/>
                <w:left w:val="none" w:sz="0" w:space="0" w:color="auto"/>
                <w:bottom w:val="none" w:sz="0" w:space="0" w:color="auto"/>
                <w:right w:val="none" w:sz="0" w:space="0" w:color="auto"/>
              </w:divBdr>
            </w:div>
            <w:div w:id="749305076">
              <w:marLeft w:val="0"/>
              <w:marRight w:val="0"/>
              <w:marTop w:val="0"/>
              <w:marBottom w:val="0"/>
              <w:divBdr>
                <w:top w:val="none" w:sz="0" w:space="0" w:color="auto"/>
                <w:left w:val="none" w:sz="0" w:space="0" w:color="auto"/>
                <w:bottom w:val="none" w:sz="0" w:space="0" w:color="auto"/>
                <w:right w:val="none" w:sz="0" w:space="0" w:color="auto"/>
              </w:divBdr>
            </w:div>
            <w:div w:id="877820423">
              <w:marLeft w:val="0"/>
              <w:marRight w:val="0"/>
              <w:marTop w:val="0"/>
              <w:marBottom w:val="0"/>
              <w:divBdr>
                <w:top w:val="none" w:sz="0" w:space="0" w:color="auto"/>
                <w:left w:val="none" w:sz="0" w:space="0" w:color="auto"/>
                <w:bottom w:val="none" w:sz="0" w:space="0" w:color="auto"/>
                <w:right w:val="none" w:sz="0" w:space="0" w:color="auto"/>
              </w:divBdr>
            </w:div>
            <w:div w:id="885870494">
              <w:marLeft w:val="0"/>
              <w:marRight w:val="0"/>
              <w:marTop w:val="0"/>
              <w:marBottom w:val="0"/>
              <w:divBdr>
                <w:top w:val="none" w:sz="0" w:space="0" w:color="auto"/>
                <w:left w:val="none" w:sz="0" w:space="0" w:color="auto"/>
                <w:bottom w:val="none" w:sz="0" w:space="0" w:color="auto"/>
                <w:right w:val="none" w:sz="0" w:space="0" w:color="auto"/>
              </w:divBdr>
            </w:div>
            <w:div w:id="886992232">
              <w:marLeft w:val="0"/>
              <w:marRight w:val="0"/>
              <w:marTop w:val="0"/>
              <w:marBottom w:val="0"/>
              <w:divBdr>
                <w:top w:val="none" w:sz="0" w:space="0" w:color="auto"/>
                <w:left w:val="none" w:sz="0" w:space="0" w:color="auto"/>
                <w:bottom w:val="none" w:sz="0" w:space="0" w:color="auto"/>
                <w:right w:val="none" w:sz="0" w:space="0" w:color="auto"/>
              </w:divBdr>
            </w:div>
            <w:div w:id="906263452">
              <w:marLeft w:val="0"/>
              <w:marRight w:val="0"/>
              <w:marTop w:val="0"/>
              <w:marBottom w:val="0"/>
              <w:divBdr>
                <w:top w:val="none" w:sz="0" w:space="0" w:color="auto"/>
                <w:left w:val="none" w:sz="0" w:space="0" w:color="auto"/>
                <w:bottom w:val="none" w:sz="0" w:space="0" w:color="auto"/>
                <w:right w:val="none" w:sz="0" w:space="0" w:color="auto"/>
              </w:divBdr>
            </w:div>
            <w:div w:id="1044712623">
              <w:marLeft w:val="0"/>
              <w:marRight w:val="0"/>
              <w:marTop w:val="0"/>
              <w:marBottom w:val="0"/>
              <w:divBdr>
                <w:top w:val="none" w:sz="0" w:space="0" w:color="auto"/>
                <w:left w:val="none" w:sz="0" w:space="0" w:color="auto"/>
                <w:bottom w:val="none" w:sz="0" w:space="0" w:color="auto"/>
                <w:right w:val="none" w:sz="0" w:space="0" w:color="auto"/>
              </w:divBdr>
            </w:div>
            <w:div w:id="1099985380">
              <w:marLeft w:val="0"/>
              <w:marRight w:val="0"/>
              <w:marTop w:val="0"/>
              <w:marBottom w:val="0"/>
              <w:divBdr>
                <w:top w:val="none" w:sz="0" w:space="0" w:color="auto"/>
                <w:left w:val="none" w:sz="0" w:space="0" w:color="auto"/>
                <w:bottom w:val="none" w:sz="0" w:space="0" w:color="auto"/>
                <w:right w:val="none" w:sz="0" w:space="0" w:color="auto"/>
              </w:divBdr>
            </w:div>
            <w:div w:id="1225026620">
              <w:marLeft w:val="0"/>
              <w:marRight w:val="0"/>
              <w:marTop w:val="0"/>
              <w:marBottom w:val="0"/>
              <w:divBdr>
                <w:top w:val="none" w:sz="0" w:space="0" w:color="auto"/>
                <w:left w:val="none" w:sz="0" w:space="0" w:color="auto"/>
                <w:bottom w:val="none" w:sz="0" w:space="0" w:color="auto"/>
                <w:right w:val="none" w:sz="0" w:space="0" w:color="auto"/>
              </w:divBdr>
            </w:div>
            <w:div w:id="1243249100">
              <w:marLeft w:val="0"/>
              <w:marRight w:val="0"/>
              <w:marTop w:val="0"/>
              <w:marBottom w:val="0"/>
              <w:divBdr>
                <w:top w:val="none" w:sz="0" w:space="0" w:color="auto"/>
                <w:left w:val="none" w:sz="0" w:space="0" w:color="auto"/>
                <w:bottom w:val="none" w:sz="0" w:space="0" w:color="auto"/>
                <w:right w:val="none" w:sz="0" w:space="0" w:color="auto"/>
              </w:divBdr>
            </w:div>
            <w:div w:id="1360276743">
              <w:marLeft w:val="0"/>
              <w:marRight w:val="0"/>
              <w:marTop w:val="0"/>
              <w:marBottom w:val="0"/>
              <w:divBdr>
                <w:top w:val="none" w:sz="0" w:space="0" w:color="auto"/>
                <w:left w:val="none" w:sz="0" w:space="0" w:color="auto"/>
                <w:bottom w:val="none" w:sz="0" w:space="0" w:color="auto"/>
                <w:right w:val="none" w:sz="0" w:space="0" w:color="auto"/>
              </w:divBdr>
            </w:div>
            <w:div w:id="1475290630">
              <w:marLeft w:val="0"/>
              <w:marRight w:val="0"/>
              <w:marTop w:val="0"/>
              <w:marBottom w:val="0"/>
              <w:divBdr>
                <w:top w:val="none" w:sz="0" w:space="0" w:color="auto"/>
                <w:left w:val="none" w:sz="0" w:space="0" w:color="auto"/>
                <w:bottom w:val="none" w:sz="0" w:space="0" w:color="auto"/>
                <w:right w:val="none" w:sz="0" w:space="0" w:color="auto"/>
              </w:divBdr>
            </w:div>
            <w:div w:id="1497646273">
              <w:marLeft w:val="0"/>
              <w:marRight w:val="0"/>
              <w:marTop w:val="0"/>
              <w:marBottom w:val="0"/>
              <w:divBdr>
                <w:top w:val="none" w:sz="0" w:space="0" w:color="auto"/>
                <w:left w:val="none" w:sz="0" w:space="0" w:color="auto"/>
                <w:bottom w:val="none" w:sz="0" w:space="0" w:color="auto"/>
                <w:right w:val="none" w:sz="0" w:space="0" w:color="auto"/>
              </w:divBdr>
            </w:div>
            <w:div w:id="1625384303">
              <w:marLeft w:val="0"/>
              <w:marRight w:val="0"/>
              <w:marTop w:val="0"/>
              <w:marBottom w:val="0"/>
              <w:divBdr>
                <w:top w:val="none" w:sz="0" w:space="0" w:color="auto"/>
                <w:left w:val="none" w:sz="0" w:space="0" w:color="auto"/>
                <w:bottom w:val="none" w:sz="0" w:space="0" w:color="auto"/>
                <w:right w:val="none" w:sz="0" w:space="0" w:color="auto"/>
              </w:divBdr>
            </w:div>
            <w:div w:id="1693145560">
              <w:marLeft w:val="0"/>
              <w:marRight w:val="0"/>
              <w:marTop w:val="0"/>
              <w:marBottom w:val="0"/>
              <w:divBdr>
                <w:top w:val="none" w:sz="0" w:space="0" w:color="auto"/>
                <w:left w:val="none" w:sz="0" w:space="0" w:color="auto"/>
                <w:bottom w:val="none" w:sz="0" w:space="0" w:color="auto"/>
                <w:right w:val="none" w:sz="0" w:space="0" w:color="auto"/>
              </w:divBdr>
            </w:div>
            <w:div w:id="1820997702">
              <w:marLeft w:val="0"/>
              <w:marRight w:val="0"/>
              <w:marTop w:val="0"/>
              <w:marBottom w:val="0"/>
              <w:divBdr>
                <w:top w:val="none" w:sz="0" w:space="0" w:color="auto"/>
                <w:left w:val="none" w:sz="0" w:space="0" w:color="auto"/>
                <w:bottom w:val="none" w:sz="0" w:space="0" w:color="auto"/>
                <w:right w:val="none" w:sz="0" w:space="0" w:color="auto"/>
              </w:divBdr>
            </w:div>
          </w:divsChild>
        </w:div>
        <w:div w:id="2106143248">
          <w:marLeft w:val="0"/>
          <w:marRight w:val="0"/>
          <w:marTop w:val="0"/>
          <w:marBottom w:val="0"/>
          <w:divBdr>
            <w:top w:val="none" w:sz="0" w:space="0" w:color="auto"/>
            <w:left w:val="none" w:sz="0" w:space="0" w:color="auto"/>
            <w:bottom w:val="none" w:sz="0" w:space="0" w:color="auto"/>
            <w:right w:val="none" w:sz="0" w:space="0" w:color="auto"/>
          </w:divBdr>
          <w:divsChild>
            <w:div w:id="131673978">
              <w:marLeft w:val="0"/>
              <w:marRight w:val="0"/>
              <w:marTop w:val="0"/>
              <w:marBottom w:val="0"/>
              <w:divBdr>
                <w:top w:val="none" w:sz="0" w:space="0" w:color="auto"/>
                <w:left w:val="none" w:sz="0" w:space="0" w:color="auto"/>
                <w:bottom w:val="none" w:sz="0" w:space="0" w:color="auto"/>
                <w:right w:val="none" w:sz="0" w:space="0" w:color="auto"/>
              </w:divBdr>
            </w:div>
            <w:div w:id="151528328">
              <w:marLeft w:val="0"/>
              <w:marRight w:val="0"/>
              <w:marTop w:val="0"/>
              <w:marBottom w:val="0"/>
              <w:divBdr>
                <w:top w:val="none" w:sz="0" w:space="0" w:color="auto"/>
                <w:left w:val="none" w:sz="0" w:space="0" w:color="auto"/>
                <w:bottom w:val="none" w:sz="0" w:space="0" w:color="auto"/>
                <w:right w:val="none" w:sz="0" w:space="0" w:color="auto"/>
              </w:divBdr>
            </w:div>
            <w:div w:id="340013885">
              <w:marLeft w:val="0"/>
              <w:marRight w:val="0"/>
              <w:marTop w:val="0"/>
              <w:marBottom w:val="0"/>
              <w:divBdr>
                <w:top w:val="none" w:sz="0" w:space="0" w:color="auto"/>
                <w:left w:val="none" w:sz="0" w:space="0" w:color="auto"/>
                <w:bottom w:val="none" w:sz="0" w:space="0" w:color="auto"/>
                <w:right w:val="none" w:sz="0" w:space="0" w:color="auto"/>
              </w:divBdr>
            </w:div>
            <w:div w:id="427849961">
              <w:marLeft w:val="0"/>
              <w:marRight w:val="0"/>
              <w:marTop w:val="0"/>
              <w:marBottom w:val="0"/>
              <w:divBdr>
                <w:top w:val="none" w:sz="0" w:space="0" w:color="auto"/>
                <w:left w:val="none" w:sz="0" w:space="0" w:color="auto"/>
                <w:bottom w:val="none" w:sz="0" w:space="0" w:color="auto"/>
                <w:right w:val="none" w:sz="0" w:space="0" w:color="auto"/>
              </w:divBdr>
            </w:div>
            <w:div w:id="433133447">
              <w:marLeft w:val="0"/>
              <w:marRight w:val="0"/>
              <w:marTop w:val="0"/>
              <w:marBottom w:val="0"/>
              <w:divBdr>
                <w:top w:val="none" w:sz="0" w:space="0" w:color="auto"/>
                <w:left w:val="none" w:sz="0" w:space="0" w:color="auto"/>
                <w:bottom w:val="none" w:sz="0" w:space="0" w:color="auto"/>
                <w:right w:val="none" w:sz="0" w:space="0" w:color="auto"/>
              </w:divBdr>
            </w:div>
            <w:div w:id="499663788">
              <w:marLeft w:val="0"/>
              <w:marRight w:val="0"/>
              <w:marTop w:val="0"/>
              <w:marBottom w:val="0"/>
              <w:divBdr>
                <w:top w:val="none" w:sz="0" w:space="0" w:color="auto"/>
                <w:left w:val="none" w:sz="0" w:space="0" w:color="auto"/>
                <w:bottom w:val="none" w:sz="0" w:space="0" w:color="auto"/>
                <w:right w:val="none" w:sz="0" w:space="0" w:color="auto"/>
              </w:divBdr>
            </w:div>
            <w:div w:id="505704309">
              <w:marLeft w:val="0"/>
              <w:marRight w:val="0"/>
              <w:marTop w:val="0"/>
              <w:marBottom w:val="0"/>
              <w:divBdr>
                <w:top w:val="none" w:sz="0" w:space="0" w:color="auto"/>
                <w:left w:val="none" w:sz="0" w:space="0" w:color="auto"/>
                <w:bottom w:val="none" w:sz="0" w:space="0" w:color="auto"/>
                <w:right w:val="none" w:sz="0" w:space="0" w:color="auto"/>
              </w:divBdr>
            </w:div>
            <w:div w:id="603878392">
              <w:marLeft w:val="0"/>
              <w:marRight w:val="0"/>
              <w:marTop w:val="0"/>
              <w:marBottom w:val="0"/>
              <w:divBdr>
                <w:top w:val="none" w:sz="0" w:space="0" w:color="auto"/>
                <w:left w:val="none" w:sz="0" w:space="0" w:color="auto"/>
                <w:bottom w:val="none" w:sz="0" w:space="0" w:color="auto"/>
                <w:right w:val="none" w:sz="0" w:space="0" w:color="auto"/>
              </w:divBdr>
            </w:div>
            <w:div w:id="626930589">
              <w:marLeft w:val="0"/>
              <w:marRight w:val="0"/>
              <w:marTop w:val="0"/>
              <w:marBottom w:val="0"/>
              <w:divBdr>
                <w:top w:val="none" w:sz="0" w:space="0" w:color="auto"/>
                <w:left w:val="none" w:sz="0" w:space="0" w:color="auto"/>
                <w:bottom w:val="none" w:sz="0" w:space="0" w:color="auto"/>
                <w:right w:val="none" w:sz="0" w:space="0" w:color="auto"/>
              </w:divBdr>
            </w:div>
            <w:div w:id="870145052">
              <w:marLeft w:val="0"/>
              <w:marRight w:val="0"/>
              <w:marTop w:val="0"/>
              <w:marBottom w:val="0"/>
              <w:divBdr>
                <w:top w:val="none" w:sz="0" w:space="0" w:color="auto"/>
                <w:left w:val="none" w:sz="0" w:space="0" w:color="auto"/>
                <w:bottom w:val="none" w:sz="0" w:space="0" w:color="auto"/>
                <w:right w:val="none" w:sz="0" w:space="0" w:color="auto"/>
              </w:divBdr>
            </w:div>
            <w:div w:id="923535840">
              <w:marLeft w:val="0"/>
              <w:marRight w:val="0"/>
              <w:marTop w:val="0"/>
              <w:marBottom w:val="0"/>
              <w:divBdr>
                <w:top w:val="none" w:sz="0" w:space="0" w:color="auto"/>
                <w:left w:val="none" w:sz="0" w:space="0" w:color="auto"/>
                <w:bottom w:val="none" w:sz="0" w:space="0" w:color="auto"/>
                <w:right w:val="none" w:sz="0" w:space="0" w:color="auto"/>
              </w:divBdr>
            </w:div>
            <w:div w:id="934745754">
              <w:marLeft w:val="0"/>
              <w:marRight w:val="0"/>
              <w:marTop w:val="0"/>
              <w:marBottom w:val="0"/>
              <w:divBdr>
                <w:top w:val="none" w:sz="0" w:space="0" w:color="auto"/>
                <w:left w:val="none" w:sz="0" w:space="0" w:color="auto"/>
                <w:bottom w:val="none" w:sz="0" w:space="0" w:color="auto"/>
                <w:right w:val="none" w:sz="0" w:space="0" w:color="auto"/>
              </w:divBdr>
            </w:div>
            <w:div w:id="1206063269">
              <w:marLeft w:val="0"/>
              <w:marRight w:val="0"/>
              <w:marTop w:val="0"/>
              <w:marBottom w:val="0"/>
              <w:divBdr>
                <w:top w:val="none" w:sz="0" w:space="0" w:color="auto"/>
                <w:left w:val="none" w:sz="0" w:space="0" w:color="auto"/>
                <w:bottom w:val="none" w:sz="0" w:space="0" w:color="auto"/>
                <w:right w:val="none" w:sz="0" w:space="0" w:color="auto"/>
              </w:divBdr>
            </w:div>
            <w:div w:id="1252155857">
              <w:marLeft w:val="0"/>
              <w:marRight w:val="0"/>
              <w:marTop w:val="0"/>
              <w:marBottom w:val="0"/>
              <w:divBdr>
                <w:top w:val="none" w:sz="0" w:space="0" w:color="auto"/>
                <w:left w:val="none" w:sz="0" w:space="0" w:color="auto"/>
                <w:bottom w:val="none" w:sz="0" w:space="0" w:color="auto"/>
                <w:right w:val="none" w:sz="0" w:space="0" w:color="auto"/>
              </w:divBdr>
            </w:div>
            <w:div w:id="1339775445">
              <w:marLeft w:val="0"/>
              <w:marRight w:val="0"/>
              <w:marTop w:val="0"/>
              <w:marBottom w:val="0"/>
              <w:divBdr>
                <w:top w:val="none" w:sz="0" w:space="0" w:color="auto"/>
                <w:left w:val="none" w:sz="0" w:space="0" w:color="auto"/>
                <w:bottom w:val="none" w:sz="0" w:space="0" w:color="auto"/>
                <w:right w:val="none" w:sz="0" w:space="0" w:color="auto"/>
              </w:divBdr>
            </w:div>
            <w:div w:id="1405295111">
              <w:marLeft w:val="0"/>
              <w:marRight w:val="0"/>
              <w:marTop w:val="0"/>
              <w:marBottom w:val="0"/>
              <w:divBdr>
                <w:top w:val="none" w:sz="0" w:space="0" w:color="auto"/>
                <w:left w:val="none" w:sz="0" w:space="0" w:color="auto"/>
                <w:bottom w:val="none" w:sz="0" w:space="0" w:color="auto"/>
                <w:right w:val="none" w:sz="0" w:space="0" w:color="auto"/>
              </w:divBdr>
            </w:div>
            <w:div w:id="1502698024">
              <w:marLeft w:val="0"/>
              <w:marRight w:val="0"/>
              <w:marTop w:val="0"/>
              <w:marBottom w:val="0"/>
              <w:divBdr>
                <w:top w:val="none" w:sz="0" w:space="0" w:color="auto"/>
                <w:left w:val="none" w:sz="0" w:space="0" w:color="auto"/>
                <w:bottom w:val="none" w:sz="0" w:space="0" w:color="auto"/>
                <w:right w:val="none" w:sz="0" w:space="0" w:color="auto"/>
              </w:divBdr>
            </w:div>
            <w:div w:id="1592156007">
              <w:marLeft w:val="0"/>
              <w:marRight w:val="0"/>
              <w:marTop w:val="0"/>
              <w:marBottom w:val="0"/>
              <w:divBdr>
                <w:top w:val="none" w:sz="0" w:space="0" w:color="auto"/>
                <w:left w:val="none" w:sz="0" w:space="0" w:color="auto"/>
                <w:bottom w:val="none" w:sz="0" w:space="0" w:color="auto"/>
                <w:right w:val="none" w:sz="0" w:space="0" w:color="auto"/>
              </w:divBdr>
            </w:div>
            <w:div w:id="1621840525">
              <w:marLeft w:val="0"/>
              <w:marRight w:val="0"/>
              <w:marTop w:val="0"/>
              <w:marBottom w:val="0"/>
              <w:divBdr>
                <w:top w:val="none" w:sz="0" w:space="0" w:color="auto"/>
                <w:left w:val="none" w:sz="0" w:space="0" w:color="auto"/>
                <w:bottom w:val="none" w:sz="0" w:space="0" w:color="auto"/>
                <w:right w:val="none" w:sz="0" w:space="0" w:color="auto"/>
              </w:divBdr>
            </w:div>
            <w:div w:id="1932159210">
              <w:marLeft w:val="0"/>
              <w:marRight w:val="0"/>
              <w:marTop w:val="0"/>
              <w:marBottom w:val="0"/>
              <w:divBdr>
                <w:top w:val="none" w:sz="0" w:space="0" w:color="auto"/>
                <w:left w:val="none" w:sz="0" w:space="0" w:color="auto"/>
                <w:bottom w:val="none" w:sz="0" w:space="0" w:color="auto"/>
                <w:right w:val="none" w:sz="0" w:space="0" w:color="auto"/>
              </w:divBdr>
            </w:div>
          </w:divsChild>
        </w:div>
        <w:div w:id="2128351438">
          <w:marLeft w:val="0"/>
          <w:marRight w:val="0"/>
          <w:marTop w:val="0"/>
          <w:marBottom w:val="0"/>
          <w:divBdr>
            <w:top w:val="none" w:sz="0" w:space="0" w:color="auto"/>
            <w:left w:val="none" w:sz="0" w:space="0" w:color="auto"/>
            <w:bottom w:val="none" w:sz="0" w:space="0" w:color="auto"/>
            <w:right w:val="none" w:sz="0" w:space="0" w:color="auto"/>
          </w:divBdr>
          <w:divsChild>
            <w:div w:id="80639487">
              <w:marLeft w:val="0"/>
              <w:marRight w:val="0"/>
              <w:marTop w:val="0"/>
              <w:marBottom w:val="0"/>
              <w:divBdr>
                <w:top w:val="none" w:sz="0" w:space="0" w:color="auto"/>
                <w:left w:val="none" w:sz="0" w:space="0" w:color="auto"/>
                <w:bottom w:val="none" w:sz="0" w:space="0" w:color="auto"/>
                <w:right w:val="none" w:sz="0" w:space="0" w:color="auto"/>
              </w:divBdr>
            </w:div>
            <w:div w:id="256985301">
              <w:marLeft w:val="0"/>
              <w:marRight w:val="0"/>
              <w:marTop w:val="0"/>
              <w:marBottom w:val="0"/>
              <w:divBdr>
                <w:top w:val="none" w:sz="0" w:space="0" w:color="auto"/>
                <w:left w:val="none" w:sz="0" w:space="0" w:color="auto"/>
                <w:bottom w:val="none" w:sz="0" w:space="0" w:color="auto"/>
                <w:right w:val="none" w:sz="0" w:space="0" w:color="auto"/>
              </w:divBdr>
            </w:div>
            <w:div w:id="578752424">
              <w:marLeft w:val="0"/>
              <w:marRight w:val="0"/>
              <w:marTop w:val="0"/>
              <w:marBottom w:val="0"/>
              <w:divBdr>
                <w:top w:val="none" w:sz="0" w:space="0" w:color="auto"/>
                <w:left w:val="none" w:sz="0" w:space="0" w:color="auto"/>
                <w:bottom w:val="none" w:sz="0" w:space="0" w:color="auto"/>
                <w:right w:val="none" w:sz="0" w:space="0" w:color="auto"/>
              </w:divBdr>
            </w:div>
            <w:div w:id="623003250">
              <w:marLeft w:val="0"/>
              <w:marRight w:val="0"/>
              <w:marTop w:val="0"/>
              <w:marBottom w:val="0"/>
              <w:divBdr>
                <w:top w:val="none" w:sz="0" w:space="0" w:color="auto"/>
                <w:left w:val="none" w:sz="0" w:space="0" w:color="auto"/>
                <w:bottom w:val="none" w:sz="0" w:space="0" w:color="auto"/>
                <w:right w:val="none" w:sz="0" w:space="0" w:color="auto"/>
              </w:divBdr>
            </w:div>
            <w:div w:id="683173567">
              <w:marLeft w:val="0"/>
              <w:marRight w:val="0"/>
              <w:marTop w:val="0"/>
              <w:marBottom w:val="0"/>
              <w:divBdr>
                <w:top w:val="none" w:sz="0" w:space="0" w:color="auto"/>
                <w:left w:val="none" w:sz="0" w:space="0" w:color="auto"/>
                <w:bottom w:val="none" w:sz="0" w:space="0" w:color="auto"/>
                <w:right w:val="none" w:sz="0" w:space="0" w:color="auto"/>
              </w:divBdr>
            </w:div>
            <w:div w:id="689572435">
              <w:marLeft w:val="0"/>
              <w:marRight w:val="0"/>
              <w:marTop w:val="0"/>
              <w:marBottom w:val="0"/>
              <w:divBdr>
                <w:top w:val="none" w:sz="0" w:space="0" w:color="auto"/>
                <w:left w:val="none" w:sz="0" w:space="0" w:color="auto"/>
                <w:bottom w:val="none" w:sz="0" w:space="0" w:color="auto"/>
                <w:right w:val="none" w:sz="0" w:space="0" w:color="auto"/>
              </w:divBdr>
            </w:div>
            <w:div w:id="697003348">
              <w:marLeft w:val="0"/>
              <w:marRight w:val="0"/>
              <w:marTop w:val="0"/>
              <w:marBottom w:val="0"/>
              <w:divBdr>
                <w:top w:val="none" w:sz="0" w:space="0" w:color="auto"/>
                <w:left w:val="none" w:sz="0" w:space="0" w:color="auto"/>
                <w:bottom w:val="none" w:sz="0" w:space="0" w:color="auto"/>
                <w:right w:val="none" w:sz="0" w:space="0" w:color="auto"/>
              </w:divBdr>
            </w:div>
            <w:div w:id="793601667">
              <w:marLeft w:val="0"/>
              <w:marRight w:val="0"/>
              <w:marTop w:val="0"/>
              <w:marBottom w:val="0"/>
              <w:divBdr>
                <w:top w:val="none" w:sz="0" w:space="0" w:color="auto"/>
                <w:left w:val="none" w:sz="0" w:space="0" w:color="auto"/>
                <w:bottom w:val="none" w:sz="0" w:space="0" w:color="auto"/>
                <w:right w:val="none" w:sz="0" w:space="0" w:color="auto"/>
              </w:divBdr>
            </w:div>
            <w:div w:id="809788456">
              <w:marLeft w:val="0"/>
              <w:marRight w:val="0"/>
              <w:marTop w:val="0"/>
              <w:marBottom w:val="0"/>
              <w:divBdr>
                <w:top w:val="none" w:sz="0" w:space="0" w:color="auto"/>
                <w:left w:val="none" w:sz="0" w:space="0" w:color="auto"/>
                <w:bottom w:val="none" w:sz="0" w:space="0" w:color="auto"/>
                <w:right w:val="none" w:sz="0" w:space="0" w:color="auto"/>
              </w:divBdr>
            </w:div>
            <w:div w:id="835651952">
              <w:marLeft w:val="0"/>
              <w:marRight w:val="0"/>
              <w:marTop w:val="0"/>
              <w:marBottom w:val="0"/>
              <w:divBdr>
                <w:top w:val="none" w:sz="0" w:space="0" w:color="auto"/>
                <w:left w:val="none" w:sz="0" w:space="0" w:color="auto"/>
                <w:bottom w:val="none" w:sz="0" w:space="0" w:color="auto"/>
                <w:right w:val="none" w:sz="0" w:space="0" w:color="auto"/>
              </w:divBdr>
            </w:div>
            <w:div w:id="858658901">
              <w:marLeft w:val="0"/>
              <w:marRight w:val="0"/>
              <w:marTop w:val="0"/>
              <w:marBottom w:val="0"/>
              <w:divBdr>
                <w:top w:val="none" w:sz="0" w:space="0" w:color="auto"/>
                <w:left w:val="none" w:sz="0" w:space="0" w:color="auto"/>
                <w:bottom w:val="none" w:sz="0" w:space="0" w:color="auto"/>
                <w:right w:val="none" w:sz="0" w:space="0" w:color="auto"/>
              </w:divBdr>
            </w:div>
            <w:div w:id="1320231830">
              <w:marLeft w:val="0"/>
              <w:marRight w:val="0"/>
              <w:marTop w:val="0"/>
              <w:marBottom w:val="0"/>
              <w:divBdr>
                <w:top w:val="none" w:sz="0" w:space="0" w:color="auto"/>
                <w:left w:val="none" w:sz="0" w:space="0" w:color="auto"/>
                <w:bottom w:val="none" w:sz="0" w:space="0" w:color="auto"/>
                <w:right w:val="none" w:sz="0" w:space="0" w:color="auto"/>
              </w:divBdr>
            </w:div>
            <w:div w:id="1533030999">
              <w:marLeft w:val="0"/>
              <w:marRight w:val="0"/>
              <w:marTop w:val="0"/>
              <w:marBottom w:val="0"/>
              <w:divBdr>
                <w:top w:val="none" w:sz="0" w:space="0" w:color="auto"/>
                <w:left w:val="none" w:sz="0" w:space="0" w:color="auto"/>
                <w:bottom w:val="none" w:sz="0" w:space="0" w:color="auto"/>
                <w:right w:val="none" w:sz="0" w:space="0" w:color="auto"/>
              </w:divBdr>
            </w:div>
            <w:div w:id="1631862166">
              <w:marLeft w:val="0"/>
              <w:marRight w:val="0"/>
              <w:marTop w:val="0"/>
              <w:marBottom w:val="0"/>
              <w:divBdr>
                <w:top w:val="none" w:sz="0" w:space="0" w:color="auto"/>
                <w:left w:val="none" w:sz="0" w:space="0" w:color="auto"/>
                <w:bottom w:val="none" w:sz="0" w:space="0" w:color="auto"/>
                <w:right w:val="none" w:sz="0" w:space="0" w:color="auto"/>
              </w:divBdr>
            </w:div>
            <w:div w:id="1653173956">
              <w:marLeft w:val="0"/>
              <w:marRight w:val="0"/>
              <w:marTop w:val="0"/>
              <w:marBottom w:val="0"/>
              <w:divBdr>
                <w:top w:val="none" w:sz="0" w:space="0" w:color="auto"/>
                <w:left w:val="none" w:sz="0" w:space="0" w:color="auto"/>
                <w:bottom w:val="none" w:sz="0" w:space="0" w:color="auto"/>
                <w:right w:val="none" w:sz="0" w:space="0" w:color="auto"/>
              </w:divBdr>
            </w:div>
            <w:div w:id="1794329008">
              <w:marLeft w:val="0"/>
              <w:marRight w:val="0"/>
              <w:marTop w:val="0"/>
              <w:marBottom w:val="0"/>
              <w:divBdr>
                <w:top w:val="none" w:sz="0" w:space="0" w:color="auto"/>
                <w:left w:val="none" w:sz="0" w:space="0" w:color="auto"/>
                <w:bottom w:val="none" w:sz="0" w:space="0" w:color="auto"/>
                <w:right w:val="none" w:sz="0" w:space="0" w:color="auto"/>
              </w:divBdr>
            </w:div>
            <w:div w:id="1829705989">
              <w:marLeft w:val="0"/>
              <w:marRight w:val="0"/>
              <w:marTop w:val="0"/>
              <w:marBottom w:val="0"/>
              <w:divBdr>
                <w:top w:val="none" w:sz="0" w:space="0" w:color="auto"/>
                <w:left w:val="none" w:sz="0" w:space="0" w:color="auto"/>
                <w:bottom w:val="none" w:sz="0" w:space="0" w:color="auto"/>
                <w:right w:val="none" w:sz="0" w:space="0" w:color="auto"/>
              </w:divBdr>
            </w:div>
            <w:div w:id="1964845889">
              <w:marLeft w:val="0"/>
              <w:marRight w:val="0"/>
              <w:marTop w:val="0"/>
              <w:marBottom w:val="0"/>
              <w:divBdr>
                <w:top w:val="none" w:sz="0" w:space="0" w:color="auto"/>
                <w:left w:val="none" w:sz="0" w:space="0" w:color="auto"/>
                <w:bottom w:val="none" w:sz="0" w:space="0" w:color="auto"/>
                <w:right w:val="none" w:sz="0" w:space="0" w:color="auto"/>
              </w:divBdr>
            </w:div>
            <w:div w:id="2050495038">
              <w:marLeft w:val="0"/>
              <w:marRight w:val="0"/>
              <w:marTop w:val="0"/>
              <w:marBottom w:val="0"/>
              <w:divBdr>
                <w:top w:val="none" w:sz="0" w:space="0" w:color="auto"/>
                <w:left w:val="none" w:sz="0" w:space="0" w:color="auto"/>
                <w:bottom w:val="none" w:sz="0" w:space="0" w:color="auto"/>
                <w:right w:val="none" w:sz="0" w:space="0" w:color="auto"/>
              </w:divBdr>
            </w:div>
            <w:div w:id="2121800406">
              <w:marLeft w:val="0"/>
              <w:marRight w:val="0"/>
              <w:marTop w:val="0"/>
              <w:marBottom w:val="0"/>
              <w:divBdr>
                <w:top w:val="none" w:sz="0" w:space="0" w:color="auto"/>
                <w:left w:val="none" w:sz="0" w:space="0" w:color="auto"/>
                <w:bottom w:val="none" w:sz="0" w:space="0" w:color="auto"/>
                <w:right w:val="none" w:sz="0" w:space="0" w:color="auto"/>
              </w:divBdr>
            </w:div>
          </w:divsChild>
        </w:div>
        <w:div w:id="2129427910">
          <w:marLeft w:val="0"/>
          <w:marRight w:val="0"/>
          <w:marTop w:val="0"/>
          <w:marBottom w:val="0"/>
          <w:divBdr>
            <w:top w:val="none" w:sz="0" w:space="0" w:color="auto"/>
            <w:left w:val="none" w:sz="0" w:space="0" w:color="auto"/>
            <w:bottom w:val="none" w:sz="0" w:space="0" w:color="auto"/>
            <w:right w:val="none" w:sz="0" w:space="0" w:color="auto"/>
          </w:divBdr>
          <w:divsChild>
            <w:div w:id="6713393">
              <w:marLeft w:val="0"/>
              <w:marRight w:val="0"/>
              <w:marTop w:val="0"/>
              <w:marBottom w:val="0"/>
              <w:divBdr>
                <w:top w:val="none" w:sz="0" w:space="0" w:color="auto"/>
                <w:left w:val="none" w:sz="0" w:space="0" w:color="auto"/>
                <w:bottom w:val="none" w:sz="0" w:space="0" w:color="auto"/>
                <w:right w:val="none" w:sz="0" w:space="0" w:color="auto"/>
              </w:divBdr>
            </w:div>
            <w:div w:id="44255437">
              <w:marLeft w:val="0"/>
              <w:marRight w:val="0"/>
              <w:marTop w:val="0"/>
              <w:marBottom w:val="0"/>
              <w:divBdr>
                <w:top w:val="none" w:sz="0" w:space="0" w:color="auto"/>
                <w:left w:val="none" w:sz="0" w:space="0" w:color="auto"/>
                <w:bottom w:val="none" w:sz="0" w:space="0" w:color="auto"/>
                <w:right w:val="none" w:sz="0" w:space="0" w:color="auto"/>
              </w:divBdr>
            </w:div>
            <w:div w:id="579220540">
              <w:marLeft w:val="0"/>
              <w:marRight w:val="0"/>
              <w:marTop w:val="0"/>
              <w:marBottom w:val="0"/>
              <w:divBdr>
                <w:top w:val="none" w:sz="0" w:space="0" w:color="auto"/>
                <w:left w:val="none" w:sz="0" w:space="0" w:color="auto"/>
                <w:bottom w:val="none" w:sz="0" w:space="0" w:color="auto"/>
                <w:right w:val="none" w:sz="0" w:space="0" w:color="auto"/>
              </w:divBdr>
            </w:div>
            <w:div w:id="909657143">
              <w:marLeft w:val="0"/>
              <w:marRight w:val="0"/>
              <w:marTop w:val="0"/>
              <w:marBottom w:val="0"/>
              <w:divBdr>
                <w:top w:val="none" w:sz="0" w:space="0" w:color="auto"/>
                <w:left w:val="none" w:sz="0" w:space="0" w:color="auto"/>
                <w:bottom w:val="none" w:sz="0" w:space="0" w:color="auto"/>
                <w:right w:val="none" w:sz="0" w:space="0" w:color="auto"/>
              </w:divBdr>
            </w:div>
            <w:div w:id="932392828">
              <w:marLeft w:val="0"/>
              <w:marRight w:val="0"/>
              <w:marTop w:val="0"/>
              <w:marBottom w:val="0"/>
              <w:divBdr>
                <w:top w:val="none" w:sz="0" w:space="0" w:color="auto"/>
                <w:left w:val="none" w:sz="0" w:space="0" w:color="auto"/>
                <w:bottom w:val="none" w:sz="0" w:space="0" w:color="auto"/>
                <w:right w:val="none" w:sz="0" w:space="0" w:color="auto"/>
              </w:divBdr>
            </w:div>
            <w:div w:id="976758803">
              <w:marLeft w:val="0"/>
              <w:marRight w:val="0"/>
              <w:marTop w:val="0"/>
              <w:marBottom w:val="0"/>
              <w:divBdr>
                <w:top w:val="none" w:sz="0" w:space="0" w:color="auto"/>
                <w:left w:val="none" w:sz="0" w:space="0" w:color="auto"/>
                <w:bottom w:val="none" w:sz="0" w:space="0" w:color="auto"/>
                <w:right w:val="none" w:sz="0" w:space="0" w:color="auto"/>
              </w:divBdr>
            </w:div>
            <w:div w:id="1013452751">
              <w:marLeft w:val="0"/>
              <w:marRight w:val="0"/>
              <w:marTop w:val="0"/>
              <w:marBottom w:val="0"/>
              <w:divBdr>
                <w:top w:val="none" w:sz="0" w:space="0" w:color="auto"/>
                <w:left w:val="none" w:sz="0" w:space="0" w:color="auto"/>
                <w:bottom w:val="none" w:sz="0" w:space="0" w:color="auto"/>
                <w:right w:val="none" w:sz="0" w:space="0" w:color="auto"/>
              </w:divBdr>
            </w:div>
            <w:div w:id="1055853190">
              <w:marLeft w:val="0"/>
              <w:marRight w:val="0"/>
              <w:marTop w:val="0"/>
              <w:marBottom w:val="0"/>
              <w:divBdr>
                <w:top w:val="none" w:sz="0" w:space="0" w:color="auto"/>
                <w:left w:val="none" w:sz="0" w:space="0" w:color="auto"/>
                <w:bottom w:val="none" w:sz="0" w:space="0" w:color="auto"/>
                <w:right w:val="none" w:sz="0" w:space="0" w:color="auto"/>
              </w:divBdr>
            </w:div>
            <w:div w:id="1113094421">
              <w:marLeft w:val="0"/>
              <w:marRight w:val="0"/>
              <w:marTop w:val="0"/>
              <w:marBottom w:val="0"/>
              <w:divBdr>
                <w:top w:val="none" w:sz="0" w:space="0" w:color="auto"/>
                <w:left w:val="none" w:sz="0" w:space="0" w:color="auto"/>
                <w:bottom w:val="none" w:sz="0" w:space="0" w:color="auto"/>
                <w:right w:val="none" w:sz="0" w:space="0" w:color="auto"/>
              </w:divBdr>
            </w:div>
            <w:div w:id="1204290418">
              <w:marLeft w:val="0"/>
              <w:marRight w:val="0"/>
              <w:marTop w:val="0"/>
              <w:marBottom w:val="0"/>
              <w:divBdr>
                <w:top w:val="none" w:sz="0" w:space="0" w:color="auto"/>
                <w:left w:val="none" w:sz="0" w:space="0" w:color="auto"/>
                <w:bottom w:val="none" w:sz="0" w:space="0" w:color="auto"/>
                <w:right w:val="none" w:sz="0" w:space="0" w:color="auto"/>
              </w:divBdr>
            </w:div>
            <w:div w:id="1230798822">
              <w:marLeft w:val="0"/>
              <w:marRight w:val="0"/>
              <w:marTop w:val="0"/>
              <w:marBottom w:val="0"/>
              <w:divBdr>
                <w:top w:val="none" w:sz="0" w:space="0" w:color="auto"/>
                <w:left w:val="none" w:sz="0" w:space="0" w:color="auto"/>
                <w:bottom w:val="none" w:sz="0" w:space="0" w:color="auto"/>
                <w:right w:val="none" w:sz="0" w:space="0" w:color="auto"/>
              </w:divBdr>
            </w:div>
            <w:div w:id="1312714335">
              <w:marLeft w:val="0"/>
              <w:marRight w:val="0"/>
              <w:marTop w:val="0"/>
              <w:marBottom w:val="0"/>
              <w:divBdr>
                <w:top w:val="none" w:sz="0" w:space="0" w:color="auto"/>
                <w:left w:val="none" w:sz="0" w:space="0" w:color="auto"/>
                <w:bottom w:val="none" w:sz="0" w:space="0" w:color="auto"/>
                <w:right w:val="none" w:sz="0" w:space="0" w:color="auto"/>
              </w:divBdr>
            </w:div>
            <w:div w:id="1371106092">
              <w:marLeft w:val="0"/>
              <w:marRight w:val="0"/>
              <w:marTop w:val="0"/>
              <w:marBottom w:val="0"/>
              <w:divBdr>
                <w:top w:val="none" w:sz="0" w:space="0" w:color="auto"/>
                <w:left w:val="none" w:sz="0" w:space="0" w:color="auto"/>
                <w:bottom w:val="none" w:sz="0" w:space="0" w:color="auto"/>
                <w:right w:val="none" w:sz="0" w:space="0" w:color="auto"/>
              </w:divBdr>
            </w:div>
            <w:div w:id="1385980961">
              <w:marLeft w:val="0"/>
              <w:marRight w:val="0"/>
              <w:marTop w:val="0"/>
              <w:marBottom w:val="0"/>
              <w:divBdr>
                <w:top w:val="none" w:sz="0" w:space="0" w:color="auto"/>
                <w:left w:val="none" w:sz="0" w:space="0" w:color="auto"/>
                <w:bottom w:val="none" w:sz="0" w:space="0" w:color="auto"/>
                <w:right w:val="none" w:sz="0" w:space="0" w:color="auto"/>
              </w:divBdr>
            </w:div>
            <w:div w:id="1714188386">
              <w:marLeft w:val="0"/>
              <w:marRight w:val="0"/>
              <w:marTop w:val="0"/>
              <w:marBottom w:val="0"/>
              <w:divBdr>
                <w:top w:val="none" w:sz="0" w:space="0" w:color="auto"/>
                <w:left w:val="none" w:sz="0" w:space="0" w:color="auto"/>
                <w:bottom w:val="none" w:sz="0" w:space="0" w:color="auto"/>
                <w:right w:val="none" w:sz="0" w:space="0" w:color="auto"/>
              </w:divBdr>
            </w:div>
            <w:div w:id="1720665318">
              <w:marLeft w:val="0"/>
              <w:marRight w:val="0"/>
              <w:marTop w:val="0"/>
              <w:marBottom w:val="0"/>
              <w:divBdr>
                <w:top w:val="none" w:sz="0" w:space="0" w:color="auto"/>
                <w:left w:val="none" w:sz="0" w:space="0" w:color="auto"/>
                <w:bottom w:val="none" w:sz="0" w:space="0" w:color="auto"/>
                <w:right w:val="none" w:sz="0" w:space="0" w:color="auto"/>
              </w:divBdr>
            </w:div>
            <w:div w:id="1788815989">
              <w:marLeft w:val="0"/>
              <w:marRight w:val="0"/>
              <w:marTop w:val="0"/>
              <w:marBottom w:val="0"/>
              <w:divBdr>
                <w:top w:val="none" w:sz="0" w:space="0" w:color="auto"/>
                <w:left w:val="none" w:sz="0" w:space="0" w:color="auto"/>
                <w:bottom w:val="none" w:sz="0" w:space="0" w:color="auto"/>
                <w:right w:val="none" w:sz="0" w:space="0" w:color="auto"/>
              </w:divBdr>
            </w:div>
            <w:div w:id="1873373333">
              <w:marLeft w:val="0"/>
              <w:marRight w:val="0"/>
              <w:marTop w:val="0"/>
              <w:marBottom w:val="0"/>
              <w:divBdr>
                <w:top w:val="none" w:sz="0" w:space="0" w:color="auto"/>
                <w:left w:val="none" w:sz="0" w:space="0" w:color="auto"/>
                <w:bottom w:val="none" w:sz="0" w:space="0" w:color="auto"/>
                <w:right w:val="none" w:sz="0" w:space="0" w:color="auto"/>
              </w:divBdr>
            </w:div>
            <w:div w:id="1886409444">
              <w:marLeft w:val="0"/>
              <w:marRight w:val="0"/>
              <w:marTop w:val="0"/>
              <w:marBottom w:val="0"/>
              <w:divBdr>
                <w:top w:val="none" w:sz="0" w:space="0" w:color="auto"/>
                <w:left w:val="none" w:sz="0" w:space="0" w:color="auto"/>
                <w:bottom w:val="none" w:sz="0" w:space="0" w:color="auto"/>
                <w:right w:val="none" w:sz="0" w:space="0" w:color="auto"/>
              </w:divBdr>
            </w:div>
            <w:div w:id="208464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161914">
      <w:bodyDiv w:val="1"/>
      <w:marLeft w:val="0"/>
      <w:marRight w:val="0"/>
      <w:marTop w:val="0"/>
      <w:marBottom w:val="0"/>
      <w:divBdr>
        <w:top w:val="none" w:sz="0" w:space="0" w:color="auto"/>
        <w:left w:val="none" w:sz="0" w:space="0" w:color="auto"/>
        <w:bottom w:val="none" w:sz="0" w:space="0" w:color="auto"/>
        <w:right w:val="none" w:sz="0" w:space="0" w:color="auto"/>
      </w:divBdr>
      <w:divsChild>
        <w:div w:id="118112941">
          <w:marLeft w:val="0"/>
          <w:marRight w:val="0"/>
          <w:marTop w:val="0"/>
          <w:marBottom w:val="0"/>
          <w:divBdr>
            <w:top w:val="none" w:sz="0" w:space="0" w:color="auto"/>
            <w:left w:val="none" w:sz="0" w:space="0" w:color="auto"/>
            <w:bottom w:val="none" w:sz="0" w:space="0" w:color="auto"/>
            <w:right w:val="none" w:sz="0" w:space="0" w:color="auto"/>
          </w:divBdr>
        </w:div>
        <w:div w:id="884173904">
          <w:marLeft w:val="0"/>
          <w:marRight w:val="0"/>
          <w:marTop w:val="0"/>
          <w:marBottom w:val="0"/>
          <w:divBdr>
            <w:top w:val="none" w:sz="0" w:space="0" w:color="auto"/>
            <w:left w:val="none" w:sz="0" w:space="0" w:color="auto"/>
            <w:bottom w:val="none" w:sz="0" w:space="0" w:color="auto"/>
            <w:right w:val="none" w:sz="0" w:space="0" w:color="auto"/>
          </w:divBdr>
        </w:div>
        <w:div w:id="1037045640">
          <w:marLeft w:val="0"/>
          <w:marRight w:val="0"/>
          <w:marTop w:val="0"/>
          <w:marBottom w:val="0"/>
          <w:divBdr>
            <w:top w:val="none" w:sz="0" w:space="0" w:color="auto"/>
            <w:left w:val="none" w:sz="0" w:space="0" w:color="auto"/>
            <w:bottom w:val="none" w:sz="0" w:space="0" w:color="auto"/>
            <w:right w:val="none" w:sz="0" w:space="0" w:color="auto"/>
          </w:divBdr>
        </w:div>
        <w:div w:id="1935631544">
          <w:marLeft w:val="0"/>
          <w:marRight w:val="0"/>
          <w:marTop w:val="0"/>
          <w:marBottom w:val="0"/>
          <w:divBdr>
            <w:top w:val="none" w:sz="0" w:space="0" w:color="auto"/>
            <w:left w:val="none" w:sz="0" w:space="0" w:color="auto"/>
            <w:bottom w:val="none" w:sz="0" w:space="0" w:color="auto"/>
            <w:right w:val="none" w:sz="0" w:space="0" w:color="auto"/>
          </w:divBdr>
        </w:div>
        <w:div w:id="2129471896">
          <w:marLeft w:val="0"/>
          <w:marRight w:val="0"/>
          <w:marTop w:val="0"/>
          <w:marBottom w:val="0"/>
          <w:divBdr>
            <w:top w:val="none" w:sz="0" w:space="0" w:color="auto"/>
            <w:left w:val="none" w:sz="0" w:space="0" w:color="auto"/>
            <w:bottom w:val="none" w:sz="0" w:space="0" w:color="auto"/>
            <w:right w:val="none" w:sz="0" w:space="0" w:color="auto"/>
          </w:divBdr>
        </w:div>
      </w:divsChild>
    </w:div>
    <w:div w:id="1941864087">
      <w:bodyDiv w:val="1"/>
      <w:marLeft w:val="0"/>
      <w:marRight w:val="0"/>
      <w:marTop w:val="0"/>
      <w:marBottom w:val="0"/>
      <w:divBdr>
        <w:top w:val="none" w:sz="0" w:space="0" w:color="auto"/>
        <w:left w:val="none" w:sz="0" w:space="0" w:color="auto"/>
        <w:bottom w:val="none" w:sz="0" w:space="0" w:color="auto"/>
        <w:right w:val="none" w:sz="0" w:space="0" w:color="auto"/>
      </w:divBdr>
      <w:divsChild>
        <w:div w:id="1511413615">
          <w:marLeft w:val="0"/>
          <w:marRight w:val="0"/>
          <w:marTop w:val="0"/>
          <w:marBottom w:val="0"/>
          <w:divBdr>
            <w:top w:val="none" w:sz="0" w:space="0" w:color="auto"/>
            <w:left w:val="none" w:sz="0" w:space="0" w:color="auto"/>
            <w:bottom w:val="none" w:sz="0" w:space="0" w:color="auto"/>
            <w:right w:val="none" w:sz="0" w:space="0" w:color="auto"/>
          </w:divBdr>
        </w:div>
      </w:divsChild>
    </w:div>
    <w:div w:id="1947619870">
      <w:bodyDiv w:val="1"/>
      <w:marLeft w:val="0"/>
      <w:marRight w:val="0"/>
      <w:marTop w:val="0"/>
      <w:marBottom w:val="0"/>
      <w:divBdr>
        <w:top w:val="none" w:sz="0" w:space="0" w:color="auto"/>
        <w:left w:val="none" w:sz="0" w:space="0" w:color="auto"/>
        <w:bottom w:val="none" w:sz="0" w:space="0" w:color="auto"/>
        <w:right w:val="none" w:sz="0" w:space="0" w:color="auto"/>
      </w:divBdr>
    </w:div>
    <w:div w:id="1959606530">
      <w:bodyDiv w:val="1"/>
      <w:marLeft w:val="0"/>
      <w:marRight w:val="0"/>
      <w:marTop w:val="0"/>
      <w:marBottom w:val="0"/>
      <w:divBdr>
        <w:top w:val="none" w:sz="0" w:space="0" w:color="auto"/>
        <w:left w:val="none" w:sz="0" w:space="0" w:color="auto"/>
        <w:bottom w:val="none" w:sz="0" w:space="0" w:color="auto"/>
        <w:right w:val="none" w:sz="0" w:space="0" w:color="auto"/>
      </w:divBdr>
    </w:div>
    <w:div w:id="1973361676">
      <w:bodyDiv w:val="1"/>
      <w:marLeft w:val="0"/>
      <w:marRight w:val="0"/>
      <w:marTop w:val="0"/>
      <w:marBottom w:val="0"/>
      <w:divBdr>
        <w:top w:val="none" w:sz="0" w:space="0" w:color="auto"/>
        <w:left w:val="none" w:sz="0" w:space="0" w:color="auto"/>
        <w:bottom w:val="none" w:sz="0" w:space="0" w:color="auto"/>
        <w:right w:val="none" w:sz="0" w:space="0" w:color="auto"/>
      </w:divBdr>
      <w:divsChild>
        <w:div w:id="197741064">
          <w:marLeft w:val="0"/>
          <w:marRight w:val="0"/>
          <w:marTop w:val="0"/>
          <w:marBottom w:val="0"/>
          <w:divBdr>
            <w:top w:val="none" w:sz="0" w:space="0" w:color="auto"/>
            <w:left w:val="none" w:sz="0" w:space="0" w:color="auto"/>
            <w:bottom w:val="none" w:sz="0" w:space="0" w:color="auto"/>
            <w:right w:val="none" w:sz="0" w:space="0" w:color="auto"/>
          </w:divBdr>
        </w:div>
      </w:divsChild>
    </w:div>
    <w:div w:id="1987929291">
      <w:bodyDiv w:val="1"/>
      <w:marLeft w:val="0"/>
      <w:marRight w:val="0"/>
      <w:marTop w:val="0"/>
      <w:marBottom w:val="0"/>
      <w:divBdr>
        <w:top w:val="none" w:sz="0" w:space="0" w:color="auto"/>
        <w:left w:val="none" w:sz="0" w:space="0" w:color="auto"/>
        <w:bottom w:val="none" w:sz="0" w:space="0" w:color="auto"/>
        <w:right w:val="none" w:sz="0" w:space="0" w:color="auto"/>
      </w:divBdr>
      <w:divsChild>
        <w:div w:id="899943858">
          <w:marLeft w:val="0"/>
          <w:marRight w:val="0"/>
          <w:marTop w:val="0"/>
          <w:marBottom w:val="0"/>
          <w:divBdr>
            <w:top w:val="none" w:sz="0" w:space="0" w:color="auto"/>
            <w:left w:val="none" w:sz="0" w:space="0" w:color="auto"/>
            <w:bottom w:val="none" w:sz="0" w:space="0" w:color="auto"/>
            <w:right w:val="none" w:sz="0" w:space="0" w:color="auto"/>
          </w:divBdr>
        </w:div>
        <w:div w:id="2053335751">
          <w:marLeft w:val="0"/>
          <w:marRight w:val="0"/>
          <w:marTop w:val="0"/>
          <w:marBottom w:val="0"/>
          <w:divBdr>
            <w:top w:val="none" w:sz="0" w:space="0" w:color="auto"/>
            <w:left w:val="none" w:sz="0" w:space="0" w:color="auto"/>
            <w:bottom w:val="none" w:sz="0" w:space="0" w:color="auto"/>
            <w:right w:val="none" w:sz="0" w:space="0" w:color="auto"/>
          </w:divBdr>
        </w:div>
      </w:divsChild>
    </w:div>
    <w:div w:id="1997606719">
      <w:bodyDiv w:val="1"/>
      <w:marLeft w:val="0"/>
      <w:marRight w:val="0"/>
      <w:marTop w:val="0"/>
      <w:marBottom w:val="0"/>
      <w:divBdr>
        <w:top w:val="none" w:sz="0" w:space="0" w:color="auto"/>
        <w:left w:val="none" w:sz="0" w:space="0" w:color="auto"/>
        <w:bottom w:val="none" w:sz="0" w:space="0" w:color="auto"/>
        <w:right w:val="none" w:sz="0" w:space="0" w:color="auto"/>
      </w:divBdr>
      <w:divsChild>
        <w:div w:id="522062735">
          <w:marLeft w:val="0"/>
          <w:marRight w:val="0"/>
          <w:marTop w:val="0"/>
          <w:marBottom w:val="0"/>
          <w:divBdr>
            <w:top w:val="none" w:sz="0" w:space="0" w:color="auto"/>
            <w:left w:val="none" w:sz="0" w:space="0" w:color="auto"/>
            <w:bottom w:val="none" w:sz="0" w:space="0" w:color="auto"/>
            <w:right w:val="none" w:sz="0" w:space="0" w:color="auto"/>
          </w:divBdr>
        </w:div>
        <w:div w:id="587348740">
          <w:marLeft w:val="0"/>
          <w:marRight w:val="0"/>
          <w:marTop w:val="0"/>
          <w:marBottom w:val="0"/>
          <w:divBdr>
            <w:top w:val="none" w:sz="0" w:space="0" w:color="auto"/>
            <w:left w:val="none" w:sz="0" w:space="0" w:color="auto"/>
            <w:bottom w:val="none" w:sz="0" w:space="0" w:color="auto"/>
            <w:right w:val="none" w:sz="0" w:space="0" w:color="auto"/>
          </w:divBdr>
        </w:div>
      </w:divsChild>
    </w:div>
    <w:div w:id="1999578387">
      <w:bodyDiv w:val="1"/>
      <w:marLeft w:val="0"/>
      <w:marRight w:val="0"/>
      <w:marTop w:val="0"/>
      <w:marBottom w:val="0"/>
      <w:divBdr>
        <w:top w:val="none" w:sz="0" w:space="0" w:color="auto"/>
        <w:left w:val="none" w:sz="0" w:space="0" w:color="auto"/>
        <w:bottom w:val="none" w:sz="0" w:space="0" w:color="auto"/>
        <w:right w:val="none" w:sz="0" w:space="0" w:color="auto"/>
      </w:divBdr>
    </w:div>
    <w:div w:id="2056925979">
      <w:bodyDiv w:val="1"/>
      <w:marLeft w:val="0"/>
      <w:marRight w:val="0"/>
      <w:marTop w:val="0"/>
      <w:marBottom w:val="0"/>
      <w:divBdr>
        <w:top w:val="none" w:sz="0" w:space="0" w:color="auto"/>
        <w:left w:val="none" w:sz="0" w:space="0" w:color="auto"/>
        <w:bottom w:val="none" w:sz="0" w:space="0" w:color="auto"/>
        <w:right w:val="none" w:sz="0" w:space="0" w:color="auto"/>
      </w:divBdr>
      <w:divsChild>
        <w:div w:id="79374965">
          <w:marLeft w:val="0"/>
          <w:marRight w:val="0"/>
          <w:marTop w:val="0"/>
          <w:marBottom w:val="0"/>
          <w:divBdr>
            <w:top w:val="none" w:sz="0" w:space="0" w:color="auto"/>
            <w:left w:val="none" w:sz="0" w:space="0" w:color="auto"/>
            <w:bottom w:val="none" w:sz="0" w:space="0" w:color="auto"/>
            <w:right w:val="none" w:sz="0" w:space="0" w:color="auto"/>
          </w:divBdr>
        </w:div>
        <w:div w:id="378482955">
          <w:marLeft w:val="0"/>
          <w:marRight w:val="0"/>
          <w:marTop w:val="0"/>
          <w:marBottom w:val="0"/>
          <w:divBdr>
            <w:top w:val="none" w:sz="0" w:space="0" w:color="auto"/>
            <w:left w:val="none" w:sz="0" w:space="0" w:color="auto"/>
            <w:bottom w:val="none" w:sz="0" w:space="0" w:color="auto"/>
            <w:right w:val="none" w:sz="0" w:space="0" w:color="auto"/>
          </w:divBdr>
        </w:div>
        <w:div w:id="600144803">
          <w:marLeft w:val="0"/>
          <w:marRight w:val="0"/>
          <w:marTop w:val="0"/>
          <w:marBottom w:val="0"/>
          <w:divBdr>
            <w:top w:val="none" w:sz="0" w:space="0" w:color="auto"/>
            <w:left w:val="none" w:sz="0" w:space="0" w:color="auto"/>
            <w:bottom w:val="none" w:sz="0" w:space="0" w:color="auto"/>
            <w:right w:val="none" w:sz="0" w:space="0" w:color="auto"/>
          </w:divBdr>
        </w:div>
        <w:div w:id="930353954">
          <w:marLeft w:val="0"/>
          <w:marRight w:val="0"/>
          <w:marTop w:val="0"/>
          <w:marBottom w:val="0"/>
          <w:divBdr>
            <w:top w:val="none" w:sz="0" w:space="0" w:color="auto"/>
            <w:left w:val="none" w:sz="0" w:space="0" w:color="auto"/>
            <w:bottom w:val="none" w:sz="0" w:space="0" w:color="auto"/>
            <w:right w:val="none" w:sz="0" w:space="0" w:color="auto"/>
          </w:divBdr>
        </w:div>
        <w:div w:id="1044331426">
          <w:marLeft w:val="0"/>
          <w:marRight w:val="0"/>
          <w:marTop w:val="0"/>
          <w:marBottom w:val="0"/>
          <w:divBdr>
            <w:top w:val="none" w:sz="0" w:space="0" w:color="auto"/>
            <w:left w:val="none" w:sz="0" w:space="0" w:color="auto"/>
            <w:bottom w:val="none" w:sz="0" w:space="0" w:color="auto"/>
            <w:right w:val="none" w:sz="0" w:space="0" w:color="auto"/>
          </w:divBdr>
        </w:div>
        <w:div w:id="1152596762">
          <w:marLeft w:val="0"/>
          <w:marRight w:val="0"/>
          <w:marTop w:val="0"/>
          <w:marBottom w:val="0"/>
          <w:divBdr>
            <w:top w:val="none" w:sz="0" w:space="0" w:color="auto"/>
            <w:left w:val="none" w:sz="0" w:space="0" w:color="auto"/>
            <w:bottom w:val="none" w:sz="0" w:space="0" w:color="auto"/>
            <w:right w:val="none" w:sz="0" w:space="0" w:color="auto"/>
          </w:divBdr>
        </w:div>
        <w:div w:id="1191993742">
          <w:marLeft w:val="0"/>
          <w:marRight w:val="0"/>
          <w:marTop w:val="0"/>
          <w:marBottom w:val="0"/>
          <w:divBdr>
            <w:top w:val="none" w:sz="0" w:space="0" w:color="auto"/>
            <w:left w:val="none" w:sz="0" w:space="0" w:color="auto"/>
            <w:bottom w:val="none" w:sz="0" w:space="0" w:color="auto"/>
            <w:right w:val="none" w:sz="0" w:space="0" w:color="auto"/>
          </w:divBdr>
        </w:div>
        <w:div w:id="1259291968">
          <w:marLeft w:val="0"/>
          <w:marRight w:val="0"/>
          <w:marTop w:val="0"/>
          <w:marBottom w:val="0"/>
          <w:divBdr>
            <w:top w:val="none" w:sz="0" w:space="0" w:color="auto"/>
            <w:left w:val="none" w:sz="0" w:space="0" w:color="auto"/>
            <w:bottom w:val="none" w:sz="0" w:space="0" w:color="auto"/>
            <w:right w:val="none" w:sz="0" w:space="0" w:color="auto"/>
          </w:divBdr>
        </w:div>
        <w:div w:id="1353920352">
          <w:marLeft w:val="0"/>
          <w:marRight w:val="0"/>
          <w:marTop w:val="0"/>
          <w:marBottom w:val="0"/>
          <w:divBdr>
            <w:top w:val="none" w:sz="0" w:space="0" w:color="auto"/>
            <w:left w:val="none" w:sz="0" w:space="0" w:color="auto"/>
            <w:bottom w:val="none" w:sz="0" w:space="0" w:color="auto"/>
            <w:right w:val="none" w:sz="0" w:space="0" w:color="auto"/>
          </w:divBdr>
        </w:div>
        <w:div w:id="1364550749">
          <w:marLeft w:val="0"/>
          <w:marRight w:val="0"/>
          <w:marTop w:val="0"/>
          <w:marBottom w:val="0"/>
          <w:divBdr>
            <w:top w:val="none" w:sz="0" w:space="0" w:color="auto"/>
            <w:left w:val="none" w:sz="0" w:space="0" w:color="auto"/>
            <w:bottom w:val="none" w:sz="0" w:space="0" w:color="auto"/>
            <w:right w:val="none" w:sz="0" w:space="0" w:color="auto"/>
          </w:divBdr>
        </w:div>
        <w:div w:id="1458178103">
          <w:marLeft w:val="0"/>
          <w:marRight w:val="0"/>
          <w:marTop w:val="0"/>
          <w:marBottom w:val="0"/>
          <w:divBdr>
            <w:top w:val="none" w:sz="0" w:space="0" w:color="auto"/>
            <w:left w:val="none" w:sz="0" w:space="0" w:color="auto"/>
            <w:bottom w:val="none" w:sz="0" w:space="0" w:color="auto"/>
            <w:right w:val="none" w:sz="0" w:space="0" w:color="auto"/>
          </w:divBdr>
        </w:div>
        <w:div w:id="1645622821">
          <w:marLeft w:val="0"/>
          <w:marRight w:val="0"/>
          <w:marTop w:val="0"/>
          <w:marBottom w:val="0"/>
          <w:divBdr>
            <w:top w:val="none" w:sz="0" w:space="0" w:color="auto"/>
            <w:left w:val="none" w:sz="0" w:space="0" w:color="auto"/>
            <w:bottom w:val="none" w:sz="0" w:space="0" w:color="auto"/>
            <w:right w:val="none" w:sz="0" w:space="0" w:color="auto"/>
          </w:divBdr>
        </w:div>
        <w:div w:id="1965693409">
          <w:marLeft w:val="0"/>
          <w:marRight w:val="0"/>
          <w:marTop w:val="0"/>
          <w:marBottom w:val="0"/>
          <w:divBdr>
            <w:top w:val="none" w:sz="0" w:space="0" w:color="auto"/>
            <w:left w:val="none" w:sz="0" w:space="0" w:color="auto"/>
            <w:bottom w:val="none" w:sz="0" w:space="0" w:color="auto"/>
            <w:right w:val="none" w:sz="0" w:space="0" w:color="auto"/>
          </w:divBdr>
        </w:div>
      </w:divsChild>
    </w:div>
    <w:div w:id="2066758817">
      <w:bodyDiv w:val="1"/>
      <w:marLeft w:val="0"/>
      <w:marRight w:val="0"/>
      <w:marTop w:val="0"/>
      <w:marBottom w:val="0"/>
      <w:divBdr>
        <w:top w:val="none" w:sz="0" w:space="0" w:color="auto"/>
        <w:left w:val="none" w:sz="0" w:space="0" w:color="auto"/>
        <w:bottom w:val="none" w:sz="0" w:space="0" w:color="auto"/>
        <w:right w:val="none" w:sz="0" w:space="0" w:color="auto"/>
      </w:divBdr>
      <w:divsChild>
        <w:div w:id="26881014">
          <w:marLeft w:val="0"/>
          <w:marRight w:val="0"/>
          <w:marTop w:val="0"/>
          <w:marBottom w:val="0"/>
          <w:divBdr>
            <w:top w:val="none" w:sz="0" w:space="0" w:color="auto"/>
            <w:left w:val="none" w:sz="0" w:space="0" w:color="auto"/>
            <w:bottom w:val="none" w:sz="0" w:space="0" w:color="auto"/>
            <w:right w:val="none" w:sz="0" w:space="0" w:color="auto"/>
          </w:divBdr>
        </w:div>
        <w:div w:id="603459582">
          <w:marLeft w:val="0"/>
          <w:marRight w:val="0"/>
          <w:marTop w:val="0"/>
          <w:marBottom w:val="0"/>
          <w:divBdr>
            <w:top w:val="none" w:sz="0" w:space="0" w:color="auto"/>
            <w:left w:val="none" w:sz="0" w:space="0" w:color="auto"/>
            <w:bottom w:val="none" w:sz="0" w:space="0" w:color="auto"/>
            <w:right w:val="none" w:sz="0" w:space="0" w:color="auto"/>
          </w:divBdr>
        </w:div>
        <w:div w:id="778568854">
          <w:marLeft w:val="0"/>
          <w:marRight w:val="0"/>
          <w:marTop w:val="0"/>
          <w:marBottom w:val="0"/>
          <w:divBdr>
            <w:top w:val="none" w:sz="0" w:space="0" w:color="auto"/>
            <w:left w:val="none" w:sz="0" w:space="0" w:color="auto"/>
            <w:bottom w:val="none" w:sz="0" w:space="0" w:color="auto"/>
            <w:right w:val="none" w:sz="0" w:space="0" w:color="auto"/>
          </w:divBdr>
        </w:div>
        <w:div w:id="1122309019">
          <w:marLeft w:val="0"/>
          <w:marRight w:val="0"/>
          <w:marTop w:val="0"/>
          <w:marBottom w:val="0"/>
          <w:divBdr>
            <w:top w:val="none" w:sz="0" w:space="0" w:color="auto"/>
            <w:left w:val="none" w:sz="0" w:space="0" w:color="auto"/>
            <w:bottom w:val="none" w:sz="0" w:space="0" w:color="auto"/>
            <w:right w:val="none" w:sz="0" w:space="0" w:color="auto"/>
          </w:divBdr>
        </w:div>
        <w:div w:id="1138765650">
          <w:marLeft w:val="0"/>
          <w:marRight w:val="0"/>
          <w:marTop w:val="0"/>
          <w:marBottom w:val="0"/>
          <w:divBdr>
            <w:top w:val="none" w:sz="0" w:space="0" w:color="auto"/>
            <w:left w:val="none" w:sz="0" w:space="0" w:color="auto"/>
            <w:bottom w:val="none" w:sz="0" w:space="0" w:color="auto"/>
            <w:right w:val="none" w:sz="0" w:space="0" w:color="auto"/>
          </w:divBdr>
        </w:div>
        <w:div w:id="1419718193">
          <w:marLeft w:val="0"/>
          <w:marRight w:val="0"/>
          <w:marTop w:val="0"/>
          <w:marBottom w:val="0"/>
          <w:divBdr>
            <w:top w:val="none" w:sz="0" w:space="0" w:color="auto"/>
            <w:left w:val="none" w:sz="0" w:space="0" w:color="auto"/>
            <w:bottom w:val="none" w:sz="0" w:space="0" w:color="auto"/>
            <w:right w:val="none" w:sz="0" w:space="0" w:color="auto"/>
          </w:divBdr>
        </w:div>
        <w:div w:id="1460411611">
          <w:marLeft w:val="0"/>
          <w:marRight w:val="0"/>
          <w:marTop w:val="0"/>
          <w:marBottom w:val="0"/>
          <w:divBdr>
            <w:top w:val="none" w:sz="0" w:space="0" w:color="auto"/>
            <w:left w:val="none" w:sz="0" w:space="0" w:color="auto"/>
            <w:bottom w:val="none" w:sz="0" w:space="0" w:color="auto"/>
            <w:right w:val="none" w:sz="0" w:space="0" w:color="auto"/>
          </w:divBdr>
        </w:div>
        <w:div w:id="1544486928">
          <w:marLeft w:val="0"/>
          <w:marRight w:val="0"/>
          <w:marTop w:val="0"/>
          <w:marBottom w:val="0"/>
          <w:divBdr>
            <w:top w:val="none" w:sz="0" w:space="0" w:color="auto"/>
            <w:left w:val="none" w:sz="0" w:space="0" w:color="auto"/>
            <w:bottom w:val="none" w:sz="0" w:space="0" w:color="auto"/>
            <w:right w:val="none" w:sz="0" w:space="0" w:color="auto"/>
          </w:divBdr>
        </w:div>
        <w:div w:id="1768191347">
          <w:marLeft w:val="0"/>
          <w:marRight w:val="0"/>
          <w:marTop w:val="0"/>
          <w:marBottom w:val="0"/>
          <w:divBdr>
            <w:top w:val="none" w:sz="0" w:space="0" w:color="auto"/>
            <w:left w:val="none" w:sz="0" w:space="0" w:color="auto"/>
            <w:bottom w:val="none" w:sz="0" w:space="0" w:color="auto"/>
            <w:right w:val="none" w:sz="0" w:space="0" w:color="auto"/>
          </w:divBdr>
        </w:div>
        <w:div w:id="2025477193">
          <w:marLeft w:val="0"/>
          <w:marRight w:val="0"/>
          <w:marTop w:val="0"/>
          <w:marBottom w:val="0"/>
          <w:divBdr>
            <w:top w:val="none" w:sz="0" w:space="0" w:color="auto"/>
            <w:left w:val="none" w:sz="0" w:space="0" w:color="auto"/>
            <w:bottom w:val="none" w:sz="0" w:space="0" w:color="auto"/>
            <w:right w:val="none" w:sz="0" w:space="0" w:color="auto"/>
          </w:divBdr>
        </w:div>
      </w:divsChild>
    </w:div>
    <w:div w:id="2070686552">
      <w:bodyDiv w:val="1"/>
      <w:marLeft w:val="0"/>
      <w:marRight w:val="0"/>
      <w:marTop w:val="0"/>
      <w:marBottom w:val="0"/>
      <w:divBdr>
        <w:top w:val="none" w:sz="0" w:space="0" w:color="auto"/>
        <w:left w:val="none" w:sz="0" w:space="0" w:color="auto"/>
        <w:bottom w:val="none" w:sz="0" w:space="0" w:color="auto"/>
        <w:right w:val="none" w:sz="0" w:space="0" w:color="auto"/>
      </w:divBdr>
      <w:divsChild>
        <w:div w:id="278605030">
          <w:marLeft w:val="0"/>
          <w:marRight w:val="0"/>
          <w:marTop w:val="0"/>
          <w:marBottom w:val="0"/>
          <w:divBdr>
            <w:top w:val="none" w:sz="0" w:space="0" w:color="auto"/>
            <w:left w:val="none" w:sz="0" w:space="0" w:color="auto"/>
            <w:bottom w:val="none" w:sz="0" w:space="0" w:color="auto"/>
            <w:right w:val="none" w:sz="0" w:space="0" w:color="auto"/>
          </w:divBdr>
        </w:div>
        <w:div w:id="758061061">
          <w:marLeft w:val="0"/>
          <w:marRight w:val="0"/>
          <w:marTop w:val="0"/>
          <w:marBottom w:val="0"/>
          <w:divBdr>
            <w:top w:val="none" w:sz="0" w:space="0" w:color="auto"/>
            <w:left w:val="none" w:sz="0" w:space="0" w:color="auto"/>
            <w:bottom w:val="none" w:sz="0" w:space="0" w:color="auto"/>
            <w:right w:val="none" w:sz="0" w:space="0" w:color="auto"/>
          </w:divBdr>
        </w:div>
      </w:divsChild>
    </w:div>
    <w:div w:id="2088182394">
      <w:bodyDiv w:val="1"/>
      <w:marLeft w:val="0"/>
      <w:marRight w:val="0"/>
      <w:marTop w:val="0"/>
      <w:marBottom w:val="0"/>
      <w:divBdr>
        <w:top w:val="none" w:sz="0" w:space="0" w:color="auto"/>
        <w:left w:val="none" w:sz="0" w:space="0" w:color="auto"/>
        <w:bottom w:val="none" w:sz="0" w:space="0" w:color="auto"/>
        <w:right w:val="none" w:sz="0" w:space="0" w:color="auto"/>
      </w:divBdr>
      <w:divsChild>
        <w:div w:id="970525546">
          <w:marLeft w:val="0"/>
          <w:marRight w:val="0"/>
          <w:marTop w:val="0"/>
          <w:marBottom w:val="0"/>
          <w:divBdr>
            <w:top w:val="none" w:sz="0" w:space="0" w:color="auto"/>
            <w:left w:val="none" w:sz="0" w:space="0" w:color="auto"/>
            <w:bottom w:val="none" w:sz="0" w:space="0" w:color="auto"/>
            <w:right w:val="none" w:sz="0" w:space="0" w:color="auto"/>
          </w:divBdr>
        </w:div>
      </w:divsChild>
    </w:div>
    <w:div w:id="2110196631">
      <w:bodyDiv w:val="1"/>
      <w:marLeft w:val="0"/>
      <w:marRight w:val="0"/>
      <w:marTop w:val="0"/>
      <w:marBottom w:val="0"/>
      <w:divBdr>
        <w:top w:val="none" w:sz="0" w:space="0" w:color="auto"/>
        <w:left w:val="none" w:sz="0" w:space="0" w:color="auto"/>
        <w:bottom w:val="none" w:sz="0" w:space="0" w:color="auto"/>
        <w:right w:val="none" w:sz="0" w:space="0" w:color="auto"/>
      </w:divBdr>
      <w:divsChild>
        <w:div w:id="108286752">
          <w:marLeft w:val="0"/>
          <w:marRight w:val="0"/>
          <w:marTop w:val="0"/>
          <w:marBottom w:val="0"/>
          <w:divBdr>
            <w:top w:val="none" w:sz="0" w:space="0" w:color="auto"/>
            <w:left w:val="none" w:sz="0" w:space="0" w:color="auto"/>
            <w:bottom w:val="none" w:sz="0" w:space="0" w:color="auto"/>
            <w:right w:val="none" w:sz="0" w:space="0" w:color="auto"/>
          </w:divBdr>
        </w:div>
        <w:div w:id="192622307">
          <w:marLeft w:val="0"/>
          <w:marRight w:val="0"/>
          <w:marTop w:val="0"/>
          <w:marBottom w:val="0"/>
          <w:divBdr>
            <w:top w:val="none" w:sz="0" w:space="0" w:color="auto"/>
            <w:left w:val="none" w:sz="0" w:space="0" w:color="auto"/>
            <w:bottom w:val="none" w:sz="0" w:space="0" w:color="auto"/>
            <w:right w:val="none" w:sz="0" w:space="0" w:color="auto"/>
          </w:divBdr>
        </w:div>
        <w:div w:id="480971045">
          <w:marLeft w:val="0"/>
          <w:marRight w:val="0"/>
          <w:marTop w:val="0"/>
          <w:marBottom w:val="0"/>
          <w:divBdr>
            <w:top w:val="none" w:sz="0" w:space="0" w:color="auto"/>
            <w:left w:val="none" w:sz="0" w:space="0" w:color="auto"/>
            <w:bottom w:val="none" w:sz="0" w:space="0" w:color="auto"/>
            <w:right w:val="none" w:sz="0" w:space="0" w:color="auto"/>
          </w:divBdr>
        </w:div>
        <w:div w:id="545685101">
          <w:marLeft w:val="0"/>
          <w:marRight w:val="0"/>
          <w:marTop w:val="0"/>
          <w:marBottom w:val="0"/>
          <w:divBdr>
            <w:top w:val="none" w:sz="0" w:space="0" w:color="auto"/>
            <w:left w:val="none" w:sz="0" w:space="0" w:color="auto"/>
            <w:bottom w:val="none" w:sz="0" w:space="0" w:color="auto"/>
            <w:right w:val="none" w:sz="0" w:space="0" w:color="auto"/>
          </w:divBdr>
        </w:div>
        <w:div w:id="642347745">
          <w:marLeft w:val="0"/>
          <w:marRight w:val="0"/>
          <w:marTop w:val="0"/>
          <w:marBottom w:val="0"/>
          <w:divBdr>
            <w:top w:val="none" w:sz="0" w:space="0" w:color="auto"/>
            <w:left w:val="none" w:sz="0" w:space="0" w:color="auto"/>
            <w:bottom w:val="none" w:sz="0" w:space="0" w:color="auto"/>
            <w:right w:val="none" w:sz="0" w:space="0" w:color="auto"/>
          </w:divBdr>
        </w:div>
        <w:div w:id="762653103">
          <w:marLeft w:val="0"/>
          <w:marRight w:val="0"/>
          <w:marTop w:val="0"/>
          <w:marBottom w:val="0"/>
          <w:divBdr>
            <w:top w:val="none" w:sz="0" w:space="0" w:color="auto"/>
            <w:left w:val="none" w:sz="0" w:space="0" w:color="auto"/>
            <w:bottom w:val="none" w:sz="0" w:space="0" w:color="auto"/>
            <w:right w:val="none" w:sz="0" w:space="0" w:color="auto"/>
          </w:divBdr>
        </w:div>
        <w:div w:id="853885704">
          <w:marLeft w:val="0"/>
          <w:marRight w:val="0"/>
          <w:marTop w:val="0"/>
          <w:marBottom w:val="0"/>
          <w:divBdr>
            <w:top w:val="none" w:sz="0" w:space="0" w:color="auto"/>
            <w:left w:val="none" w:sz="0" w:space="0" w:color="auto"/>
            <w:bottom w:val="none" w:sz="0" w:space="0" w:color="auto"/>
            <w:right w:val="none" w:sz="0" w:space="0" w:color="auto"/>
          </w:divBdr>
        </w:div>
        <w:div w:id="1100838441">
          <w:marLeft w:val="0"/>
          <w:marRight w:val="0"/>
          <w:marTop w:val="0"/>
          <w:marBottom w:val="0"/>
          <w:divBdr>
            <w:top w:val="none" w:sz="0" w:space="0" w:color="auto"/>
            <w:left w:val="none" w:sz="0" w:space="0" w:color="auto"/>
            <w:bottom w:val="none" w:sz="0" w:space="0" w:color="auto"/>
            <w:right w:val="none" w:sz="0" w:space="0" w:color="auto"/>
          </w:divBdr>
        </w:div>
        <w:div w:id="1141537480">
          <w:marLeft w:val="0"/>
          <w:marRight w:val="0"/>
          <w:marTop w:val="0"/>
          <w:marBottom w:val="0"/>
          <w:divBdr>
            <w:top w:val="none" w:sz="0" w:space="0" w:color="auto"/>
            <w:left w:val="none" w:sz="0" w:space="0" w:color="auto"/>
            <w:bottom w:val="none" w:sz="0" w:space="0" w:color="auto"/>
            <w:right w:val="none" w:sz="0" w:space="0" w:color="auto"/>
          </w:divBdr>
        </w:div>
        <w:div w:id="1370061732">
          <w:marLeft w:val="0"/>
          <w:marRight w:val="0"/>
          <w:marTop w:val="0"/>
          <w:marBottom w:val="0"/>
          <w:divBdr>
            <w:top w:val="none" w:sz="0" w:space="0" w:color="auto"/>
            <w:left w:val="none" w:sz="0" w:space="0" w:color="auto"/>
            <w:bottom w:val="none" w:sz="0" w:space="0" w:color="auto"/>
            <w:right w:val="none" w:sz="0" w:space="0" w:color="auto"/>
          </w:divBdr>
        </w:div>
        <w:div w:id="1466969995">
          <w:marLeft w:val="0"/>
          <w:marRight w:val="0"/>
          <w:marTop w:val="0"/>
          <w:marBottom w:val="0"/>
          <w:divBdr>
            <w:top w:val="none" w:sz="0" w:space="0" w:color="auto"/>
            <w:left w:val="none" w:sz="0" w:space="0" w:color="auto"/>
            <w:bottom w:val="none" w:sz="0" w:space="0" w:color="auto"/>
            <w:right w:val="none" w:sz="0" w:space="0" w:color="auto"/>
          </w:divBdr>
        </w:div>
        <w:div w:id="1806508277">
          <w:marLeft w:val="0"/>
          <w:marRight w:val="0"/>
          <w:marTop w:val="0"/>
          <w:marBottom w:val="0"/>
          <w:divBdr>
            <w:top w:val="none" w:sz="0" w:space="0" w:color="auto"/>
            <w:left w:val="none" w:sz="0" w:space="0" w:color="auto"/>
            <w:bottom w:val="none" w:sz="0" w:space="0" w:color="auto"/>
            <w:right w:val="none" w:sz="0" w:space="0" w:color="auto"/>
          </w:divBdr>
        </w:div>
      </w:divsChild>
    </w:div>
    <w:div w:id="2110225699">
      <w:bodyDiv w:val="1"/>
      <w:marLeft w:val="0"/>
      <w:marRight w:val="0"/>
      <w:marTop w:val="0"/>
      <w:marBottom w:val="0"/>
      <w:divBdr>
        <w:top w:val="none" w:sz="0" w:space="0" w:color="auto"/>
        <w:left w:val="none" w:sz="0" w:space="0" w:color="auto"/>
        <w:bottom w:val="none" w:sz="0" w:space="0" w:color="auto"/>
        <w:right w:val="none" w:sz="0" w:space="0" w:color="auto"/>
      </w:divBdr>
    </w:div>
    <w:div w:id="2114206808">
      <w:bodyDiv w:val="1"/>
      <w:marLeft w:val="0"/>
      <w:marRight w:val="0"/>
      <w:marTop w:val="0"/>
      <w:marBottom w:val="0"/>
      <w:divBdr>
        <w:top w:val="none" w:sz="0" w:space="0" w:color="auto"/>
        <w:left w:val="none" w:sz="0" w:space="0" w:color="auto"/>
        <w:bottom w:val="none" w:sz="0" w:space="0" w:color="auto"/>
        <w:right w:val="none" w:sz="0" w:space="0" w:color="auto"/>
      </w:divBdr>
      <w:divsChild>
        <w:div w:id="1009721622">
          <w:marLeft w:val="0"/>
          <w:marRight w:val="0"/>
          <w:marTop w:val="0"/>
          <w:marBottom w:val="0"/>
          <w:divBdr>
            <w:top w:val="none" w:sz="0" w:space="0" w:color="auto"/>
            <w:left w:val="none" w:sz="0" w:space="0" w:color="auto"/>
            <w:bottom w:val="none" w:sz="0" w:space="0" w:color="auto"/>
            <w:right w:val="none" w:sz="0" w:space="0" w:color="auto"/>
          </w:divBdr>
        </w:div>
      </w:divsChild>
    </w:div>
    <w:div w:id="2115706477">
      <w:bodyDiv w:val="1"/>
      <w:marLeft w:val="0"/>
      <w:marRight w:val="0"/>
      <w:marTop w:val="0"/>
      <w:marBottom w:val="0"/>
      <w:divBdr>
        <w:top w:val="none" w:sz="0" w:space="0" w:color="auto"/>
        <w:left w:val="none" w:sz="0" w:space="0" w:color="auto"/>
        <w:bottom w:val="none" w:sz="0" w:space="0" w:color="auto"/>
        <w:right w:val="none" w:sz="0" w:space="0" w:color="auto"/>
      </w:divBdr>
      <w:divsChild>
        <w:div w:id="57632591">
          <w:marLeft w:val="0"/>
          <w:marRight w:val="0"/>
          <w:marTop w:val="0"/>
          <w:marBottom w:val="0"/>
          <w:divBdr>
            <w:top w:val="none" w:sz="0" w:space="0" w:color="auto"/>
            <w:left w:val="none" w:sz="0" w:space="0" w:color="auto"/>
            <w:bottom w:val="none" w:sz="0" w:space="0" w:color="auto"/>
            <w:right w:val="none" w:sz="0" w:space="0" w:color="auto"/>
          </w:divBdr>
          <w:divsChild>
            <w:div w:id="69691810">
              <w:marLeft w:val="0"/>
              <w:marRight w:val="0"/>
              <w:marTop w:val="0"/>
              <w:marBottom w:val="0"/>
              <w:divBdr>
                <w:top w:val="none" w:sz="0" w:space="0" w:color="auto"/>
                <w:left w:val="none" w:sz="0" w:space="0" w:color="auto"/>
                <w:bottom w:val="none" w:sz="0" w:space="0" w:color="auto"/>
                <w:right w:val="none" w:sz="0" w:space="0" w:color="auto"/>
              </w:divBdr>
            </w:div>
            <w:div w:id="237134323">
              <w:marLeft w:val="0"/>
              <w:marRight w:val="0"/>
              <w:marTop w:val="0"/>
              <w:marBottom w:val="0"/>
              <w:divBdr>
                <w:top w:val="none" w:sz="0" w:space="0" w:color="auto"/>
                <w:left w:val="none" w:sz="0" w:space="0" w:color="auto"/>
                <w:bottom w:val="none" w:sz="0" w:space="0" w:color="auto"/>
                <w:right w:val="none" w:sz="0" w:space="0" w:color="auto"/>
              </w:divBdr>
            </w:div>
            <w:div w:id="297494923">
              <w:marLeft w:val="0"/>
              <w:marRight w:val="0"/>
              <w:marTop w:val="0"/>
              <w:marBottom w:val="0"/>
              <w:divBdr>
                <w:top w:val="none" w:sz="0" w:space="0" w:color="auto"/>
                <w:left w:val="none" w:sz="0" w:space="0" w:color="auto"/>
                <w:bottom w:val="none" w:sz="0" w:space="0" w:color="auto"/>
                <w:right w:val="none" w:sz="0" w:space="0" w:color="auto"/>
              </w:divBdr>
            </w:div>
            <w:div w:id="313528798">
              <w:marLeft w:val="0"/>
              <w:marRight w:val="0"/>
              <w:marTop w:val="0"/>
              <w:marBottom w:val="0"/>
              <w:divBdr>
                <w:top w:val="none" w:sz="0" w:space="0" w:color="auto"/>
                <w:left w:val="none" w:sz="0" w:space="0" w:color="auto"/>
                <w:bottom w:val="none" w:sz="0" w:space="0" w:color="auto"/>
                <w:right w:val="none" w:sz="0" w:space="0" w:color="auto"/>
              </w:divBdr>
            </w:div>
            <w:div w:id="396128985">
              <w:marLeft w:val="0"/>
              <w:marRight w:val="0"/>
              <w:marTop w:val="0"/>
              <w:marBottom w:val="0"/>
              <w:divBdr>
                <w:top w:val="none" w:sz="0" w:space="0" w:color="auto"/>
                <w:left w:val="none" w:sz="0" w:space="0" w:color="auto"/>
                <w:bottom w:val="none" w:sz="0" w:space="0" w:color="auto"/>
                <w:right w:val="none" w:sz="0" w:space="0" w:color="auto"/>
              </w:divBdr>
            </w:div>
            <w:div w:id="473328805">
              <w:marLeft w:val="0"/>
              <w:marRight w:val="0"/>
              <w:marTop w:val="0"/>
              <w:marBottom w:val="0"/>
              <w:divBdr>
                <w:top w:val="none" w:sz="0" w:space="0" w:color="auto"/>
                <w:left w:val="none" w:sz="0" w:space="0" w:color="auto"/>
                <w:bottom w:val="none" w:sz="0" w:space="0" w:color="auto"/>
                <w:right w:val="none" w:sz="0" w:space="0" w:color="auto"/>
              </w:divBdr>
            </w:div>
            <w:div w:id="647128565">
              <w:marLeft w:val="0"/>
              <w:marRight w:val="0"/>
              <w:marTop w:val="0"/>
              <w:marBottom w:val="0"/>
              <w:divBdr>
                <w:top w:val="none" w:sz="0" w:space="0" w:color="auto"/>
                <w:left w:val="none" w:sz="0" w:space="0" w:color="auto"/>
                <w:bottom w:val="none" w:sz="0" w:space="0" w:color="auto"/>
                <w:right w:val="none" w:sz="0" w:space="0" w:color="auto"/>
              </w:divBdr>
            </w:div>
            <w:div w:id="649599982">
              <w:marLeft w:val="0"/>
              <w:marRight w:val="0"/>
              <w:marTop w:val="0"/>
              <w:marBottom w:val="0"/>
              <w:divBdr>
                <w:top w:val="none" w:sz="0" w:space="0" w:color="auto"/>
                <w:left w:val="none" w:sz="0" w:space="0" w:color="auto"/>
                <w:bottom w:val="none" w:sz="0" w:space="0" w:color="auto"/>
                <w:right w:val="none" w:sz="0" w:space="0" w:color="auto"/>
              </w:divBdr>
            </w:div>
            <w:div w:id="681012352">
              <w:marLeft w:val="0"/>
              <w:marRight w:val="0"/>
              <w:marTop w:val="0"/>
              <w:marBottom w:val="0"/>
              <w:divBdr>
                <w:top w:val="none" w:sz="0" w:space="0" w:color="auto"/>
                <w:left w:val="none" w:sz="0" w:space="0" w:color="auto"/>
                <w:bottom w:val="none" w:sz="0" w:space="0" w:color="auto"/>
                <w:right w:val="none" w:sz="0" w:space="0" w:color="auto"/>
              </w:divBdr>
            </w:div>
            <w:div w:id="684406780">
              <w:marLeft w:val="0"/>
              <w:marRight w:val="0"/>
              <w:marTop w:val="0"/>
              <w:marBottom w:val="0"/>
              <w:divBdr>
                <w:top w:val="none" w:sz="0" w:space="0" w:color="auto"/>
                <w:left w:val="none" w:sz="0" w:space="0" w:color="auto"/>
                <w:bottom w:val="none" w:sz="0" w:space="0" w:color="auto"/>
                <w:right w:val="none" w:sz="0" w:space="0" w:color="auto"/>
              </w:divBdr>
            </w:div>
            <w:div w:id="695690004">
              <w:marLeft w:val="0"/>
              <w:marRight w:val="0"/>
              <w:marTop w:val="0"/>
              <w:marBottom w:val="0"/>
              <w:divBdr>
                <w:top w:val="none" w:sz="0" w:space="0" w:color="auto"/>
                <w:left w:val="none" w:sz="0" w:space="0" w:color="auto"/>
                <w:bottom w:val="none" w:sz="0" w:space="0" w:color="auto"/>
                <w:right w:val="none" w:sz="0" w:space="0" w:color="auto"/>
              </w:divBdr>
            </w:div>
            <w:div w:id="729962767">
              <w:marLeft w:val="0"/>
              <w:marRight w:val="0"/>
              <w:marTop w:val="0"/>
              <w:marBottom w:val="0"/>
              <w:divBdr>
                <w:top w:val="none" w:sz="0" w:space="0" w:color="auto"/>
                <w:left w:val="none" w:sz="0" w:space="0" w:color="auto"/>
                <w:bottom w:val="none" w:sz="0" w:space="0" w:color="auto"/>
                <w:right w:val="none" w:sz="0" w:space="0" w:color="auto"/>
              </w:divBdr>
            </w:div>
            <w:div w:id="1296058619">
              <w:marLeft w:val="0"/>
              <w:marRight w:val="0"/>
              <w:marTop w:val="0"/>
              <w:marBottom w:val="0"/>
              <w:divBdr>
                <w:top w:val="none" w:sz="0" w:space="0" w:color="auto"/>
                <w:left w:val="none" w:sz="0" w:space="0" w:color="auto"/>
                <w:bottom w:val="none" w:sz="0" w:space="0" w:color="auto"/>
                <w:right w:val="none" w:sz="0" w:space="0" w:color="auto"/>
              </w:divBdr>
            </w:div>
            <w:div w:id="1417172899">
              <w:marLeft w:val="0"/>
              <w:marRight w:val="0"/>
              <w:marTop w:val="0"/>
              <w:marBottom w:val="0"/>
              <w:divBdr>
                <w:top w:val="none" w:sz="0" w:space="0" w:color="auto"/>
                <w:left w:val="none" w:sz="0" w:space="0" w:color="auto"/>
                <w:bottom w:val="none" w:sz="0" w:space="0" w:color="auto"/>
                <w:right w:val="none" w:sz="0" w:space="0" w:color="auto"/>
              </w:divBdr>
            </w:div>
            <w:div w:id="1486164510">
              <w:marLeft w:val="0"/>
              <w:marRight w:val="0"/>
              <w:marTop w:val="0"/>
              <w:marBottom w:val="0"/>
              <w:divBdr>
                <w:top w:val="none" w:sz="0" w:space="0" w:color="auto"/>
                <w:left w:val="none" w:sz="0" w:space="0" w:color="auto"/>
                <w:bottom w:val="none" w:sz="0" w:space="0" w:color="auto"/>
                <w:right w:val="none" w:sz="0" w:space="0" w:color="auto"/>
              </w:divBdr>
            </w:div>
            <w:div w:id="1572614390">
              <w:marLeft w:val="0"/>
              <w:marRight w:val="0"/>
              <w:marTop w:val="0"/>
              <w:marBottom w:val="0"/>
              <w:divBdr>
                <w:top w:val="none" w:sz="0" w:space="0" w:color="auto"/>
                <w:left w:val="none" w:sz="0" w:space="0" w:color="auto"/>
                <w:bottom w:val="none" w:sz="0" w:space="0" w:color="auto"/>
                <w:right w:val="none" w:sz="0" w:space="0" w:color="auto"/>
              </w:divBdr>
            </w:div>
            <w:div w:id="1691838758">
              <w:marLeft w:val="0"/>
              <w:marRight w:val="0"/>
              <w:marTop w:val="0"/>
              <w:marBottom w:val="0"/>
              <w:divBdr>
                <w:top w:val="none" w:sz="0" w:space="0" w:color="auto"/>
                <w:left w:val="none" w:sz="0" w:space="0" w:color="auto"/>
                <w:bottom w:val="none" w:sz="0" w:space="0" w:color="auto"/>
                <w:right w:val="none" w:sz="0" w:space="0" w:color="auto"/>
              </w:divBdr>
            </w:div>
            <w:div w:id="1790661635">
              <w:marLeft w:val="0"/>
              <w:marRight w:val="0"/>
              <w:marTop w:val="0"/>
              <w:marBottom w:val="0"/>
              <w:divBdr>
                <w:top w:val="none" w:sz="0" w:space="0" w:color="auto"/>
                <w:left w:val="none" w:sz="0" w:space="0" w:color="auto"/>
                <w:bottom w:val="none" w:sz="0" w:space="0" w:color="auto"/>
                <w:right w:val="none" w:sz="0" w:space="0" w:color="auto"/>
              </w:divBdr>
            </w:div>
            <w:div w:id="1934313690">
              <w:marLeft w:val="0"/>
              <w:marRight w:val="0"/>
              <w:marTop w:val="0"/>
              <w:marBottom w:val="0"/>
              <w:divBdr>
                <w:top w:val="none" w:sz="0" w:space="0" w:color="auto"/>
                <w:left w:val="none" w:sz="0" w:space="0" w:color="auto"/>
                <w:bottom w:val="none" w:sz="0" w:space="0" w:color="auto"/>
                <w:right w:val="none" w:sz="0" w:space="0" w:color="auto"/>
              </w:divBdr>
            </w:div>
            <w:div w:id="2034764197">
              <w:marLeft w:val="0"/>
              <w:marRight w:val="0"/>
              <w:marTop w:val="0"/>
              <w:marBottom w:val="0"/>
              <w:divBdr>
                <w:top w:val="none" w:sz="0" w:space="0" w:color="auto"/>
                <w:left w:val="none" w:sz="0" w:space="0" w:color="auto"/>
                <w:bottom w:val="none" w:sz="0" w:space="0" w:color="auto"/>
                <w:right w:val="none" w:sz="0" w:space="0" w:color="auto"/>
              </w:divBdr>
            </w:div>
          </w:divsChild>
        </w:div>
        <w:div w:id="423765011">
          <w:marLeft w:val="0"/>
          <w:marRight w:val="0"/>
          <w:marTop w:val="0"/>
          <w:marBottom w:val="0"/>
          <w:divBdr>
            <w:top w:val="none" w:sz="0" w:space="0" w:color="auto"/>
            <w:left w:val="none" w:sz="0" w:space="0" w:color="auto"/>
            <w:bottom w:val="none" w:sz="0" w:space="0" w:color="auto"/>
            <w:right w:val="none" w:sz="0" w:space="0" w:color="auto"/>
          </w:divBdr>
        </w:div>
        <w:div w:id="1139877000">
          <w:marLeft w:val="0"/>
          <w:marRight w:val="0"/>
          <w:marTop w:val="0"/>
          <w:marBottom w:val="0"/>
          <w:divBdr>
            <w:top w:val="none" w:sz="0" w:space="0" w:color="auto"/>
            <w:left w:val="none" w:sz="0" w:space="0" w:color="auto"/>
            <w:bottom w:val="none" w:sz="0" w:space="0" w:color="auto"/>
            <w:right w:val="none" w:sz="0" w:space="0" w:color="auto"/>
          </w:divBdr>
        </w:div>
        <w:div w:id="1228416351">
          <w:marLeft w:val="0"/>
          <w:marRight w:val="0"/>
          <w:marTop w:val="0"/>
          <w:marBottom w:val="0"/>
          <w:divBdr>
            <w:top w:val="none" w:sz="0" w:space="0" w:color="auto"/>
            <w:left w:val="none" w:sz="0" w:space="0" w:color="auto"/>
            <w:bottom w:val="none" w:sz="0" w:space="0" w:color="auto"/>
            <w:right w:val="none" w:sz="0" w:space="0" w:color="auto"/>
          </w:divBdr>
        </w:div>
        <w:div w:id="1294018002">
          <w:marLeft w:val="0"/>
          <w:marRight w:val="0"/>
          <w:marTop w:val="0"/>
          <w:marBottom w:val="0"/>
          <w:divBdr>
            <w:top w:val="none" w:sz="0" w:space="0" w:color="auto"/>
            <w:left w:val="none" w:sz="0" w:space="0" w:color="auto"/>
            <w:bottom w:val="none" w:sz="0" w:space="0" w:color="auto"/>
            <w:right w:val="none" w:sz="0" w:space="0" w:color="auto"/>
          </w:divBdr>
        </w:div>
        <w:div w:id="1369068727">
          <w:marLeft w:val="0"/>
          <w:marRight w:val="0"/>
          <w:marTop w:val="0"/>
          <w:marBottom w:val="0"/>
          <w:divBdr>
            <w:top w:val="none" w:sz="0" w:space="0" w:color="auto"/>
            <w:left w:val="none" w:sz="0" w:space="0" w:color="auto"/>
            <w:bottom w:val="none" w:sz="0" w:space="0" w:color="auto"/>
            <w:right w:val="none" w:sz="0" w:space="0" w:color="auto"/>
          </w:divBdr>
        </w:div>
        <w:div w:id="1443069673">
          <w:marLeft w:val="0"/>
          <w:marRight w:val="0"/>
          <w:marTop w:val="0"/>
          <w:marBottom w:val="0"/>
          <w:divBdr>
            <w:top w:val="none" w:sz="0" w:space="0" w:color="auto"/>
            <w:left w:val="none" w:sz="0" w:space="0" w:color="auto"/>
            <w:bottom w:val="none" w:sz="0" w:space="0" w:color="auto"/>
            <w:right w:val="none" w:sz="0" w:space="0" w:color="auto"/>
          </w:divBdr>
          <w:divsChild>
            <w:div w:id="119996695">
              <w:marLeft w:val="0"/>
              <w:marRight w:val="0"/>
              <w:marTop w:val="0"/>
              <w:marBottom w:val="0"/>
              <w:divBdr>
                <w:top w:val="none" w:sz="0" w:space="0" w:color="auto"/>
                <w:left w:val="none" w:sz="0" w:space="0" w:color="auto"/>
                <w:bottom w:val="none" w:sz="0" w:space="0" w:color="auto"/>
                <w:right w:val="none" w:sz="0" w:space="0" w:color="auto"/>
              </w:divBdr>
            </w:div>
            <w:div w:id="259721242">
              <w:marLeft w:val="0"/>
              <w:marRight w:val="0"/>
              <w:marTop w:val="0"/>
              <w:marBottom w:val="0"/>
              <w:divBdr>
                <w:top w:val="none" w:sz="0" w:space="0" w:color="auto"/>
                <w:left w:val="none" w:sz="0" w:space="0" w:color="auto"/>
                <w:bottom w:val="none" w:sz="0" w:space="0" w:color="auto"/>
                <w:right w:val="none" w:sz="0" w:space="0" w:color="auto"/>
              </w:divBdr>
            </w:div>
            <w:div w:id="470683227">
              <w:marLeft w:val="0"/>
              <w:marRight w:val="0"/>
              <w:marTop w:val="0"/>
              <w:marBottom w:val="0"/>
              <w:divBdr>
                <w:top w:val="none" w:sz="0" w:space="0" w:color="auto"/>
                <w:left w:val="none" w:sz="0" w:space="0" w:color="auto"/>
                <w:bottom w:val="none" w:sz="0" w:space="0" w:color="auto"/>
                <w:right w:val="none" w:sz="0" w:space="0" w:color="auto"/>
              </w:divBdr>
            </w:div>
            <w:div w:id="672147055">
              <w:marLeft w:val="0"/>
              <w:marRight w:val="0"/>
              <w:marTop w:val="0"/>
              <w:marBottom w:val="0"/>
              <w:divBdr>
                <w:top w:val="none" w:sz="0" w:space="0" w:color="auto"/>
                <w:left w:val="none" w:sz="0" w:space="0" w:color="auto"/>
                <w:bottom w:val="none" w:sz="0" w:space="0" w:color="auto"/>
                <w:right w:val="none" w:sz="0" w:space="0" w:color="auto"/>
              </w:divBdr>
            </w:div>
            <w:div w:id="704409423">
              <w:marLeft w:val="0"/>
              <w:marRight w:val="0"/>
              <w:marTop w:val="0"/>
              <w:marBottom w:val="0"/>
              <w:divBdr>
                <w:top w:val="none" w:sz="0" w:space="0" w:color="auto"/>
                <w:left w:val="none" w:sz="0" w:space="0" w:color="auto"/>
                <w:bottom w:val="none" w:sz="0" w:space="0" w:color="auto"/>
                <w:right w:val="none" w:sz="0" w:space="0" w:color="auto"/>
              </w:divBdr>
            </w:div>
            <w:div w:id="758789203">
              <w:marLeft w:val="0"/>
              <w:marRight w:val="0"/>
              <w:marTop w:val="0"/>
              <w:marBottom w:val="0"/>
              <w:divBdr>
                <w:top w:val="none" w:sz="0" w:space="0" w:color="auto"/>
                <w:left w:val="none" w:sz="0" w:space="0" w:color="auto"/>
                <w:bottom w:val="none" w:sz="0" w:space="0" w:color="auto"/>
                <w:right w:val="none" w:sz="0" w:space="0" w:color="auto"/>
              </w:divBdr>
            </w:div>
            <w:div w:id="985821887">
              <w:marLeft w:val="0"/>
              <w:marRight w:val="0"/>
              <w:marTop w:val="0"/>
              <w:marBottom w:val="0"/>
              <w:divBdr>
                <w:top w:val="none" w:sz="0" w:space="0" w:color="auto"/>
                <w:left w:val="none" w:sz="0" w:space="0" w:color="auto"/>
                <w:bottom w:val="none" w:sz="0" w:space="0" w:color="auto"/>
                <w:right w:val="none" w:sz="0" w:space="0" w:color="auto"/>
              </w:divBdr>
            </w:div>
            <w:div w:id="1011180202">
              <w:marLeft w:val="0"/>
              <w:marRight w:val="0"/>
              <w:marTop w:val="0"/>
              <w:marBottom w:val="0"/>
              <w:divBdr>
                <w:top w:val="none" w:sz="0" w:space="0" w:color="auto"/>
                <w:left w:val="none" w:sz="0" w:space="0" w:color="auto"/>
                <w:bottom w:val="none" w:sz="0" w:space="0" w:color="auto"/>
                <w:right w:val="none" w:sz="0" w:space="0" w:color="auto"/>
              </w:divBdr>
            </w:div>
            <w:div w:id="1115909536">
              <w:marLeft w:val="0"/>
              <w:marRight w:val="0"/>
              <w:marTop w:val="0"/>
              <w:marBottom w:val="0"/>
              <w:divBdr>
                <w:top w:val="none" w:sz="0" w:space="0" w:color="auto"/>
                <w:left w:val="none" w:sz="0" w:space="0" w:color="auto"/>
                <w:bottom w:val="none" w:sz="0" w:space="0" w:color="auto"/>
                <w:right w:val="none" w:sz="0" w:space="0" w:color="auto"/>
              </w:divBdr>
            </w:div>
            <w:div w:id="1122072034">
              <w:marLeft w:val="0"/>
              <w:marRight w:val="0"/>
              <w:marTop w:val="0"/>
              <w:marBottom w:val="0"/>
              <w:divBdr>
                <w:top w:val="none" w:sz="0" w:space="0" w:color="auto"/>
                <w:left w:val="none" w:sz="0" w:space="0" w:color="auto"/>
                <w:bottom w:val="none" w:sz="0" w:space="0" w:color="auto"/>
                <w:right w:val="none" w:sz="0" w:space="0" w:color="auto"/>
              </w:divBdr>
            </w:div>
            <w:div w:id="1216434707">
              <w:marLeft w:val="0"/>
              <w:marRight w:val="0"/>
              <w:marTop w:val="0"/>
              <w:marBottom w:val="0"/>
              <w:divBdr>
                <w:top w:val="none" w:sz="0" w:space="0" w:color="auto"/>
                <w:left w:val="none" w:sz="0" w:space="0" w:color="auto"/>
                <w:bottom w:val="none" w:sz="0" w:space="0" w:color="auto"/>
                <w:right w:val="none" w:sz="0" w:space="0" w:color="auto"/>
              </w:divBdr>
            </w:div>
            <w:div w:id="1270702735">
              <w:marLeft w:val="0"/>
              <w:marRight w:val="0"/>
              <w:marTop w:val="0"/>
              <w:marBottom w:val="0"/>
              <w:divBdr>
                <w:top w:val="none" w:sz="0" w:space="0" w:color="auto"/>
                <w:left w:val="none" w:sz="0" w:space="0" w:color="auto"/>
                <w:bottom w:val="none" w:sz="0" w:space="0" w:color="auto"/>
                <w:right w:val="none" w:sz="0" w:space="0" w:color="auto"/>
              </w:divBdr>
            </w:div>
            <w:div w:id="1309288230">
              <w:marLeft w:val="0"/>
              <w:marRight w:val="0"/>
              <w:marTop w:val="0"/>
              <w:marBottom w:val="0"/>
              <w:divBdr>
                <w:top w:val="none" w:sz="0" w:space="0" w:color="auto"/>
                <w:left w:val="none" w:sz="0" w:space="0" w:color="auto"/>
                <w:bottom w:val="none" w:sz="0" w:space="0" w:color="auto"/>
                <w:right w:val="none" w:sz="0" w:space="0" w:color="auto"/>
              </w:divBdr>
            </w:div>
            <w:div w:id="1346788666">
              <w:marLeft w:val="0"/>
              <w:marRight w:val="0"/>
              <w:marTop w:val="0"/>
              <w:marBottom w:val="0"/>
              <w:divBdr>
                <w:top w:val="none" w:sz="0" w:space="0" w:color="auto"/>
                <w:left w:val="none" w:sz="0" w:space="0" w:color="auto"/>
                <w:bottom w:val="none" w:sz="0" w:space="0" w:color="auto"/>
                <w:right w:val="none" w:sz="0" w:space="0" w:color="auto"/>
              </w:divBdr>
            </w:div>
            <w:div w:id="1399593266">
              <w:marLeft w:val="0"/>
              <w:marRight w:val="0"/>
              <w:marTop w:val="0"/>
              <w:marBottom w:val="0"/>
              <w:divBdr>
                <w:top w:val="none" w:sz="0" w:space="0" w:color="auto"/>
                <w:left w:val="none" w:sz="0" w:space="0" w:color="auto"/>
                <w:bottom w:val="none" w:sz="0" w:space="0" w:color="auto"/>
                <w:right w:val="none" w:sz="0" w:space="0" w:color="auto"/>
              </w:divBdr>
            </w:div>
            <w:div w:id="1420172167">
              <w:marLeft w:val="0"/>
              <w:marRight w:val="0"/>
              <w:marTop w:val="0"/>
              <w:marBottom w:val="0"/>
              <w:divBdr>
                <w:top w:val="none" w:sz="0" w:space="0" w:color="auto"/>
                <w:left w:val="none" w:sz="0" w:space="0" w:color="auto"/>
                <w:bottom w:val="none" w:sz="0" w:space="0" w:color="auto"/>
                <w:right w:val="none" w:sz="0" w:space="0" w:color="auto"/>
              </w:divBdr>
            </w:div>
            <w:div w:id="1861695553">
              <w:marLeft w:val="0"/>
              <w:marRight w:val="0"/>
              <w:marTop w:val="0"/>
              <w:marBottom w:val="0"/>
              <w:divBdr>
                <w:top w:val="none" w:sz="0" w:space="0" w:color="auto"/>
                <w:left w:val="none" w:sz="0" w:space="0" w:color="auto"/>
                <w:bottom w:val="none" w:sz="0" w:space="0" w:color="auto"/>
                <w:right w:val="none" w:sz="0" w:space="0" w:color="auto"/>
              </w:divBdr>
            </w:div>
            <w:div w:id="1881477869">
              <w:marLeft w:val="0"/>
              <w:marRight w:val="0"/>
              <w:marTop w:val="0"/>
              <w:marBottom w:val="0"/>
              <w:divBdr>
                <w:top w:val="none" w:sz="0" w:space="0" w:color="auto"/>
                <w:left w:val="none" w:sz="0" w:space="0" w:color="auto"/>
                <w:bottom w:val="none" w:sz="0" w:space="0" w:color="auto"/>
                <w:right w:val="none" w:sz="0" w:space="0" w:color="auto"/>
              </w:divBdr>
            </w:div>
            <w:div w:id="1910529467">
              <w:marLeft w:val="0"/>
              <w:marRight w:val="0"/>
              <w:marTop w:val="0"/>
              <w:marBottom w:val="0"/>
              <w:divBdr>
                <w:top w:val="none" w:sz="0" w:space="0" w:color="auto"/>
                <w:left w:val="none" w:sz="0" w:space="0" w:color="auto"/>
                <w:bottom w:val="none" w:sz="0" w:space="0" w:color="auto"/>
                <w:right w:val="none" w:sz="0" w:space="0" w:color="auto"/>
              </w:divBdr>
            </w:div>
            <w:div w:id="2122920812">
              <w:marLeft w:val="0"/>
              <w:marRight w:val="0"/>
              <w:marTop w:val="0"/>
              <w:marBottom w:val="0"/>
              <w:divBdr>
                <w:top w:val="none" w:sz="0" w:space="0" w:color="auto"/>
                <w:left w:val="none" w:sz="0" w:space="0" w:color="auto"/>
                <w:bottom w:val="none" w:sz="0" w:space="0" w:color="auto"/>
                <w:right w:val="none" w:sz="0" w:space="0" w:color="auto"/>
              </w:divBdr>
            </w:div>
          </w:divsChild>
        </w:div>
        <w:div w:id="1624119714">
          <w:marLeft w:val="0"/>
          <w:marRight w:val="0"/>
          <w:marTop w:val="0"/>
          <w:marBottom w:val="0"/>
          <w:divBdr>
            <w:top w:val="none" w:sz="0" w:space="0" w:color="auto"/>
            <w:left w:val="none" w:sz="0" w:space="0" w:color="auto"/>
            <w:bottom w:val="none" w:sz="0" w:space="0" w:color="auto"/>
            <w:right w:val="none" w:sz="0" w:space="0" w:color="auto"/>
          </w:divBdr>
          <w:divsChild>
            <w:div w:id="61488226">
              <w:marLeft w:val="0"/>
              <w:marRight w:val="0"/>
              <w:marTop w:val="0"/>
              <w:marBottom w:val="0"/>
              <w:divBdr>
                <w:top w:val="none" w:sz="0" w:space="0" w:color="auto"/>
                <w:left w:val="none" w:sz="0" w:space="0" w:color="auto"/>
                <w:bottom w:val="none" w:sz="0" w:space="0" w:color="auto"/>
                <w:right w:val="none" w:sz="0" w:space="0" w:color="auto"/>
              </w:divBdr>
            </w:div>
            <w:div w:id="243883690">
              <w:marLeft w:val="0"/>
              <w:marRight w:val="0"/>
              <w:marTop w:val="0"/>
              <w:marBottom w:val="0"/>
              <w:divBdr>
                <w:top w:val="none" w:sz="0" w:space="0" w:color="auto"/>
                <w:left w:val="none" w:sz="0" w:space="0" w:color="auto"/>
                <w:bottom w:val="none" w:sz="0" w:space="0" w:color="auto"/>
                <w:right w:val="none" w:sz="0" w:space="0" w:color="auto"/>
              </w:divBdr>
            </w:div>
            <w:div w:id="631593655">
              <w:marLeft w:val="0"/>
              <w:marRight w:val="0"/>
              <w:marTop w:val="0"/>
              <w:marBottom w:val="0"/>
              <w:divBdr>
                <w:top w:val="none" w:sz="0" w:space="0" w:color="auto"/>
                <w:left w:val="none" w:sz="0" w:space="0" w:color="auto"/>
                <w:bottom w:val="none" w:sz="0" w:space="0" w:color="auto"/>
                <w:right w:val="none" w:sz="0" w:space="0" w:color="auto"/>
              </w:divBdr>
            </w:div>
            <w:div w:id="777333430">
              <w:marLeft w:val="0"/>
              <w:marRight w:val="0"/>
              <w:marTop w:val="0"/>
              <w:marBottom w:val="0"/>
              <w:divBdr>
                <w:top w:val="none" w:sz="0" w:space="0" w:color="auto"/>
                <w:left w:val="none" w:sz="0" w:space="0" w:color="auto"/>
                <w:bottom w:val="none" w:sz="0" w:space="0" w:color="auto"/>
                <w:right w:val="none" w:sz="0" w:space="0" w:color="auto"/>
              </w:divBdr>
            </w:div>
            <w:div w:id="924533238">
              <w:marLeft w:val="0"/>
              <w:marRight w:val="0"/>
              <w:marTop w:val="0"/>
              <w:marBottom w:val="0"/>
              <w:divBdr>
                <w:top w:val="none" w:sz="0" w:space="0" w:color="auto"/>
                <w:left w:val="none" w:sz="0" w:space="0" w:color="auto"/>
                <w:bottom w:val="none" w:sz="0" w:space="0" w:color="auto"/>
                <w:right w:val="none" w:sz="0" w:space="0" w:color="auto"/>
              </w:divBdr>
            </w:div>
            <w:div w:id="935135144">
              <w:marLeft w:val="0"/>
              <w:marRight w:val="0"/>
              <w:marTop w:val="0"/>
              <w:marBottom w:val="0"/>
              <w:divBdr>
                <w:top w:val="none" w:sz="0" w:space="0" w:color="auto"/>
                <w:left w:val="none" w:sz="0" w:space="0" w:color="auto"/>
                <w:bottom w:val="none" w:sz="0" w:space="0" w:color="auto"/>
                <w:right w:val="none" w:sz="0" w:space="0" w:color="auto"/>
              </w:divBdr>
            </w:div>
            <w:div w:id="1078790990">
              <w:marLeft w:val="0"/>
              <w:marRight w:val="0"/>
              <w:marTop w:val="0"/>
              <w:marBottom w:val="0"/>
              <w:divBdr>
                <w:top w:val="none" w:sz="0" w:space="0" w:color="auto"/>
                <w:left w:val="none" w:sz="0" w:space="0" w:color="auto"/>
                <w:bottom w:val="none" w:sz="0" w:space="0" w:color="auto"/>
                <w:right w:val="none" w:sz="0" w:space="0" w:color="auto"/>
              </w:divBdr>
            </w:div>
            <w:div w:id="1504733932">
              <w:marLeft w:val="0"/>
              <w:marRight w:val="0"/>
              <w:marTop w:val="0"/>
              <w:marBottom w:val="0"/>
              <w:divBdr>
                <w:top w:val="none" w:sz="0" w:space="0" w:color="auto"/>
                <w:left w:val="none" w:sz="0" w:space="0" w:color="auto"/>
                <w:bottom w:val="none" w:sz="0" w:space="0" w:color="auto"/>
                <w:right w:val="none" w:sz="0" w:space="0" w:color="auto"/>
              </w:divBdr>
            </w:div>
            <w:div w:id="1738938262">
              <w:marLeft w:val="0"/>
              <w:marRight w:val="0"/>
              <w:marTop w:val="0"/>
              <w:marBottom w:val="0"/>
              <w:divBdr>
                <w:top w:val="none" w:sz="0" w:space="0" w:color="auto"/>
                <w:left w:val="none" w:sz="0" w:space="0" w:color="auto"/>
                <w:bottom w:val="none" w:sz="0" w:space="0" w:color="auto"/>
                <w:right w:val="none" w:sz="0" w:space="0" w:color="auto"/>
              </w:divBdr>
            </w:div>
            <w:div w:id="1980188388">
              <w:marLeft w:val="0"/>
              <w:marRight w:val="0"/>
              <w:marTop w:val="0"/>
              <w:marBottom w:val="0"/>
              <w:divBdr>
                <w:top w:val="none" w:sz="0" w:space="0" w:color="auto"/>
                <w:left w:val="none" w:sz="0" w:space="0" w:color="auto"/>
                <w:bottom w:val="none" w:sz="0" w:space="0" w:color="auto"/>
                <w:right w:val="none" w:sz="0" w:space="0" w:color="auto"/>
              </w:divBdr>
            </w:div>
            <w:div w:id="2005010327">
              <w:marLeft w:val="0"/>
              <w:marRight w:val="0"/>
              <w:marTop w:val="0"/>
              <w:marBottom w:val="0"/>
              <w:divBdr>
                <w:top w:val="none" w:sz="0" w:space="0" w:color="auto"/>
                <w:left w:val="none" w:sz="0" w:space="0" w:color="auto"/>
                <w:bottom w:val="none" w:sz="0" w:space="0" w:color="auto"/>
                <w:right w:val="none" w:sz="0" w:space="0" w:color="auto"/>
              </w:divBdr>
            </w:div>
            <w:div w:id="2020811197">
              <w:marLeft w:val="0"/>
              <w:marRight w:val="0"/>
              <w:marTop w:val="0"/>
              <w:marBottom w:val="0"/>
              <w:divBdr>
                <w:top w:val="none" w:sz="0" w:space="0" w:color="auto"/>
                <w:left w:val="none" w:sz="0" w:space="0" w:color="auto"/>
                <w:bottom w:val="none" w:sz="0" w:space="0" w:color="auto"/>
                <w:right w:val="none" w:sz="0" w:space="0" w:color="auto"/>
              </w:divBdr>
            </w:div>
          </w:divsChild>
        </w:div>
        <w:div w:id="1632057223">
          <w:marLeft w:val="0"/>
          <w:marRight w:val="0"/>
          <w:marTop w:val="0"/>
          <w:marBottom w:val="0"/>
          <w:divBdr>
            <w:top w:val="none" w:sz="0" w:space="0" w:color="auto"/>
            <w:left w:val="none" w:sz="0" w:space="0" w:color="auto"/>
            <w:bottom w:val="none" w:sz="0" w:space="0" w:color="auto"/>
            <w:right w:val="none" w:sz="0" w:space="0" w:color="auto"/>
          </w:divBdr>
        </w:div>
        <w:div w:id="1837576355">
          <w:marLeft w:val="0"/>
          <w:marRight w:val="0"/>
          <w:marTop w:val="0"/>
          <w:marBottom w:val="0"/>
          <w:divBdr>
            <w:top w:val="none" w:sz="0" w:space="0" w:color="auto"/>
            <w:left w:val="none" w:sz="0" w:space="0" w:color="auto"/>
            <w:bottom w:val="none" w:sz="0" w:space="0" w:color="auto"/>
            <w:right w:val="none" w:sz="0" w:space="0" w:color="auto"/>
          </w:divBdr>
        </w:div>
        <w:div w:id="1932810862">
          <w:marLeft w:val="0"/>
          <w:marRight w:val="0"/>
          <w:marTop w:val="0"/>
          <w:marBottom w:val="0"/>
          <w:divBdr>
            <w:top w:val="none" w:sz="0" w:space="0" w:color="auto"/>
            <w:left w:val="none" w:sz="0" w:space="0" w:color="auto"/>
            <w:bottom w:val="none" w:sz="0" w:space="0" w:color="auto"/>
            <w:right w:val="none" w:sz="0" w:space="0" w:color="auto"/>
          </w:divBdr>
        </w:div>
        <w:div w:id="1946309106">
          <w:marLeft w:val="0"/>
          <w:marRight w:val="0"/>
          <w:marTop w:val="0"/>
          <w:marBottom w:val="0"/>
          <w:divBdr>
            <w:top w:val="none" w:sz="0" w:space="0" w:color="auto"/>
            <w:left w:val="none" w:sz="0" w:space="0" w:color="auto"/>
            <w:bottom w:val="none" w:sz="0" w:space="0" w:color="auto"/>
            <w:right w:val="none" w:sz="0" w:space="0" w:color="auto"/>
          </w:divBdr>
        </w:div>
        <w:div w:id="2015329471">
          <w:marLeft w:val="0"/>
          <w:marRight w:val="0"/>
          <w:marTop w:val="0"/>
          <w:marBottom w:val="0"/>
          <w:divBdr>
            <w:top w:val="none" w:sz="0" w:space="0" w:color="auto"/>
            <w:left w:val="none" w:sz="0" w:space="0" w:color="auto"/>
            <w:bottom w:val="none" w:sz="0" w:space="0" w:color="auto"/>
            <w:right w:val="none" w:sz="0" w:space="0" w:color="auto"/>
          </w:divBdr>
        </w:div>
      </w:divsChild>
    </w:div>
    <w:div w:id="2145266936">
      <w:bodyDiv w:val="1"/>
      <w:marLeft w:val="0"/>
      <w:marRight w:val="0"/>
      <w:marTop w:val="0"/>
      <w:marBottom w:val="0"/>
      <w:divBdr>
        <w:top w:val="none" w:sz="0" w:space="0" w:color="auto"/>
        <w:left w:val="none" w:sz="0" w:space="0" w:color="auto"/>
        <w:bottom w:val="none" w:sz="0" w:space="0" w:color="auto"/>
        <w:right w:val="none" w:sz="0" w:space="0" w:color="auto"/>
      </w:divBdr>
      <w:divsChild>
        <w:div w:id="363408260">
          <w:marLeft w:val="0"/>
          <w:marRight w:val="0"/>
          <w:marTop w:val="0"/>
          <w:marBottom w:val="0"/>
          <w:divBdr>
            <w:top w:val="none" w:sz="0" w:space="0" w:color="auto"/>
            <w:left w:val="none" w:sz="0" w:space="0" w:color="auto"/>
            <w:bottom w:val="none" w:sz="0" w:space="0" w:color="auto"/>
            <w:right w:val="none" w:sz="0" w:space="0" w:color="auto"/>
          </w:divBdr>
        </w:div>
        <w:div w:id="1122267193">
          <w:marLeft w:val="0"/>
          <w:marRight w:val="0"/>
          <w:marTop w:val="0"/>
          <w:marBottom w:val="0"/>
          <w:divBdr>
            <w:top w:val="none" w:sz="0" w:space="0" w:color="auto"/>
            <w:left w:val="none" w:sz="0" w:space="0" w:color="auto"/>
            <w:bottom w:val="none" w:sz="0" w:space="0" w:color="auto"/>
            <w:right w:val="none" w:sz="0" w:space="0" w:color="auto"/>
          </w:divBdr>
        </w:div>
        <w:div w:id="1592081552">
          <w:marLeft w:val="0"/>
          <w:marRight w:val="0"/>
          <w:marTop w:val="0"/>
          <w:marBottom w:val="0"/>
          <w:divBdr>
            <w:top w:val="none" w:sz="0" w:space="0" w:color="auto"/>
            <w:left w:val="none" w:sz="0" w:space="0" w:color="auto"/>
            <w:bottom w:val="none" w:sz="0" w:space="0" w:color="auto"/>
            <w:right w:val="none" w:sz="0" w:space="0" w:color="auto"/>
          </w:divBdr>
        </w:div>
        <w:div w:id="2030059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op.europa.eu/pt/web/eu-vocabularies/concept/-/resource?uri=http://data.europa.eu/7yx/cofog/03.6.0"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op.europa.eu/pt/web/eu-vocabularies/concept-scheme/-/resource?uri=http://data.europa.eu/7yx/cofo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7.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law/better-regulation/have-your-say/initiatives/14855-Simplification-digital-package-and-omnibus_pt" TargetMode="External"/><Relationship Id="rId13" Type="http://schemas.openxmlformats.org/officeDocument/2006/relationships/hyperlink" Target="https://myintracomm.ec.europa.eu/corp/budget/financial-rules/budget-implementation/Pages/implementation-methods.aspx" TargetMode="External"/><Relationship Id="rId3" Type="http://schemas.openxmlformats.org/officeDocument/2006/relationships/hyperlink" Target="https://www.consilium.europa.eu/media/ny3j24sm/much-more-than-a-market-report-by-enrico-letta.pdf" TargetMode="External"/><Relationship Id="rId7" Type="http://schemas.openxmlformats.org/officeDocument/2006/relationships/hyperlink" Target="https://ec.europa.eu/info/law/better-regulation/have-your-say/initiatives/14541-European-Data-Union-Strategy_pt" TargetMode="External"/><Relationship Id="rId12" Type="http://schemas.openxmlformats.org/officeDocument/2006/relationships/hyperlink" Target="https://eur-lex.europa.eu/legal-content/PT/AUTO/?uri=OJ:L:2016:157:TOC" TargetMode="External"/><Relationship Id="rId2" Type="http://schemas.openxmlformats.org/officeDocument/2006/relationships/hyperlink" Target="https://commission.europa.eu/topics/eu-competitiveness/draghi-report_pt" TargetMode="External"/><Relationship Id="rId1" Type="http://schemas.openxmlformats.org/officeDocument/2006/relationships/hyperlink" Target="https://commission.europa.eu/document/download/e6cd4328-673c-4e7a-8683-f63ffb2cf648_pt?filename=Political%20Guidelines%202024-2029_EN.pdf" TargetMode="External"/><Relationship Id="rId6" Type="http://schemas.openxmlformats.org/officeDocument/2006/relationships/hyperlink" Target="https://ec.europa.eu/info/law/better-regulation/have-your-say/initiatives/14578-The-EU-Cybersecurity-Act_pt" TargetMode="External"/><Relationship Id="rId11" Type="http://schemas.openxmlformats.org/officeDocument/2006/relationships/hyperlink" Target="http://data.europa.eu/eli/reg/2016/679/oj" TargetMode="External"/><Relationship Id="rId5" Type="http://schemas.openxmlformats.org/officeDocument/2006/relationships/hyperlink" Target="https://ec.europa.eu/info/law/better-regulation/have-your-say/initiatives/14625-Apply-AI-Strategy-strengthening-the-AI-continent_pt" TargetMode="External"/><Relationship Id="rId10" Type="http://schemas.openxmlformats.org/officeDocument/2006/relationships/hyperlink" Target="https://commission.europa.eu/implementation-dialogues/implementation-dialogue-cybersecurity-policy-executive-vice-president-henna-virkkunen-2025-09-15_pt" TargetMode="External"/><Relationship Id="rId4" Type="http://schemas.openxmlformats.org/officeDocument/2006/relationships/hyperlink" Target="https://ec.europa.eu/eurostat/statistics-explained/index.php?title=ICT_sector_-_value_added,_employment_and_R%26D" TargetMode="External"/><Relationship Id="rId9" Type="http://schemas.openxmlformats.org/officeDocument/2006/relationships/hyperlink" Target="https://commission.europa.eu/implementation-dialogues/implementation-dialogue-data-policy-2025-07-01_p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ＭＳ ゴシック"/>
        <a:cs typeface="Times New Roman"/>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e8c2b5-0804-41b1-bc9c-74c45783f9f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AFD1D29FD09D4186F670B11E2F31DB" ma:contentTypeVersion="9" ma:contentTypeDescription="Create a new document." ma:contentTypeScope="" ma:versionID="9492e64f1d8786b4c5a6bc9cf2e9dcfc">
  <xsd:schema xmlns:xsd="http://www.w3.org/2001/XMLSchema" xmlns:xs="http://www.w3.org/2001/XMLSchema" xmlns:p="http://schemas.microsoft.com/office/2006/metadata/properties" xmlns:ns2="d6e8c2b5-0804-41b1-bc9c-74c45783f9ff" targetNamespace="http://schemas.microsoft.com/office/2006/metadata/properties" ma:root="true" ma:fieldsID="d0f74c53c22ccacf3b29482b60a48f21" ns2:_="">
    <xsd:import namespace="d6e8c2b5-0804-41b1-bc9c-74c45783f9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8c2b5-0804-41b1-bc9c-74c45783f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17348-09CF-433B-92E2-FE4EC2D44964}">
  <ds:schemaRefs>
    <ds:schemaRef ds:uri="http://schemas.microsoft.com/office/2006/metadata/properties"/>
    <ds:schemaRef ds:uri="http://schemas.microsoft.com/office/infopath/2007/PartnerControls"/>
    <ds:schemaRef ds:uri="d6e8c2b5-0804-41b1-bc9c-74c45783f9ff"/>
  </ds:schemaRefs>
</ds:datastoreItem>
</file>

<file path=customXml/itemProps2.xml><?xml version="1.0" encoding="utf-8"?>
<ds:datastoreItem xmlns:ds="http://schemas.openxmlformats.org/officeDocument/2006/customXml" ds:itemID="{457FC028-D90F-43B1-9F16-7E96B095C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8c2b5-0804-41b1-bc9c-74c45783f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13D716-4D6B-43C9-A3FB-123E0AE7A33A}">
  <ds:schemaRefs>
    <ds:schemaRef ds:uri="http://schemas.microsoft.com/sharepoint/v3/contenttype/forms"/>
  </ds:schemaRefs>
</ds:datastoreItem>
</file>

<file path=customXml/itemProps4.xml><?xml version="1.0" encoding="utf-8"?>
<ds:datastoreItem xmlns:ds="http://schemas.openxmlformats.org/officeDocument/2006/customXml" ds:itemID="{422E3705-6940-4B19-80B2-2A33BB5E66CA}">
  <ds:schemaRefs>
    <ds:schemaRef ds:uri="http://schemas.openxmlformats.org/officeDocument/2006/bibliography"/>
  </ds:schemaRefs>
</ds:datastoreItem>
</file>

<file path=docMetadata/LabelInfo.xml><?xml version="1.0" encoding="utf-8"?>
<clbl:labelList xmlns:clbl="http://schemas.microsoft.com/office/2020/mipLabelMetadata">
  <clbl:label id="{6bd9ddd1-4d20-43f6-abfa-fc3c07406f94}" enabled="1" method="Standard" siteId="{b24c8b06-522c-46fe-9080-70926f8dddb1}" contentBits="0" removed="0"/>
</clbl:labelList>
</file>

<file path=docProps/app.xml><?xml version="1.0" encoding="utf-8"?>
<Properties xmlns="http://schemas.openxmlformats.org/officeDocument/2006/extended-properties" xmlns:vt="http://schemas.openxmlformats.org/officeDocument/2006/docPropsVTypes">
  <Template>COM.dotm</Template>
  <TotalTime>0</TotalTime>
  <Pages>19</Pages>
  <Words>58643</Words>
  <Characters>334268</Characters>
  <Application>Microsoft Office Word</Application>
  <DocSecurity>0</DocSecurity>
  <Lines>2785</Lines>
  <Paragraphs>784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392127</CharactersWithSpaces>
  <SharedDoc>false</SharedDoc>
  <HLinks>
    <vt:vector size="90" baseType="variant">
      <vt:variant>
        <vt:i4>6160397</vt:i4>
      </vt:variant>
      <vt:variant>
        <vt:i4>3</vt:i4>
      </vt:variant>
      <vt:variant>
        <vt:i4>0</vt:i4>
      </vt:variant>
      <vt:variant>
        <vt:i4>5</vt:i4>
      </vt:variant>
      <vt:variant>
        <vt:lpwstr>https://op.europa.eu/en/web/eu-vocabularies/concept/-/resource?uri=http://data.europa.eu/7yx/cofog/03.6.0</vt:lpwstr>
      </vt:variant>
      <vt:variant>
        <vt:lpwstr/>
      </vt:variant>
      <vt:variant>
        <vt:i4>65559</vt:i4>
      </vt:variant>
      <vt:variant>
        <vt:i4>0</vt:i4>
      </vt:variant>
      <vt:variant>
        <vt:i4>0</vt:i4>
      </vt:variant>
      <vt:variant>
        <vt:i4>5</vt:i4>
      </vt:variant>
      <vt:variant>
        <vt:lpwstr>https://op.europa.eu/en/web/eu-vocabularies/concept-scheme/-/resource?uri=http://data.europa.eu/7yx/cofog</vt:lpwstr>
      </vt:variant>
      <vt:variant>
        <vt:lpwstr/>
      </vt:variant>
      <vt:variant>
        <vt:i4>262150</vt:i4>
      </vt:variant>
      <vt:variant>
        <vt:i4>36</vt:i4>
      </vt:variant>
      <vt:variant>
        <vt:i4>0</vt:i4>
      </vt:variant>
      <vt:variant>
        <vt:i4>5</vt:i4>
      </vt:variant>
      <vt:variant>
        <vt:lpwstr>https://myintracomm.ec.europa.eu/corp/budget/financial-rules/budget-implementation/Pages/implementation-methods.aspx</vt:lpwstr>
      </vt:variant>
      <vt:variant>
        <vt:lpwstr/>
      </vt:variant>
      <vt:variant>
        <vt:i4>7340155</vt:i4>
      </vt:variant>
      <vt:variant>
        <vt:i4>33</vt:i4>
      </vt:variant>
      <vt:variant>
        <vt:i4>0</vt:i4>
      </vt:variant>
      <vt:variant>
        <vt:i4>5</vt:i4>
      </vt:variant>
      <vt:variant>
        <vt:lpwstr>https://eur-lex.europa.eu/legal-content/EN/AUTO/?uri=OJ:L:2016:157:TOC</vt:lpwstr>
      </vt:variant>
      <vt:variant>
        <vt:lpwstr/>
      </vt:variant>
      <vt:variant>
        <vt:i4>4915224</vt:i4>
      </vt:variant>
      <vt:variant>
        <vt:i4>30</vt:i4>
      </vt:variant>
      <vt:variant>
        <vt:i4>0</vt:i4>
      </vt:variant>
      <vt:variant>
        <vt:i4>5</vt:i4>
      </vt:variant>
      <vt:variant>
        <vt:lpwstr>http://data.europa.eu/eli/reg/2016/679/oj</vt:lpwstr>
      </vt:variant>
      <vt:variant>
        <vt:lpwstr/>
      </vt:variant>
      <vt:variant>
        <vt:i4>1048694</vt:i4>
      </vt:variant>
      <vt:variant>
        <vt:i4>27</vt:i4>
      </vt:variant>
      <vt:variant>
        <vt:i4>0</vt:i4>
      </vt:variant>
      <vt:variant>
        <vt:i4>5</vt:i4>
      </vt:variant>
      <vt:variant>
        <vt:lpwstr>https://commission.europa.eu/implementation-dialogues/implementation-dialogue-cybersecurity-policy-executive-vice-president-henna-virkkunen-2025-09-15_en</vt:lpwstr>
      </vt:variant>
      <vt:variant>
        <vt:lpwstr/>
      </vt:variant>
      <vt:variant>
        <vt:i4>6291527</vt:i4>
      </vt:variant>
      <vt:variant>
        <vt:i4>24</vt:i4>
      </vt:variant>
      <vt:variant>
        <vt:i4>0</vt:i4>
      </vt:variant>
      <vt:variant>
        <vt:i4>5</vt:i4>
      </vt:variant>
      <vt:variant>
        <vt:lpwstr>https://commission.europa.eu/implementation-dialogues/implementation-dialogue-data-policy-2025-07-01_en</vt:lpwstr>
      </vt:variant>
      <vt:variant>
        <vt:lpwstr/>
      </vt:variant>
      <vt:variant>
        <vt:i4>1179688</vt:i4>
      </vt:variant>
      <vt:variant>
        <vt:i4>21</vt:i4>
      </vt:variant>
      <vt:variant>
        <vt:i4>0</vt:i4>
      </vt:variant>
      <vt:variant>
        <vt:i4>5</vt:i4>
      </vt:variant>
      <vt:variant>
        <vt:lpwstr>https://ec.europa.eu/info/law/better-regulation/have-your-say/initiatives/14855-Simplification-digital-package-and-omnibus_en</vt:lpwstr>
      </vt:variant>
      <vt:variant>
        <vt:lpwstr/>
      </vt:variant>
      <vt:variant>
        <vt:i4>8126485</vt:i4>
      </vt:variant>
      <vt:variant>
        <vt:i4>18</vt:i4>
      </vt:variant>
      <vt:variant>
        <vt:i4>0</vt:i4>
      </vt:variant>
      <vt:variant>
        <vt:i4>5</vt:i4>
      </vt:variant>
      <vt:variant>
        <vt:lpwstr>https://ec.europa.eu/info/law/better-regulation/have-your-say/initiatives/14541-European-Data-Union-Strategy_en</vt:lpwstr>
      </vt:variant>
      <vt:variant>
        <vt:lpwstr/>
      </vt:variant>
      <vt:variant>
        <vt:i4>2097226</vt:i4>
      </vt:variant>
      <vt:variant>
        <vt:i4>15</vt:i4>
      </vt:variant>
      <vt:variant>
        <vt:i4>0</vt:i4>
      </vt:variant>
      <vt:variant>
        <vt:i4>5</vt:i4>
      </vt:variant>
      <vt:variant>
        <vt:lpwstr>https://ec.europa.eu/info/law/better-regulation/have-your-say/initiatives/14578-The-EU-Cybersecurity-Act_en</vt:lpwstr>
      </vt:variant>
      <vt:variant>
        <vt:lpwstr/>
      </vt:variant>
      <vt:variant>
        <vt:i4>8257602</vt:i4>
      </vt:variant>
      <vt:variant>
        <vt:i4>12</vt:i4>
      </vt:variant>
      <vt:variant>
        <vt:i4>0</vt:i4>
      </vt:variant>
      <vt:variant>
        <vt:i4>5</vt:i4>
      </vt:variant>
      <vt:variant>
        <vt:lpwstr>https://ec.europa.eu/info/law/better-regulation/have-your-say/initiatives/14625-Apply-AI-Strategy-strengthening-the-AI-continent_en</vt:lpwstr>
      </vt:variant>
      <vt:variant>
        <vt:lpwstr/>
      </vt:variant>
      <vt:variant>
        <vt:i4>6488067</vt:i4>
      </vt:variant>
      <vt:variant>
        <vt:i4>9</vt:i4>
      </vt:variant>
      <vt:variant>
        <vt:i4>0</vt:i4>
      </vt:variant>
      <vt:variant>
        <vt:i4>5</vt:i4>
      </vt:variant>
      <vt:variant>
        <vt:lpwstr>https://ec.europa.eu/eurostat/statistics-explained/index.php?title=ICT_sector_-_value_added,_employment_and_R%26D</vt:lpwstr>
      </vt:variant>
      <vt:variant>
        <vt:lpwstr/>
      </vt:variant>
      <vt:variant>
        <vt:i4>6225928</vt:i4>
      </vt:variant>
      <vt:variant>
        <vt:i4>6</vt:i4>
      </vt:variant>
      <vt:variant>
        <vt:i4>0</vt:i4>
      </vt:variant>
      <vt:variant>
        <vt:i4>5</vt:i4>
      </vt:variant>
      <vt:variant>
        <vt:lpwstr>https://www.consilium.europa.eu/media/ny3j24sm/much-more-than-a-market-report-by-enrico-letta.pdf</vt:lpwstr>
      </vt:variant>
      <vt:variant>
        <vt:lpwstr/>
      </vt:variant>
      <vt:variant>
        <vt:i4>2424849</vt:i4>
      </vt:variant>
      <vt:variant>
        <vt:i4>3</vt:i4>
      </vt:variant>
      <vt:variant>
        <vt:i4>0</vt:i4>
      </vt:variant>
      <vt:variant>
        <vt:i4>5</vt:i4>
      </vt:variant>
      <vt:variant>
        <vt:lpwstr>https://commission.europa.eu/topics/eu-competitiveness/draghi-report_en</vt:lpwstr>
      </vt:variant>
      <vt:variant>
        <vt:lpwstr/>
      </vt:variant>
      <vt:variant>
        <vt:i4>3932201</vt:i4>
      </vt:variant>
      <vt:variant>
        <vt:i4>0</vt:i4>
      </vt:variant>
      <vt:variant>
        <vt:i4>0</vt:i4>
      </vt:variant>
      <vt:variant>
        <vt:i4>5</vt:i4>
      </vt:variant>
      <vt:variant>
        <vt:lpwstr>https://commission.europa.eu/document/download/e6cd4328-673c-4e7a-8683-f63ffb2cf648_en?filename=Political%20Guidelines%202024-2029_EN.pdf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2025-11-19T18:09:00Z</dcterms:created>
  <dcterms:modified xsi:type="dcterms:W3CDTF">2026-01-18T15:26:00Z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9.2, Build 20250828</vt:lpwstr>
  </property>
  <property fmtid="{D5CDD505-2E9C-101B-9397-08002B2CF9AE}" pid="3" name="MSIP_Label_6bd9ddd1-4d20-43f6-abfa-fc3c07406f94_Enabled">
    <vt:lpwstr>true</vt:lpwstr>
  </property>
  <property fmtid="{D5CDD505-2E9C-101B-9397-08002B2CF9AE}" pid="4" name="MSIP_Label_6bd9ddd1-4d20-43f6-abfa-fc3c07406f94_SetDate">
    <vt:lpwstr>2025-11-14T12:14:10Z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f9e4cd69-d274-480b-9ea6-699888fdec4f</vt:lpwstr>
  </property>
  <property fmtid="{D5CDD505-2E9C-101B-9397-08002B2CF9AE}" pid="9" name="MSIP_Label_6bd9ddd1-4d20-43f6-abfa-fc3c07406f94_ContentBits">
    <vt:lpwstr>0</vt:lpwstr>
  </property>
  <property fmtid="{D5CDD505-2E9C-101B-9397-08002B2CF9AE}" pid="10" name="MSIP_Label_6bd9ddd1-4d20-43f6-abfa-fc3c07406f94_Tag">
    <vt:lpwstr>10, 3, 0, 1</vt:lpwstr>
  </property>
  <property fmtid="{D5CDD505-2E9C-101B-9397-08002B2CF9AE}" pid="11" name="Category">
    <vt:lpwstr>COM/PL/ORG</vt:lpwstr>
  </property>
  <property fmtid="{D5CDD505-2E9C-101B-9397-08002B2CF9AE}" pid="12" name="Level of sensitivity">
    <vt:lpwstr>Standard treatment</vt:lpwstr>
  </property>
  <property fmtid="{D5CDD505-2E9C-101B-9397-08002B2CF9AE}" pid="13" name="Part">
    <vt:lpwstr>1</vt:lpwstr>
  </property>
  <property fmtid="{D5CDD505-2E9C-101B-9397-08002B2CF9AE}" pid="14" name="Total parts">
    <vt:lpwstr>1</vt:lpwstr>
  </property>
  <property fmtid="{D5CDD505-2E9C-101B-9397-08002B2CF9AE}" pid="15" name="LWTemplateID">
    <vt:lpwstr>SJ-023</vt:lpwstr>
  </property>
  <property fmtid="{D5CDD505-2E9C-101B-9397-08002B2CF9AE}" pid="16" name="ContentTypeId">
    <vt:lpwstr>0x01010028AFD1D29FD09D4186F670B11E2F31DB</vt:lpwstr>
  </property>
  <property fmtid="{D5CDD505-2E9C-101B-9397-08002B2CF9AE}" pid="17" name="MediaServiceImageTags">
    <vt:lpwstr/>
  </property>
  <property fmtid="{D5CDD505-2E9C-101B-9397-08002B2CF9AE}" pid="18" name="DQCStatus">
    <vt:lpwstr>Green (DQC version 03)</vt:lpwstr>
  </property>
</Properties>
</file>