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C2133" w14:textId="3BD0CFFD" w:rsidR="009C3EE2" w:rsidRPr="009D258A" w:rsidRDefault="0053045F" w:rsidP="0053045F">
      <w:pPr>
        <w:pStyle w:val="Pagedecouverture"/>
        <w:rPr>
          <w:noProof/>
        </w:rPr>
      </w:pPr>
      <w:r>
        <w:rPr>
          <w:noProof/>
        </w:rPr>
        <w:pict w14:anchorId="2F114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F32A199-CE8E-400D-B196-AABE6019A726" style="width:455.25pt;height:402.75pt">
            <v:imagedata r:id="rId11" o:title=""/>
          </v:shape>
        </w:pict>
      </w:r>
    </w:p>
    <w:p w14:paraId="32F273E0" w14:textId="77777777" w:rsidR="009C3EE2" w:rsidRPr="009D258A" w:rsidRDefault="009C3EE2" w:rsidP="009C3EE2">
      <w:pPr>
        <w:rPr>
          <w:noProof/>
        </w:rPr>
        <w:sectPr w:rsidR="009C3EE2" w:rsidRPr="009D258A" w:rsidSect="0053045F">
          <w:footerReference w:type="even" r:id="rId12"/>
          <w:footerReference w:type="default" r:id="rId13"/>
          <w:pgSz w:w="11907" w:h="16839"/>
          <w:pgMar w:top="1134" w:right="1417" w:bottom="1134" w:left="1417" w:header="709" w:footer="709" w:gutter="0"/>
          <w:pgNumType w:start="0"/>
          <w:cols w:space="720"/>
          <w:docGrid w:linePitch="360"/>
        </w:sectPr>
      </w:pPr>
    </w:p>
    <w:p w14:paraId="1A5423C1" w14:textId="305FBDC5" w:rsidR="009C3EE2" w:rsidRPr="009D258A" w:rsidRDefault="009C3EE2" w:rsidP="0002735A">
      <w:pPr>
        <w:pStyle w:val="Exposdesmotifstitre"/>
        <w:rPr>
          <w:noProof/>
        </w:rPr>
      </w:pPr>
      <w:bookmarkStart w:id="0" w:name="_GoBack"/>
      <w:bookmarkEnd w:id="0"/>
      <w:r w:rsidRPr="009D258A">
        <w:rPr>
          <w:noProof/>
        </w:rPr>
        <w:lastRenderedPageBreak/>
        <w:t>PERUSTELUT</w:t>
      </w:r>
    </w:p>
    <w:p w14:paraId="28EC729D" w14:textId="77777777" w:rsidR="009C3EE2" w:rsidRPr="009D258A" w:rsidRDefault="009C3EE2" w:rsidP="0002735A">
      <w:pPr>
        <w:pStyle w:val="ManualHeading1"/>
        <w:rPr>
          <w:noProof/>
        </w:rPr>
      </w:pPr>
      <w:r w:rsidRPr="009D258A">
        <w:rPr>
          <w:noProof/>
        </w:rPr>
        <w:t>1.</w:t>
      </w:r>
      <w:r w:rsidRPr="009D258A">
        <w:rPr>
          <w:noProof/>
        </w:rPr>
        <w:tab/>
        <w:t>EHDOTUKSEN TAUSTA</w:t>
      </w:r>
    </w:p>
    <w:p w14:paraId="11F5C02A" w14:textId="77777777" w:rsidR="009C3EE2" w:rsidRPr="009D258A" w:rsidRDefault="009C3EE2" w:rsidP="0002735A">
      <w:pPr>
        <w:pStyle w:val="ManualHeading2"/>
        <w:rPr>
          <w:rFonts w:eastAsia="Arial Unicode MS"/>
          <w:noProof/>
        </w:rPr>
      </w:pPr>
      <w:r w:rsidRPr="009D258A">
        <w:rPr>
          <w:noProof/>
          <w:color w:val="000000"/>
          <w:u w:color="000000"/>
          <w:bdr w:val="nil"/>
        </w:rPr>
        <w:t>•</w:t>
      </w:r>
      <w:r w:rsidRPr="009D258A">
        <w:rPr>
          <w:noProof/>
        </w:rPr>
        <w:tab/>
        <w:t>Ehdotuksen perustelut ja tavoitteet</w:t>
      </w:r>
    </w:p>
    <w:p w14:paraId="1BD9B78B" w14:textId="77777777" w:rsidR="0027691B" w:rsidRPr="009D258A" w:rsidRDefault="00A711D1" w:rsidP="00120F49">
      <w:pPr>
        <w:rPr>
          <w:noProof/>
        </w:rPr>
      </w:pPr>
      <w:r w:rsidRPr="009D258A">
        <w:rPr>
          <w:noProof/>
        </w:rPr>
        <w:t xml:space="preserve">Tiedonannossaan </w:t>
      </w:r>
      <w:r w:rsidRPr="009D258A">
        <w:rPr>
          <w:i/>
          <w:iCs/>
          <w:noProof/>
        </w:rPr>
        <w:t>Yksinkertaisemmin ja nopeammin toimiva EU</w:t>
      </w:r>
      <w:r w:rsidRPr="009D258A">
        <w:rPr>
          <w:rStyle w:val="FootnoteReference"/>
          <w:noProof/>
        </w:rPr>
        <w:footnoteReference w:id="2"/>
      </w:r>
      <w:r w:rsidRPr="009D258A">
        <w:rPr>
          <w:noProof/>
        </w:rPr>
        <w:t xml:space="preserve"> komissio ilmoitti sitoutuvansa kunnianhimoiseen ohjelmaan, jolla edistetään tulevaisuuteen suuntautuvaa innovatiivista politiikkaa tavoitteena vahvistaa Euroopan unionin kilpailukykyä ja keventää kansalaisille, yrityksille ja viranomaisille aiheutuvaa sääntelytaakkaa kuitenkin niin, että samalla ylläpidetään korkeita normeja unionin arvoja edistettäessä.</w:t>
      </w:r>
    </w:p>
    <w:p w14:paraId="0A631063" w14:textId="77777777" w:rsidR="00A27256" w:rsidRPr="009D258A" w:rsidRDefault="00C83463" w:rsidP="00A27256">
      <w:pPr>
        <w:rPr>
          <w:noProof/>
        </w:rPr>
      </w:pPr>
      <w:r w:rsidRPr="009D258A">
        <w:rPr>
          <w:noProof/>
        </w:rPr>
        <w:t>Tekoälyä koskevista yhdenmukaistetuista säännöistä 13 päivänä kesäkuuta 2024 annetulla Euroopan parlamentin ja neuvoston asetuksella (EU) 2024/1689, jäljempänä ’tekoälysäädös’, joka tuli voimaan 1. elokuuta 2024, perustetaan EU:hun luotettavan ja ihmiskeskeisen tekoälyn sisämarkkinat. Sen tavoitteena on edistää tekoälyyn liittyvää innovointia ja tekoälyn käyttöönottoa varmistaen samalla terveyden, turvallisuuden ja perusoikeuksien, myös demokratian ja oikeusvaltion, suojelun korkea taso.</w:t>
      </w:r>
    </w:p>
    <w:p w14:paraId="157864FC" w14:textId="77777777" w:rsidR="00A27256" w:rsidRPr="009D258A" w:rsidRDefault="00A27256" w:rsidP="00A27256">
      <w:pPr>
        <w:rPr>
          <w:noProof/>
        </w:rPr>
      </w:pPr>
      <w:r w:rsidRPr="009D258A">
        <w:rPr>
          <w:noProof/>
        </w:rPr>
        <w:t>Tekoälysäädöksen soveltaminen alkaa vaiheittain, ja sen kaikkia sääntöjä sovelletaan 2. elokuuta 2027 lähtien. Jo nyt sovelletaan kieltoja, jotka koskevat kohtuuttomia riskejä aiheuttavia käytäntöjä, sekä yleiskäyttöisiin tekoälymalleihin liittyviä velvoitteita. Useimpia säännöksiä – varsinkin suuririskisiä tekoälyjärjestelmiä koskevia säännöksiä – aletaan kuitenkin soveltaa vasta 2. elokuuta 2026 tai 2. elokuuta 2027. Näihin säännöksiin sisältyy datanhallintaa, avoimuutta, dokumentointia, ihmisen suorittamaa valvontaa ja järjestelmien vakautta koskevia yksityiskohtaisia vaatimuksia, joilla pyritään varmistamaan, että EU:n markkinoille saatetut tekoälyjärjestelmät ovat turvallisia, toiminnaltaan läpinäkyviä ja luotettavia.</w:t>
      </w:r>
    </w:p>
    <w:p w14:paraId="46C6C1CE" w14:textId="527F0A0F" w:rsidR="00A27256" w:rsidRPr="009D258A" w:rsidRDefault="00A27256" w:rsidP="00A27256">
      <w:pPr>
        <w:rPr>
          <w:noProof/>
        </w:rPr>
      </w:pPr>
      <w:r w:rsidRPr="009D258A">
        <w:rPr>
          <w:noProof/>
        </w:rPr>
        <w:t xml:space="preserve">Komissio on sitoutunut tekoälysäädöksen selkeään, yksinkertaiseen ja innovaatioystävälliseen täytäntöönpanoon, kuten </w:t>
      </w:r>
      <w:r w:rsidRPr="009D258A">
        <w:rPr>
          <w:b/>
          <w:noProof/>
        </w:rPr>
        <w:t>tekoälyn maanosa -toimintasuunnitelmassa</w:t>
      </w:r>
      <w:r w:rsidRPr="009D258A">
        <w:rPr>
          <w:rStyle w:val="FootnoteReference"/>
          <w:noProof/>
        </w:rPr>
        <w:footnoteReference w:id="3"/>
      </w:r>
      <w:r w:rsidRPr="009D258A">
        <w:rPr>
          <w:noProof/>
        </w:rPr>
        <w:t xml:space="preserve"> ja </w:t>
      </w:r>
      <w:r w:rsidRPr="009D258A">
        <w:rPr>
          <w:b/>
          <w:noProof/>
        </w:rPr>
        <w:t>tekoälyn soveltamisstrategiassa</w:t>
      </w:r>
      <w:r w:rsidRPr="009D258A">
        <w:rPr>
          <w:rStyle w:val="FootnoteReference"/>
          <w:noProof/>
        </w:rPr>
        <w:footnoteReference w:id="4"/>
      </w:r>
      <w:r w:rsidRPr="009D258A">
        <w:rPr>
          <w:noProof/>
        </w:rPr>
        <w:t xml:space="preserve"> todetaan. Sovellettavien sääntöjen tulkintaa selkeytetään ja niiden soveltamista tuetaan muun muassa yleiskäyttöistä tekoälyä koskevilla käytännesäännöillä, komission ohjeilla ja mallipohjilla, tekoälysopimuksella ja tekoälysäädöksen palvelupisteen perustamisella. Verkkosivusto, jonka kautta tekoälysäädöksen palvelupiste toimii</w:t>
      </w:r>
      <w:r w:rsidRPr="009D258A">
        <w:rPr>
          <w:rStyle w:val="FootnoteReference"/>
          <w:noProof/>
        </w:rPr>
        <w:footnoteReference w:id="5"/>
      </w:r>
      <w:r w:rsidRPr="009D258A">
        <w:rPr>
          <w:noProof/>
        </w:rPr>
        <w:t>, muodostaa keskitetyn alustan kaikille resursseille, joita sidosryhmät voivat hyödyntää soveltaessaan tekoälysäädöstä. Tällaisia ovat esimerkiksi ohjeistukset, tiedot kansallista viranomaisista ja tukihankkeista, verkkoseminaarit ja asiaan liittyvät yhdenmukaistetut standardit. Näitä toimia jatketaan, ja lisää ohjeistusta ja digitaalisia apuvälineitä on tulossa.</w:t>
      </w:r>
    </w:p>
    <w:p w14:paraId="5205E6C2" w14:textId="77777777" w:rsidR="00A27256" w:rsidRPr="009D258A" w:rsidRDefault="00A27256" w:rsidP="00A27256">
      <w:pPr>
        <w:rPr>
          <w:noProof/>
        </w:rPr>
      </w:pPr>
      <w:r w:rsidRPr="009D258A">
        <w:rPr>
          <w:noProof/>
        </w:rPr>
        <w:t xml:space="preserve">Komissio järjesti jo sovellettavien säännösten täytäntöönpanosta saatujen kokemusten perusteella useita kuulemisia, muun muassa julkisen kuulemisen tekoälysäädöksen säännösten täytäntöönpanoon liittyvien mahdollisten haasteiden tunnistamiseksi, digitaalialan koontiasetuksen valmistelua koskevan kannanottopyynnön, tilannearvioprosessin, jossa sidosryhmät saattoivat kertoa suoraan täytäntöönpanosta saamistaan kokemuksista, ja pk-yrityspaneelin, jonka tehtävänä oli tunnistaa pk-yritysten erityistarpeet tekoälysäädöksen täytäntöönpanon suhteen. </w:t>
      </w:r>
    </w:p>
    <w:p w14:paraId="47728208" w14:textId="77777777" w:rsidR="00A27256" w:rsidRPr="009D258A" w:rsidRDefault="00A27256" w:rsidP="00A27256">
      <w:pPr>
        <w:rPr>
          <w:noProof/>
        </w:rPr>
      </w:pPr>
      <w:r w:rsidRPr="009D258A">
        <w:rPr>
          <w:noProof/>
        </w:rPr>
        <w:t xml:space="preserve">Nämä kuulemiset nostivat esiin </w:t>
      </w:r>
      <w:r w:rsidRPr="009D258A">
        <w:rPr>
          <w:b/>
          <w:noProof/>
        </w:rPr>
        <w:t>täytäntöönpanon haasteita</w:t>
      </w:r>
      <w:r w:rsidRPr="009D258A">
        <w:rPr>
          <w:noProof/>
        </w:rPr>
        <w:t>, jotka voisivat vaarantaa tekoälysäädöksen keskeisten säännösten tosiasiallisen soveltamisen. Haasteisiin kuuluivat muun muassa viivästykset kansallisten toimivaltaisten viranomaisten ja vaatimustenmukaisuuden arviointilaitosten nimeämisessä sekä suuririskisille järjestelmille asetettuja tekoälysäädöksen vaatimuksia koskevien yhteisten standardien, ohjeistojen ja vaatimustenmukaisuuden arviointimenetelmien puuttuminen. Tällaiset viivästykset uhkaavat lisätä merkittävästi yrityksille ja viranomaisille vaatimusten täyttämisestä aiheutuvia kustannuksia ja hidastaa innovointia.</w:t>
      </w:r>
    </w:p>
    <w:p w14:paraId="0EF359C8" w14:textId="77777777" w:rsidR="00A27256" w:rsidRPr="009D258A" w:rsidRDefault="00A27256" w:rsidP="00A27256">
      <w:pPr>
        <w:rPr>
          <w:noProof/>
        </w:rPr>
      </w:pPr>
      <w:r w:rsidRPr="009D258A">
        <w:rPr>
          <w:noProof/>
        </w:rPr>
        <w:t xml:space="preserve">Näiden haasteiden ratkaisemiseksi komissio </w:t>
      </w:r>
      <w:r w:rsidRPr="009D258A">
        <w:rPr>
          <w:b/>
          <w:noProof/>
        </w:rPr>
        <w:t>ehdottaa kohdennettuja yksinkertaistamistoimenpiteitä</w:t>
      </w:r>
      <w:r w:rsidRPr="009D258A">
        <w:rPr>
          <w:noProof/>
        </w:rPr>
        <w:t>, joilla varmistetaan tekoälysäädöksen tiettyjen säännösten oikea-aikainen, sujuva ja oikein suhteutettu täytäntöönpano. Toimenpiteillä muun muassa</w:t>
      </w:r>
    </w:p>
    <w:p w14:paraId="28C7FE36" w14:textId="77777777" w:rsidR="00001AD4" w:rsidRPr="009D258A" w:rsidRDefault="001E5B87" w:rsidP="00BC675E">
      <w:pPr>
        <w:pStyle w:val="Bullet0"/>
        <w:numPr>
          <w:ilvl w:val="0"/>
          <w:numId w:val="19"/>
        </w:numPr>
        <w:rPr>
          <w:noProof/>
        </w:rPr>
      </w:pPr>
      <w:r w:rsidRPr="009D258A">
        <w:rPr>
          <w:b/>
          <w:noProof/>
        </w:rPr>
        <w:t>linkitetään suuririskisiä järjestelmiä koskevien sääntöjen</w:t>
      </w:r>
      <w:r w:rsidRPr="009D258A">
        <w:rPr>
          <w:noProof/>
        </w:rPr>
        <w:t xml:space="preserve"> täytäntöönpanoaikataulu standardien tai muiden tukivälineiden saatavuuteen; </w:t>
      </w:r>
    </w:p>
    <w:p w14:paraId="395768D6" w14:textId="77777777" w:rsidR="005D6290" w:rsidRPr="009D258A" w:rsidRDefault="003735D2" w:rsidP="00120F49">
      <w:pPr>
        <w:pStyle w:val="Bullet0"/>
        <w:rPr>
          <w:noProof/>
        </w:rPr>
      </w:pPr>
      <w:r w:rsidRPr="009D258A">
        <w:rPr>
          <w:b/>
          <w:noProof/>
        </w:rPr>
        <w:t>ulotetaan pk-yrityksille myönnetyt sääntelyn yksinkertaistukset koskemaan pieniä midcap-yrityksiä</w:t>
      </w:r>
      <w:r w:rsidRPr="009D258A">
        <w:rPr>
          <w:noProof/>
        </w:rPr>
        <w:t>; tämä koskee muun muassa yksinkertaistettuja teknistä dokumentaatiota koskevia vaatimuksia ja tiettyä erityiskohtelua seuraamuksia määrättäessä;</w:t>
      </w:r>
    </w:p>
    <w:p w14:paraId="695D995B" w14:textId="77777777" w:rsidR="005D6290" w:rsidRPr="009D258A" w:rsidRDefault="003735D2" w:rsidP="00120F49">
      <w:pPr>
        <w:pStyle w:val="Bullet0"/>
        <w:rPr>
          <w:noProof/>
        </w:rPr>
      </w:pPr>
      <w:r w:rsidRPr="009D258A">
        <w:rPr>
          <w:noProof/>
        </w:rPr>
        <w:t xml:space="preserve">velvoitetaan </w:t>
      </w:r>
      <w:r w:rsidRPr="009D258A">
        <w:rPr>
          <w:b/>
          <w:noProof/>
        </w:rPr>
        <w:t>komissio ja jäsenvaltiot edistämään tekoälylukutaitoa</w:t>
      </w:r>
      <w:r w:rsidRPr="009D258A">
        <w:rPr>
          <w:noProof/>
        </w:rPr>
        <w:t xml:space="preserve"> sen sijaan, että ne valvoisivat tässä suhteessa tarkentamattoman, tekotekoälyjärjestelmien tarjoajille ja käyttöönottajille asetetun velvoitteen noudattamista, samalla kun suuririskisten järjestelmien käyttöönottajia koskevat koulutusvelvoitteet säilytetään;</w:t>
      </w:r>
    </w:p>
    <w:p w14:paraId="46D11A11" w14:textId="77777777" w:rsidR="005D6290" w:rsidRPr="009D258A" w:rsidRDefault="003735D2" w:rsidP="00120F49">
      <w:pPr>
        <w:pStyle w:val="Bullet0"/>
        <w:rPr>
          <w:noProof/>
        </w:rPr>
      </w:pPr>
      <w:r w:rsidRPr="009D258A">
        <w:rPr>
          <w:b/>
          <w:noProof/>
        </w:rPr>
        <w:t>joustavoitetaan markkinoille saattamisen jälkeistä seurantaa</w:t>
      </w:r>
      <w:r w:rsidRPr="009D258A">
        <w:rPr>
          <w:noProof/>
        </w:rPr>
        <w:t xml:space="preserve"> poistamalla vaatimus tällaista seurantaa koskevasta yhdenmukaistetusta suunnitelmasta;</w:t>
      </w:r>
    </w:p>
    <w:p w14:paraId="5EE1C821" w14:textId="77777777" w:rsidR="00A27256" w:rsidRPr="009D258A" w:rsidRDefault="003735D2" w:rsidP="00120F49">
      <w:pPr>
        <w:pStyle w:val="Bullet0"/>
        <w:rPr>
          <w:noProof/>
        </w:rPr>
      </w:pPr>
      <w:r w:rsidRPr="009D258A">
        <w:rPr>
          <w:b/>
          <w:noProof/>
        </w:rPr>
        <w:t>vähennetään</w:t>
      </w:r>
      <w:r w:rsidRPr="009D258A">
        <w:rPr>
          <w:noProof/>
        </w:rPr>
        <w:t xml:space="preserve"> sellaisten tekoälyjärjestelmien tarjoajien </w:t>
      </w:r>
      <w:r w:rsidRPr="009D258A">
        <w:rPr>
          <w:b/>
          <w:noProof/>
        </w:rPr>
        <w:t>rekisteröintitaakkaa</w:t>
      </w:r>
      <w:r w:rsidRPr="009D258A">
        <w:rPr>
          <w:noProof/>
        </w:rPr>
        <w:t>, joita käytetään suuririskisillä aloilla mutta joiden osalta tarjoaja on todennut, että ne eivät ole suuririskisiä, koska niitä käytetään ainoastaan suppeisiin tai menettelyllisiin tehtäviin;</w:t>
      </w:r>
    </w:p>
    <w:p w14:paraId="16C77E8B" w14:textId="77777777" w:rsidR="00445BC8" w:rsidRPr="009D258A" w:rsidRDefault="00445BC8" w:rsidP="00445BC8">
      <w:pPr>
        <w:pStyle w:val="Bullet0"/>
        <w:rPr>
          <w:noProof/>
        </w:rPr>
      </w:pPr>
      <w:r w:rsidRPr="009D258A">
        <w:rPr>
          <w:b/>
          <w:noProof/>
        </w:rPr>
        <w:t>keskitetään</w:t>
      </w:r>
      <w:r w:rsidRPr="009D258A">
        <w:rPr>
          <w:noProof/>
        </w:rPr>
        <w:t xml:space="preserve"> useiden yleiskäyttöisiin tekoälymalleihin perustuvien tai erittäin suuriin verkkoalustoihin tai erittäin suuriin hakukoneisiin sulautettujen tekoälyjärjestelmien </w:t>
      </w:r>
      <w:r w:rsidRPr="009D258A">
        <w:rPr>
          <w:b/>
          <w:noProof/>
        </w:rPr>
        <w:t>valvontaa</w:t>
      </w:r>
      <w:r w:rsidRPr="009D258A">
        <w:rPr>
          <w:noProof/>
        </w:rPr>
        <w:t xml:space="preserve"> tekoälytoimistoon;</w:t>
      </w:r>
    </w:p>
    <w:p w14:paraId="7E4E6B31" w14:textId="77777777" w:rsidR="007827FE" w:rsidRPr="009D258A" w:rsidRDefault="003735D2" w:rsidP="00120F49">
      <w:pPr>
        <w:pStyle w:val="Bullet0"/>
        <w:rPr>
          <w:noProof/>
        </w:rPr>
      </w:pPr>
      <w:r w:rsidRPr="009D258A">
        <w:rPr>
          <w:b/>
          <w:noProof/>
        </w:rPr>
        <w:t>helpotetaan</w:t>
      </w:r>
      <w:r w:rsidRPr="009D258A">
        <w:rPr>
          <w:noProof/>
        </w:rPr>
        <w:t xml:space="preserve"> asianmukaisin varotoimin </w:t>
      </w:r>
      <w:r w:rsidRPr="009D258A">
        <w:rPr>
          <w:b/>
          <w:noProof/>
        </w:rPr>
        <w:t>tietosuojalainsäädännön noudattamista</w:t>
      </w:r>
      <w:r w:rsidRPr="009D258A">
        <w:rPr>
          <w:noProof/>
        </w:rPr>
        <w:t xml:space="preserve"> antamalla kaikkien tekoälyjärjestelmien ja -mallien tarjoajille ja käyttöönottajille mahdollisuus käsitellä erityisiä henkilötietoryhmiä vinoutumien havaitsemiseksi ja korjaamiseksi;</w:t>
      </w:r>
    </w:p>
    <w:p w14:paraId="217328B2" w14:textId="77777777" w:rsidR="00A27256" w:rsidRPr="009D258A" w:rsidRDefault="003735D2" w:rsidP="00120F49">
      <w:pPr>
        <w:pStyle w:val="Bullet0"/>
        <w:rPr>
          <w:noProof/>
        </w:rPr>
      </w:pPr>
      <w:r w:rsidRPr="009D258A">
        <w:rPr>
          <w:b/>
          <w:noProof/>
        </w:rPr>
        <w:t>laajennetaan tekoälyn sääntelyn testiympäristöjen ja todellisissa olosuhteissa tapahtuvan testauksen käyttöä</w:t>
      </w:r>
      <w:r w:rsidRPr="009D258A">
        <w:rPr>
          <w:noProof/>
        </w:rPr>
        <w:t>, mikä hyödyttää Euroopan keskeisiä teollisuudenaloja, kuten autoteollisuutta, ja edistetään tekoälyn sääntelyn EU-tason testiympäristöä, jonka tekoälytoimisto perustaa toimimaan vuodesta 2028 alkaen;</w:t>
      </w:r>
    </w:p>
    <w:p w14:paraId="59ECEBBC" w14:textId="5293B4D1" w:rsidR="00CF3204" w:rsidRPr="009D258A" w:rsidRDefault="00317AA8" w:rsidP="00120F49">
      <w:pPr>
        <w:pStyle w:val="Bullet0"/>
        <w:rPr>
          <w:noProof/>
        </w:rPr>
      </w:pPr>
      <w:r w:rsidRPr="009D258A">
        <w:rPr>
          <w:b/>
          <w:noProof/>
        </w:rPr>
        <w:t>selkeytetään</w:t>
      </w:r>
      <w:r w:rsidRPr="009D258A">
        <w:rPr>
          <w:noProof/>
        </w:rPr>
        <w:t xml:space="preserve"> kohdennetuilla muutoksilla </w:t>
      </w:r>
      <w:r w:rsidRPr="009D258A">
        <w:rPr>
          <w:b/>
          <w:noProof/>
        </w:rPr>
        <w:t>tekoälysäädöksen ja muun EU-lainsäädännön välistä vuorovaikutusta</w:t>
      </w:r>
      <w:r w:rsidRPr="009D258A">
        <w:rPr>
          <w:noProof/>
        </w:rPr>
        <w:t xml:space="preserve"> ja mukautetaan tekoälysäädöksen mukaisia menettelyjä sen yleisen täytäntöönpanon ja toimivuuden parantamiseksi.</w:t>
      </w:r>
    </w:p>
    <w:p w14:paraId="711C788A" w14:textId="77777777" w:rsidR="00A27256" w:rsidRPr="009D258A" w:rsidRDefault="00A27256" w:rsidP="00913650">
      <w:pPr>
        <w:spacing w:before="0" w:after="160"/>
        <w:rPr>
          <w:noProof/>
        </w:rPr>
      </w:pPr>
      <w:r w:rsidRPr="009D258A">
        <w:rPr>
          <w:noProof/>
        </w:rPr>
        <w:t xml:space="preserve">Lainsäädäntötoimenpiteiden lisäksi komissio toteuttaa </w:t>
      </w:r>
      <w:r w:rsidRPr="009D258A">
        <w:rPr>
          <w:b/>
          <w:noProof/>
        </w:rPr>
        <w:t>lisätoimenpiteitä, joilla helpotetaan tekoälysäädöksen noudattamista ja korjataan</w:t>
      </w:r>
      <w:r w:rsidRPr="009D258A">
        <w:rPr>
          <w:noProof/>
        </w:rPr>
        <w:t xml:space="preserve"> sidosryhmien esiin tuomia </w:t>
      </w:r>
      <w:r w:rsidRPr="009D258A">
        <w:rPr>
          <w:b/>
          <w:noProof/>
        </w:rPr>
        <w:t>ongelmakohtia</w:t>
      </w:r>
      <w:r w:rsidRPr="009D258A">
        <w:rPr>
          <w:noProof/>
        </w:rPr>
        <w:t>. Valmisteilla on lisäohjeistusta, jossa keskitytään antamaan selkeitä ja käytännöllisiä ohjeita tekoälysäädöksen soveltamisesta rinnakkain muun EU:n lainsäädännön kanssa. Valmisteilla ovat muun muassa seuraavat ohjeet:</w:t>
      </w:r>
    </w:p>
    <w:p w14:paraId="6C493FE4" w14:textId="270EEE90" w:rsidR="00FE3A6A" w:rsidRPr="009D258A" w:rsidRDefault="00286AAA" w:rsidP="008368CC">
      <w:pPr>
        <w:pStyle w:val="Bullet0"/>
        <w:rPr>
          <w:noProof/>
        </w:rPr>
      </w:pPr>
      <w:r w:rsidRPr="009D258A">
        <w:rPr>
          <w:noProof/>
        </w:rPr>
        <w:t>ohjeet suuririskiseksi luokittelemisen käytännön näkökohdista,</w:t>
      </w:r>
    </w:p>
    <w:p w14:paraId="5124EE1C" w14:textId="001941AA" w:rsidR="00965E9E" w:rsidRPr="009D258A" w:rsidRDefault="00965E9E" w:rsidP="008368CC">
      <w:pPr>
        <w:pStyle w:val="Bullet0"/>
        <w:rPr>
          <w:noProof/>
        </w:rPr>
      </w:pPr>
      <w:r w:rsidRPr="009D258A">
        <w:rPr>
          <w:noProof/>
        </w:rPr>
        <w:t>ohjeet tekoälysäädöksen 50 artiklan mukaisten avoimuusvelvoitteiden käytännön soveltamisesta,</w:t>
      </w:r>
    </w:p>
    <w:p w14:paraId="10CF91C0" w14:textId="3F35FB8C" w:rsidR="000C1045" w:rsidRPr="009D258A" w:rsidRDefault="000C1045" w:rsidP="008368CC">
      <w:pPr>
        <w:pStyle w:val="Bullet0"/>
        <w:rPr>
          <w:noProof/>
        </w:rPr>
      </w:pPr>
      <w:r w:rsidRPr="009D258A">
        <w:rPr>
          <w:noProof/>
        </w:rPr>
        <w:t>ohjeet siitä, miten suuririskisten tekoälyjärjestelmien tarjoajien on raportoitava vakavista vaaratilanteista,</w:t>
      </w:r>
    </w:p>
    <w:p w14:paraId="0617239B" w14:textId="02E2D791" w:rsidR="00286AAA" w:rsidRPr="009D258A" w:rsidRDefault="00711111" w:rsidP="008368CC">
      <w:pPr>
        <w:pStyle w:val="Bullet0"/>
        <w:rPr>
          <w:noProof/>
        </w:rPr>
      </w:pPr>
      <w:r w:rsidRPr="009D258A">
        <w:rPr>
          <w:noProof/>
        </w:rPr>
        <w:t>ohjeet suuririskisille järjestelmille asetettujen vaatimusten käytännön soveltamisesta,</w:t>
      </w:r>
    </w:p>
    <w:p w14:paraId="40BDB545" w14:textId="4C77D643" w:rsidR="00711111" w:rsidRPr="009D258A" w:rsidRDefault="00711111" w:rsidP="008368CC">
      <w:pPr>
        <w:pStyle w:val="Bullet0"/>
        <w:rPr>
          <w:noProof/>
        </w:rPr>
      </w:pPr>
      <w:r w:rsidRPr="009D258A">
        <w:rPr>
          <w:noProof/>
        </w:rPr>
        <w:t>ohjeet suuririskisten tekoälyjärjestelmien tarjoajia ja käyttöönottajia koskevien velvoitteiden käytännön soveltamisesta,</w:t>
      </w:r>
    </w:p>
    <w:p w14:paraId="48DFE83D" w14:textId="32013743" w:rsidR="00BD2613" w:rsidRPr="009D258A" w:rsidRDefault="00BD2613" w:rsidP="008368CC">
      <w:pPr>
        <w:pStyle w:val="Bullet0"/>
        <w:rPr>
          <w:noProof/>
        </w:rPr>
      </w:pPr>
      <w:r w:rsidRPr="009D258A">
        <w:rPr>
          <w:noProof/>
        </w:rPr>
        <w:t>ohjeet, jotka sisältävät mallipohjan perusoikeuksiin kohdistuvien vaikutusten arvioinnille,</w:t>
      </w:r>
    </w:p>
    <w:p w14:paraId="50DD53A3" w14:textId="4A910A13" w:rsidR="000227D4" w:rsidRPr="009D258A" w:rsidRDefault="000227D4" w:rsidP="008368CC">
      <w:pPr>
        <w:pStyle w:val="Bullet0"/>
        <w:rPr>
          <w:noProof/>
        </w:rPr>
      </w:pPr>
      <w:r w:rsidRPr="009D258A">
        <w:rPr>
          <w:noProof/>
        </w:rPr>
        <w:t>ohjeet vastuiden jakautumista tekoälyn arvoketjussa koskevien sääntöjen käytännön soveltamisesta,</w:t>
      </w:r>
    </w:p>
    <w:p w14:paraId="55DE6822" w14:textId="16576CDB" w:rsidR="000227D4" w:rsidRPr="009D258A" w:rsidRDefault="00230D6D" w:rsidP="008368CC">
      <w:pPr>
        <w:pStyle w:val="Bullet0"/>
        <w:rPr>
          <w:noProof/>
        </w:rPr>
      </w:pPr>
      <w:r w:rsidRPr="009D258A">
        <w:rPr>
          <w:noProof/>
        </w:rPr>
        <w:t>ohjeet merkittävää muutosta koskevien säännösten käytännön soveltamisesta,</w:t>
      </w:r>
    </w:p>
    <w:p w14:paraId="504DCAF9" w14:textId="6F2BE04D" w:rsidR="00827F1A" w:rsidRPr="009D258A" w:rsidRDefault="00827F1A" w:rsidP="008368CC">
      <w:pPr>
        <w:pStyle w:val="Bullet0"/>
        <w:rPr>
          <w:noProof/>
        </w:rPr>
      </w:pPr>
      <w:r w:rsidRPr="009D258A">
        <w:rPr>
          <w:noProof/>
        </w:rPr>
        <w:t>ohjeet suuririskisten tekoälyjärjestelmien markkinoille saattamisen jälkeisestä seurannasta,</w:t>
      </w:r>
    </w:p>
    <w:p w14:paraId="53709E81" w14:textId="44AE84C8" w:rsidR="00230D6D" w:rsidRPr="009D258A" w:rsidRDefault="005A1907" w:rsidP="008368CC">
      <w:pPr>
        <w:pStyle w:val="Bullet0"/>
        <w:rPr>
          <w:noProof/>
        </w:rPr>
      </w:pPr>
      <w:r w:rsidRPr="009D258A">
        <w:rPr>
          <w:noProof/>
        </w:rPr>
        <w:t>ohjeet laadunhallintajärjestelmän osatekijöistä, joita pk-yritykset ja pienet midcap-yritykset voivat soveltaa yksinkertaistetusti,</w:t>
      </w:r>
    </w:p>
    <w:p w14:paraId="227D91DB" w14:textId="5237498F" w:rsidR="00CA4B23" w:rsidRPr="009D258A" w:rsidRDefault="00965E9E" w:rsidP="008368CC">
      <w:pPr>
        <w:pStyle w:val="Bullet0"/>
        <w:rPr>
          <w:noProof/>
        </w:rPr>
      </w:pPr>
      <w:r w:rsidRPr="009D258A">
        <w:rPr>
          <w:noProof/>
        </w:rPr>
        <w:t>ohjeet tekoälysäädöksen vuorovaikutuksesta muun unionin lainsäädännön kanssa, mukaan lukien esimerkiksi komission ja Euroopan tietosuojaneuvoston yhteiset ohjeet tekoälysäädöksen ja EU:n tietosuojalainsäädännön vuorovaikutuksesta, ohjeet tekoälysäädöksen ja kyberkestävyyssäädöksen vuorovaikutuksesta sekä ohjeet tekoälysäädöksen ja koneasetuksen vuorovaikutuksesta, sekä</w:t>
      </w:r>
    </w:p>
    <w:p w14:paraId="465153FA" w14:textId="174166B9" w:rsidR="00B82524" w:rsidRPr="009D258A" w:rsidRDefault="00B82524" w:rsidP="008368CC">
      <w:pPr>
        <w:pStyle w:val="Bullet0"/>
        <w:rPr>
          <w:noProof/>
        </w:rPr>
      </w:pPr>
      <w:r w:rsidRPr="009D258A">
        <w:rPr>
          <w:noProof/>
        </w:rPr>
        <w:t>ohjeet tekoälysäädöksen nojalla nimettävien vaatimustenmukaisuuden arviointilaitosten toimivaltuuksista ja nimeämismenettelystä.</w:t>
      </w:r>
    </w:p>
    <w:p w14:paraId="390F7A5C" w14:textId="35E45091" w:rsidR="00DD2208" w:rsidRPr="009D258A" w:rsidRDefault="00CA4B23" w:rsidP="00CA4B23">
      <w:pPr>
        <w:spacing w:before="0" w:after="160"/>
        <w:rPr>
          <w:noProof/>
        </w:rPr>
      </w:pPr>
      <w:r w:rsidRPr="009D258A">
        <w:rPr>
          <w:noProof/>
        </w:rPr>
        <w:t xml:space="preserve">Sidosryhmien kuulemiset osoittivat erityisesti, että on tarpeen antaa </w:t>
      </w:r>
      <w:r w:rsidRPr="009D258A">
        <w:rPr>
          <w:b/>
          <w:noProof/>
        </w:rPr>
        <w:t>ohjeistusta</w:t>
      </w:r>
      <w:r w:rsidRPr="009D258A">
        <w:rPr>
          <w:noProof/>
        </w:rPr>
        <w:t xml:space="preserve"> tekoälysäädöksen 2 artiklan 6 ja 8 kohdan mukaisten </w:t>
      </w:r>
      <w:r w:rsidRPr="009D258A">
        <w:rPr>
          <w:b/>
          <w:noProof/>
        </w:rPr>
        <w:t>tutkimusta koskevien poikkeusten käytännön soveltamisesta</w:t>
      </w:r>
      <w:r w:rsidRPr="009D258A">
        <w:rPr>
          <w:noProof/>
        </w:rPr>
        <w:t>, myös siitä, miten poikkeukset pätevät alakohtaisissa yhteyksissä, kuten lääkkeiden tai lääkinnällisten laitteiden prekliinisessä tutkimuksessa ja tuotekehittelyssä. Komissio laatii tätä ohjeistusta prioriteettinaan.</w:t>
      </w:r>
    </w:p>
    <w:p w14:paraId="21D5DB6A" w14:textId="77777777" w:rsidR="00A27256" w:rsidRPr="009D258A" w:rsidRDefault="00A27256" w:rsidP="00A27256">
      <w:pPr>
        <w:rPr>
          <w:noProof/>
        </w:rPr>
      </w:pPr>
      <w:r w:rsidRPr="009D258A">
        <w:rPr>
          <w:noProof/>
        </w:rPr>
        <w:t xml:space="preserve">Nämä yksinkertaistamispyrkimykset auttavat varmistamaan, että tekoälysäädöksen täytäntöönpano on sujuvaa, ennakoitavaa ja innovointiystävällistä, jotta Eurooppa voi vahvistaa asemaansa tekoälyn maanosana ja noudattaa tekoäly ensin -lähestymistapaa turvallisesti. </w:t>
      </w:r>
    </w:p>
    <w:p w14:paraId="244F29A2" w14:textId="77777777" w:rsidR="009C3EE2" w:rsidRPr="009D258A" w:rsidRDefault="009C3EE2" w:rsidP="0002735A">
      <w:pPr>
        <w:pStyle w:val="ManualHeading2"/>
        <w:rPr>
          <w:rFonts w:eastAsia="Arial Unicode MS"/>
          <w:noProof/>
          <w:color w:val="000000"/>
          <w:u w:color="000000"/>
          <w:bdr w:val="nil"/>
        </w:rPr>
      </w:pPr>
      <w:r w:rsidRPr="009D258A">
        <w:rPr>
          <w:noProof/>
          <w:color w:val="000000"/>
          <w:u w:color="000000"/>
          <w:bdr w:val="nil"/>
        </w:rPr>
        <w:t>•</w:t>
      </w:r>
      <w:r w:rsidRPr="009D258A">
        <w:rPr>
          <w:noProof/>
        </w:rPr>
        <w:tab/>
        <w:t>Yhdenmukaisuus muiden alaa koskevien politiikkojen säännösten kanssa</w:t>
      </w:r>
    </w:p>
    <w:p w14:paraId="0BFCE134" w14:textId="77777777" w:rsidR="009C3EE2" w:rsidRPr="009D258A" w:rsidRDefault="007235DC" w:rsidP="0002735A">
      <w:pPr>
        <w:pBdr>
          <w:top w:val="nil"/>
          <w:left w:val="nil"/>
          <w:bottom w:val="nil"/>
          <w:right w:val="nil"/>
          <w:between w:val="nil"/>
          <w:bar w:val="nil"/>
        </w:pBdr>
        <w:spacing w:before="0" w:after="240"/>
        <w:rPr>
          <w:rFonts w:eastAsia="Arial Unicode MS"/>
          <w:noProof/>
        </w:rPr>
      </w:pPr>
      <w:r w:rsidRPr="009D258A">
        <w:rPr>
          <w:noProof/>
        </w:rPr>
        <w:t>Ehdotus on osa laajempaa digitaalialan yksinkertaistamispakettia. Paketin toimenpiteillä vähennetään yrityksille ja viranomaisille vaatimusten täyttämisestä aiheutuvia hallinnollisia kustannuksia EU:ssa. Paketti koskee useita EU:n digitaalialan säännöstön säädöksiä vaarantamatta perustana olevien sääntöjen tavoitteita. Ehdotus perustuu asetukseen (EU) 2024/1689, ja se on linjassa nykyisten politiikkojen kanssa, joiden mukaisesti tavoitteena on viedä EU globaaliin johtoasemaan tekoälyn alalla, tehdä EU:sta tekoälyn maanosa ja edistää ihmiskeskeisen ja luotettavan tekoälyn käyttöönottoa.</w:t>
      </w:r>
    </w:p>
    <w:p w14:paraId="7F5847F3" w14:textId="77777777" w:rsidR="009C3EE2" w:rsidRPr="009D258A" w:rsidRDefault="009C3EE2" w:rsidP="0002735A">
      <w:pPr>
        <w:pStyle w:val="ManualHeading2"/>
        <w:rPr>
          <w:rFonts w:eastAsia="Arial Unicode MS"/>
          <w:noProof/>
        </w:rPr>
      </w:pPr>
      <w:r w:rsidRPr="009D258A">
        <w:rPr>
          <w:noProof/>
          <w:color w:val="000000"/>
          <w:u w:color="000000"/>
          <w:bdr w:val="nil"/>
        </w:rPr>
        <w:t>•</w:t>
      </w:r>
      <w:r w:rsidRPr="009D258A">
        <w:rPr>
          <w:noProof/>
        </w:rPr>
        <w:tab/>
        <w:t>Yhdenmukaisuus unionin muiden politiikkojen kanssa</w:t>
      </w:r>
    </w:p>
    <w:p w14:paraId="78CD4117" w14:textId="77777777" w:rsidR="009C3EE2" w:rsidRPr="009D258A" w:rsidRDefault="007E524B" w:rsidP="0002735A">
      <w:pPr>
        <w:pBdr>
          <w:top w:val="nil"/>
          <w:left w:val="nil"/>
          <w:bottom w:val="nil"/>
          <w:right w:val="nil"/>
          <w:between w:val="nil"/>
          <w:bar w:val="nil"/>
        </w:pBdr>
        <w:spacing w:before="0" w:after="240"/>
        <w:rPr>
          <w:rFonts w:eastAsia="Arial Unicode MS"/>
          <w:noProof/>
        </w:rPr>
      </w:pPr>
      <w:r w:rsidRPr="009D258A">
        <w:rPr>
          <w:noProof/>
        </w:rPr>
        <w:t>Ehdotus on osa yksinkertaistamispakettien sarjaa.</w:t>
      </w:r>
    </w:p>
    <w:p w14:paraId="75470D75" w14:textId="77777777" w:rsidR="009C3EE2" w:rsidRPr="009D258A" w:rsidRDefault="009C3EE2" w:rsidP="0002735A">
      <w:pPr>
        <w:pStyle w:val="ManualHeading1"/>
        <w:rPr>
          <w:noProof/>
        </w:rPr>
      </w:pPr>
      <w:r w:rsidRPr="009D258A">
        <w:rPr>
          <w:noProof/>
        </w:rPr>
        <w:t>2.</w:t>
      </w:r>
      <w:r w:rsidRPr="009D258A">
        <w:rPr>
          <w:noProof/>
        </w:rPr>
        <w:tab/>
        <w:t>OIKEUSPERUSTA, TOISSIJAISUUSPERIAATE JA SUHTEELLISUUSPERIAATE</w:t>
      </w:r>
    </w:p>
    <w:p w14:paraId="41DC3651" w14:textId="77777777" w:rsidR="009C3EE2" w:rsidRPr="009D258A" w:rsidRDefault="009C3EE2" w:rsidP="0002735A">
      <w:pPr>
        <w:pStyle w:val="ManualHeading2"/>
        <w:rPr>
          <w:rFonts w:eastAsia="Arial Unicode MS"/>
          <w:noProof/>
          <w:u w:color="000000"/>
          <w:bdr w:val="nil"/>
        </w:rPr>
      </w:pPr>
      <w:r w:rsidRPr="009D258A">
        <w:rPr>
          <w:noProof/>
          <w:u w:color="000000"/>
          <w:bdr w:val="nil"/>
        </w:rPr>
        <w:t>•</w:t>
      </w:r>
      <w:r w:rsidRPr="009D258A">
        <w:rPr>
          <w:noProof/>
        </w:rPr>
        <w:tab/>
      </w:r>
      <w:r w:rsidRPr="009D258A">
        <w:rPr>
          <w:noProof/>
          <w:u w:color="000000"/>
          <w:bdr w:val="nil"/>
        </w:rPr>
        <w:t>Oikeusperusta</w:t>
      </w:r>
    </w:p>
    <w:p w14:paraId="381CA229" w14:textId="5B68FD2E" w:rsidR="009C3EE2" w:rsidRPr="009D258A" w:rsidRDefault="00756660" w:rsidP="0002735A">
      <w:pPr>
        <w:pBdr>
          <w:top w:val="nil"/>
          <w:left w:val="nil"/>
          <w:bottom w:val="nil"/>
          <w:right w:val="nil"/>
          <w:between w:val="nil"/>
          <w:bar w:val="nil"/>
        </w:pBdr>
        <w:spacing w:before="0" w:after="240"/>
        <w:rPr>
          <w:rFonts w:eastAsia="Arial Unicode MS"/>
          <w:noProof/>
        </w:rPr>
      </w:pPr>
      <w:r w:rsidRPr="009D258A">
        <w:rPr>
          <w:noProof/>
        </w:rPr>
        <w:t>Ehdotuksen oikeusperusta on Euroopan unionin toiminnasta tehdyn sopimuksen (SEUT-sopimuksen) 114 artikla niiden säädösten hyväksymistä koskevien alkuperäisten oikeusperustojen mukaisesti, joita tällä ehdotuksella on tarkoitus muuttaa.</w:t>
      </w:r>
    </w:p>
    <w:p w14:paraId="3D85C57A" w14:textId="77777777" w:rsidR="009C3EE2" w:rsidRPr="009D258A" w:rsidRDefault="009C3EE2" w:rsidP="0002735A">
      <w:pPr>
        <w:pStyle w:val="ManualHeading2"/>
        <w:rPr>
          <w:rFonts w:eastAsia="Arial Unicode MS"/>
          <w:noProof/>
          <w:u w:color="000000"/>
          <w:bdr w:val="nil"/>
        </w:rPr>
      </w:pPr>
      <w:r w:rsidRPr="009D258A">
        <w:rPr>
          <w:noProof/>
          <w:u w:color="000000"/>
          <w:bdr w:val="nil"/>
        </w:rPr>
        <w:t>•</w:t>
      </w:r>
      <w:r w:rsidRPr="009D258A">
        <w:rPr>
          <w:noProof/>
        </w:rPr>
        <w:tab/>
      </w:r>
      <w:r w:rsidRPr="009D258A">
        <w:rPr>
          <w:noProof/>
          <w:u w:color="000000"/>
          <w:bdr w:val="nil"/>
        </w:rPr>
        <w:t xml:space="preserve">Toissijaisuusperiaate (jaetun toimivallan osalta) </w:t>
      </w:r>
    </w:p>
    <w:p w14:paraId="4FF5B734" w14:textId="77777777" w:rsidR="00C25163" w:rsidRPr="009D258A" w:rsidRDefault="00380EDF" w:rsidP="00C25163">
      <w:pPr>
        <w:pBdr>
          <w:top w:val="nil"/>
          <w:left w:val="nil"/>
          <w:bottom w:val="nil"/>
          <w:right w:val="nil"/>
          <w:between w:val="nil"/>
          <w:bar w:val="nil"/>
        </w:pBdr>
        <w:spacing w:before="0" w:after="240"/>
        <w:rPr>
          <w:rFonts w:eastAsia="Arial Unicode MS"/>
          <w:noProof/>
        </w:rPr>
      </w:pPr>
      <w:r w:rsidRPr="009D258A">
        <w:rPr>
          <w:noProof/>
        </w:rPr>
        <w:t>Asetus (EU) 2024/1689 on hyväksytty EU:n tasolla. Näin ollen myös sen muutokset on tehtävä EU:n tasolla.</w:t>
      </w:r>
    </w:p>
    <w:p w14:paraId="20823696" w14:textId="77777777" w:rsidR="009C3EE2" w:rsidRPr="009D258A" w:rsidRDefault="009C3EE2" w:rsidP="0002735A">
      <w:pPr>
        <w:pStyle w:val="ManualHeading2"/>
        <w:rPr>
          <w:rFonts w:eastAsia="Arial Unicode MS"/>
          <w:noProof/>
          <w:u w:color="000000"/>
          <w:bdr w:val="nil"/>
        </w:rPr>
      </w:pPr>
      <w:r w:rsidRPr="009D258A">
        <w:rPr>
          <w:noProof/>
          <w:u w:color="000000"/>
          <w:bdr w:val="nil"/>
        </w:rPr>
        <w:t>•</w:t>
      </w:r>
      <w:r w:rsidRPr="009D258A">
        <w:rPr>
          <w:noProof/>
        </w:rPr>
        <w:tab/>
      </w:r>
      <w:r w:rsidRPr="009D258A">
        <w:rPr>
          <w:noProof/>
          <w:u w:color="000000"/>
          <w:bdr w:val="nil"/>
        </w:rPr>
        <w:t>Suhteellisuusperiaate</w:t>
      </w:r>
    </w:p>
    <w:p w14:paraId="3E74D329" w14:textId="77777777" w:rsidR="009C3EE2" w:rsidRPr="009D258A" w:rsidRDefault="00D37761" w:rsidP="0002735A">
      <w:pPr>
        <w:pBdr>
          <w:top w:val="nil"/>
          <w:left w:val="nil"/>
          <w:bottom w:val="nil"/>
          <w:right w:val="nil"/>
          <w:between w:val="nil"/>
          <w:bar w:val="nil"/>
        </w:pBdr>
        <w:spacing w:before="0" w:after="240"/>
        <w:rPr>
          <w:rFonts w:eastAsia="Arial Unicode MS"/>
          <w:noProof/>
        </w:rPr>
      </w:pPr>
      <w:r w:rsidRPr="009D258A">
        <w:rPr>
          <w:noProof/>
        </w:rPr>
        <w:t>Aloitteessa ei ylitetä sitä, mikä on tarpeen yksinkertaistamista ja rasitteiden keventämistä koskevien tavoitteiden saavuttamiseksi heikentämättä kuitenkaan terveyden, turvallisuuden ja perusoikeuksien suojelua.</w:t>
      </w:r>
    </w:p>
    <w:p w14:paraId="22D5AE5A" w14:textId="77777777" w:rsidR="009C3EE2" w:rsidRPr="009D258A" w:rsidRDefault="009C3EE2" w:rsidP="0002735A">
      <w:pPr>
        <w:pStyle w:val="ManualHeading2"/>
        <w:rPr>
          <w:rFonts w:eastAsia="Arial Unicode MS"/>
          <w:noProof/>
          <w:u w:color="000000"/>
          <w:bdr w:val="nil"/>
        </w:rPr>
      </w:pPr>
      <w:r w:rsidRPr="009D258A">
        <w:rPr>
          <w:noProof/>
          <w:u w:color="000000"/>
          <w:bdr w:val="nil"/>
        </w:rPr>
        <w:t>•</w:t>
      </w:r>
      <w:r w:rsidRPr="009D258A">
        <w:rPr>
          <w:noProof/>
        </w:rPr>
        <w:tab/>
      </w:r>
      <w:r w:rsidRPr="009D258A">
        <w:rPr>
          <w:noProof/>
          <w:u w:color="000000"/>
          <w:bdr w:val="nil"/>
        </w:rPr>
        <w:t>Toimintatavan valinta</w:t>
      </w:r>
    </w:p>
    <w:p w14:paraId="7A8E8018" w14:textId="77777777" w:rsidR="00227049" w:rsidRPr="009D258A" w:rsidRDefault="00756660" w:rsidP="00227049">
      <w:pPr>
        <w:pBdr>
          <w:top w:val="nil"/>
          <w:left w:val="nil"/>
          <w:bottom w:val="nil"/>
          <w:right w:val="nil"/>
          <w:between w:val="nil"/>
          <w:bar w:val="nil"/>
        </w:pBdr>
        <w:spacing w:before="0" w:after="240"/>
        <w:rPr>
          <w:noProof/>
        </w:rPr>
      </w:pPr>
      <w:r w:rsidRPr="009D258A">
        <w:rPr>
          <w:noProof/>
        </w:rPr>
        <w:t>Ehdotuksella muutetaan tavallisessa lainsäätämisjärjestyksessä hyväksyttyä asetusta (EU) 2024/1689. Sen vuoksi myös asetukseen tehtävät muutokset on hyväksyttävä asetuksella tavallista lainsäätämisjärjestystä noudattaen.</w:t>
      </w:r>
    </w:p>
    <w:p w14:paraId="47D50AE9" w14:textId="77777777" w:rsidR="009C3EE2" w:rsidRPr="009D258A" w:rsidRDefault="009C3EE2" w:rsidP="0002735A">
      <w:pPr>
        <w:pStyle w:val="ManualHeading1"/>
        <w:rPr>
          <w:noProof/>
        </w:rPr>
      </w:pPr>
      <w:r w:rsidRPr="009D258A">
        <w:rPr>
          <w:noProof/>
        </w:rPr>
        <w:t>3.</w:t>
      </w:r>
      <w:r w:rsidRPr="009D258A">
        <w:rPr>
          <w:noProof/>
        </w:rPr>
        <w:tab/>
        <w:t>JÄLKIARVIOINTIEN, SIDOSRYHMIEN KUULEMISTEN JA VAIKUTUSTENARVIOINTIEN TULOKSET</w:t>
      </w:r>
    </w:p>
    <w:p w14:paraId="53105F97" w14:textId="77777777" w:rsidR="009C3EE2" w:rsidRPr="009D258A" w:rsidRDefault="009C3EE2" w:rsidP="0002735A">
      <w:pPr>
        <w:pStyle w:val="ManualHeading2"/>
        <w:rPr>
          <w:rFonts w:eastAsia="Arial Unicode MS"/>
          <w:noProof/>
          <w:u w:color="000000"/>
          <w:bdr w:val="nil"/>
        </w:rPr>
      </w:pPr>
      <w:r w:rsidRPr="009D258A">
        <w:rPr>
          <w:noProof/>
          <w:u w:color="000000"/>
          <w:bdr w:val="nil"/>
        </w:rPr>
        <w:t>•</w:t>
      </w:r>
      <w:r w:rsidRPr="009D258A">
        <w:rPr>
          <w:noProof/>
        </w:rPr>
        <w:tab/>
      </w:r>
      <w:r w:rsidRPr="009D258A">
        <w:rPr>
          <w:noProof/>
          <w:u w:color="000000"/>
          <w:bdr w:val="nil"/>
        </w:rPr>
        <w:t>Jälkiarvioinnit/toimivuustarkastukset</w:t>
      </w:r>
    </w:p>
    <w:p w14:paraId="3630009E" w14:textId="77777777" w:rsidR="0082593C" w:rsidRPr="009D258A" w:rsidRDefault="0082593C" w:rsidP="0082593C">
      <w:pPr>
        <w:rPr>
          <w:rFonts w:eastAsia="Times New Roman"/>
          <w:noProof/>
        </w:rPr>
      </w:pPr>
      <w:r w:rsidRPr="009D258A">
        <w:rPr>
          <w:noProof/>
        </w:rPr>
        <w:t>Ehdotukseen liittyy komission yksiköiden valmisteluasiakirja, jossa esitetään yksityiskohtainen katsaus asetuksen (EU) 2024/1689 tiettyihin säännöksiin ehdotettujen muutosten vaikutuksista. Siinä esitetään myös analyysi ehdotettujen toimenpiteiden myönteisistä vaikutuksista. Analyysi perustuu olemassa olevaan dataan, kuulemisten ja tilannearvion yhteydessä kerättyyn tietoon sekä sidosryhmiltä kannanottopyynnön kautta saatuun kirjalliseen palautteeseen.</w:t>
      </w:r>
    </w:p>
    <w:p w14:paraId="6A94824A" w14:textId="77777777" w:rsidR="009C3EE2" w:rsidRPr="009D258A" w:rsidRDefault="009C3EE2" w:rsidP="0002735A">
      <w:pPr>
        <w:pStyle w:val="ManualHeading2"/>
        <w:rPr>
          <w:rFonts w:eastAsia="Arial Unicode MS"/>
          <w:noProof/>
          <w:u w:color="000000"/>
          <w:bdr w:val="nil"/>
        </w:rPr>
      </w:pPr>
      <w:r w:rsidRPr="009D258A">
        <w:rPr>
          <w:noProof/>
          <w:u w:color="000000"/>
          <w:bdr w:val="nil"/>
        </w:rPr>
        <w:t>•</w:t>
      </w:r>
      <w:r w:rsidRPr="009D258A">
        <w:rPr>
          <w:noProof/>
        </w:rPr>
        <w:tab/>
      </w:r>
      <w:r w:rsidRPr="009D258A">
        <w:rPr>
          <w:noProof/>
          <w:u w:color="000000"/>
          <w:bdr w:val="nil"/>
        </w:rPr>
        <w:t>Sidosryhmien kuuleminen</w:t>
      </w:r>
    </w:p>
    <w:p w14:paraId="5E57495E" w14:textId="77777777" w:rsidR="00476246" w:rsidRPr="009D258A" w:rsidRDefault="00133A71" w:rsidP="00476246">
      <w:pPr>
        <w:rPr>
          <w:rFonts w:eastAsia="Times New Roman"/>
          <w:noProof/>
        </w:rPr>
      </w:pPr>
      <w:r w:rsidRPr="009D258A">
        <w:rPr>
          <w:noProof/>
        </w:rPr>
        <w:t>Ehdotusta valmisteltaessa järjestettiin useita kuulemisia. Ne kaikki täydensivät toisiaan ja koskivat joko erilaisia ajankohtaisia kysymyksiä tai olivat suunnattuja eri sidosryhmille, joita aloite koskee.</w:t>
      </w:r>
    </w:p>
    <w:p w14:paraId="55A677FC" w14:textId="77777777" w:rsidR="00476246" w:rsidRPr="009D258A" w:rsidRDefault="00476246" w:rsidP="00476246">
      <w:pPr>
        <w:rPr>
          <w:rFonts w:eastAsia="Times New Roman"/>
          <w:noProof/>
        </w:rPr>
      </w:pPr>
      <w:r w:rsidRPr="009D258A">
        <w:rPr>
          <w:noProof/>
        </w:rPr>
        <w:t>Digisääntelyn yksinkertaistamispaketin määrittelyn alkuvaiheessa keväällä 2025 julkaistiin kolme julkista kuulemista ja kannanottopyyntöä ehdotuksen keskeisistä osa-alueista. Tekoälyn soveltamisstrategiasta järjestettiin kuuleminen 9.4.–4.6.2025</w:t>
      </w:r>
      <w:r w:rsidRPr="009D258A">
        <w:rPr>
          <w:rStyle w:val="FootnoteReference"/>
          <w:rFonts w:eastAsia="Times New Roman"/>
          <w:noProof/>
        </w:rPr>
        <w:footnoteReference w:id="6"/>
      </w:r>
      <w:r w:rsidRPr="009D258A">
        <w:rPr>
          <w:noProof/>
        </w:rPr>
        <w:t>, kyberturvallisuusasetuksen tarkistuksesta 11.4.–20.6.2025</w:t>
      </w:r>
      <w:r w:rsidRPr="009D258A">
        <w:rPr>
          <w:rStyle w:val="FootnoteReference"/>
          <w:rFonts w:eastAsia="Times New Roman"/>
          <w:noProof/>
        </w:rPr>
        <w:footnoteReference w:id="7"/>
      </w:r>
      <w:r w:rsidRPr="009D258A">
        <w:rPr>
          <w:noProof/>
        </w:rPr>
        <w:t xml:space="preserve"> ja eurooppalaisesta dataunionistrategiasta 23.5.– 20.7.2025</w:t>
      </w:r>
      <w:r w:rsidRPr="009D258A">
        <w:rPr>
          <w:rStyle w:val="FootnoteReference"/>
          <w:rFonts w:eastAsia="Times New Roman"/>
          <w:noProof/>
        </w:rPr>
        <w:footnoteReference w:id="8"/>
      </w:r>
      <w:r w:rsidRPr="009D258A">
        <w:rPr>
          <w:noProof/>
        </w:rPr>
        <w:t xml:space="preserve">. Kuhunkin kuulemiseen sisältyi kyselylomake, jossa oli täytäntöönpanoa ja yksinkertaistamista koskeva osio (yksi tai useampi) suoraan digisääntelyn yksinkertaistamispaketissa huomioon otettavista näkökohdista. Tämän ensimmäisen kuulemisvaiheen yhteydessä saatiin yhteensä 718 vastausta. </w:t>
      </w:r>
    </w:p>
    <w:p w14:paraId="6E55DA68" w14:textId="77777777" w:rsidR="00476246" w:rsidRPr="009D258A" w:rsidRDefault="007433A0" w:rsidP="00476246">
      <w:pPr>
        <w:rPr>
          <w:rFonts w:eastAsia="Times New Roman"/>
          <w:noProof/>
        </w:rPr>
      </w:pPr>
      <w:r w:rsidRPr="009D258A">
        <w:rPr>
          <w:noProof/>
        </w:rPr>
        <w:t>Lisäksi 16.9.–14.10.2025 oli avoinna vielä kannanottopyyntö digitaalialan yksinkertaistamispaketista</w:t>
      </w:r>
      <w:r w:rsidRPr="009D258A">
        <w:rPr>
          <w:rStyle w:val="FootnoteReference"/>
          <w:rFonts w:eastAsia="Times New Roman"/>
          <w:noProof/>
        </w:rPr>
        <w:footnoteReference w:id="9"/>
      </w:r>
      <w:r w:rsidRPr="009D258A">
        <w:rPr>
          <w:noProof/>
        </w:rPr>
        <w:t xml:space="preserve">. Sen tavoitteena oli kattaa aloite kokonaisuudessaan ja antaa sidosryhmille mahdollisuus kommentoida kohdennetumpia eri ehdotuksia yhdellä kertaa. Vastauksia saatiin yhteensä 513 hyvin monenlaisilta sidosryhmiltä. </w:t>
      </w:r>
    </w:p>
    <w:p w14:paraId="6EA8BC24" w14:textId="77777777" w:rsidR="00476246" w:rsidRPr="009D258A" w:rsidRDefault="00476246" w:rsidP="00476246">
      <w:pPr>
        <w:rPr>
          <w:rFonts w:eastAsia="Times New Roman"/>
          <w:noProof/>
        </w:rPr>
      </w:pPr>
      <w:r w:rsidRPr="009D258A">
        <w:rPr>
          <w:noProof/>
        </w:rPr>
        <w:t>Enterprise Europe Network -verkoston (EEN) kautta järjestettiin 4.9.–16.10.2025 erityinen pk-yrityspaneeli, jossa digisääntelyn yksinkertaistamispaketista tiedotettiin pk-yrityksille ja kerättiin niiltä palautetta. EEN on maailman laajin pk-yritysten tukiverkosto, jonka ylläpitämisestä vastaa komission alainen Euroopan innovaationeuvoston ja pk-yritysasioiden toimeenpanovirasto (EISMEA). Pk-yrityspaneelit ovat keino kuulla verkostossa edustettuina olevia sidosryhmiä. Pk-yrityksillä on sen kautta mahdollisuus esittää näkemyksensä tulevista politiikka-aloitteista. Kirjallisen verkkokuulemisen (johon saatiin 106 pk-yritysten vastausta) lisäksi komissio esitteli digisääntelyn yksinkertaistamispakettia EEN-verkostoon kuuluville pk-yritysten järjestöille 1.10.2025 pidetyssä kokouksessa.</w:t>
      </w:r>
    </w:p>
    <w:p w14:paraId="5A46B4BA" w14:textId="77777777" w:rsidR="00476246" w:rsidRPr="009D258A" w:rsidRDefault="0000001F" w:rsidP="00476246">
      <w:pPr>
        <w:rPr>
          <w:rFonts w:eastAsia="Times New Roman"/>
          <w:noProof/>
        </w:rPr>
      </w:pPr>
      <w:r w:rsidRPr="009D258A">
        <w:rPr>
          <w:noProof/>
        </w:rPr>
        <w:t xml:space="preserve">Komission yksiköt järjestivät yksittäisistä ongelmakysymyksistä vuonna 2025 eri sidosryhmien kanssa lisäksi useita kahdenvälisiä tapaamisia. Keskusteluja käytiin myös jäsenvaltioiden kanssa. Kahdenvälisen yhteydenpidon lisäksi tietyistä digisääntelyn yksinkertaistamispaketin näkökohdista keskusteltiin kesä- ja syyskuussa 2025 neuvoston työryhmissä, joille komissio antoi tilannekatsauksensa ja pyysi samalla jäsenvaltioita esittämään näkemyksensä asiassa. </w:t>
      </w:r>
    </w:p>
    <w:p w14:paraId="659022F4" w14:textId="77777777" w:rsidR="00476246" w:rsidRPr="009D258A" w:rsidRDefault="00476246" w:rsidP="00476246">
      <w:pPr>
        <w:rPr>
          <w:rFonts w:eastAsia="Times New Roman"/>
          <w:noProof/>
        </w:rPr>
      </w:pPr>
      <w:r w:rsidRPr="009D258A">
        <w:rPr>
          <w:noProof/>
        </w:rPr>
        <w:t>Kaiken kaikkiaan sidosryhmiltä saadussa palautteessa yhdyttiin näkemykseen, jonka mukaan joitakin digitaalialan sääntöjä on tarpeen soveltaa yksinkertaistetusti. Eri sidosryhmät kannattivat laajalti johdonmukaisuuden parantamista ja vaatimusten täyttämisestä aiheutuvien kustannusten optimointia. Tiettyjen räätälöidympien toimenpiteiden osalta esiintyi jonkin verran näkemyseroja. Yksityiskohtaisempi katsaus näistä sidosryhmien kuulemisista ja siitä, miten ne on otettu ehdotuksessa huomioon, on digisääntelyn yksinkertaistamispakettiin liitetyssä komission yksiköiden valmisteluasiakirjassa.</w:t>
      </w:r>
    </w:p>
    <w:p w14:paraId="6599CD3F" w14:textId="77777777" w:rsidR="009C3EE2" w:rsidRPr="009D258A" w:rsidRDefault="009C3EE2" w:rsidP="0002735A">
      <w:pPr>
        <w:pStyle w:val="ManualHeading2"/>
        <w:rPr>
          <w:rFonts w:eastAsia="Arial Unicode MS"/>
          <w:noProof/>
          <w:u w:color="000000"/>
          <w:bdr w:val="nil"/>
        </w:rPr>
      </w:pPr>
      <w:r w:rsidRPr="009D258A">
        <w:rPr>
          <w:noProof/>
          <w:u w:color="000000"/>
          <w:bdr w:val="nil"/>
        </w:rPr>
        <w:t>•</w:t>
      </w:r>
      <w:r w:rsidRPr="009D258A">
        <w:rPr>
          <w:noProof/>
        </w:rPr>
        <w:tab/>
      </w:r>
      <w:r w:rsidRPr="009D258A">
        <w:rPr>
          <w:noProof/>
          <w:u w:color="000000"/>
          <w:bdr w:val="nil"/>
        </w:rPr>
        <w:t>Asiantuntijatiedon keruu ja käyttö</w:t>
      </w:r>
    </w:p>
    <w:p w14:paraId="5863C539" w14:textId="77777777" w:rsidR="009C3EE2" w:rsidRPr="009D258A" w:rsidRDefault="00A155FE" w:rsidP="00A155FE">
      <w:pPr>
        <w:pBdr>
          <w:top w:val="nil"/>
          <w:left w:val="nil"/>
          <w:bottom w:val="nil"/>
          <w:right w:val="nil"/>
          <w:between w:val="nil"/>
          <w:bar w:val="nil"/>
        </w:pBdr>
        <w:spacing w:before="0" w:after="240"/>
        <w:rPr>
          <w:rFonts w:eastAsia="Arial Unicode MS"/>
          <w:noProof/>
        </w:rPr>
      </w:pPr>
      <w:r w:rsidRPr="009D258A">
        <w:rPr>
          <w:noProof/>
        </w:rPr>
        <w:t xml:space="preserve">Edellä kuvattujen kuulemisten lisäksi komissio tukeutui tässä ehdotuksessa pääasiassa omaan sisäiseen analyysiinsa. </w:t>
      </w:r>
    </w:p>
    <w:p w14:paraId="069205A9" w14:textId="77777777" w:rsidR="009C3EE2" w:rsidRPr="009D258A" w:rsidRDefault="009C3EE2" w:rsidP="0002735A">
      <w:pPr>
        <w:pStyle w:val="ManualHeading2"/>
        <w:rPr>
          <w:rFonts w:eastAsia="Arial Unicode MS"/>
          <w:noProof/>
          <w:u w:color="000000"/>
          <w:bdr w:val="nil"/>
        </w:rPr>
      </w:pPr>
      <w:r w:rsidRPr="009D258A">
        <w:rPr>
          <w:noProof/>
          <w:u w:color="000000"/>
          <w:bdr w:val="nil"/>
        </w:rPr>
        <w:t>•</w:t>
      </w:r>
      <w:r w:rsidRPr="009D258A">
        <w:rPr>
          <w:noProof/>
        </w:rPr>
        <w:tab/>
      </w:r>
      <w:r w:rsidRPr="009D258A">
        <w:rPr>
          <w:noProof/>
          <w:u w:color="000000"/>
          <w:bdr w:val="nil"/>
        </w:rPr>
        <w:t>Vaikutustenarviointi</w:t>
      </w:r>
    </w:p>
    <w:p w14:paraId="2AEFD1BA" w14:textId="77777777" w:rsidR="00F9626F" w:rsidRPr="009D258A" w:rsidRDefault="00F9626F" w:rsidP="00F9626F">
      <w:pPr>
        <w:pBdr>
          <w:top w:val="nil"/>
          <w:left w:val="nil"/>
          <w:bottom w:val="nil"/>
          <w:right w:val="nil"/>
          <w:between w:val="nil"/>
          <w:bar w:val="nil"/>
        </w:pBdr>
        <w:spacing w:before="0" w:after="240"/>
        <w:rPr>
          <w:noProof/>
        </w:rPr>
      </w:pPr>
      <w:r w:rsidRPr="009D258A">
        <w:rPr>
          <w:noProof/>
        </w:rPr>
        <w:t xml:space="preserve">Ehdotuksessa esitetyt muutokset ovat luonteeltaan teknisiä. Niiden tarkoituksena on varmistaa poliittisella tasolla jo sovittujen sääntöjen tehokkaampi täytäntöönpano. Ei ole olemassa toimintavaihtoehtoja, joita voitaisiin testata ja vertailla mielekkäällä tavalla vaikutustenarviointiraportissa. </w:t>
      </w:r>
    </w:p>
    <w:p w14:paraId="4D4DA24A" w14:textId="77777777" w:rsidR="00F9626F" w:rsidRPr="009D258A" w:rsidRDefault="00F9626F" w:rsidP="00F9626F">
      <w:pPr>
        <w:pBdr>
          <w:top w:val="nil"/>
          <w:left w:val="nil"/>
          <w:bottom w:val="nil"/>
          <w:right w:val="nil"/>
          <w:between w:val="nil"/>
          <w:bar w:val="nil"/>
        </w:pBdr>
        <w:spacing w:before="0" w:after="240"/>
        <w:rPr>
          <w:noProof/>
        </w:rPr>
      </w:pPr>
      <w:r w:rsidRPr="009D258A">
        <w:rPr>
          <w:noProof/>
        </w:rPr>
        <w:t xml:space="preserve">Ehdotukseen liittyvässä komission yksiköiden valmisteluasiakirjassa käsitellään muutosten taustalla olevia perusteluja ja kuvataan pääpiirteittäin sidosryhmien näkemykset eri toimenpiteistä. Siinä esitetään myös kustannussäästöt ja muun tyyppiset vaikutukset, joita ehdotuksella voi olla. Monilta osin se perustuu vaikutustenarviointeihin, joita tehtiin alun perin asetusta (EU) 2024/1689 varten. </w:t>
      </w:r>
    </w:p>
    <w:p w14:paraId="3657C2EE" w14:textId="77777777" w:rsidR="009C3EE2" w:rsidRPr="009D258A" w:rsidRDefault="00F9626F" w:rsidP="00F9626F">
      <w:pPr>
        <w:pBdr>
          <w:top w:val="nil"/>
          <w:left w:val="nil"/>
          <w:bottom w:val="nil"/>
          <w:right w:val="nil"/>
          <w:between w:val="nil"/>
          <w:bar w:val="nil"/>
        </w:pBdr>
        <w:spacing w:before="0" w:after="240"/>
        <w:rPr>
          <w:rFonts w:eastAsia="Arial Unicode MS"/>
          <w:noProof/>
        </w:rPr>
      </w:pPr>
      <w:r w:rsidRPr="009D258A">
        <w:rPr>
          <w:noProof/>
        </w:rPr>
        <w:t>Valmisteluasiakirja toimii näin ollen tietolähteenä, jonka pohjalta Euroopan parlamentti ja neuvosto sekä suuri yleisö voivat keskustella ehdotuksesta selkeistä lähtökohdista ja osallistavasti.</w:t>
      </w:r>
    </w:p>
    <w:p w14:paraId="5FDDFA54" w14:textId="77777777" w:rsidR="009C3EE2" w:rsidRPr="009D258A" w:rsidRDefault="009C3EE2" w:rsidP="0002735A">
      <w:pPr>
        <w:pStyle w:val="ManualHeading2"/>
        <w:rPr>
          <w:rFonts w:eastAsia="Arial Unicode MS"/>
          <w:noProof/>
          <w:u w:color="000000"/>
          <w:bdr w:val="nil"/>
        </w:rPr>
      </w:pPr>
      <w:r w:rsidRPr="009D258A">
        <w:rPr>
          <w:noProof/>
          <w:u w:color="000000"/>
          <w:bdr w:val="nil"/>
        </w:rPr>
        <w:t>•</w:t>
      </w:r>
      <w:r w:rsidRPr="009D258A">
        <w:rPr>
          <w:noProof/>
        </w:rPr>
        <w:tab/>
      </w:r>
      <w:r w:rsidRPr="009D258A">
        <w:rPr>
          <w:noProof/>
          <w:u w:color="000000"/>
          <w:bdr w:val="nil"/>
        </w:rPr>
        <w:t>Sääntelyn toimivuus ja yksinkertaistaminen</w:t>
      </w:r>
    </w:p>
    <w:p w14:paraId="61D9487F" w14:textId="77777777" w:rsidR="003444E6" w:rsidRPr="009D258A" w:rsidRDefault="003444E6" w:rsidP="003444E6">
      <w:pPr>
        <w:pBdr>
          <w:top w:val="nil"/>
          <w:left w:val="nil"/>
          <w:bottom w:val="nil"/>
          <w:right w:val="nil"/>
          <w:between w:val="nil"/>
          <w:bar w:val="nil"/>
        </w:pBdr>
        <w:spacing w:before="0" w:after="240"/>
        <w:rPr>
          <w:noProof/>
        </w:rPr>
      </w:pPr>
      <w:r w:rsidRPr="009D258A">
        <w:rPr>
          <w:noProof/>
        </w:rPr>
        <w:t xml:space="preserve">Ehdotuksella pyritään vähentämään merkittävästi yritysten, kansallisten viranomaisten ja ylipäätään kaikkien sidosryhmien hallinnollista taakkaa. Alustavien arvioiden mukaan mahdolliset säästöt olisivat </w:t>
      </w:r>
      <w:r w:rsidRPr="009D258A">
        <w:rPr>
          <w:b/>
          <w:noProof/>
        </w:rPr>
        <w:t>≈ 297,2–433,2 miljoonaa euroa</w:t>
      </w:r>
      <w:r w:rsidRPr="009D258A">
        <w:rPr>
          <w:noProof/>
        </w:rPr>
        <w:t>. Myös sellaisia hyötyjä, jotka eivät ole kvantifioitavissa, on odotettavissa, kun sääntöjä sujuvoitetaan, mikä helpottaa niiden noudattamista ja täytäntöönpanoa.</w:t>
      </w:r>
    </w:p>
    <w:p w14:paraId="67BF2420" w14:textId="77777777" w:rsidR="003444E6" w:rsidRPr="009D258A" w:rsidRDefault="003444E6" w:rsidP="003444E6">
      <w:pPr>
        <w:pBdr>
          <w:top w:val="nil"/>
          <w:left w:val="nil"/>
          <w:bottom w:val="nil"/>
          <w:right w:val="nil"/>
          <w:between w:val="nil"/>
          <w:bar w:val="nil"/>
        </w:pBdr>
        <w:spacing w:before="0" w:after="240"/>
        <w:rPr>
          <w:noProof/>
        </w:rPr>
      </w:pPr>
      <w:r w:rsidRPr="009D258A">
        <w:rPr>
          <w:noProof/>
        </w:rPr>
        <w:t>Pk-yritykset hyötyvät sääntelyhelpotuksista jo asetuksen (EU) 2024/1689 nojalla. Jotkin pk-yritysten sääntelyhelpotukset ulotetaan koskemaan myös pieniä midcap-yrityksiä. Koska vaatimusten täyttämisestä aiheutuva rasite vaikuttaa suhteettomasti pk-yrityksiin ja pieniin midcap-yrityksiin, erityisesti niiden odotetaan hyötyvän näistä yksinkertaistamistoimenpiteistä.</w:t>
      </w:r>
    </w:p>
    <w:p w14:paraId="2AD9C05C" w14:textId="77777777" w:rsidR="003444E6" w:rsidRPr="009D258A" w:rsidRDefault="003444E6" w:rsidP="003444E6">
      <w:pPr>
        <w:pBdr>
          <w:top w:val="nil"/>
          <w:left w:val="nil"/>
          <w:bottom w:val="nil"/>
          <w:right w:val="nil"/>
          <w:between w:val="nil"/>
          <w:bar w:val="nil"/>
        </w:pBdr>
        <w:spacing w:before="0" w:after="240"/>
        <w:rPr>
          <w:noProof/>
        </w:rPr>
      </w:pPr>
      <w:r w:rsidRPr="009D258A">
        <w:rPr>
          <w:noProof/>
        </w:rPr>
        <w:t>Ehdotus on johdonmukainen suhteessa komission toteuttamaan digialan säännöstön toimivuustarkastukseen, jolla pyritään varmistamaan, että politiikkaehdotukset ovat asianmukaisesti linjassa digitaaliympäristöjen realiteettien kanssa (ks. säädösehdotukseen liittyvän rahoitusta ja digitaalisia vaikutuksia koskevan selvityksen luku 4).</w:t>
      </w:r>
    </w:p>
    <w:p w14:paraId="7EB55000" w14:textId="77777777" w:rsidR="009C3EE2" w:rsidRPr="009D258A" w:rsidRDefault="009C3EE2" w:rsidP="0002735A">
      <w:pPr>
        <w:pStyle w:val="ManualHeading2"/>
        <w:rPr>
          <w:rFonts w:eastAsia="Arial Unicode MS"/>
          <w:noProof/>
          <w:u w:color="000000"/>
          <w:bdr w:val="nil"/>
        </w:rPr>
      </w:pPr>
      <w:r w:rsidRPr="009D258A">
        <w:rPr>
          <w:noProof/>
          <w:u w:color="000000"/>
          <w:bdr w:val="nil"/>
        </w:rPr>
        <w:t>•</w:t>
      </w:r>
      <w:r w:rsidRPr="009D258A">
        <w:rPr>
          <w:noProof/>
        </w:rPr>
        <w:tab/>
      </w:r>
      <w:r w:rsidRPr="009D258A">
        <w:rPr>
          <w:noProof/>
          <w:u w:color="000000"/>
          <w:bdr w:val="nil"/>
        </w:rPr>
        <w:t>Perusoikeudet</w:t>
      </w:r>
    </w:p>
    <w:p w14:paraId="0CCB1440" w14:textId="53749391" w:rsidR="00583BD9" w:rsidRPr="009D258A" w:rsidRDefault="002016DF" w:rsidP="00583BD9">
      <w:pPr>
        <w:spacing w:after="0"/>
        <w:rPr>
          <w:rFonts w:eastAsia="Times New Roman"/>
          <w:noProof/>
        </w:rPr>
      </w:pPr>
      <w:r w:rsidRPr="009D258A">
        <w:rPr>
          <w:noProof/>
        </w:rPr>
        <w:t>Asetuksen (EU) 2024/1689 odotetaan vahvistavan useiden EU:n perusoikeuskirjassa vahvistettujen perusoikeuksien ja -vapauksien</w:t>
      </w:r>
      <w:r w:rsidRPr="009D258A">
        <w:rPr>
          <w:rStyle w:val="FootnoteReference"/>
          <w:rFonts w:eastAsia="Times New Roman"/>
          <w:noProof/>
        </w:rPr>
        <w:footnoteReference w:id="10"/>
      </w:r>
      <w:r w:rsidRPr="009D258A">
        <w:rPr>
          <w:noProof/>
        </w:rPr>
        <w:t xml:space="preserve"> suojaa ja vaikuttavan myönteisesti useiden erityisryhmien oikeuksiin</w:t>
      </w:r>
      <w:r w:rsidRPr="009D258A">
        <w:rPr>
          <w:rStyle w:val="FootnoteReference"/>
          <w:rFonts w:eastAsia="Times New Roman"/>
          <w:noProof/>
        </w:rPr>
        <w:footnoteReference w:id="11"/>
      </w:r>
      <w:r w:rsidRPr="009D258A">
        <w:rPr>
          <w:noProof/>
        </w:rPr>
        <w:t>. Samalla asetuksessa (EU) 2024/1689 asetetaan oikeuksia ja vapauksia koskevia tiettyjä rajoituksia</w:t>
      </w:r>
      <w:r w:rsidRPr="009D258A">
        <w:rPr>
          <w:rStyle w:val="FootnoteReference"/>
          <w:rFonts w:eastAsia="Times New Roman"/>
          <w:noProof/>
        </w:rPr>
        <w:footnoteReference w:id="12"/>
      </w:r>
      <w:r w:rsidRPr="009D258A">
        <w:rPr>
          <w:noProof/>
        </w:rPr>
        <w:t>, jotka ovat oikein suhteutettuja ja pitäytyvät välttämättömässä. Ehdotuksen ei odoteta muuttavan asetuksen (EU) 2024/1689 vaikutusta perusoikeuksiin, koska kaavailtujen muutosten kohdennettu luonne ei vaikuta säänneltyjen tekoälyjärjestelmien määritelmään tai kyseisiin järjestelmiin sovellettaviin aineellisiin vaatimuksiin.</w:t>
      </w:r>
    </w:p>
    <w:p w14:paraId="65D4A5A7" w14:textId="77777777" w:rsidR="009C3EE2" w:rsidRPr="009D258A" w:rsidRDefault="009C3EE2" w:rsidP="0002735A">
      <w:pPr>
        <w:pStyle w:val="ManualHeading1"/>
        <w:rPr>
          <w:noProof/>
        </w:rPr>
      </w:pPr>
      <w:r w:rsidRPr="009D258A">
        <w:rPr>
          <w:noProof/>
        </w:rPr>
        <w:t>4.</w:t>
      </w:r>
      <w:r w:rsidRPr="009D258A">
        <w:rPr>
          <w:noProof/>
        </w:rPr>
        <w:tab/>
        <w:t>TALOUSARVIOVAIKUTUKSET</w:t>
      </w:r>
    </w:p>
    <w:p w14:paraId="29E3DFAC" w14:textId="09E32D5C" w:rsidR="00944D61" w:rsidRPr="009D258A" w:rsidRDefault="00944D61" w:rsidP="0002735A">
      <w:pPr>
        <w:pBdr>
          <w:top w:val="nil"/>
          <w:left w:val="nil"/>
          <w:bottom w:val="nil"/>
          <w:right w:val="nil"/>
          <w:between w:val="nil"/>
          <w:bar w:val="nil"/>
        </w:pBdr>
        <w:spacing w:before="0" w:after="240"/>
        <w:rPr>
          <w:noProof/>
        </w:rPr>
      </w:pPr>
      <w:r w:rsidRPr="009D258A">
        <w:rPr>
          <w:noProof/>
        </w:rPr>
        <w:t>Ehdotuksella muutetaan asetuksen (EU) 2024/1689 valvonta- ja täytäntöönpanojärjestelmää siirtämällä tiettyjen tekoälyjärjestelmien valvonta komission tekoälytoimistolle. Lisäksi tekoälytoimiston olisi perustettava tekoälyn sääntelyn EU-tason testiympäristö, jotta toimijoiden olisi helpompi täyttää vaatimukset. Näiden uusien tehtävien hoitamiseksi komissio tarvitsee asianmukaiset resurssit, joiden arvioidaan olevan 53 kokoaikaista työntekijää, joista 15 kokoaikaista työntekijää voidaan kattaa sisäisillä uudelleenjärjestelyillä. Näitä vaikutuksia on tarkasteltava ottaen huomioon, että talousarviovaikutukset pienenevät jäsenvaltioissa, joiden ei enää tarvitse järjestää näiden tiettyjen tekoälyjärjestelmien valvontaa. Yksityiskohtainen katsaus tähän toimivallan siirtoon liittyvistä kustannuksista esitetään tämän ehdotuksen liitteenä olevassa säädösehdotukseen liittyvässä rahoitusta ja digitaalisia vaikutuksia koskevassa selvityksessä.</w:t>
      </w:r>
    </w:p>
    <w:p w14:paraId="26088175" w14:textId="77777777" w:rsidR="009C3EE2" w:rsidRPr="009D258A" w:rsidRDefault="009C3EE2" w:rsidP="0002735A">
      <w:pPr>
        <w:pStyle w:val="ManualHeading1"/>
        <w:rPr>
          <w:noProof/>
        </w:rPr>
      </w:pPr>
      <w:r w:rsidRPr="009D258A">
        <w:rPr>
          <w:noProof/>
        </w:rPr>
        <w:t>5.</w:t>
      </w:r>
      <w:r w:rsidRPr="009D258A">
        <w:rPr>
          <w:noProof/>
        </w:rPr>
        <w:tab/>
        <w:t>LISÄTIEDOT</w:t>
      </w:r>
    </w:p>
    <w:p w14:paraId="2F5B3348" w14:textId="77777777" w:rsidR="009C3EE2" w:rsidRPr="009D258A" w:rsidRDefault="009C3EE2" w:rsidP="0002735A">
      <w:pPr>
        <w:pStyle w:val="ManualHeading2"/>
        <w:rPr>
          <w:rFonts w:eastAsia="Arial Unicode MS"/>
          <w:noProof/>
          <w:u w:color="000000"/>
          <w:bdr w:val="nil"/>
        </w:rPr>
      </w:pPr>
      <w:r w:rsidRPr="009D258A">
        <w:rPr>
          <w:noProof/>
          <w:u w:color="000000"/>
          <w:bdr w:val="nil"/>
        </w:rPr>
        <w:t>•</w:t>
      </w:r>
      <w:r w:rsidRPr="009D258A">
        <w:rPr>
          <w:noProof/>
        </w:rPr>
        <w:tab/>
      </w:r>
      <w:r w:rsidRPr="009D258A">
        <w:rPr>
          <w:noProof/>
          <w:u w:color="000000"/>
          <w:bdr w:val="nil"/>
        </w:rPr>
        <w:t>Toteuttamissuunnitelmat, seuranta, arviointi ja raportointijärjestelyt</w:t>
      </w:r>
    </w:p>
    <w:p w14:paraId="58CB1976" w14:textId="77777777" w:rsidR="009C3EE2" w:rsidRPr="009D258A" w:rsidRDefault="00F331F9" w:rsidP="0002735A">
      <w:pPr>
        <w:pBdr>
          <w:top w:val="nil"/>
          <w:left w:val="nil"/>
          <w:bottom w:val="nil"/>
          <w:right w:val="nil"/>
          <w:between w:val="nil"/>
          <w:bar w:val="nil"/>
        </w:pBdr>
        <w:spacing w:before="0" w:after="240"/>
        <w:rPr>
          <w:rFonts w:eastAsia="Arial Unicode MS"/>
          <w:noProof/>
        </w:rPr>
      </w:pPr>
      <w:r w:rsidRPr="009D258A">
        <w:rPr>
          <w:noProof/>
        </w:rPr>
        <w:t>Komissio seuraa uusien säännösten täytäntöönpanoa, soveltamista ja noudattamista. Lisäksi tällä ehdotuksella muutettavaa asetusta arvioidaan säännöllisesti sen tehokkuuden, tavoitteiden saavuttamisen, merkityksellisyyden, johdonmukaisuuden ja lisäarvon osalta EU:n paremman sääntelyn periaatteiden mukaisesti. Tämä ehdotus ei edellytä toteuttamissuunnitelmaa.</w:t>
      </w:r>
    </w:p>
    <w:p w14:paraId="029CA893" w14:textId="77777777" w:rsidR="009C3EE2" w:rsidRPr="009D258A" w:rsidRDefault="009C3EE2" w:rsidP="0002735A">
      <w:pPr>
        <w:pStyle w:val="ManualHeading2"/>
        <w:rPr>
          <w:rFonts w:eastAsia="Arial Unicode MS"/>
          <w:noProof/>
          <w:u w:color="000000"/>
          <w:bdr w:val="nil"/>
        </w:rPr>
      </w:pPr>
      <w:r w:rsidRPr="009D258A">
        <w:rPr>
          <w:noProof/>
          <w:u w:color="000000"/>
          <w:bdr w:val="nil"/>
        </w:rPr>
        <w:t>•</w:t>
      </w:r>
      <w:r w:rsidRPr="009D258A">
        <w:rPr>
          <w:noProof/>
        </w:rPr>
        <w:tab/>
      </w:r>
      <w:r w:rsidRPr="009D258A">
        <w:rPr>
          <w:noProof/>
          <w:u w:color="000000"/>
          <w:bdr w:val="nil"/>
        </w:rPr>
        <w:t>Selittävät asiakirjat (direktiivien osalta)</w:t>
      </w:r>
    </w:p>
    <w:p w14:paraId="4EFBC7AC" w14:textId="77777777" w:rsidR="009C3EE2" w:rsidRPr="009D258A" w:rsidRDefault="008E685E" w:rsidP="00950BAC">
      <w:pPr>
        <w:pBdr>
          <w:top w:val="nil"/>
          <w:left w:val="nil"/>
          <w:bottom w:val="nil"/>
          <w:right w:val="nil"/>
          <w:between w:val="nil"/>
          <w:bar w:val="nil"/>
        </w:pBdr>
        <w:spacing w:before="0" w:after="240"/>
        <w:rPr>
          <w:rFonts w:eastAsia="Arial Unicode MS"/>
          <w:noProof/>
        </w:rPr>
      </w:pPr>
      <w:r w:rsidRPr="009D258A">
        <w:rPr>
          <w:noProof/>
        </w:rPr>
        <w:t xml:space="preserve">Ei sovelleta. </w:t>
      </w:r>
    </w:p>
    <w:p w14:paraId="2C27FB23" w14:textId="77777777" w:rsidR="009C3EE2" w:rsidRPr="009D258A" w:rsidRDefault="009C3EE2" w:rsidP="0002735A">
      <w:pPr>
        <w:pStyle w:val="ManualHeading2"/>
        <w:rPr>
          <w:rFonts w:eastAsia="Arial Unicode MS"/>
          <w:noProof/>
          <w:u w:color="000000"/>
          <w:bdr w:val="nil"/>
        </w:rPr>
      </w:pPr>
      <w:r w:rsidRPr="009D258A">
        <w:rPr>
          <w:noProof/>
          <w:u w:color="000000"/>
          <w:bdr w:val="nil"/>
        </w:rPr>
        <w:t>•</w:t>
      </w:r>
      <w:r w:rsidRPr="009D258A">
        <w:rPr>
          <w:noProof/>
        </w:rPr>
        <w:tab/>
      </w:r>
      <w:r w:rsidRPr="009D258A">
        <w:rPr>
          <w:noProof/>
          <w:u w:color="000000"/>
          <w:bdr w:val="nil"/>
        </w:rPr>
        <w:t>Ehdotukseen sisältyvien säännösten yksityiskohtaiset selitykset</w:t>
      </w:r>
    </w:p>
    <w:p w14:paraId="14DA3C8B" w14:textId="77777777" w:rsidR="00266DA1" w:rsidRPr="009D258A" w:rsidRDefault="009C3EE2" w:rsidP="0002735A">
      <w:pPr>
        <w:pBdr>
          <w:top w:val="nil"/>
          <w:left w:val="nil"/>
          <w:bottom w:val="nil"/>
          <w:right w:val="nil"/>
          <w:between w:val="nil"/>
          <w:bar w:val="nil"/>
        </w:pBdr>
        <w:spacing w:before="0" w:after="240"/>
        <w:rPr>
          <w:noProof/>
        </w:rPr>
      </w:pPr>
      <w:r w:rsidRPr="009D258A">
        <w:rPr>
          <w:noProof/>
        </w:rPr>
        <w:t xml:space="preserve">Artiklalla 1 muutetaan asetusta (EU) 2024/1689 (’tekoälysäädös’). Tarkemmin: </w:t>
      </w:r>
    </w:p>
    <w:p w14:paraId="599F69F9" w14:textId="1076FB9E" w:rsidR="00082DF0" w:rsidRPr="009D258A" w:rsidRDefault="005E4315" w:rsidP="00BC675E">
      <w:pPr>
        <w:pStyle w:val="Bullet0"/>
        <w:numPr>
          <w:ilvl w:val="0"/>
          <w:numId w:val="18"/>
        </w:numPr>
        <w:rPr>
          <w:rFonts w:eastAsia="Arial Unicode MS"/>
          <w:noProof/>
        </w:rPr>
      </w:pPr>
      <w:r w:rsidRPr="009D258A">
        <w:rPr>
          <w:noProof/>
        </w:rPr>
        <w:t>Kohdalla 1 lisätään tekoälysäädöksen kohteen kuvaukseen viittaus pieniin midcap-yrityksiin.</w:t>
      </w:r>
    </w:p>
    <w:p w14:paraId="13515746" w14:textId="7466A35F" w:rsidR="00C51556" w:rsidRPr="009D258A" w:rsidRDefault="00082DF0" w:rsidP="00BC675E">
      <w:pPr>
        <w:pStyle w:val="Bullet0"/>
        <w:numPr>
          <w:ilvl w:val="0"/>
          <w:numId w:val="18"/>
        </w:numPr>
        <w:rPr>
          <w:rFonts w:eastAsia="Arial Unicode MS"/>
          <w:noProof/>
        </w:rPr>
      </w:pPr>
      <w:r w:rsidRPr="009D258A">
        <w:rPr>
          <w:noProof/>
        </w:rPr>
        <w:t>Kohta 2 on tekninen muutos. Se on tarpeen, jotta voidaan laajentaa todellisissa olosuhteissa tapahtuvaa testausta tekoälysäädöksen liitteessä I olevan jakson B piiriin kuuluviin tuotteisiin sulautettuihin suuririskisiin tekoälyjärjestelmiin.</w:t>
      </w:r>
    </w:p>
    <w:p w14:paraId="328DC371" w14:textId="3A4DFCDE" w:rsidR="005E4315" w:rsidRPr="009D258A" w:rsidRDefault="00115A9B" w:rsidP="003833D4">
      <w:pPr>
        <w:pStyle w:val="Bullet0"/>
        <w:rPr>
          <w:rFonts w:eastAsia="Arial Unicode MS"/>
          <w:noProof/>
        </w:rPr>
      </w:pPr>
      <w:r w:rsidRPr="009D258A">
        <w:rPr>
          <w:noProof/>
        </w:rPr>
        <w:t>Kohdalla 3 lisätään tekoälysäädöksen artiklan 3 määritelmiin pk-yritysten ja pienten midcap-yritysten oikeudelliset määritelmät.</w:t>
      </w:r>
    </w:p>
    <w:p w14:paraId="038F8392" w14:textId="5CEA9D4C" w:rsidR="00205C66" w:rsidRPr="009D258A" w:rsidRDefault="00205C66" w:rsidP="003833D4">
      <w:pPr>
        <w:pStyle w:val="Bullet0"/>
        <w:rPr>
          <w:rFonts w:eastAsia="Arial Unicode MS"/>
          <w:noProof/>
        </w:rPr>
      </w:pPr>
      <w:r w:rsidRPr="009D258A">
        <w:rPr>
          <w:noProof/>
        </w:rPr>
        <w:t>Kohdalla 4 muunnetaan tekoälysäädöksen artiklassa 4 tekoälyjärjestelmien tarjoajille ja käyttöönottajille säädetty tekoälylukutaitoa koskeva velvoite komission ja jäsenvaltioiden velvoitteeksi edistää tekoälylukutaitoa.</w:t>
      </w:r>
    </w:p>
    <w:p w14:paraId="33B73063" w14:textId="2FA165D8" w:rsidR="007F4025" w:rsidRPr="009D258A" w:rsidRDefault="005C14D5" w:rsidP="003833D4">
      <w:pPr>
        <w:pStyle w:val="Bullet0"/>
        <w:rPr>
          <w:rFonts w:eastAsia="Arial Unicode MS"/>
          <w:noProof/>
        </w:rPr>
      </w:pPr>
      <w:r w:rsidRPr="009D258A">
        <w:rPr>
          <w:noProof/>
        </w:rPr>
        <w:t>Kohdalla 5 lisätään uusi artikla 4 a, jolla korvataan tekoälysäädöksen artiklan 10 kohta 5. Se muodostaa tekoälyjärjestelmien ja tekoälymallien tarjoajille ja käyttöönottajille oikeusperustan käsitellä poikkeuksellisesti ja tietyin edellytyksin erityisiä henkilötietoryhmiä vinoutumien havaitsemiseksi ja korjaamiseksi.</w:t>
      </w:r>
    </w:p>
    <w:p w14:paraId="15C81039" w14:textId="1E0DB8CF" w:rsidR="00581214" w:rsidRPr="009D258A" w:rsidRDefault="007F1D6F" w:rsidP="003833D4">
      <w:pPr>
        <w:pStyle w:val="Bullet0"/>
        <w:rPr>
          <w:rFonts w:eastAsia="Arial Unicode MS"/>
          <w:noProof/>
        </w:rPr>
      </w:pPr>
      <w:r w:rsidRPr="009D258A">
        <w:rPr>
          <w:noProof/>
        </w:rPr>
        <w:t xml:space="preserve">Kohdissa 6, 14 ja 32 viitataan siihen, että poistetaan tarjoajien velvoite rekisteröidä tekoälyjärjestelmänsä suuririskisiä järjestelmiä koskevaan EU:n tietokantaan liitteen III mukaisesti, jos ne on vapautettu luokittelusta tekoälysäädöksen artiklan 6 kohdan 3 mukaisesti suuririskisiksi, koska niitä käytetään esimerkiksi vain valmistelutehtäviin. </w:t>
      </w:r>
    </w:p>
    <w:p w14:paraId="37230E69" w14:textId="79F02344" w:rsidR="007F1D6F" w:rsidRPr="009D258A" w:rsidRDefault="00581214" w:rsidP="003833D4">
      <w:pPr>
        <w:pStyle w:val="Bullet0"/>
        <w:rPr>
          <w:rFonts w:eastAsia="Arial Unicode MS"/>
          <w:noProof/>
        </w:rPr>
      </w:pPr>
      <w:r w:rsidRPr="009D258A">
        <w:rPr>
          <w:noProof/>
        </w:rPr>
        <w:t>Kohta 7 sisältää kohdalla 4 tehtyihin muutoksiin liittyviä toimituksellisia johdannaismuutoksia.</w:t>
      </w:r>
    </w:p>
    <w:p w14:paraId="56EC925B" w14:textId="5AA2AE06" w:rsidR="005D5193" w:rsidRPr="009D258A" w:rsidRDefault="005547A4" w:rsidP="003833D4">
      <w:pPr>
        <w:pStyle w:val="Bullet0"/>
        <w:rPr>
          <w:rFonts w:eastAsia="Arial Unicode MS"/>
          <w:noProof/>
        </w:rPr>
      </w:pPr>
      <w:r w:rsidRPr="009D258A">
        <w:rPr>
          <w:noProof/>
        </w:rPr>
        <w:t>Kohdilla 8 ja 9 laajennetaan tekoälysäädöksen nykyiset teknistä dokumentaatiota ja yrityksen koon huomioon ottavan laadunhallintajärjestelmän perustamista koskevat pk-yritysten sääntelyhelpotukset koskemaan pieniä midcap-yrityksiä.</w:t>
      </w:r>
    </w:p>
    <w:p w14:paraId="4CB7A073" w14:textId="70F8C849" w:rsidR="005D5193" w:rsidRPr="009D258A" w:rsidRDefault="005D5193" w:rsidP="003833D4">
      <w:pPr>
        <w:pStyle w:val="Bullet0"/>
        <w:rPr>
          <w:rFonts w:eastAsia="Arial Unicode MS"/>
          <w:noProof/>
        </w:rPr>
      </w:pPr>
      <w:r w:rsidRPr="009D258A">
        <w:rPr>
          <w:noProof/>
        </w:rPr>
        <w:t>Kohdalla 10 otetaan käyttöön tekoälysäädöksen artiklassa 28 uusi menettely, jonka mukaisesti jäsenvaltioiden on varmistettava, että vaatimustenmukaisuuden arviointilaitokselle, joka hakee nimeämistä sekä tämän asetuksen että tekoälysäädöksen liitteen I jakson A luetteloon sisältyvän unionin yhdenmukaistamislainsäädännön nojalla, annetaan mahdollisuus jättää tätä varten vain yksi yhteinen hakemus ja läpikäydä vain yksi yhteinen arviointimenettely nimeämistä varten.</w:t>
      </w:r>
    </w:p>
    <w:p w14:paraId="3B932B21" w14:textId="172D1855" w:rsidR="00CC1269" w:rsidRPr="009D258A" w:rsidRDefault="00CD0B35" w:rsidP="003833D4">
      <w:pPr>
        <w:pStyle w:val="Bullet0"/>
        <w:rPr>
          <w:noProof/>
        </w:rPr>
      </w:pPr>
      <w:r w:rsidRPr="009D258A">
        <w:rPr>
          <w:noProof/>
        </w:rPr>
        <w:t>Kohdassa 11 ehdotetaan, että korvataan tekoälysäädöksen artiklan 29 kohta 4, jossa edellytetään, että vaatimustenmukaisuuden arviointilaitokset toimittavat yhden yksittäisen hakemuksen tapauksissa, joihin kyseisessä kohdassa viitataan.</w:t>
      </w:r>
    </w:p>
    <w:p w14:paraId="17EA522E" w14:textId="5FC9AC65" w:rsidR="00720A24" w:rsidRPr="009D258A" w:rsidRDefault="00720A24" w:rsidP="003833D4">
      <w:pPr>
        <w:pStyle w:val="Bullet0"/>
        <w:rPr>
          <w:rFonts w:eastAsia="Arial Unicode MS"/>
          <w:noProof/>
        </w:rPr>
      </w:pPr>
      <w:r w:rsidRPr="009D258A">
        <w:rPr>
          <w:noProof/>
        </w:rPr>
        <w:t>Kohdalla 12 muutetaan tekoälysäädöksen artiklaa 30 edellyttämällä, että vaatimustenmukaisuuden arviointilaitokset, jotka hakevat nimeämistä ilmoitetuiksi laitoksiksi, tekevät kyseisen hakemuksen komission uuden lähestymistavan mukaisessa ilmoitettujen ja nimettyjen organisaatioiden tietojärjestelmässä (NANDO) uudessa liitteessä XIV tarkoitettujen koodien, luokkien ja niitä vastaavien tekoälyjärjestelmien tyyppien mukaisesti, ja valtuutetaan komissio muuttamaan näitä koodeja, luokkia ja vastaavia tyyppejä teknologian kehityksen perusteella.</w:t>
      </w:r>
    </w:p>
    <w:p w14:paraId="4D6EDB4C" w14:textId="3D1092AE" w:rsidR="00BE0C6D" w:rsidRPr="009D258A" w:rsidRDefault="00581214" w:rsidP="003833D4">
      <w:pPr>
        <w:pStyle w:val="Bullet0"/>
        <w:rPr>
          <w:rFonts w:eastAsia="Arial Unicode MS"/>
          <w:noProof/>
        </w:rPr>
      </w:pPr>
      <w:r w:rsidRPr="009D258A">
        <w:rPr>
          <w:noProof/>
        </w:rPr>
        <w:t>Kohdalla 13 selvennetään tekoälysäädöksen artiklassa 43 säädettyä vaatimustenmukaisuuden arviointimenettelyä, jos suuririskinen tekoälyjärjestelmä kuuluu tekoälysäädöksen liitteen I jakson A luetteloon sisältyvän unionin yhdenmukaistamislainsäädännön piiriin ja jos tekoälyjärjestelmä on luokiteltu suuririskiseksi sekä tekoälysäädöksen liitteen I että sen liitteen III perusteella.</w:t>
      </w:r>
    </w:p>
    <w:p w14:paraId="30DFDF08" w14:textId="77777777" w:rsidR="00693B6E" w:rsidRPr="009D258A" w:rsidRDefault="00693B6E" w:rsidP="003833D4">
      <w:pPr>
        <w:pStyle w:val="Bullet0"/>
        <w:rPr>
          <w:rFonts w:eastAsia="Arial Unicode MS"/>
          <w:noProof/>
        </w:rPr>
      </w:pPr>
      <w:r w:rsidRPr="009D258A">
        <w:rPr>
          <w:noProof/>
        </w:rPr>
        <w:t>Kohdilla 15 ja 16 poistetaan tekoälysäädöksen artikloissa 50 ja 56 säädetyt komission valtuudet antaa täytäntöönpanosäädöksiä, joilla tehdään yleiskäyttöisiä tekoälymalleja koskevista käytännesäännöistä ja tiettyjä tekoälyjärjestelmiä koskevista avoimuusvelvoitteista unionissa yleisesti päteviä.</w:t>
      </w:r>
    </w:p>
    <w:p w14:paraId="177C0961" w14:textId="77777777" w:rsidR="00A82336" w:rsidRPr="009D258A" w:rsidRDefault="00A82336" w:rsidP="003833D4">
      <w:pPr>
        <w:pStyle w:val="Bullet0"/>
        <w:rPr>
          <w:rFonts w:eastAsia="Arial Unicode MS"/>
          <w:noProof/>
        </w:rPr>
      </w:pPr>
      <w:r w:rsidRPr="009D258A">
        <w:rPr>
          <w:noProof/>
        </w:rPr>
        <w:t>Kohdalla 17 tehdään muutoksia tekoälysäädöksen artiklaan 57 sisältyviin tekoälyn sääntelyn testiympäristöjä koskeviin sääntöihin muun muassa vahvistamalla oikeusperusta, jonka nojalla tekoälytoimisto voi ottaa EU:n tasolla käyttöön tekoälyn sääntelyn testiympäristön tietyille sen yksinomaiseen valvontavaltaan kuuluville tekoälyjärjestelmille, sekä edellyttämällä, että jäsenvaltiot vahvistavat omien testiympäristöjensä välistä rajat ylittävää yhteistyötä.</w:t>
      </w:r>
    </w:p>
    <w:p w14:paraId="0C808F0E" w14:textId="77777777" w:rsidR="00774977" w:rsidRPr="009D258A" w:rsidRDefault="00774977" w:rsidP="003833D4">
      <w:pPr>
        <w:pStyle w:val="Bullet0"/>
        <w:rPr>
          <w:rFonts w:eastAsia="Arial Unicode MS"/>
          <w:noProof/>
        </w:rPr>
      </w:pPr>
      <w:r w:rsidRPr="009D258A">
        <w:rPr>
          <w:noProof/>
        </w:rPr>
        <w:t>Kohdassa 18 täsmennetään komission valtuuksia hyväksyä täytäntöönpanosäädöksiä, joissa esitetään tekoälyn sääntelyn testiympäristöjen perustamista, kehittämistä, täytäntöönpanoa, toimintaa, hallinnointia ja valvontaa koskevat yksityiskohtaiset järjestelyt.</w:t>
      </w:r>
    </w:p>
    <w:p w14:paraId="3AFCC422" w14:textId="77777777" w:rsidR="00DD1B0F" w:rsidRPr="009D258A" w:rsidRDefault="00DD1B0F" w:rsidP="003833D4">
      <w:pPr>
        <w:pStyle w:val="Bullet0"/>
        <w:rPr>
          <w:rFonts w:eastAsia="Arial Unicode MS"/>
          <w:noProof/>
        </w:rPr>
      </w:pPr>
      <w:r w:rsidRPr="009D258A">
        <w:rPr>
          <w:noProof/>
        </w:rPr>
        <w:t>Kohdalla 19 tehdään muutoksia tekoälysäädöksen artiklassa 60 säädeltyyn suuririskisten tekoälyjärjestelmien todellisissa olosuhteissa tapahtuvaan testaukseen tekoälyn sääntelyn testiympäristöjen ulkopuolella muun muassa laajentamalla tämä mahdollisuus koskemaan liitteen I jakson A piiriin kuuluvia suuririskisiä tekoälyjärjestelmiä.</w:t>
      </w:r>
    </w:p>
    <w:p w14:paraId="0DFD2119" w14:textId="77777777" w:rsidR="00042F45" w:rsidRPr="009D258A" w:rsidRDefault="00042F45" w:rsidP="00087AD8">
      <w:pPr>
        <w:pStyle w:val="Bullet0"/>
        <w:rPr>
          <w:rFonts w:eastAsia="Arial Unicode MS"/>
          <w:noProof/>
        </w:rPr>
      </w:pPr>
      <w:r w:rsidRPr="009D258A">
        <w:rPr>
          <w:noProof/>
        </w:rPr>
        <w:t>Kohdalla 20 luodaan uusi oikeusperusta, jonka nojalla asianomaiset jäsenvaltiot ja komissio voivat niin halutessaan tehdä kirjallisia sopimuksia liitteen I jaksossa B tarkoitettujen suuririskisten tekoälyjärjestelmien testaamiseksi todellisissa olosuhteissa.</w:t>
      </w:r>
    </w:p>
    <w:p w14:paraId="42EB8044" w14:textId="77777777" w:rsidR="002122C3" w:rsidRPr="009D258A" w:rsidRDefault="002122C3" w:rsidP="003833D4">
      <w:pPr>
        <w:pStyle w:val="Bullet0"/>
        <w:rPr>
          <w:rFonts w:eastAsia="Arial Unicode MS"/>
          <w:noProof/>
        </w:rPr>
      </w:pPr>
      <w:r w:rsidRPr="009D258A">
        <w:rPr>
          <w:noProof/>
        </w:rPr>
        <w:t>Kohdalla 21 laajennetaan mikroyrityksistä pk-yrityksiin poikkeus, jonka turvin ne voivat täyttää tiettyjä tekoälysäädöksen artiklassa 17 edellytettyjä laadunhallintajärjestelmän elementtejä koskevat vaatimukset yksinkertaistetusti.</w:t>
      </w:r>
    </w:p>
    <w:p w14:paraId="5FA495C8" w14:textId="77777777" w:rsidR="0061089B" w:rsidRPr="009D258A" w:rsidRDefault="0061089B" w:rsidP="003833D4">
      <w:pPr>
        <w:pStyle w:val="Bullet0"/>
        <w:rPr>
          <w:noProof/>
        </w:rPr>
      </w:pPr>
      <w:r w:rsidRPr="009D258A">
        <w:rPr>
          <w:noProof/>
        </w:rPr>
        <w:t>Kohdalla 22 poistetaan menettelyn yksinkertaistamiseksi komissiolta tekoälysäädöksen artiklassa 69 säädetty valtuutus antaa täytäntöönpanosäädös, joka koskee jäsenvaltioiden suorittamia korvauksia hyödyntämilleen tiedelautakunnan asiantuntijoille.</w:t>
      </w:r>
    </w:p>
    <w:p w14:paraId="3F52160F" w14:textId="0882AAD7" w:rsidR="0028476C" w:rsidRPr="009D258A" w:rsidRDefault="0061089B" w:rsidP="003833D4">
      <w:pPr>
        <w:pStyle w:val="Bullet0"/>
        <w:rPr>
          <w:noProof/>
        </w:rPr>
      </w:pPr>
      <w:r w:rsidRPr="009D258A">
        <w:rPr>
          <w:noProof/>
        </w:rPr>
        <w:t>Kohdalla 23 laajennetaan niiden ohjeiden kohdealaa, joita kansalliset viranomaiset voivat antaa pk-yrityksille ja pienille midcap-yrityksille.</w:t>
      </w:r>
    </w:p>
    <w:p w14:paraId="4812F4C5" w14:textId="66EAC280" w:rsidR="0061089B" w:rsidRPr="009D258A" w:rsidRDefault="0028476C" w:rsidP="003833D4">
      <w:pPr>
        <w:pStyle w:val="Bullet0"/>
        <w:rPr>
          <w:noProof/>
        </w:rPr>
      </w:pPr>
      <w:r w:rsidRPr="009D258A">
        <w:rPr>
          <w:noProof/>
        </w:rPr>
        <w:t>Kohdalla 24 korvataan tekoälysäädöksen artiklassa 72 komissiolle annettu valtuutus antaa täytäntöönpanosäädös markkinoille saattamisen jälkeisestä seurantasuunnitelmasta.</w:t>
      </w:r>
    </w:p>
    <w:p w14:paraId="1A44FE9D" w14:textId="2BE15003" w:rsidR="002E7A19" w:rsidRPr="009D258A" w:rsidRDefault="00266431" w:rsidP="003833D4">
      <w:pPr>
        <w:pStyle w:val="Bullet0"/>
        <w:rPr>
          <w:noProof/>
        </w:rPr>
      </w:pPr>
      <w:r w:rsidRPr="009D258A">
        <w:rPr>
          <w:noProof/>
        </w:rPr>
        <w:t>Kohdalla 25 tehdään muutoksia tiettyjen tekoälyjärjestelmien valvontaan ja vaatimusten noudattamisen varmistamiseen tekoälysäädöksen artiklassa 75:</w:t>
      </w:r>
    </w:p>
    <w:p w14:paraId="63E886BA" w14:textId="77777777" w:rsidR="000E1D3C" w:rsidRPr="009D258A" w:rsidRDefault="00C26B9C" w:rsidP="00BC675E">
      <w:pPr>
        <w:pStyle w:val="Bullet1"/>
        <w:numPr>
          <w:ilvl w:val="0"/>
          <w:numId w:val="20"/>
        </w:numPr>
        <w:rPr>
          <w:noProof/>
        </w:rPr>
      </w:pPr>
      <w:r w:rsidRPr="009D258A">
        <w:rPr>
          <w:noProof/>
        </w:rPr>
        <w:t xml:space="preserve">Alakohdalla a muutetaan otsikkoa. </w:t>
      </w:r>
    </w:p>
    <w:p w14:paraId="6A858886" w14:textId="77777777" w:rsidR="002A5645" w:rsidRPr="009D258A" w:rsidRDefault="000E1D3C" w:rsidP="000E1D3C">
      <w:pPr>
        <w:pStyle w:val="Bullet1"/>
        <w:rPr>
          <w:noProof/>
        </w:rPr>
      </w:pPr>
      <w:r w:rsidRPr="009D258A">
        <w:rPr>
          <w:noProof/>
        </w:rPr>
        <w:t>Alakohdalla b vahvistetaan tekoälytoimiston valvontavaltuuksia ja valtuuksia varmistaa vaatimusten täyttyminen sellaisten tekoälyjärjestelmien osalta, jotka perustuvat yleiskäyttöiseen tekoälymalliin, ja kun mallin ja järjestelmän tarjoaja on sama. Samalla säännöksessä selvennetään, että liitteessä I tarkoitettuihin tuotteisiin liittyvät tekoälyjärjestelmät eivät kuulu tämän valvonnan piiriin. Lisäksi selvennetään, että nimettyihin erittäin suuriin verkkoalustoihin tai erittäin suuriin verkkohakukoneisiin sulautettujen tekoälyjärjestelmien valvonnan ja vaatimustenmukaisuuden varmistamisen olisi kuuluttava tekoälytoimiston toimivaltaan.</w:t>
      </w:r>
    </w:p>
    <w:p w14:paraId="1FD37FA8" w14:textId="77777777" w:rsidR="00B31A1C" w:rsidRPr="009D258A" w:rsidRDefault="00AE6496" w:rsidP="00A9652F">
      <w:pPr>
        <w:pStyle w:val="Bullet1"/>
        <w:rPr>
          <w:noProof/>
        </w:rPr>
      </w:pPr>
      <w:r w:rsidRPr="009D258A">
        <w:rPr>
          <w:noProof/>
        </w:rPr>
        <w:t>Alakohdalla c lisätään useita uusia kohtia. Niillä komissio valtuutetaan antamaan täytäntöönpanosäädöksiä, joissa määritellään tekoälytoimiston valvontavaltuudet ja näiden valtuuksien käyttöä koskevat menettelyt, lisätään viittaus asetukseen (EU) 2019/1020, millä varmistetaan, että kyseisiin tarjoajiin sovelletaan tiettyjä menettelytakeita, ja annetaan komissiolle valtuudet suorittaa artiklan 75 soveltamisalaan kuuluvien tekoälyjärjestelmien vaatimustenmukaisuuden arviointeja.</w:t>
      </w:r>
    </w:p>
    <w:p w14:paraId="0FD516FE" w14:textId="2FA46E49" w:rsidR="00E95EE6" w:rsidRPr="009D258A" w:rsidRDefault="00E95EE6" w:rsidP="003833D4">
      <w:pPr>
        <w:pStyle w:val="Bullet0"/>
        <w:rPr>
          <w:noProof/>
        </w:rPr>
      </w:pPr>
      <w:r w:rsidRPr="009D258A">
        <w:rPr>
          <w:noProof/>
        </w:rPr>
        <w:t>Kohdalla 26 muutetaan tekoälysäädöksen artiklaa 77 perusoikeuksia suojelevien viranomaisten tai elinten valtuuksien ja markkinavalvontaviranomaisten kanssa tehtävän yhteistyön osalta.</w:t>
      </w:r>
    </w:p>
    <w:p w14:paraId="2511FD25" w14:textId="5FD0D30F" w:rsidR="00650EAE" w:rsidRPr="009D258A" w:rsidRDefault="00650EAE" w:rsidP="003833D4">
      <w:pPr>
        <w:pStyle w:val="Bullet0"/>
        <w:rPr>
          <w:noProof/>
        </w:rPr>
      </w:pPr>
      <w:r w:rsidRPr="009D258A">
        <w:rPr>
          <w:noProof/>
        </w:rPr>
        <w:t>Kohdilla 27 ja 28 ulotetaan artiklojen 95 ja 96 säännökset, joissa edellytetään, että vapaaehtoisissa tueksi kehitettävissä välineissä olisi otettava huomioon pk-yritysten tarpeet, koskemaan myös pieniä midcap-yrityksiä.</w:t>
      </w:r>
    </w:p>
    <w:p w14:paraId="7CDFC245" w14:textId="2077024F" w:rsidR="00E95EE6" w:rsidRPr="009D258A" w:rsidRDefault="00E95EE6" w:rsidP="003833D4">
      <w:pPr>
        <w:pStyle w:val="Bullet0"/>
        <w:rPr>
          <w:noProof/>
        </w:rPr>
      </w:pPr>
      <w:r w:rsidRPr="009D258A">
        <w:rPr>
          <w:noProof/>
        </w:rPr>
        <w:t>Kohdalla 29 laajennetaan tekoälysäädöksen artiklan 99 mukaiset nykyiset sääntelyhelpotukset, jotka koskevat pk-yrityksille määrättäviä seuraamuksia, koskemaan myös pieniä midcap-yrityksiä.</w:t>
      </w:r>
    </w:p>
    <w:p w14:paraId="2F2CD385" w14:textId="686E462E" w:rsidR="002E7A19" w:rsidRPr="009D258A" w:rsidRDefault="002E7A19" w:rsidP="003833D4">
      <w:pPr>
        <w:pStyle w:val="Bullet0"/>
        <w:rPr>
          <w:noProof/>
        </w:rPr>
      </w:pPr>
      <w:r w:rsidRPr="009D258A">
        <w:rPr>
          <w:noProof/>
        </w:rPr>
        <w:t>Kohta 30 sisältää tekoälysäädöksen artiklan 111 muutoksia, jotka johtuvat kohdalla 30 tehdyistä muutoksista, ja sillä asetetaan kuuden kuukauden siirtymäkausi tarjoajille, joiden on toteutettava teknisiä ratkaisuja takautuvasti generatiivisissa tekoälyjärjestelmissään, jotta ne ovat koneellisesti luettavissa ja niiden tuotokset havaittavissa keinotekoisesti tuotetuiksi tai käsitellyiksi.</w:t>
      </w:r>
    </w:p>
    <w:p w14:paraId="65BB51EE" w14:textId="040F5484" w:rsidR="0027691B" w:rsidRPr="009D258A" w:rsidRDefault="002E7A19" w:rsidP="00C77B5A">
      <w:pPr>
        <w:pStyle w:val="Bullet0"/>
        <w:rPr>
          <w:noProof/>
        </w:rPr>
      </w:pPr>
      <w:r w:rsidRPr="009D258A">
        <w:rPr>
          <w:noProof/>
        </w:rPr>
        <w:t>Kohdalla 31 tehdään muutoksia tekoälysäädöksen tiettyjen säännösten soveltamisen alkamisajankohtiin:</w:t>
      </w:r>
    </w:p>
    <w:p w14:paraId="4EA209EC" w14:textId="46A2675B" w:rsidR="008456D9" w:rsidRPr="009D258A" w:rsidRDefault="008456D9" w:rsidP="00A9652F">
      <w:pPr>
        <w:pStyle w:val="Bullet1"/>
        <w:rPr>
          <w:noProof/>
        </w:rPr>
      </w:pPr>
      <w:r w:rsidRPr="009D258A">
        <w:rPr>
          <w:noProof/>
        </w:rPr>
        <w:t>Tekoälysäädöksen luvussa III säädettyjen suuririskisiä tekoälyjärjestelmiä koskevien velvoitteiden osalta otetaan käyttöön mekanismi, joka linkittää soveltamisen alkamisen sellaisten tekijöiden, kuten yhdenmukaistettujen standardien, yhteisten teknisten eritelmien ja komission ohjeistusten saatavuuteen, joilla tuetaan suuririskisiä järjestelmiä koskevien tekoälysäädöksen sääntöjen noudattamista. Komissio vahvistaa tämän saatavuuden päätöksellä, jonka jälkeen suuririskisiä tekoälyjärjestelmiä koskevia sääntöjä aletaan soveltaa asianmukaisen siirtymäkauden jälkeen. Tätä joustoa olisi kuitenkin sovellettava vain rajoitetun ajan, ja olisi vahvistettava tarkka päivämäärä, johon mennessä sääntöjä sovelletaan joka tapauksessa. Lisäksi on aiheellista erottaa toisistaan kaksi tekoälyjärjestelmätyyppiä, jotka luokitellaan suuririskisiksi, ja pidentää siirtymäaikaa tekoälyjärjestelmille, jotka luokitellaan suuririskisiksi tekoälysäädöksen artiklan 6 kohdan 1 ja liitteen I nojalla.</w:t>
      </w:r>
    </w:p>
    <w:p w14:paraId="3963784E" w14:textId="77777777" w:rsidR="0027691B" w:rsidRPr="009D258A" w:rsidRDefault="0027691B" w:rsidP="00A9652F">
      <w:pPr>
        <w:pStyle w:val="Bullet1"/>
        <w:rPr>
          <w:noProof/>
        </w:rPr>
      </w:pPr>
      <w:r w:rsidRPr="009D258A">
        <w:rPr>
          <w:noProof/>
        </w:rPr>
        <w:t>Tässä yhteydessä selvennetään, että muutoksia, jotka ovat tarpeen suuririskisiä järjestelmiä koskevien vaatimusten sisällyttämiseksi liitteen I jaksossa B lueteltuun alakohtaiseen lainsäädäntöön, aletaan soveltaa digitaalialan koontiasetuksen tullessa voimaan.</w:t>
      </w:r>
    </w:p>
    <w:p w14:paraId="380B0C72" w14:textId="5B2A0246" w:rsidR="00D74100" w:rsidRPr="009D258A" w:rsidRDefault="00D74100" w:rsidP="00175212">
      <w:pPr>
        <w:pStyle w:val="Bullet0"/>
        <w:rPr>
          <w:noProof/>
        </w:rPr>
      </w:pPr>
      <w:r w:rsidRPr="009D258A">
        <w:rPr>
          <w:noProof/>
        </w:rPr>
        <w:t>Kohta 33 liittyy kohdalla 11 tehtyyn muutokseen, ja sillä lisätään tekoälysäädökseen uusi liite XIV, jossa esitetään koodit, luokat ja vastaavat tekoälyjärjestelmien tyypit, joihin viitataan komission uuden lähestymistavan mukaisessa ilmoitettujen ja nimettyjen organisaatioiden tietojärjestelmässä (NANDO).</w:t>
      </w:r>
    </w:p>
    <w:p w14:paraId="1AE94F87" w14:textId="77777777" w:rsidR="008456D9" w:rsidRPr="009D258A" w:rsidRDefault="00B05F0F" w:rsidP="00C77B5A">
      <w:pPr>
        <w:pStyle w:val="paragraph"/>
        <w:spacing w:before="0" w:beforeAutospacing="0" w:after="0" w:afterAutospacing="0"/>
        <w:textAlignment w:val="baseline"/>
        <w:rPr>
          <w:rStyle w:val="normaltextrun"/>
          <w:noProof/>
        </w:rPr>
      </w:pPr>
      <w:r w:rsidRPr="009D258A">
        <w:rPr>
          <w:rStyle w:val="normaltextrun"/>
          <w:noProof/>
        </w:rPr>
        <w:t>Artiklalla 2</w:t>
      </w:r>
      <w:r w:rsidRPr="009D258A">
        <w:rPr>
          <w:noProof/>
        </w:rPr>
        <w:t xml:space="preserve"> tehdään muutoksia asetukseen (EU) 2018/1139, jotta suuririskisiä järjestelmiä koskevat tekoälysäädöksen vaatimukset saadaan sisällytettyä siihen sujuvasti.</w:t>
      </w:r>
    </w:p>
    <w:p w14:paraId="039CA6EB" w14:textId="77777777" w:rsidR="008456D9" w:rsidRPr="009D258A" w:rsidRDefault="008456D9" w:rsidP="00C77B5A">
      <w:pPr>
        <w:pStyle w:val="paragraph"/>
        <w:spacing w:before="0" w:beforeAutospacing="0" w:after="0" w:afterAutospacing="0"/>
        <w:textAlignment w:val="baseline"/>
        <w:rPr>
          <w:rStyle w:val="normaltextrun"/>
          <w:noProof/>
        </w:rPr>
      </w:pPr>
    </w:p>
    <w:p w14:paraId="2BBC33AE" w14:textId="77777777" w:rsidR="009C3EE2" w:rsidRPr="009D258A" w:rsidRDefault="008456D9" w:rsidP="00C77B5A">
      <w:pPr>
        <w:pStyle w:val="paragraph"/>
        <w:spacing w:before="0" w:beforeAutospacing="0" w:after="0" w:afterAutospacing="0"/>
        <w:textAlignment w:val="baseline"/>
        <w:rPr>
          <w:rFonts w:ascii="Segoe UI" w:hAnsi="Segoe UI" w:cs="Segoe UI"/>
          <w:noProof/>
          <w:sz w:val="18"/>
          <w:szCs w:val="18"/>
        </w:rPr>
      </w:pPr>
      <w:r w:rsidRPr="009D258A">
        <w:rPr>
          <w:rStyle w:val="normaltextrun"/>
          <w:noProof/>
        </w:rPr>
        <w:t>Artiklalla 3 säädetään asetuksen voimaantulosta ja sitovuudesta.</w:t>
      </w:r>
    </w:p>
    <w:p w14:paraId="6E17576D" w14:textId="77777777" w:rsidR="003D622C" w:rsidRPr="009D258A" w:rsidRDefault="003D622C" w:rsidP="0000320E">
      <w:pPr>
        <w:pStyle w:val="Statut"/>
        <w:rPr>
          <w:noProof/>
        </w:rPr>
        <w:sectPr w:rsidR="003D622C" w:rsidRPr="009D258A" w:rsidSect="0053045F">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14:paraId="52110F54" w14:textId="68C1712C" w:rsidR="00905F1F" w:rsidRPr="009D258A" w:rsidRDefault="009D258A" w:rsidP="009D258A">
      <w:pPr>
        <w:pStyle w:val="Rfrenceinterinstitutionnelle"/>
        <w:rPr>
          <w:noProof/>
        </w:rPr>
      </w:pPr>
      <w:r>
        <w:rPr>
          <w:noProof/>
        </w:rPr>
        <w:t>2025/0359 (COD)</w:t>
      </w:r>
    </w:p>
    <w:p w14:paraId="1081D9CD" w14:textId="36E06D54" w:rsidR="004A5C63" w:rsidRPr="009D258A" w:rsidRDefault="009D258A" w:rsidP="009D258A">
      <w:pPr>
        <w:pStyle w:val="Statut"/>
        <w:rPr>
          <w:noProof/>
        </w:rPr>
      </w:pPr>
      <w:r w:rsidRPr="009D258A">
        <w:rPr>
          <w:noProof/>
        </w:rPr>
        <w:t>Ehdotus</w:t>
      </w:r>
    </w:p>
    <w:p w14:paraId="608D41D9" w14:textId="5347DDFF" w:rsidR="004A5C63" w:rsidRPr="009D258A" w:rsidRDefault="009D258A" w:rsidP="009D258A">
      <w:pPr>
        <w:pStyle w:val="Typedudocument"/>
        <w:rPr>
          <w:noProof/>
        </w:rPr>
      </w:pPr>
      <w:r w:rsidRPr="009D258A">
        <w:rPr>
          <w:noProof/>
        </w:rPr>
        <w:t>EUROOPAN PARLAMENTIN JA NEUVOSTON ASETUS</w:t>
      </w:r>
    </w:p>
    <w:p w14:paraId="2623FA66" w14:textId="68B22BAF" w:rsidR="004A5C63" w:rsidRPr="009D258A" w:rsidRDefault="009D258A" w:rsidP="009D258A">
      <w:pPr>
        <w:pStyle w:val="Titreobjet"/>
        <w:rPr>
          <w:noProof/>
        </w:rPr>
      </w:pPr>
      <w:r w:rsidRPr="009D258A">
        <w:rPr>
          <w:noProof/>
        </w:rPr>
        <w:t>asetusten (EU) 2024/1689 ja (EU) 2018/1139 muuttamisesta tekoälyä koskevien yhdenmukaistettujen sääntöjen täytäntöönpanon yksinkertaistamiseksi (tekoälyä koskeva digitaalialan koontiasetus)</w:t>
      </w:r>
    </w:p>
    <w:p w14:paraId="4D49E95B" w14:textId="1B91D257" w:rsidR="004A5C63" w:rsidRPr="009D258A" w:rsidRDefault="009D258A" w:rsidP="009D258A">
      <w:pPr>
        <w:pStyle w:val="IntrtEEE"/>
        <w:rPr>
          <w:noProof/>
        </w:rPr>
      </w:pPr>
      <w:r w:rsidRPr="009D258A">
        <w:rPr>
          <w:noProof/>
        </w:rPr>
        <w:t>(ETA:n kannalta merkityksellinen teksti)</w:t>
      </w:r>
    </w:p>
    <w:p w14:paraId="278A1AC8" w14:textId="77777777" w:rsidR="009C3EE2" w:rsidRPr="009D258A" w:rsidRDefault="009C3EE2" w:rsidP="0002735A">
      <w:pPr>
        <w:pStyle w:val="Institutionquiagit"/>
        <w:rPr>
          <w:noProof/>
        </w:rPr>
      </w:pPr>
      <w:r w:rsidRPr="009D258A">
        <w:rPr>
          <w:noProof/>
        </w:rPr>
        <w:t>EUROOPAN PARLAMENTTI JA EUROOPAN UNIONIN NEUVOSTO, jotka</w:t>
      </w:r>
    </w:p>
    <w:p w14:paraId="78323282" w14:textId="77777777" w:rsidR="009C3EE2" w:rsidRPr="009D258A" w:rsidRDefault="009C3EE2" w:rsidP="0002735A">
      <w:pPr>
        <w:rPr>
          <w:noProof/>
        </w:rPr>
      </w:pPr>
      <w:r w:rsidRPr="009D258A">
        <w:rPr>
          <w:noProof/>
        </w:rPr>
        <w:t>ottavat huomioon Euroopan unionin toiminnasta tehdyn sopimuksen ja erityisesti sen 114 artiklan,</w:t>
      </w:r>
    </w:p>
    <w:p w14:paraId="38C8ACD9" w14:textId="77777777" w:rsidR="009C3EE2" w:rsidRPr="009D258A" w:rsidRDefault="009C3EE2" w:rsidP="0002735A">
      <w:pPr>
        <w:rPr>
          <w:noProof/>
        </w:rPr>
      </w:pPr>
      <w:r w:rsidRPr="009D258A">
        <w:rPr>
          <w:noProof/>
        </w:rPr>
        <w:t>ottavat huomioon Euroopan komission ehdotuksen,</w:t>
      </w:r>
    </w:p>
    <w:p w14:paraId="059BD1FC" w14:textId="77777777" w:rsidR="009C3EE2" w:rsidRPr="009D258A" w:rsidRDefault="009C3EE2" w:rsidP="0002735A">
      <w:pPr>
        <w:rPr>
          <w:noProof/>
        </w:rPr>
      </w:pPr>
      <w:r w:rsidRPr="009D258A">
        <w:rPr>
          <w:noProof/>
        </w:rPr>
        <w:t>sen jälkeen, kun esitys lainsäätämisjärjestyksessä hyväksyttäväksi säädökseksi on toimitettu kansallisille parlamenteille,</w:t>
      </w:r>
    </w:p>
    <w:p w14:paraId="45D35928" w14:textId="77777777" w:rsidR="009C3EE2" w:rsidRPr="009D258A" w:rsidRDefault="009C3EE2" w:rsidP="0002735A">
      <w:pPr>
        <w:rPr>
          <w:noProof/>
        </w:rPr>
      </w:pPr>
      <w:r w:rsidRPr="009D258A">
        <w:rPr>
          <w:noProof/>
        </w:rPr>
        <w:t>ottavat huomioon Euroopan talous- ja sosiaalikomitean lausunnon</w:t>
      </w:r>
      <w:r w:rsidRPr="009D258A">
        <w:rPr>
          <w:rStyle w:val="FootnoteReference"/>
          <w:noProof/>
        </w:rPr>
        <w:footnoteReference w:id="13"/>
      </w:r>
      <w:r w:rsidRPr="009D258A">
        <w:rPr>
          <w:noProof/>
        </w:rPr>
        <w:t>,</w:t>
      </w:r>
    </w:p>
    <w:p w14:paraId="58103E9A" w14:textId="77777777" w:rsidR="009C3EE2" w:rsidRPr="009D258A" w:rsidRDefault="009C3EE2" w:rsidP="0002735A">
      <w:pPr>
        <w:rPr>
          <w:noProof/>
        </w:rPr>
      </w:pPr>
      <w:r w:rsidRPr="009D258A">
        <w:rPr>
          <w:noProof/>
        </w:rPr>
        <w:t>ottavat huomioon alueiden komitean lausunnon</w:t>
      </w:r>
      <w:r w:rsidRPr="009D258A">
        <w:rPr>
          <w:rStyle w:val="FootnoteReference"/>
          <w:noProof/>
        </w:rPr>
        <w:footnoteReference w:id="14"/>
      </w:r>
      <w:r w:rsidRPr="009D258A">
        <w:rPr>
          <w:noProof/>
        </w:rPr>
        <w:t>,</w:t>
      </w:r>
    </w:p>
    <w:p w14:paraId="023E8971" w14:textId="77777777" w:rsidR="009C3EE2" w:rsidRPr="009D258A" w:rsidRDefault="009C3EE2" w:rsidP="0002735A">
      <w:pPr>
        <w:rPr>
          <w:noProof/>
        </w:rPr>
      </w:pPr>
      <w:r w:rsidRPr="009D258A">
        <w:rPr>
          <w:noProof/>
        </w:rPr>
        <w:t>noudattavat tavallista lainsäätämisjärjestystä,</w:t>
      </w:r>
    </w:p>
    <w:p w14:paraId="342B7251" w14:textId="77777777" w:rsidR="009C3EE2" w:rsidRPr="009D258A" w:rsidRDefault="009C3EE2" w:rsidP="0002735A">
      <w:pPr>
        <w:rPr>
          <w:noProof/>
        </w:rPr>
      </w:pPr>
      <w:r w:rsidRPr="009D258A">
        <w:rPr>
          <w:noProof/>
        </w:rPr>
        <w:t>sekä katsovat seuraavaa:</w:t>
      </w:r>
    </w:p>
    <w:p w14:paraId="01CD6519" w14:textId="0FDF9BD0" w:rsidR="00133696" w:rsidRPr="009D258A" w:rsidRDefault="00DB7715" w:rsidP="00DB7715">
      <w:pPr>
        <w:pStyle w:val="ManualConsidrant"/>
        <w:rPr>
          <w:noProof/>
        </w:rPr>
      </w:pPr>
      <w:r w:rsidRPr="00DB7715">
        <w:rPr>
          <w:noProof/>
        </w:rPr>
        <w:t>(1)</w:t>
      </w:r>
      <w:r w:rsidRPr="00DB7715">
        <w:rPr>
          <w:noProof/>
        </w:rPr>
        <w:tab/>
      </w:r>
      <w:r w:rsidR="00650B4D" w:rsidRPr="009D258A">
        <w:rPr>
          <w:noProof/>
        </w:rPr>
        <w:t>Euroopan parlamentin ja neuvoston asetuksessa (EU) 2024/1689</w:t>
      </w:r>
      <w:r w:rsidR="00650B4D" w:rsidRPr="009D258A">
        <w:rPr>
          <w:rStyle w:val="FootnoteReference"/>
          <w:noProof/>
        </w:rPr>
        <w:footnoteReference w:id="15"/>
      </w:r>
      <w:r w:rsidR="00650B4D" w:rsidRPr="009D258A">
        <w:rPr>
          <w:noProof/>
        </w:rPr>
        <w:t xml:space="preserve"> vahvistetaan tekoälyä koskevat yhdenmukaistetut säännöt, ja sen tavoitteena on parantaa sisämarkkinoiden toimintaa, edistää ihmiskeskeisen ja luotettavan tekoälyn käyttöönottoa ja varmistaa samalla terveyden, turvallisuuden ja perusoikeuksien suojelun korkea taso sekä tukea innovointia. Asetus (EU) 2024/1689 tuli voimaan 1. elokuuta 2024. Sen säännöksiä aletaan soveltaa porrastetusti, ja kaikkia sääntöjä sovelletaan 2. elokuuta 2027 lähtien. </w:t>
      </w:r>
    </w:p>
    <w:p w14:paraId="3FAC2821" w14:textId="3461329E" w:rsidR="00A8490B" w:rsidRPr="009D258A" w:rsidRDefault="00DB7715" w:rsidP="00DB7715">
      <w:pPr>
        <w:pStyle w:val="ManualConsidrant"/>
        <w:rPr>
          <w:noProof/>
        </w:rPr>
      </w:pPr>
      <w:r w:rsidRPr="00DB7715">
        <w:rPr>
          <w:noProof/>
        </w:rPr>
        <w:t>(2)</w:t>
      </w:r>
      <w:r w:rsidRPr="00DB7715">
        <w:rPr>
          <w:noProof/>
        </w:rPr>
        <w:tab/>
      </w:r>
      <w:r w:rsidR="00666152" w:rsidRPr="009D258A">
        <w:rPr>
          <w:noProof/>
        </w:rPr>
        <w:t>Asetuksen (EU) 2024/1689 jo sovellettavien osien täytäntöönpanosta saadut kokemukset voivat olla hyödyksi niiden osien täytäntöönpanossa, joita ei vielä ole alettu soveltaa. Tässä yhteydessä viivästymiset valmisteltaessa standardeja, joiden pitäisi tarjota suuririskisten tekoälyjärjestelmien tarjoajille teknisiä keinoja varmistaa asetuksen mukaisten velvoitteiden täyttyminen, sekä viiveet hallintorakenteen ja vaatimustenmukaisuuden arviointijärjestelmän perustamisessa kansallisella tasolla johtavat siihen, että vaatimusten täyttämisestä tulee odotettua työläämpää. Lisäksi sidosryhmäkuulemiset ovat osoittaneet, että tarvitaan lisätoimenpiteitä täytäntöönpanon ja vaatimusten noudattamisen helpottamiseksi ja selkeyttämiseksi heikentämättä kuitenkaan asetuksen (EU) 2024/1689 säännöillä tavoiteltua terveyden, turvallisuuden ja perusoikeuksien suojaa tekoälyyn liittyviltä riskeiltä.</w:t>
      </w:r>
    </w:p>
    <w:p w14:paraId="4A8C4EBC" w14:textId="4A442C38" w:rsidR="004D730C" w:rsidRPr="009D258A" w:rsidRDefault="00DB7715" w:rsidP="00DB7715">
      <w:pPr>
        <w:pStyle w:val="ManualConsidrant"/>
        <w:rPr>
          <w:noProof/>
        </w:rPr>
      </w:pPr>
      <w:r w:rsidRPr="00DB7715">
        <w:rPr>
          <w:noProof/>
        </w:rPr>
        <w:t>(3)</w:t>
      </w:r>
      <w:r w:rsidRPr="00DB7715">
        <w:rPr>
          <w:noProof/>
        </w:rPr>
        <w:tab/>
      </w:r>
      <w:r w:rsidR="006C6077" w:rsidRPr="009D258A">
        <w:rPr>
          <w:noProof/>
        </w:rPr>
        <w:t>Näin ollen asetukseen (EU) 2024/1689 on tarpeen tehdä kohdennettuja muutoksia tiettyjen täytäntöönpanohaasteiden ratkaisemiseksi, jotta kyseessä olevia sääntöjä päästään soveltamaan tuloksellisesti.</w:t>
      </w:r>
    </w:p>
    <w:p w14:paraId="03B55D7D" w14:textId="65A01B4C" w:rsidR="004D730C" w:rsidRPr="009D258A" w:rsidRDefault="00DB7715" w:rsidP="00DB7715">
      <w:pPr>
        <w:pStyle w:val="ManualConsidrant"/>
        <w:rPr>
          <w:noProof/>
        </w:rPr>
      </w:pPr>
      <w:r w:rsidRPr="00DB7715">
        <w:rPr>
          <w:noProof/>
        </w:rPr>
        <w:t>(4)</w:t>
      </w:r>
      <w:r w:rsidRPr="00DB7715">
        <w:rPr>
          <w:noProof/>
        </w:rPr>
        <w:tab/>
      </w:r>
      <w:r w:rsidR="004D730C" w:rsidRPr="009D258A">
        <w:rPr>
          <w:noProof/>
        </w:rPr>
        <w:t>Yrityksillä, jotka ovat kasvaneet niin, että ne jäävät mikroyritysten ja pk-yritysten määritelmän ulkopuolelle – eli pienillä midcap-yrityksillä – on keskeinen rooli unionin taloudessa. Pienten midcap-yritysten kasvu on pk-yrityksiin verrattuna yleensä nopeampaa ja innovointi ja digitalisaatio yleisempää. Niillä on kuitenkin samankaltaisia hallinnolliseen taakkaan liittyviä haasteita kuin pk-yrityksillä, minkä vuoksi niitä on asetuksen (EU) 2024/1689 täytäntöönpanossa kohdeltava oikeasuhteisesti ja tuettava kohdennetusti. Jotta yritysten siirtyminen pk-yrityksestä pieneksi midcap-yritykseksi sujuisi saumattomasti, on tärkeää puuttua johdonmukaisesti niiden toimintaan sääntelystä mahdollisesti kohdistuviin vaikutuksiin, kun nämä yritykset kasvavat ulos pk-yrityssegmentistä ja joutuvat noudattamaan suuriin yrityksiin sovellettavia sääntöjä. Asetuksessa (EU) 2024/1689 säädetään useista pienen mittaluokan tarjoajia koskevista huojennuksista, jotka olisi ulotettava koskemaan pieniä midcap-yrityksiä. Jotta voidaan selkeyttää pk-yritysten ja pienten midcap-yritysten kohtelua asetuksessa (EU) 2024/1689, on tarpeen ottaa käyttöön pk-yritysten ja pienten midcap-yritysten määritelmät, joiden olisi vastattava komission suosituksen 2003/361/EY</w:t>
      </w:r>
      <w:r w:rsidR="004D730C" w:rsidRPr="009D258A">
        <w:rPr>
          <w:rStyle w:val="FootnoteReference"/>
          <w:noProof/>
        </w:rPr>
        <w:footnoteReference w:id="16"/>
      </w:r>
      <w:r w:rsidR="004D730C" w:rsidRPr="009D258A">
        <w:rPr>
          <w:noProof/>
        </w:rPr>
        <w:t xml:space="preserve"> liitteessä ja komission suosituksen 2025/3500/EY</w:t>
      </w:r>
      <w:r w:rsidR="004D730C" w:rsidRPr="009D258A">
        <w:rPr>
          <w:rStyle w:val="FootnoteReference"/>
          <w:noProof/>
        </w:rPr>
        <w:footnoteReference w:id="17"/>
      </w:r>
      <w:r w:rsidR="004D730C" w:rsidRPr="009D258A">
        <w:rPr>
          <w:noProof/>
        </w:rPr>
        <w:t xml:space="preserve"> liitteessä esitettyjä määritelmiä. </w:t>
      </w:r>
    </w:p>
    <w:p w14:paraId="5FD03A0F" w14:textId="2B974789" w:rsidR="004D730C" w:rsidRPr="009D258A" w:rsidRDefault="00DB7715" w:rsidP="00DB7715">
      <w:pPr>
        <w:pStyle w:val="ManualConsidrant"/>
        <w:rPr>
          <w:noProof/>
        </w:rPr>
      </w:pPr>
      <w:r w:rsidRPr="00DB7715">
        <w:rPr>
          <w:noProof/>
        </w:rPr>
        <w:t>(5)</w:t>
      </w:r>
      <w:r w:rsidRPr="00DB7715">
        <w:rPr>
          <w:noProof/>
        </w:rPr>
        <w:tab/>
      </w:r>
      <w:r w:rsidR="004D730C" w:rsidRPr="009D258A">
        <w:rPr>
          <w:noProof/>
        </w:rPr>
        <w:t>Asetuksen (EU) 2024/1689 4 artiklassa asetetaan kaikille tekoälyjärjestelmien tarjoajille ja käyttöönottajille velvoite varmistaa henkilöstönsä tekoälylukutaito. Tekoälylukutaidon kehittäminen alkaen opetuksesta ja koulutuksesta ja jatkuen elinikäisenä oppimisena on ratkaisevan tärkeää, jotta tarjoajille, käyttöönottajille ja muille osapuolille voidaan antaa tarvittava kyky tehdä tietoon perustuvia päätöksiä tekoälyjärjestelmien käytöstä. Sidosryhmien jakamat kokemukset osoittavat kuitenkin, että yhden koon ratkaisu tekoälylukutaidon edistämiseksi ei sovellu kaikentyyppisille tarjoajille ja käyttöönottajille, joten tällainen horisontaalinen velvoite ei toimi pyrittäessä kyseisen säännöksen tavoitteeseen. Lisäksi saadut tiedot osoittavat, että tällaisen velvoitteen asettaminen aiheuttaa vaatimusten täyttämisestä ylimääräisen rasitteen erityisesti pienemmille yrityksille, kun taas tekoälylukutaidon parantamisen olisi oltava strategisen tason painopiste, riippumatta sääntelyvelvoitteista ja mahdollisista seuraamuksista. Tämän vuoksi asetuksen (EU) 2024/1689 4 artiklaa olisi muutettava edellyttämällä, että jäsenvaltiot ja komissio kannustavat toimivaltansa mukaisesti erikseen, yhdessä ja yhteistyössä asiaankuuluvien sidosryhmien kanssa tarjoajia ja käyttöönottajia aikaansaamaan riittävän tasoisen tekoälylukutaidon henkilöstölleen ja muille henkilöille, jotka ylläpitävät ja käyttävät tekoälyjärjestelmiä niiden puolesta, muun muassa tarjoamalla koulutusmahdollisuuksia, tuottamalla tietoresursseja ja mahdollistamalla kokemustenvaihdon hyvistä käytännöistä sekä käyttämällä muunlaisia oikeudellisesti sitomattomia aloitteita. Euroopan tekoälyneuvosto, jäljempänä ’tekoälyneuvosto’, varmistaa asiaa koskevan säännöllisen yhteydenpidon komission ja jäsenvaltioiden välillä, kun taas tekoälyn soveltamisallianssi (</w:t>
      </w:r>
      <w:r w:rsidR="004D730C" w:rsidRPr="009D258A">
        <w:rPr>
          <w:i/>
          <w:iCs/>
          <w:noProof/>
        </w:rPr>
        <w:t>Apply AI Alliance</w:t>
      </w:r>
      <w:r w:rsidR="004D730C" w:rsidRPr="009D258A">
        <w:rPr>
          <w:noProof/>
        </w:rPr>
        <w:t>) mahdollistaa keskustelut laajemman yhteisön kanssa. Tämä muutos ei vaikuta komission ja jäsenvaltioiden toteuttamiin laajempiin toimenpiteisiin, joilla edistetään tekoälylukutaitoa ja -osaamista laajemmin väestön, kuten eri-ikäisten oppilaiden, opiskelijoiden ja yleensäkin kansalaisten, keskuudessa varsinkin koulutusjärjestelmien kautta.</w:t>
      </w:r>
    </w:p>
    <w:p w14:paraId="52502D63" w14:textId="32A2D377" w:rsidR="004D730C" w:rsidRPr="009D258A" w:rsidRDefault="00DB7715" w:rsidP="00DB7715">
      <w:pPr>
        <w:pStyle w:val="ManualConsidrant"/>
        <w:rPr>
          <w:noProof/>
        </w:rPr>
      </w:pPr>
      <w:r w:rsidRPr="00DB7715">
        <w:rPr>
          <w:noProof/>
        </w:rPr>
        <w:t>(6)</w:t>
      </w:r>
      <w:r w:rsidRPr="00DB7715">
        <w:rPr>
          <w:noProof/>
        </w:rPr>
        <w:tab/>
      </w:r>
      <w:r w:rsidR="004D730C" w:rsidRPr="009D258A">
        <w:rPr>
          <w:noProof/>
        </w:rPr>
        <w:t>Vinoutumien havaitseminen ja korjaaminen tuottaa merkittävää yleistä hyötyä, koska näin voidaan suojella ihmisiä vinoutumien kielteisiltä vaikutuksilta, kuten syrjinnältä. Syrjintää voisi aiheutua vinoutumista tekoälymalleissa ja muissa kuin suuririskisissä tekoälyjärjestelmissä, joiden osalta asetus (EU) 2024/1689 muodostaa jo oikeusperustan erityisten henkilötietoryhmien käsittelylle Euroopan parlamentin ja neuvoston asetuksen (EU) 2016/679</w:t>
      </w:r>
      <w:r w:rsidR="004D730C" w:rsidRPr="009D258A">
        <w:rPr>
          <w:rStyle w:val="FootnoteReference"/>
          <w:noProof/>
        </w:rPr>
        <w:footnoteReference w:id="18"/>
      </w:r>
      <w:r w:rsidR="004D730C" w:rsidRPr="009D258A">
        <w:rPr>
          <w:noProof/>
        </w:rPr>
        <w:t> 9 artiklan 2 kohdan g alakohdan nojalla. Koska syrjintää voisi aiheutua myös muista tekoälyjärjestelmistä ja -malleista, on asianmukaista säätää asetuksessa (EU) 2024/1689 oikeusperustasta erityisten henkilötietoryhmien käsittelylle myös muiden tekoälyjärjestelmien ja -mallien tarjoajien ja käyttöönottajien sekä suuririskisten tekoälyjärjestelmien käyttöönottajien toimesta. Oikeusperusta vahvistetaan asetuksen (EU) 2016/679 9 artiklan 2 kohdan g alakohdan, Euroopan parlamentin ja neuvoston asetuksen (EU) 2018/1725</w:t>
      </w:r>
      <w:r w:rsidR="004D730C" w:rsidRPr="009D258A">
        <w:rPr>
          <w:rStyle w:val="FootnoteReference"/>
          <w:rFonts w:eastAsia="Times New Roman"/>
          <w:noProof/>
        </w:rPr>
        <w:footnoteReference w:id="19"/>
      </w:r>
      <w:r w:rsidR="004D730C" w:rsidRPr="009D258A">
        <w:rPr>
          <w:noProof/>
        </w:rPr>
        <w:t> 10 artiklan 2 kohdan g alakohdan ja Euroopan parlamentin ja neuvoston direktiivin (EU) 2016/680</w:t>
      </w:r>
      <w:r w:rsidR="004D730C" w:rsidRPr="009D258A">
        <w:rPr>
          <w:rStyle w:val="FootnoteReference"/>
          <w:rFonts w:eastAsia="Times New Roman"/>
          <w:noProof/>
        </w:rPr>
        <w:footnoteReference w:id="20"/>
      </w:r>
      <w:r w:rsidR="004D730C" w:rsidRPr="009D258A">
        <w:rPr>
          <w:noProof/>
        </w:rPr>
        <w:t> 10 artiklan a alakohdan mukaisesti ja sen nojalla kaikenlaisten tekoälyjärjestelmien ja -mallien tarjoajat ja käyttöönottajat voivat tarvittaessa käsitellä erityisiä henkilötietoryhmiä, kunhan toteutetaan asianmukaiset varotoimet, joilla täydennetään tapauksen mukaan asetusta (EU) 2016/679, asetusta (EU) 2018/1725 tai direktiiviä (EU) 2016/680.</w:t>
      </w:r>
    </w:p>
    <w:p w14:paraId="68EA03EE" w14:textId="23BA06C7" w:rsidR="004D730C" w:rsidRPr="009D258A" w:rsidRDefault="00DB7715" w:rsidP="00DB7715">
      <w:pPr>
        <w:pStyle w:val="ManualConsidrant"/>
        <w:rPr>
          <w:noProof/>
        </w:rPr>
      </w:pPr>
      <w:r w:rsidRPr="00DB7715">
        <w:rPr>
          <w:noProof/>
        </w:rPr>
        <w:t>(7)</w:t>
      </w:r>
      <w:r w:rsidRPr="00DB7715">
        <w:rPr>
          <w:noProof/>
        </w:rPr>
        <w:tab/>
      </w:r>
      <w:r w:rsidR="0065427B" w:rsidRPr="009D258A">
        <w:rPr>
          <w:noProof/>
        </w:rPr>
        <w:t>Jotta voidaan varmistaa johdonmukaisuus, välttää päällekkäisyyksiä ja minimoida asetuksen (EU) 2024/1689 mukaiseen ilmoitettujen laitosten nimeämismenettelyyn liittyvä hallinnollinen rasite säilyttäen samalla sama valvonnan taso, asetuksen (EU) 2024/1689 liitteessä I olevassa A jaksossa luetellun unionin yhdenmukaistamislainsäädännön, kuten Euroopan parlamentin ja neuvoston asetusten (EU) 2017/745</w:t>
      </w:r>
      <w:r w:rsidR="0065427B" w:rsidRPr="009D258A">
        <w:rPr>
          <w:rStyle w:val="FootnoteReference"/>
          <w:noProof/>
        </w:rPr>
        <w:footnoteReference w:id="21"/>
      </w:r>
      <w:r w:rsidR="0065427B" w:rsidRPr="009D258A">
        <w:rPr>
          <w:noProof/>
        </w:rPr>
        <w:t xml:space="preserve"> ja (EU) 2017/746</w:t>
      </w:r>
      <w:r w:rsidR="0065427B" w:rsidRPr="009D258A">
        <w:rPr>
          <w:rStyle w:val="FootnoteReference"/>
          <w:noProof/>
        </w:rPr>
        <w:footnoteReference w:id="22"/>
      </w:r>
      <w:r w:rsidR="0065427B" w:rsidRPr="009D258A">
        <w:rPr>
          <w:noProof/>
        </w:rPr>
        <w:t>, nojalla nimettävien uusien vaatimustenmukaisuuden arviointilaitosten ja ilmoitettujen laitosten käytettävissä olisi oltava yksi yhteinen haku- ja arviointimenettely, jos tällaisesta menettelystä säädetään kyseisessä unionin yhdenmukaistamissäädöksessä. Yhteisellä haku- ja arviointimenettelyllä pyritään helpottamaan, tukemaan ja nopeuttamaan asetuksessa (EU) 2024/1689 edellytettyä nimeämismenettelyä ja varmistamaan samalla, että ilmoitettuihin laitoksiin asetuksen (EU) 2024/1689 ja sen liitteessä I olevassa A jaksossa luetellun unionin yhdenmukaistamislainsäädännön nojalla sovellettavat vaatimukset täyttyvät.</w:t>
      </w:r>
    </w:p>
    <w:p w14:paraId="74A5C0E9" w14:textId="5BBE045B" w:rsidR="004D730C" w:rsidRPr="009D258A" w:rsidRDefault="00DB7715" w:rsidP="00DB7715">
      <w:pPr>
        <w:pStyle w:val="ManualConsidrant"/>
        <w:rPr>
          <w:noProof/>
        </w:rPr>
      </w:pPr>
      <w:r w:rsidRPr="00DB7715">
        <w:rPr>
          <w:noProof/>
        </w:rPr>
        <w:t>(8)</w:t>
      </w:r>
      <w:r w:rsidRPr="00DB7715">
        <w:rPr>
          <w:noProof/>
        </w:rPr>
        <w:tab/>
      </w:r>
      <w:r w:rsidR="004D730C" w:rsidRPr="009D258A">
        <w:rPr>
          <w:noProof/>
        </w:rPr>
        <w:t>Asetuksen (EU) 2024/1689 sujuvan soveltamisen ja johdonmukaisuuden varmistamiseksi siihen olisi tehtävä muutoksia. Asetuksen (EU) 2024/1689 43 artiklan 3 kohdan ensimmäiseen alakohtaan olisi tehtävä tekninen korjaus vaatimustenmukaisuuden arviointia koskevien vaatimusten saattamiseksi linjaan suuririskisten tekoälyjärjestelmien tarjoajia koskevien asetuksen 16 artiklassa säädettyjen vaatimusten kanssa. Lisäksi olisi selvennettävä, että jos suuririskisen tekoälyjärjestelmän tarjoajaan sovelletaan asetuksen (EU) 2024/1689 liitteessä I olevassa A jaksossa luetellun unionin yhdenmukaistamislainsäädännön nojalla vaatimustenmukaisuuden arviointimenettelyä ja vaatimustenmukaisuuden arviointi kattaa asetuksen (EU) 2024/1689 mukaisen laadunhallintajärjestelmän ja unionin yhdenmukaistamislainsäädännön mukaisen laadunhallintajärjestelmän, tarjoajan olisi voitava sisällyttää asetukseen (EU) 2024/1689 perustuvat laadunhallintajärjestelmän näkökohdat osaksi unionin yhdenmukaistamislainsäädäntöön perustuvaa laadunhallintajärjestelmää asetuksen (EU) 2024/1689 17 artiklan 3 kohdan mukaisesti. Asetuksen (EU) 2024/1689 43 artiklan 3 kohdan toista alakohtaa olisi muutettava sen selventämiseksi, että ilmoitettujen laitosten, jotka on ilmoitettu asetuksen (EU) 2024/1689 liitteessä I olevassa A jaksossa luetellun unionin yhdenmukaistamislainsäädännön nojalla ja joiden tavoitteena on arvioida tällaisen yhdenmukaistamislainsäädännön piiriin kuuluvia suuririskisiä tekoälyjärjestelmiä, olisi haettava nimeämistä ilmoitetuksi laitokseksi asetuksen (EU) 2024/1689 nojalla 18 kuukauden kuluessa [tämän asetuksen soveltamisen alkamisesta]. Tämä muutos ei rajoita asetuksen (EU) 2024/1689 28 artiklan soveltamista. Lisäksi asetusta (EU) 2024/1689 olisi muutettava sen selventämiseksi, että jos suuririskinen tekoälyjärjestelmä sekä kuuluu asetuksen (EU) 2024/1689 liitteessä I olevassa A jaksossa luetellun unionin yhdenmukaistamislainsäädännön piiriin että vastaa jotakin asetuksen liitteessä III luetelluista käyttötapauksista, tarjoajan olisi noudatettava kyseisessä yhdenmukaistamislainsäädännössä edellytettyä vaatimustenmukaisuuden arviointimenettelyä.</w:t>
      </w:r>
    </w:p>
    <w:p w14:paraId="4D09FA71" w14:textId="76CE19BB" w:rsidR="2FD5D449" w:rsidRPr="009D258A" w:rsidRDefault="00DB7715" w:rsidP="00DB7715">
      <w:pPr>
        <w:pStyle w:val="ManualConsidrant"/>
        <w:rPr>
          <w:rFonts w:eastAsia="Times New Roman"/>
          <w:noProof/>
        </w:rPr>
      </w:pPr>
      <w:r w:rsidRPr="00DB7715">
        <w:rPr>
          <w:noProof/>
        </w:rPr>
        <w:t>(9)</w:t>
      </w:r>
      <w:r w:rsidRPr="00DB7715">
        <w:rPr>
          <w:noProof/>
        </w:rPr>
        <w:tab/>
      </w:r>
      <w:r w:rsidR="2FD5D449" w:rsidRPr="009D258A">
        <w:rPr>
          <w:noProof/>
        </w:rPr>
        <w:t>Vaatimusten noudattamisen sujuvoittamiseksi ja siitä aiheutuvien kustannusten vähentämiseksi tekoälyjärjestelmien tarjoajia ei pitäisi vaatia rekisteröimään asetuksen (EU) 2024/1689 6 artiklan 3 kohdassa tarkoitettuja tekoälyjärjestelmiä asetuksen 49 artiklan 2 kohdan nojalla EU:n tietokantaan. Koska tällaisia järjestelmiä ei tietyin edellytyksin pidetä suuririskisinä, jos ne eivät aiheuta merkittävää riskiä ihmisten terveydelle, turvallisuudelle tai perusoikeuksille, rekisteröintivaatimusten asettaminen aiheuttaisi kohtuuttoman rasitteen. Tarjoajalla, joka katsoo järjestelmänsä kuuluvan 6 artiklan 3 kohdan soveltamisalaan, on kuitenkin edelleen velvollisuus dokumentoida oma arvionsa ennen kuin kyseinen järjestelmä saatetaan markkinoille tai otetaan käyttöön. Kansalliset toimivaltaiset viranomaiset voivat pyytää tätä arviota tarkasteltavakseen.</w:t>
      </w:r>
    </w:p>
    <w:p w14:paraId="12D9B1E5" w14:textId="426D5120" w:rsidR="004D730C" w:rsidRPr="009D258A" w:rsidRDefault="00DB7715" w:rsidP="00DB7715">
      <w:pPr>
        <w:pStyle w:val="ManualConsidrant"/>
        <w:rPr>
          <w:noProof/>
        </w:rPr>
      </w:pPr>
      <w:r w:rsidRPr="00DB7715">
        <w:rPr>
          <w:noProof/>
        </w:rPr>
        <w:t>(10)</w:t>
      </w:r>
      <w:r w:rsidRPr="00DB7715">
        <w:rPr>
          <w:noProof/>
        </w:rPr>
        <w:tab/>
      </w:r>
      <w:r w:rsidR="004D730C" w:rsidRPr="009D258A">
        <w:rPr>
          <w:noProof/>
        </w:rPr>
        <w:t>Asetuksen (EU) 2024/1689 57, 58 ja 60 artiklaa olisi muutettava, jotta voidaan vahvistaa edelleen yhteistyötä unionin tasolla tekoälyn sääntelyn testiympäristöissä, selkeyttää ja johdonmukaistaa tekoälyn sääntelyn testiympäristöjen hallinnointia ja laajentaa todellisissa olosuhteissa tapahtuvaa testausta tekoälyn sääntelyn testiympäristöjen ulkopuolella suuririskisiin tekoälyjärjestelmiin, jotka kuuluvat asetuksen liitteessä I luetellun unionin yhdenmukaistamislainsäädännön piiriin. Varsinkin menettelyjen yksinkertaistamiseksi tekoälyn sääntelyn testiympäristöissä valvotuissa hankkeissa, joihin sisältyy myös todellisissa olosuhteissa suoritettavaa testausta, todellisissa olosuhteissa tapahtuvaa testausta koskeva suunnitelma olisi yhdistettävä samassa asiakirjassa tarjoajien tai mahdollisten tarjoajien ja toimivaltaisen viranomaisen sopimaan testiympäristösuunnitelmaan. Lisäksi on aiheellista säätää tekoälytoimiston mahdollisuudesta perustaa unionin tasolla tekoälyn sääntelyn testiympäristö tekoälyjärjestelmille, jotka kuuluvat asetuksen (EU) 2024/1689 75 artiklan 1 kohdan piiriin. Näitä infrastruktuureja hyödyntämällä ja rajat ylittävää yhteistyötä helpottamalla voitaisiin sujuvoittaa koordinointia ja käyttää resurssit optimaalisella tavalla.</w:t>
      </w:r>
    </w:p>
    <w:p w14:paraId="448A66CC" w14:textId="44350E2B" w:rsidR="001E1B04" w:rsidRPr="009D258A" w:rsidRDefault="00DB7715" w:rsidP="00DB7715">
      <w:pPr>
        <w:pStyle w:val="ManualConsidrant"/>
        <w:rPr>
          <w:noProof/>
        </w:rPr>
      </w:pPr>
      <w:r w:rsidRPr="00DB7715">
        <w:rPr>
          <w:noProof/>
        </w:rPr>
        <w:t>(11)</w:t>
      </w:r>
      <w:r w:rsidRPr="00DB7715">
        <w:rPr>
          <w:noProof/>
        </w:rPr>
        <w:tab/>
      </w:r>
      <w:r w:rsidR="004D730C" w:rsidRPr="009D258A">
        <w:rPr>
          <w:noProof/>
        </w:rPr>
        <w:t>Innovoinnin edistämiseksi on myös aiheellista laajentaa asetuksen (EU) 2024/1689 60 artiklassa käsiteltyä todellisissa olosuhteissa tekoälyn sääntelyn testiympäristöjen ulkopuolella tapahtuvaa testausta, joka tällä hetkellä koskee vain asetuksen liitteessä III lueteltuja suuririskisiä tekoälyjärjestelmiä, ja antaa myös asetuksen liitteessä I luetellun unionin yhdenmukaistamislainsäädännön piiriin kuuluvien suuririskisten tekoälyjärjestelmien tarjoajille ja mahdollisille tarjoajille mahdollisuus testata tällaisia järjestelmiä todellisissa olosuhteissa. Tällä ei rajoiteta unionin tai kansallista muuta lainsäädäntöä, joka koskee tällaisiin yhdenmukaistamislainsäädännön piiriin kuuluviin tuotteisiin liittyvien suuririskisten tekoälyjärjestelmien todellisissa olosuhteissa suoritettavaa testausta. Asetuksen liitteessä I olevassa B jaksossa luetellun unionin yhdenmukaistamislainsäädännön kattamia suuririskisiä tekoälyjärjestelmiä varten on tarpeen sallia vapaaehtoisten sopimusten tekeminen komission ja jäsenvaltioiden välillä tällaisten suuririskisten tekoälyjärjestelmien testauksen mahdollistamiseksi todellisissa olosuhteissa.</w:t>
      </w:r>
    </w:p>
    <w:p w14:paraId="0C967A54" w14:textId="599F02A3" w:rsidR="007C5E2E" w:rsidRPr="009D258A" w:rsidRDefault="00DB7715" w:rsidP="00DB7715">
      <w:pPr>
        <w:pStyle w:val="ManualConsidrant"/>
        <w:rPr>
          <w:noProof/>
        </w:rPr>
      </w:pPr>
      <w:r w:rsidRPr="00DB7715">
        <w:rPr>
          <w:noProof/>
        </w:rPr>
        <w:t>(12)</w:t>
      </w:r>
      <w:r w:rsidRPr="00DB7715">
        <w:rPr>
          <w:noProof/>
        </w:rPr>
        <w:tab/>
      </w:r>
      <w:r w:rsidR="007C5E2E" w:rsidRPr="009D258A">
        <w:rPr>
          <w:noProof/>
        </w:rPr>
        <w:t>Asetuksen (EU) 2024/1689 63 artiklassa annetaan suuririskisiä tekoälyjärjestelmiä tarjoaville mikroyrityksille mahdollisuus täyttää laadunhallintajärjestelmän perustamista koskeva velvoite yksinkertaistetulla tavalla. Jotta vaatimusten täyttäminen olisi helpompaa useammille innovoijille, tämä mahdollisuus olisi ulotettava koskemaan kaikkia pk-yrityksiä, myös startup-yrityksiä.</w:t>
      </w:r>
    </w:p>
    <w:p w14:paraId="03DF904E" w14:textId="10EC705B" w:rsidR="004D730C" w:rsidRPr="009D258A" w:rsidRDefault="00DB7715" w:rsidP="00DB7715">
      <w:pPr>
        <w:pStyle w:val="ManualConsidrant"/>
        <w:rPr>
          <w:noProof/>
        </w:rPr>
      </w:pPr>
      <w:r w:rsidRPr="00DB7715">
        <w:rPr>
          <w:noProof/>
        </w:rPr>
        <w:t>(13)</w:t>
      </w:r>
      <w:r w:rsidRPr="00DB7715">
        <w:rPr>
          <w:noProof/>
        </w:rPr>
        <w:tab/>
      </w:r>
      <w:r w:rsidR="00D77898" w:rsidRPr="009D258A">
        <w:rPr>
          <w:noProof/>
        </w:rPr>
        <w:t xml:space="preserve">Asetuksen (EU) 2024/1689 69 artiklaa olisi muutettava tiedelautakunnan maksurakenteen yksinkertaistamiseksi. Kun jäsenvaltiot turvautuvat lautakunnan asiantuntemukseen, niille koituville, asiantuntijoille suoritettaviksi mahdollisesti tulevien maksujen olisi vastattava korvausta, joka komission on maksettava vastaavissa olosuhteissa. Menettelyjen yksinkertaistamiseksi jäsenvaltioiden olisi lisäksi voitava kuulla tiedelautakunnan asiantuntijoita suoraan ilman komission osallistumista. </w:t>
      </w:r>
    </w:p>
    <w:p w14:paraId="32AFC51F" w14:textId="6A63C794" w:rsidR="004D730C" w:rsidRPr="009D258A" w:rsidRDefault="00DB7715" w:rsidP="00DB7715">
      <w:pPr>
        <w:pStyle w:val="ManualConsidrant"/>
        <w:rPr>
          <w:noProof/>
        </w:rPr>
      </w:pPr>
      <w:r w:rsidRPr="00DB7715">
        <w:rPr>
          <w:noProof/>
        </w:rPr>
        <w:t>(14)</w:t>
      </w:r>
      <w:r w:rsidRPr="00DB7715">
        <w:rPr>
          <w:noProof/>
        </w:rPr>
        <w:tab/>
      </w:r>
      <w:r w:rsidR="004D730C" w:rsidRPr="009D258A">
        <w:rPr>
          <w:noProof/>
        </w:rPr>
        <w:t>Jotta voidaan vahvistaa yleiskäyttöisiin tekoälymalleihin perustuvien tekoälyjärjestelmien hallinnointijärjestelmää, on tarpeen selventää tekoälytoimiston roolia seurannassa ja valvottaessa, että tällaiset tekoälyjärjestelmät täyttävät asetuksen (EU) 2024/1689 vaatimukset, mutta jättää sen suorittaman valvonnan ulkopuolelle tekoälyjärjestelmät, jotka liittyvät asetuksen liitteessä I luetellun unionin yhdenmukaistamislainsäädännön piiriin kuuluviin tuotteisiin. Vaikka sektoriviranomaiset ovat edelleen vastuussa kyseisen unionin yhdenmukaistamislainsäädännön piiriin kuuluviin tuotteisiin liittyvien tekoälyjärjestelmien valvonnasta, asetuksen (EU) 2024/1689 75 artiklan 1 kohtaa olisi muutettava siten, että kaikki yleiskäyttöisiin tekoälymalleihin perustuvat saman tarjoajan kehittämät tekoälyjärjestelmät otetaan tekoälytoimiston valvonnan alaisuuteen. Tähän eivät sisälly unionin toimielinten tai unionin muiden elinten, toimistojen tai virastojen markkinoille saattamat, käyttöön asettamat tai käyttämät tekoälyjärjestelmät, jotka kuuluvat asetuksen (EU) 2024/1689 74 artiklan 9 kohdan nojalla Euroopan tietosuojavaltuutetun valvonnan alaisuuteen. Jotta voidaan varmistaa kyseisten tekoälyjärjestelmien tuloksellinen valvonta markkinavalvontaviranomaisille asetuksen (EU) 2024/1689 nojalla osoitettujen tehtävien ja vastuiden mukaisesti, tekoälytoimistolla olisi oltava valtuudet toteuttaa asianmukaiset toimenpiteet ja tehdä asianmukaiset päätökset, jotta se voi riittävällä tavalla käyttää kyseisessä jaksossa ja Euroopan parlamentin ja neuvoston asetuksessa (EU) 2019/1020</w:t>
      </w:r>
      <w:r w:rsidR="004D730C" w:rsidRPr="009D258A">
        <w:rPr>
          <w:rStyle w:val="FootnoteReference"/>
          <w:noProof/>
        </w:rPr>
        <w:footnoteReference w:id="23"/>
      </w:r>
      <w:r w:rsidR="004D730C" w:rsidRPr="009D258A">
        <w:rPr>
          <w:noProof/>
        </w:rPr>
        <w:t xml:space="preserve"> säädettyjä valtuuksiaan. Asetuksen (EU) 2019/1020 14 artiklaa olisi sovellettava soveltuvin osin. Asetuksen (EU) 2024/1689 tuloksellisen täytäntöönpanon varmistamiseksi sen soveltamiseen osallistuvien viranomaisten olisi lisäksi tehtävä aktiivisesti yhteistyötä näitä valtuuksia käyttäessään erityisesti silloin, kun täytäntöönpanotoimia on toteutettava jonkin jäsenvaltion alueella. </w:t>
      </w:r>
    </w:p>
    <w:p w14:paraId="1C2A065D" w14:textId="3470E73C" w:rsidR="004D730C" w:rsidRPr="009D258A" w:rsidRDefault="00DB7715" w:rsidP="00DB7715">
      <w:pPr>
        <w:pStyle w:val="ManualConsidrant"/>
        <w:rPr>
          <w:noProof/>
        </w:rPr>
      </w:pPr>
      <w:r w:rsidRPr="00DB7715">
        <w:rPr>
          <w:noProof/>
        </w:rPr>
        <w:t>(15)</w:t>
      </w:r>
      <w:r w:rsidRPr="00DB7715">
        <w:rPr>
          <w:noProof/>
        </w:rPr>
        <w:tab/>
      </w:r>
      <w:r w:rsidR="004D730C" w:rsidRPr="009D258A">
        <w:rPr>
          <w:noProof/>
        </w:rPr>
        <w:t>Kun otetaan huomioon Euroopan parlamentin ja neuvoston asetuksen (EU) 2022/2065</w:t>
      </w:r>
      <w:r w:rsidR="004D730C" w:rsidRPr="009D258A">
        <w:rPr>
          <w:rStyle w:val="FootnoteReference"/>
          <w:noProof/>
        </w:rPr>
        <w:footnoteReference w:id="24"/>
      </w:r>
      <w:r w:rsidR="004D730C" w:rsidRPr="009D258A">
        <w:rPr>
          <w:noProof/>
        </w:rPr>
        <w:t xml:space="preserve"> mukainen nykyinen valvonta- ja täytäntöönpanojärjestelmä, on aiheellista myöntää komissiolle asetuksen (EU) 2024/1689 nojalla toimivaltaisen markkinavalvontaviranomaisen valtuudet, jos tekoälyjärjestelmä katsotaan asetuksessa (EU) 2022/2065 tarkoitetuksi erittäin suureksi verkkoalustaksi tai erittäin suureksi verkkohakukoneeksi tai jos se on sulautettu tällaiseen alustaan tai hakukoneeseen. Tämän on määrä auttaa varmistamaan, että asetuksen (EU) 2024/1689 ja asetuksen (EU) 2022/2065 mukaisia sekä tällaisiin alustoihin tai hakukoneisiin integroituihin yleiskäyttöisiin tekoälymalleihin sovellettavia komission valvonta- ja täytäntöönpanovaltuuksia käytetään johdonmukaisesti. Kun on kyse tekoälyjärjestelmistä, jotka on sulautettu erittäin suureen verkkoalustaan tai verkkohakukoneeseen tai jotka katsotaan itsessään sellaiseksi, ensimmäisen lähtökohdan tekoälyjärjestelmien arviointia varten muodostavat asetuksen (EU) 2022/2065 34, 35 ja 37 artiklassa säädetyt riskianalyysiin, riskien vähentämiseen ja tarkastuksiin liittyvät velvoitteet, sanotun kuitenkaan rajoittamatta tekoälytoimiston valtuuksia tutkia tämän asetuksen vaatimusten täyttymistä jälkikäteisesti ja toteuttaa tarvittavat täytäntöönpanotoimet. Tähän riskianalyysiin, riskien vähentämiseen ja tarkastuksiin liittyen asetuksen (EU) 2022/2065 täytäntöönpanosta vastaavat komission yksiköt voivat pyytää tekoälytoimistolta lausuntoa tämän asetuksen nojalla tehdyn mahdollisen aikaisemman tai rinnakkaisen riskinarvioinnin tuloksista ja tähän asetukseen perustuvien kieltojen sovellettavuudesta. Lisäksi tekoälytoimiston ja asetuksen (EU) 2024/1689 nojalla toimivaltaisten kansallisten viranomaisten olisi koordinoitava täytäntöönpanotoimiaan asetuksen (EU) 2022/2065 valvonnasta ja täytäntöönpanosta vastaavien toimivaltaisten viranomaisten, myös komission, kanssa sen varmistamiseksi, että vilpittömän yhteistyön periaatetta, suhteellisuusperiaatetta ja kaksoisrangaistavuuden kieltävää </w:t>
      </w:r>
      <w:r w:rsidR="004D730C" w:rsidRPr="009D258A">
        <w:rPr>
          <w:i/>
          <w:iCs/>
          <w:noProof/>
        </w:rPr>
        <w:t>ne bis in idem</w:t>
      </w:r>
      <w:r w:rsidR="004D730C" w:rsidRPr="009D258A">
        <w:rPr>
          <w:noProof/>
        </w:rPr>
        <w:t xml:space="preserve"> -periaatetta noudatetaan, mutta siten, että yhden asetuksen nojalla saatuja tietoja käytettäisiin toisen asetuksen noudattamisen valvontaan ja täytäntöönpanotoimiin vain, jos kyseinen yritys suostuu siihen. Näiden viranomaisten olisi pidettävä säännöllisesti yhteyttä ja otettava huomioon toimivaltaansa kuuluvilla aloilla mahdolliset sakot ja uhkasakot, jotka samalle tarjoajalle on määrätty samasta toiminnasta muiden unionin tai kansallisten sääntöjen rikkomista koskevassa menettelyssä annetulla lainvoimaisella päätöksellä, jotta voidaan varmistaa, että määrättyjen sakkojen ja seuraamusten kokonaismäärä on oikeasuhteinen ja vastaa asianomaisten rikkomisten vakavuutta.</w:t>
      </w:r>
    </w:p>
    <w:p w14:paraId="1342D7EF" w14:textId="3AC1B606" w:rsidR="004D730C" w:rsidRPr="009D258A" w:rsidRDefault="00DB7715" w:rsidP="00DB7715">
      <w:pPr>
        <w:pStyle w:val="ManualConsidrant"/>
        <w:rPr>
          <w:noProof/>
        </w:rPr>
      </w:pPr>
      <w:r w:rsidRPr="00DB7715">
        <w:rPr>
          <w:noProof/>
        </w:rPr>
        <w:t>(16)</w:t>
      </w:r>
      <w:r w:rsidRPr="00DB7715">
        <w:rPr>
          <w:noProof/>
        </w:rPr>
        <w:tab/>
      </w:r>
      <w:r w:rsidR="004D730C" w:rsidRPr="009D258A">
        <w:rPr>
          <w:noProof/>
        </w:rPr>
        <w:t>Lisäksi tekoälytoimiston harjoittaman, asetuksen (EU) 2024/1689 75 artiklan 1 kohdassa säädetyn valvonnan ja täytäntöönpanon toteuttamiseksi on tarpeen määritellä tarkemmin, mitkä asetuksen (EU) 2019/1020 14 artiklassa luetelluista valtuuksista olisi siirrettävä tekoälytoimistolle. Näin ollen komissio olisi valtuutettava antamaan täytäntöönpanosäädöksiä, joissa täsmennetään näitä valtuuksia, mukaan lukien mahdollisuus määrätä seuraamuksia, kuten sakkoja tai muita hallinnollisia seuraamuksia, 99 artiklassa tarkoitettujen edellytysten ja enimmäismäärien mukaisesti, sekä tarvittavat menettelyt. Näin olisi varmistettava, että tekoälytoimistolla on tarvittavat keinot asetuksen (EU) 2024/1689 noudattamisen tulokselliseen seurantaan ja valvontaan.</w:t>
      </w:r>
    </w:p>
    <w:p w14:paraId="06629D81" w14:textId="1A7CA48F" w:rsidR="004D730C" w:rsidRPr="009D258A" w:rsidRDefault="00DB7715" w:rsidP="00DB7715">
      <w:pPr>
        <w:pStyle w:val="ManualConsidrant"/>
        <w:rPr>
          <w:noProof/>
        </w:rPr>
      </w:pPr>
      <w:r w:rsidRPr="00DB7715">
        <w:rPr>
          <w:noProof/>
        </w:rPr>
        <w:t>(17)</w:t>
      </w:r>
      <w:r w:rsidRPr="00DB7715">
        <w:rPr>
          <w:noProof/>
        </w:rPr>
        <w:tab/>
      </w:r>
      <w:r w:rsidR="004D730C" w:rsidRPr="009D258A">
        <w:rPr>
          <w:noProof/>
        </w:rPr>
        <w:t>Lisäksi on olennaisen tärkeää varmistaa, että tekoälytoimiston seurannan ja valvonnan alaisten tekoälyjärjestelmien tarjoajiin sovelletaan tuloksellisia menettelyllisiä takeita. Tämän vuoksi tekoälyjärjestelmien tarjoajilla olisi oltava soveltuvin osin asetuksen (EU) 2019/1020 18 artiklassa säädetyt menettelylliset oikeudet, sanotun kuitenkaan rajoittamatta asetuksessa (EU) 2024/1689 säädettyjä yksityiskohtaisempia menettelyllisiä oikeuksia.</w:t>
      </w:r>
    </w:p>
    <w:p w14:paraId="104121C0" w14:textId="09FF195C" w:rsidR="00B572EA" w:rsidRPr="009D258A" w:rsidRDefault="00DB7715" w:rsidP="00DB7715">
      <w:pPr>
        <w:pStyle w:val="ManualConsidrant"/>
        <w:rPr>
          <w:noProof/>
        </w:rPr>
      </w:pPr>
      <w:r w:rsidRPr="00DB7715">
        <w:rPr>
          <w:noProof/>
        </w:rPr>
        <w:t>(18)</w:t>
      </w:r>
      <w:r w:rsidRPr="00DB7715">
        <w:rPr>
          <w:noProof/>
        </w:rPr>
        <w:tab/>
      </w:r>
      <w:r w:rsidR="00B1781B" w:rsidRPr="009D258A">
        <w:rPr>
          <w:noProof/>
        </w:rPr>
        <w:t>Jotta mahdollistetaan sellaisten tekoälyjärjestelmien pääsy unionin markkinoille, jotka kuuluvat tekoälytoimiston valvontaan asetuksen (EU) 2024/1689 75 artiklan nojalla ja joilta edellytetään kolmannen osapuolen suorittamaa vaatimustenmukaisuuden arviointia, komissiolle olisi annettava mahdollisuus tehdä kyseisten järjestelmien vaatimustenmukaisuuden arviointeja ennen markkinoille saattamista.</w:t>
      </w:r>
    </w:p>
    <w:p w14:paraId="2DB88BF5" w14:textId="1A56AB87" w:rsidR="004D730C" w:rsidRPr="009D258A" w:rsidRDefault="00DB7715" w:rsidP="00DB7715">
      <w:pPr>
        <w:pStyle w:val="ManualConsidrant"/>
        <w:rPr>
          <w:noProof/>
        </w:rPr>
      </w:pPr>
      <w:r w:rsidRPr="00DB7715">
        <w:rPr>
          <w:noProof/>
        </w:rPr>
        <w:t>(19)</w:t>
      </w:r>
      <w:r w:rsidRPr="00DB7715">
        <w:rPr>
          <w:noProof/>
        </w:rPr>
        <w:tab/>
      </w:r>
      <w:r w:rsidR="004D730C" w:rsidRPr="009D258A">
        <w:rPr>
          <w:noProof/>
        </w:rPr>
        <w:t>Asetuksen (EU) 2024/1689 77 artikla ja siihen liittyvät säännökset muodostavat tärkeän hallinnointimekanismin, koska niiden tarkoituksena on antaa perusoikeuksien suojeluun tarkoitetun unionin lainsäädännön täytäntöönpanosta tai valvonnasta vastaaville viranomaisille tai elimille mahdollisuus hoitaa tehtävänsä tiettyjen ehtojen puitteissa ja edistää yhteistyötä asetuksen (EU) 2024/1689 noudattamisen valvonnasta ja täytäntöönpanosta vastaavien markkinavalvontaviranomaisten kanssa. On tarpeen selventää tällaisen yhteistyön laajuutta sekä sitä, mitkä viranomaiset tai julkiset elimet voivat sitä hyödyntää. Yhteistyön vahvistamiseksi olisi selvennettävä, että tietoihin ja dokumentaatioon tutustumista koskevat pyynnöt olisi esitettävä toimivaltaiselle markkinavalvontaviranomaiselle, jonka olisi vastattava tällaisiin pyyntöihin, ja että asianomaisilla viranomaisilla tai elimillä olisi oltava keskinäinen velvoite tehdä yhteistyötä.</w:t>
      </w:r>
    </w:p>
    <w:p w14:paraId="1BDDFB3D" w14:textId="403708BA" w:rsidR="004D730C" w:rsidRPr="009D258A" w:rsidRDefault="00DB7715" w:rsidP="00DB7715">
      <w:pPr>
        <w:pStyle w:val="ManualConsidrant"/>
        <w:rPr>
          <w:noProof/>
        </w:rPr>
      </w:pPr>
      <w:r w:rsidRPr="00DB7715">
        <w:rPr>
          <w:noProof/>
        </w:rPr>
        <w:t>(20)</w:t>
      </w:r>
      <w:r w:rsidRPr="00DB7715">
        <w:rPr>
          <w:noProof/>
        </w:rPr>
        <w:tab/>
      </w:r>
      <w:r w:rsidR="004D730C" w:rsidRPr="009D258A">
        <w:rPr>
          <w:noProof/>
        </w:rPr>
        <w:t>Jotta generatiivisten tekoälyjärjestelmien tarjoajilla, joihin sovelletaan asetuksen (EU) 2024/1689 50 artiklan 2 kohdassa säädettyjä merkintävelvoitteita, olisi riittävästi aikaa mukauttaa käytäntöjään kohtuullisessa ajassa markkinoita häiritsemättä, on aiheellista asettaa kuuden kuukauden siirtymäkausi tarjoajille, jotka ovat jo saattaneet järjestelmänsä markkinoille ennen 2. elokuuta 2026.</w:t>
      </w:r>
    </w:p>
    <w:p w14:paraId="2DFC26B5" w14:textId="4E557A06" w:rsidR="003020AA" w:rsidRPr="009D258A" w:rsidRDefault="00DB7715" w:rsidP="00DB7715">
      <w:pPr>
        <w:pStyle w:val="ManualConsidrant"/>
        <w:rPr>
          <w:rFonts w:eastAsiaTheme="minorEastAsia"/>
          <w:noProof/>
        </w:rPr>
      </w:pPr>
      <w:r w:rsidRPr="00DB7715">
        <w:rPr>
          <w:noProof/>
        </w:rPr>
        <w:t>(21)</w:t>
      </w:r>
      <w:r w:rsidRPr="00DB7715">
        <w:rPr>
          <w:noProof/>
        </w:rPr>
        <w:tab/>
      </w:r>
      <w:r w:rsidR="00B973F5" w:rsidRPr="009D258A">
        <w:rPr>
          <w:noProof/>
        </w:rPr>
        <w:t>Jotta suuririskisten tekoälyjärjestelmien tarjoajille annettaisiin riittävästi aikaa ja jotta voitaisiin selventää niihin tekoälyjärjestelmiin sovellettavia sääntöjä, jotka on jo saatettu markkinoille tai otettu käyttöön ennen asetuksen (EU) 2024/1689 kyseisten säännösten soveltamisen alkamista, on aiheellista selventää asetuksen 111 artiklan 2 kohdassa säädetyn siirtymäajan soveltamista. Siirtymäajan olisi 111 artiklan 2 kohdan tarkoituksissa koskettava tiettyä jo markkinoille saatettua tekoälyjärjestelmien tyyppiä ja mallia. Tämä tarkoittaa, että jos vähintään yksi yksittäinen suuririskisen tekoälyjärjestelmän ilmentymä on laillisesti saatettu markkinoille tai otettu käyttöön ennen 111 artiklan 2 kohdassa täsmennettyä päivämäärää, muihin samantyyppisiin ja -mallisiin suuririskisen tekoälyjärjestelmän yksittäisiin ilmentymiin sovelletaan 111 artiklan 2 kohdassa säädettyä siirtymäaikaa, joten niitä voidaan edelleen saattaa markkinoille, asettaa saataville tai ottaa käyttöön unionin markkinoilla ilman lisävelvoitteita, -vaatimuksia tai -sertifiointia, kunhan kyseisen suuririskisen tekoälyjärjestelmän rakenne säilyy muuttumattomana. Sovellettaessa 111 artiklan 2 kohdassa säädettyä siirtymäaikaa ratkaisevana tekijänä on päivä, jona kyseisen tyyppisen ja mallisen suuririskisen tekoälyjärjestelmän ensimmäinen ilmentymä saatettiin markkinoille tai otettiin käyttöön unionin markkinoilla ensimmäisen kerran. Jos kyseisen tekoälyjärjestelmän rakenteeseen tehdään merkittäviä muutoksia 111 artiklan 2 kohdassa täsmennetyn päivämäärän jälkeen, tarjoaja olisi velvoitettava noudattamaan täysimääräisesti kaikkia suuririskisiin tekoälyjärjestelmiin sovellettavia tämän asetuksen asiaankuuluvia säännöksiä, mukaan lukien vaatimustenmukaisuuden arviointia koskevat säännökset.</w:t>
      </w:r>
    </w:p>
    <w:p w14:paraId="01F22310" w14:textId="3DA3C1FA" w:rsidR="00A358E3" w:rsidRPr="009D258A" w:rsidRDefault="00DB7715" w:rsidP="00DB7715">
      <w:pPr>
        <w:pStyle w:val="ManualConsidrant"/>
        <w:rPr>
          <w:rFonts w:eastAsiaTheme="minorEastAsia"/>
          <w:noProof/>
        </w:rPr>
      </w:pPr>
      <w:r w:rsidRPr="00DB7715">
        <w:rPr>
          <w:noProof/>
        </w:rPr>
        <w:t>(22)</w:t>
      </w:r>
      <w:r w:rsidRPr="00DB7715">
        <w:rPr>
          <w:noProof/>
        </w:rPr>
        <w:tab/>
      </w:r>
      <w:r w:rsidR="00040D9F" w:rsidRPr="009D258A">
        <w:rPr>
          <w:noProof/>
        </w:rPr>
        <w:t>Asetuksen (EU) 2024/1689 113 artiklassa vahvistetaan sen voimaantulopäivä ja soveltamisen alkamisajankohta ja erityisesti se, että yleinen soveltaminen alkaa 2. elokuuta 2026. Asetuksen (EU) 2024/1689 III luvun 1, 2 ja 3 jaksossa säädettyjen suuririskisiin tekoälyjärjestelmiin liittyvien velvoitteiden osalta standardien, yhteisten eritelmien ja vaihtoehtoisen ohjeistuksen viivästyminen ja viiveet kansallisten toimivaltaisten viranomaisten perustamisessa johtavat haasteisiin, jotka vaarantavat kyseisten velvoitteiden tosiasiallisen soveltamisen aloittamisen ja uhkaavat lisätä merkittävästi täytäntöönpanokustannuksia tavalla, joka ei oikeuta pitämään niiden soveltamisen alkuperäistä aloittamisajankohtaa, joka on 2. elokuuta 2026, ennallaan. Saatujen kokemusten perusteella on aiheellista luoda mekanismi, joka kytkee soveltamisen aloittamisen III luvun noudattamista tukevien tekijöiden, kuten esimerkiksi yhdenmukaistettujen standardien, yhteisten eritelmien ja komission ohjeistusten, saatavuuteen. Komission olisi vahvistettava tämä saatavuus päätöksellä, minkä jälkeen suuririskisiä tekoälyjärjestelmiä koskevia sääntöjä ja velvoitteita olisi sovellettava kuuden kuukauden kuluttua suuririskisiksi asetuksen (EU) 2024/1689 6 artiklan 2 kohdan ja liitteen III nojalla luokiteltuihin tekoälyjärjestelmiin ja 12 kuukauden kuluttua suuririskisiksi asetuksen (EU) 2024/1689 6 artiklan 1 kohdan ja liitteen I nojalla luokiteltuihin tekoälyjärjestelmiin. Tätä joustoa olisi kuitenkin jatkettava vain 2. joulukuuta 2027 saakka suuririskisiksi asetuksen 6 artiklan 2 kohdan ja liitteen III nojalla luokiteltujen tekoälyjärjestelmien osalta ja 2. elokuuta 2028 saakka suuririskisiksi asetuksen 6 artiklan 1 kohdan ja liitteen I nojalla luokiteltujen tekoälyjärjestelmien osalta ja kyseisten sääntöjen soveltamisen olisi joka tapauksessa alettava noihin päivämääriin mennessä. Ero asetuksen 6 artiklan 2 kohdan ja liitteen III nojalla luokiteltuja tekoälyjärjestelmiä ja 6 artiklan 1 kohdan ja liitteen I nojalla luokiteltuja tekoälyjärjestelmiä koskevien sääntöjen soveltamisen aloittamisen välillä vastaa asetuksessa (EU) 2024/1689 säädettyjen alkuperäisten soveltamispäivien välistä eroa ja sen tarkoituksena on antaa riittävästi aikaa mukautumiseen ja vastaavien velvoitteiden täytäntöönpanoon.</w:t>
      </w:r>
    </w:p>
    <w:p w14:paraId="4137CB91" w14:textId="63794047" w:rsidR="004D730C" w:rsidRPr="009D258A" w:rsidRDefault="00DB7715" w:rsidP="00DB7715">
      <w:pPr>
        <w:pStyle w:val="ManualConsidrant"/>
        <w:rPr>
          <w:noProof/>
        </w:rPr>
      </w:pPr>
      <w:r w:rsidRPr="00DB7715">
        <w:rPr>
          <w:noProof/>
        </w:rPr>
        <w:t>(23)</w:t>
      </w:r>
      <w:r w:rsidRPr="00DB7715">
        <w:rPr>
          <w:noProof/>
        </w:rPr>
        <w:tab/>
      </w:r>
      <w:r w:rsidR="004D730C" w:rsidRPr="009D258A">
        <w:rPr>
          <w:noProof/>
        </w:rPr>
        <w:t>Kun otetaan huomioon tavoite vähentää täytäntöönpanoon liittyviä haasteita kansalaisten, yritysten ja julkishallintojen kannalta, on olennaisen tärkeää, että tietyille säännöille asetetaan yhdenmukaistettuja täytäntöönpanoehtoja vain kun se on ehdottoman välttämätöntä. Tästä syystä on aiheellista poistaa tietyt komissiolle annetut valtuudet asettaa tällaisia yhdenmukaistettuja ehtoja täytäntöönpanosäädöksillä, jos kyseiset ehdot eivät täyty. Näin ollen asetusta (EU) 2024/1689 olisi muutettava siten, että sen 50 artiklan 7 kohdassa, 56 artiklan 6 kohdassa ja 72 artiklan 3 kohdassa komissiolle annetut valtuudet antaa täytäntöönpanosäädöksiä poistetaan. Asetuksen (EU) 2024/1689 72 artiklan 3 kohdassa säädetyn, markkinoille saattamisen jälkeistä seurantaa koskevan suunnitelman yhdenmukaistetun mallin hyväksymistä koskevan valtuutuksen poistamisesta on lisähyötynä se, että se tarjoaa suuririskisten tekoälyjärjestelmien tarjoajille enemmän joustovaraa perustaa markkinoille saattamisen jälkeistä seurantaa varten järjestelmä, joka on räätälöity niiden organisointitapaan. Toisaalta kun otetaan huomioon tarve selkeyttää tapaa, jolla suuririskisten tekoälyjärjestelmien tarjoajien on vaatimukset täytettävä, komissiolta olisi edellytettävä asiassa ohjeistusta.</w:t>
      </w:r>
    </w:p>
    <w:p w14:paraId="148960B5" w14:textId="2CF8E516" w:rsidR="00D7012A" w:rsidRPr="009D258A" w:rsidRDefault="00DB7715" w:rsidP="00DB7715">
      <w:pPr>
        <w:pStyle w:val="ManualConsidrant"/>
        <w:rPr>
          <w:noProof/>
        </w:rPr>
      </w:pPr>
      <w:r w:rsidRPr="00DB7715">
        <w:rPr>
          <w:noProof/>
        </w:rPr>
        <w:t>(24)</w:t>
      </w:r>
      <w:r w:rsidRPr="00DB7715">
        <w:rPr>
          <w:noProof/>
        </w:rPr>
        <w:tab/>
      </w:r>
      <w:r w:rsidR="000560BC" w:rsidRPr="009D258A">
        <w:rPr>
          <w:noProof/>
        </w:rPr>
        <w:t>Suuririskisten tekoälyjärjestelmien vaatimustenmukaisuuden arviointi asetuksen (EU) 2024/1689 nojalla voi edellyttää vaatimustenmukaisuuden arviointilaitosten osallistumista. Ainoastaan asetuksen (EU) 2024/1689 nojalla nimetyt vaatimustenmukaisuuden arviointilaitokset voivat suorittaa vaatimustenmukaisuuden arviointeja ja ainoastaan tekoälyjärjestelmien asianomaisten luokkien ja tyyppien toiminnasta. Jotta asetuksen (EU) 2024/1689 30 artiklan nojalla nimetyn vaatimustenmukaisuuden arviointilaitoksen nimeämisen kattamat järjestelmät voidaan määrittää, on tarpeen laatia luettelo koodeista, luokista ja niitä vastaavista tekoälyjärjestelmien tyypeistä. Koodiluettelossa olisi otettava huomioon se, onko tekoälyjärjestelmä itsessään liitteessä I luetellun unionin yhdenmukaistamislainsäädännön piiriin kuuluva tuote tai sellaisen komponentti (’AIP-koodit’ eli tuotelainsäädännön piiriin kuuluvat tekoälyjärjestelmät) vai asetuksen (EU) 2024/1689 liitteessä III tarkoitettu järjestelmä, mikä tällä hetkellä koskee ainoastaan liitteessä III olevassa 1 kohdassa tarkoitettuja biometrisiä tekoälyjärjestelmiä (’AIB-koodit’ eli biometriset tekoälyjärjestelmät). Sekä AIP-koodit että AIB-koodit ovat vertikaalisia koodeja. AIP-koodit ovat viitekoodeja, jotka muodostavat linkin asetuksen (EU) 2024/1689 liitteessä I olevassa A jaksossa lueteltuun unionin yhdenmukaistamislainsäädäntöön. AIB-koodit ovat asetukselle (EU) 2024/1689 spesifejä uusia koodeja, joilla viitataan asetuksen liitteessä III olevassa 1 kohdassa tarkoitettuihin biometrisiin tekoälyjärjestelmiin. Koodiluettelossa olisi otettava huomioon myös tekoälyjärjestelmien yksittäiset tyypit ja taustalla olevat teknologiat (’AIH-koodit’, eli tekoälyjärjestelmien horisontaaliset koodit). AIH-koodit ovat uusia tekoälyteknologiakohtaisia koodeja, joita voidaan käyttää yhdessä vertikaalisten AIP- tai AIB-koodien kanssa. AIH-koodit kattavat tekoälyjärjestelmien taustalla olevat tyypit ja teknologiat. Koodien luettelolla, joka sisältää kolme luokkaa, olisi kuvattava tekoälyjärjestelmien moniulotteinen typologia, jolla varmistetaan, että ilmoitetuiksi laitoksiksi nimetyt vaatimustenmukaisuuden arviointilaitokset ovat täysin päteviä arvioimaan niille osoitetut tekoälyjärjestelmät.</w:t>
      </w:r>
    </w:p>
    <w:p w14:paraId="754FC0DD" w14:textId="5C86730F" w:rsidR="006F20EB" w:rsidRPr="009D258A" w:rsidRDefault="00DB7715" w:rsidP="00DB7715">
      <w:pPr>
        <w:pStyle w:val="ManualConsidrant"/>
        <w:rPr>
          <w:noProof/>
        </w:rPr>
      </w:pPr>
      <w:r w:rsidRPr="00DB7715">
        <w:rPr>
          <w:noProof/>
        </w:rPr>
        <w:t>(25)</w:t>
      </w:r>
      <w:r w:rsidRPr="00DB7715">
        <w:rPr>
          <w:noProof/>
        </w:rPr>
        <w:tab/>
      </w:r>
      <w:r w:rsidR="00151A99" w:rsidRPr="009D258A">
        <w:rPr>
          <w:noProof/>
        </w:rPr>
        <w:t>Euroopan parlamentin ja neuvoston asetuksessa (EU) 2018/1139</w:t>
      </w:r>
      <w:r w:rsidR="00151A99" w:rsidRPr="009D258A">
        <w:rPr>
          <w:rStyle w:val="FootnoteReference"/>
          <w:noProof/>
        </w:rPr>
        <w:footnoteReference w:id="25"/>
      </w:r>
      <w:r w:rsidR="00151A99" w:rsidRPr="009D258A">
        <w:rPr>
          <w:noProof/>
        </w:rPr>
        <w:t xml:space="preserve"> säädetään yhteisistä siviili-ilmailua koskevista säännöistä. Asetuksen (EU) 2024/1689 108 artiklassa säädetään asetukseen (EU) 2018/1139 tehtävistä muutoksista sen varmistamiseksi, että komissio ottaa siviili-ilmailualan teknisten ja sääntelyyn liittyvien erityispiirteiden perusteella ja puuttumatta olemassa oleviin hallinto-, vaatimustenmukaisuuden arviointi- ja täytäntöönpanomekanismeihin ja viranomaisiin huomioon asetuksessa (EU) 2024/1689 säädetyt suuririskisiä tekoälyjärjestelmiä koskevat pakolliset vaatimukset hyväksyessään asiaankuuluvia delegoituja säädöksiä tai täytäntöönpanosäädöksiä asetuksen (EU) 2018/1139 perusteella. Tekninen korjaus, jolla laajennetaan asetuksen (EU) 2018/1139 tiettyjä artikloja, on tarpeen sen varmistamiseksi, että kyseiset asetuksessa (EU) 2024/1689 säädetyt suuririskisiä tekoälyjärjestelmiä koskevat pakolliset vaatimukset otetaan täysimääräisesti huomioon hyväksyttäessä asiaankuuluvia delegoituja säädöksiä tai täytäntöönpanosäädöksiä asetuksen (EU) 2018/1139 perusteella.</w:t>
      </w:r>
    </w:p>
    <w:p w14:paraId="0FA6D892" w14:textId="71E0EA39" w:rsidR="009C3EE2" w:rsidRPr="009D258A" w:rsidRDefault="00DB7715" w:rsidP="00DB7715">
      <w:pPr>
        <w:pStyle w:val="ManualConsidrant"/>
        <w:rPr>
          <w:noProof/>
        </w:rPr>
      </w:pPr>
      <w:r w:rsidRPr="00DB7715">
        <w:rPr>
          <w:noProof/>
        </w:rPr>
        <w:t>(26)</w:t>
      </w:r>
      <w:r w:rsidRPr="00DB7715">
        <w:rPr>
          <w:noProof/>
        </w:rPr>
        <w:tab/>
      </w:r>
      <w:r w:rsidR="00E60493" w:rsidRPr="009D258A">
        <w:rPr>
          <w:noProof/>
        </w:rPr>
        <w:t>Oikeusvarmuuden turvaamiseksi mahdollisimman viiveettä, ja koska asetuksen (EU) 2024/1689 yleisen soveltamisen on määrä alkaa pian, tämän asetuksen olisi tultava voimaan kiireellisesti,</w:t>
      </w:r>
    </w:p>
    <w:p w14:paraId="0ECF1D4D" w14:textId="77777777" w:rsidR="009C3EE2" w:rsidRPr="009D258A" w:rsidRDefault="009C3EE2" w:rsidP="0002735A">
      <w:pPr>
        <w:pStyle w:val="Formuledadoption"/>
        <w:rPr>
          <w:noProof/>
        </w:rPr>
      </w:pPr>
      <w:r w:rsidRPr="009D258A">
        <w:rPr>
          <w:noProof/>
        </w:rPr>
        <w:t>OVAT HYVÄKSYNEET TÄMÄN ASETUKSEN:</w:t>
      </w:r>
    </w:p>
    <w:p w14:paraId="3AA3D8A8" w14:textId="77777777" w:rsidR="009C3EE2" w:rsidRPr="009D258A" w:rsidRDefault="009C3EE2" w:rsidP="0002735A">
      <w:pPr>
        <w:pStyle w:val="Titrearticle"/>
        <w:rPr>
          <w:noProof/>
        </w:rPr>
      </w:pPr>
      <w:r w:rsidRPr="009D258A">
        <w:rPr>
          <w:noProof/>
        </w:rPr>
        <w:t>1 artikla</w:t>
      </w:r>
    </w:p>
    <w:p w14:paraId="3ABB7C06" w14:textId="77777777" w:rsidR="00E60493" w:rsidRPr="009D258A" w:rsidRDefault="00E60493" w:rsidP="00E60493">
      <w:pPr>
        <w:pStyle w:val="Titrearticle"/>
        <w:rPr>
          <w:noProof/>
        </w:rPr>
      </w:pPr>
      <w:r w:rsidRPr="009D258A">
        <w:rPr>
          <w:noProof/>
        </w:rPr>
        <w:t>Asetuksen (EU) 2024/1689 muuttaminen</w:t>
      </w:r>
    </w:p>
    <w:p w14:paraId="4591C799" w14:textId="77777777" w:rsidR="00BC4D42" w:rsidRPr="009D258A" w:rsidRDefault="00BC4D42" w:rsidP="00E6135C">
      <w:pPr>
        <w:pStyle w:val="Point0"/>
        <w:rPr>
          <w:noProof/>
        </w:rPr>
      </w:pPr>
      <w:r w:rsidRPr="009D258A">
        <w:rPr>
          <w:noProof/>
        </w:rPr>
        <w:t>Muutetaan asetus (EU) 2024/1689 seuraavasti:</w:t>
      </w:r>
    </w:p>
    <w:p w14:paraId="541B3636" w14:textId="57E0F644" w:rsidR="00B33531" w:rsidRPr="009D258A" w:rsidRDefault="00FE0697" w:rsidP="00FE0697">
      <w:pPr>
        <w:pStyle w:val="Point1"/>
        <w:rPr>
          <w:noProof/>
        </w:rPr>
      </w:pPr>
      <w:r>
        <w:rPr>
          <w:noProof/>
        </w:rPr>
        <w:t>1)</w:t>
      </w:r>
      <w:r>
        <w:rPr>
          <w:noProof/>
        </w:rPr>
        <w:tab/>
      </w:r>
      <w:r w:rsidR="00B33531" w:rsidRPr="009D258A">
        <w:rPr>
          <w:noProof/>
        </w:rPr>
        <w:t>korvataan 1 artiklan 2 kohdan g alakohta seuraavasti:</w:t>
      </w:r>
    </w:p>
    <w:p w14:paraId="29D278AD" w14:textId="3E45E45B" w:rsidR="00B33531" w:rsidRPr="009D258A" w:rsidRDefault="00B33531" w:rsidP="56C5C902">
      <w:pPr>
        <w:pStyle w:val="Point2"/>
        <w:rPr>
          <w:noProof/>
        </w:rPr>
      </w:pPr>
      <w:r w:rsidRPr="009D258A">
        <w:rPr>
          <w:noProof/>
        </w:rPr>
        <w:t>”g) innovointia tukevat toimenpiteet, joissa keskitytään erityisesti pieniin midcap-yrityksiin ja pieniin ja keskisuuriin yrityksiin (pk-yrityksiin), startup-yritykset mukaan lukien.”;</w:t>
      </w:r>
    </w:p>
    <w:p w14:paraId="04A3151F" w14:textId="03F1987A" w:rsidR="00BC4D42" w:rsidRPr="009D258A" w:rsidRDefault="00FE0697" w:rsidP="00FE0697">
      <w:pPr>
        <w:pStyle w:val="Point1"/>
        <w:rPr>
          <w:noProof/>
        </w:rPr>
      </w:pPr>
      <w:r>
        <w:rPr>
          <w:noProof/>
        </w:rPr>
        <w:t>2)</w:t>
      </w:r>
      <w:r>
        <w:rPr>
          <w:noProof/>
        </w:rPr>
        <w:tab/>
      </w:r>
      <w:r w:rsidR="00BC4D42" w:rsidRPr="009D258A">
        <w:rPr>
          <w:noProof/>
        </w:rPr>
        <w:t>korvataan 2 artiklan 2 kohta seuraavasti:</w:t>
      </w:r>
    </w:p>
    <w:p w14:paraId="7F6E063F" w14:textId="09FF4E05" w:rsidR="00BC4D42" w:rsidRPr="009D258A" w:rsidRDefault="00BC4D42" w:rsidP="00865CF2">
      <w:pPr>
        <w:pStyle w:val="Point2"/>
        <w:rPr>
          <w:noProof/>
        </w:rPr>
      </w:pPr>
      <w:r w:rsidRPr="009D258A">
        <w:rPr>
          <w:noProof/>
        </w:rPr>
        <w:t>”2.</w:t>
      </w:r>
      <w:r w:rsidR="009E0231">
        <w:rPr>
          <w:noProof/>
        </w:rPr>
        <w:t xml:space="preserve"> </w:t>
      </w:r>
      <w:r w:rsidRPr="009D258A">
        <w:rPr>
          <w:noProof/>
        </w:rPr>
        <w:t>Tekoälyjärjestelmiin, jotka on luokiteltu suuririskisiksi tekoälyjärjestelmiksi 6 artiklan 1 kohdan mukaisesti ja jotka liittyvät liitteessä I olevassa B jaksossa luetellun unionin yhdenmukaistamislainsäädännön soveltamisalaan kuuluviin tuotteisiin, sovelletaan ainoastaan 6 artiklan 1 kohtaa, 60 a artiklaa, 102–109 artiklaa, 111 artiklaa ja 112 artiklaa. Asetuksen 57 artiklaa sovelletaan vain siltä osin kuin tämän asetuksen mukaiset suuririskisiä tekoälyjärjestelmiä koskevat vaatimukset on sisällytetty kyseiseen unionin yhdenmukaistamislainsäädäntöön.”;</w:t>
      </w:r>
    </w:p>
    <w:p w14:paraId="3AF2A3BC" w14:textId="5A31A446" w:rsidR="00BC4D42" w:rsidRPr="009D258A" w:rsidRDefault="00FE0697" w:rsidP="00FE0697">
      <w:pPr>
        <w:pStyle w:val="Point1"/>
        <w:rPr>
          <w:noProof/>
        </w:rPr>
      </w:pPr>
      <w:r>
        <w:rPr>
          <w:noProof/>
        </w:rPr>
        <w:t>3)</w:t>
      </w:r>
      <w:r>
        <w:rPr>
          <w:noProof/>
        </w:rPr>
        <w:tab/>
      </w:r>
      <w:r w:rsidR="00BC4D42" w:rsidRPr="009D258A">
        <w:rPr>
          <w:noProof/>
        </w:rPr>
        <w:t>lisätään 3 artiklaan 14 a ja 14 b alakohta seuraavasti:</w:t>
      </w:r>
    </w:p>
    <w:p w14:paraId="09803F16" w14:textId="77777777" w:rsidR="00BC4D42" w:rsidRPr="009D258A" w:rsidRDefault="00BC4D42" w:rsidP="0078585D">
      <w:pPr>
        <w:pStyle w:val="Point2"/>
        <w:rPr>
          <w:noProof/>
        </w:rPr>
      </w:pPr>
      <w:r w:rsidRPr="009D258A">
        <w:rPr>
          <w:noProof/>
        </w:rPr>
        <w:t>”14 a) ”mikroyrityksillä ja pienillä ja keskisuurilla yrityksillä (pk-yrityksillä)” komission suosituksen 2003/361/EY liitteessä olevassa 2 artiklassa määriteltyjä mikroyrityksiä ja pieniä tai keskisuuria yrityksiä;</w:t>
      </w:r>
    </w:p>
    <w:p w14:paraId="1800F607" w14:textId="77777777" w:rsidR="00BC4D42" w:rsidRPr="009D258A" w:rsidRDefault="009F13A8" w:rsidP="0078585D">
      <w:pPr>
        <w:pStyle w:val="Point2"/>
        <w:rPr>
          <w:noProof/>
        </w:rPr>
      </w:pPr>
      <w:r w:rsidRPr="009D258A">
        <w:rPr>
          <w:noProof/>
        </w:rPr>
        <w:t xml:space="preserve">14 b) ”pienillä midcap-yrityksillä” komission suosituksen (EU) 2025/1099 liitteessä olevassa 2 kohdassa määriteltyjä pieniä midcap-yrityksiä”; </w:t>
      </w:r>
    </w:p>
    <w:p w14:paraId="77EB2582" w14:textId="0620D47A" w:rsidR="00BC4D42" w:rsidRPr="009D258A" w:rsidRDefault="00FE0697" w:rsidP="00FE0697">
      <w:pPr>
        <w:pStyle w:val="Point1"/>
        <w:rPr>
          <w:noProof/>
        </w:rPr>
      </w:pPr>
      <w:r>
        <w:rPr>
          <w:noProof/>
        </w:rPr>
        <w:t>4)</w:t>
      </w:r>
      <w:r>
        <w:rPr>
          <w:noProof/>
        </w:rPr>
        <w:tab/>
      </w:r>
      <w:r w:rsidR="00BC4D42" w:rsidRPr="009D258A">
        <w:rPr>
          <w:noProof/>
        </w:rPr>
        <w:t xml:space="preserve">korvataan 4 artikla seuraavasti: </w:t>
      </w:r>
    </w:p>
    <w:p w14:paraId="130AEA8F" w14:textId="77777777" w:rsidR="008F418B" w:rsidRPr="009D258A" w:rsidRDefault="00BC4D42" w:rsidP="008F418B">
      <w:pPr>
        <w:pStyle w:val="Point2"/>
        <w:rPr>
          <w:i/>
          <w:iCs/>
          <w:noProof/>
        </w:rPr>
      </w:pPr>
      <w:r w:rsidRPr="009D258A">
        <w:rPr>
          <w:noProof/>
        </w:rPr>
        <w:t>”</w:t>
      </w:r>
      <w:r w:rsidRPr="009D258A">
        <w:rPr>
          <w:noProof/>
        </w:rPr>
        <w:tab/>
      </w:r>
      <w:r w:rsidRPr="009D258A">
        <w:rPr>
          <w:noProof/>
        </w:rPr>
        <w:tab/>
      </w:r>
      <w:r w:rsidRPr="009D258A">
        <w:rPr>
          <w:noProof/>
        </w:rPr>
        <w:tab/>
      </w:r>
      <w:r w:rsidRPr="009D258A">
        <w:rPr>
          <w:noProof/>
        </w:rPr>
        <w:tab/>
      </w:r>
      <w:r w:rsidRPr="009D258A">
        <w:rPr>
          <w:i/>
          <w:noProof/>
        </w:rPr>
        <w:t>4 artikla</w:t>
      </w:r>
    </w:p>
    <w:p w14:paraId="24D52D05" w14:textId="77777777" w:rsidR="008F418B" w:rsidRPr="009D258A" w:rsidRDefault="008F418B" w:rsidP="008F418B">
      <w:pPr>
        <w:pStyle w:val="Point2"/>
        <w:ind w:left="3390" w:firstLine="210"/>
        <w:rPr>
          <w:b/>
          <w:bCs/>
          <w:noProof/>
        </w:rPr>
      </w:pPr>
      <w:r w:rsidRPr="009D258A">
        <w:rPr>
          <w:b/>
          <w:noProof/>
        </w:rPr>
        <w:t>Tekoälylukutaito</w:t>
      </w:r>
    </w:p>
    <w:p w14:paraId="212CCDB8" w14:textId="77777777" w:rsidR="00BC4D42" w:rsidRPr="009D258A" w:rsidRDefault="00BC4D42" w:rsidP="004D5576">
      <w:pPr>
        <w:pStyle w:val="Point2"/>
        <w:rPr>
          <w:noProof/>
        </w:rPr>
      </w:pPr>
      <w:r w:rsidRPr="009D258A">
        <w:rPr>
          <w:noProof/>
        </w:rPr>
        <w:t>Komission ja jäsenvaltioiden on kannustettava tekoälyjärjestelmien tarjoajia ja käyttöönottajia toteuttamaan toimenpiteitä, joilla ne varmistavat henkilöstönsä ja muiden niiden puolesta tekoälyjärjestelmien toiminnasta ja käytöstä vastaavien henkilöiden riittävän tekoälylukutaidon, minkä yhteydessä otetaan huomioon heidän tekninen tietämyksensä, kokemuksensa, koulutustasonsa ja tekoälyjärjestelmien käyttöyhteys sekä henkilöt tai henkilöryhmät, joihin tekoälyjärjestelmiä on määrä käyttää.”;</w:t>
      </w:r>
    </w:p>
    <w:p w14:paraId="4EDCC876" w14:textId="58232814" w:rsidR="00BC4D42" w:rsidRPr="009D258A" w:rsidRDefault="00FE0697" w:rsidP="00FE0697">
      <w:pPr>
        <w:pStyle w:val="Point1"/>
        <w:rPr>
          <w:noProof/>
        </w:rPr>
      </w:pPr>
      <w:r>
        <w:rPr>
          <w:noProof/>
        </w:rPr>
        <w:t>5)</w:t>
      </w:r>
      <w:r>
        <w:rPr>
          <w:noProof/>
        </w:rPr>
        <w:tab/>
      </w:r>
      <w:r w:rsidR="00BC4D42" w:rsidRPr="009D258A">
        <w:rPr>
          <w:noProof/>
        </w:rPr>
        <w:t>lisätään I lukuun 4 a artikla seuraavasti:</w:t>
      </w:r>
    </w:p>
    <w:p w14:paraId="07032EB0" w14:textId="77777777" w:rsidR="00340725" w:rsidRPr="009D258A" w:rsidRDefault="00BC4D42" w:rsidP="00340725">
      <w:pPr>
        <w:pStyle w:val="Point2"/>
        <w:jc w:val="center"/>
        <w:rPr>
          <w:noProof/>
        </w:rPr>
      </w:pPr>
      <w:r w:rsidRPr="009D258A">
        <w:rPr>
          <w:noProof/>
        </w:rPr>
        <w:t>”</w:t>
      </w:r>
      <w:r w:rsidRPr="009D258A">
        <w:rPr>
          <w:i/>
          <w:noProof/>
        </w:rPr>
        <w:t>4 a artikla</w:t>
      </w:r>
    </w:p>
    <w:p w14:paraId="2022C4EB" w14:textId="77777777" w:rsidR="00340725" w:rsidRPr="009D258A" w:rsidRDefault="00083E80" w:rsidP="00175212">
      <w:pPr>
        <w:pStyle w:val="Point2"/>
        <w:ind w:left="3390" w:firstLine="210"/>
        <w:rPr>
          <w:b/>
          <w:bCs/>
          <w:noProof/>
        </w:rPr>
      </w:pPr>
      <w:r w:rsidRPr="009D258A">
        <w:rPr>
          <w:b/>
          <w:noProof/>
        </w:rPr>
        <w:t>Erityisten henkilötietoryhmien käsittely vinoutumien havaitsemiseksi ja korjaamiseksi</w:t>
      </w:r>
    </w:p>
    <w:p w14:paraId="70E940F0" w14:textId="77777777" w:rsidR="00BC4D42" w:rsidRPr="009D258A" w:rsidRDefault="00340725" w:rsidP="0078585D">
      <w:pPr>
        <w:pStyle w:val="Point2"/>
        <w:rPr>
          <w:noProof/>
        </w:rPr>
      </w:pPr>
      <w:r w:rsidRPr="009D258A">
        <w:rPr>
          <w:noProof/>
        </w:rPr>
        <w:t xml:space="preserve">1. Siinä määrin kuin se on välttämätöntä suuririskisten tekoälyjärjestelmien vinoutumien havaitsemisen ja korjaamisen varmistamiseksi tämän asetuksen 10 artiklan 2 kohdan f ja g alakohdan mukaisesti, tällaisten järjestelmien tarjoajat voivat poikkeuksellisesti käsitellä erityisiä henkilötietoryhmiä edellyttäen, että luonnollisten henkilöiden perusoikeudet ja -vapaudet turvataan asianmukaisilla suojatoimilla. Tällainen käsittely edellyttää asetuksissa (EU) 2016/679 ja (EU) 2018/1725 ja </w:t>
      </w:r>
      <w:r w:rsidRPr="009D258A">
        <w:rPr>
          <w:noProof/>
          <w:color w:val="333333"/>
        </w:rPr>
        <w:t>direktiivissä (EU) 2016/680</w:t>
      </w:r>
      <w:r w:rsidRPr="009D258A">
        <w:rPr>
          <w:noProof/>
        </w:rPr>
        <w:t xml:space="preserve"> vahvistettujen sovellettavien suojatoimien lisäksi kaikkien seuraavien ehtojen täyttymistä:</w:t>
      </w:r>
    </w:p>
    <w:p w14:paraId="3F6D21A9" w14:textId="77777777" w:rsidR="00BC4D42" w:rsidRPr="009D258A" w:rsidRDefault="00BC4D42" w:rsidP="0078585D">
      <w:pPr>
        <w:pStyle w:val="Point2"/>
        <w:rPr>
          <w:noProof/>
        </w:rPr>
      </w:pPr>
      <w:r w:rsidRPr="009D258A">
        <w:rPr>
          <w:noProof/>
        </w:rPr>
        <w:t>a) vinoutumia ei voida tuloksellisesti havaita ja korjata käsittelemällä muita tietoja, kuten synteettisiä tai anonymisoituja tietoja;</w:t>
      </w:r>
    </w:p>
    <w:p w14:paraId="58B12E94" w14:textId="77777777" w:rsidR="00BC4D42" w:rsidRPr="009D258A" w:rsidRDefault="00BC4D42" w:rsidP="0078585D">
      <w:pPr>
        <w:pStyle w:val="Point2"/>
        <w:rPr>
          <w:noProof/>
        </w:rPr>
      </w:pPr>
      <w:r w:rsidRPr="009D258A">
        <w:rPr>
          <w:noProof/>
        </w:rPr>
        <w:t>b) erityisiin henkilötietoryhmiin sovelletaan henkilötietojen uudelleenkäyttöä koskevia teknisiä rajoituksia ja viimeisintä kehitystä edustavia tietoturvaa ja yksityisyyden suojaa parantavia toimenpiteitä, kuten pseudonymisointia;</w:t>
      </w:r>
    </w:p>
    <w:p w14:paraId="2054C9F8" w14:textId="77777777" w:rsidR="00BC4D42" w:rsidRPr="009D258A" w:rsidRDefault="00BC4D42" w:rsidP="0078585D">
      <w:pPr>
        <w:pStyle w:val="Point2"/>
        <w:rPr>
          <w:noProof/>
        </w:rPr>
      </w:pPr>
      <w:r w:rsidRPr="009D258A">
        <w:rPr>
          <w:noProof/>
        </w:rPr>
        <w:t>c) erityisiin henkilötietoryhmiin kohdistetaan toimenpiteitä, joilla varmistetaan, että käsitellyt henkilötiedot turvataan ja suojataan asianmukaisia suojatoimia noudattaen, mukaan lukien tietoihin pääsyn tiukka valvonta ja dokumentointi, jotta vältetään väärinkäyttö ja varmistetaan, että ainoastaan valtuutetuilla henkilöillä on pääsy kyseisiin henkilötietoihin asianmukaista salassapitovelvollisuutta soveltaen;</w:t>
      </w:r>
    </w:p>
    <w:p w14:paraId="6FD4FFA4" w14:textId="77777777" w:rsidR="00BC4D42" w:rsidRPr="009D258A" w:rsidRDefault="00BC4D42" w:rsidP="0078585D">
      <w:pPr>
        <w:pStyle w:val="Point2"/>
        <w:rPr>
          <w:noProof/>
        </w:rPr>
      </w:pPr>
      <w:r w:rsidRPr="009D258A">
        <w:rPr>
          <w:noProof/>
        </w:rPr>
        <w:t>d) erityisiä henkilötietoryhmiä ei välitetä, siirretä tai muutoin saateta muiden osapuolten saataville;</w:t>
      </w:r>
    </w:p>
    <w:p w14:paraId="59601A88" w14:textId="77777777" w:rsidR="00BC4D42" w:rsidRPr="009D258A" w:rsidRDefault="00BC4D42" w:rsidP="0078585D">
      <w:pPr>
        <w:pStyle w:val="Point2"/>
        <w:rPr>
          <w:noProof/>
        </w:rPr>
      </w:pPr>
      <w:r w:rsidRPr="009D258A">
        <w:rPr>
          <w:noProof/>
        </w:rPr>
        <w:t>e) erityiset henkilötietoryhmät poistetaan, kun vinoutuma on korjattu tai kun henkilötietojen säilytysaika on päättynyt, sen mukaan kumpi ajankohdista on aikaisempi;</w:t>
      </w:r>
    </w:p>
    <w:p w14:paraId="56E6B93C" w14:textId="77777777" w:rsidR="00BC4D42" w:rsidRPr="009D258A" w:rsidRDefault="00BC4D42" w:rsidP="0078585D">
      <w:pPr>
        <w:pStyle w:val="Point2"/>
        <w:rPr>
          <w:noProof/>
        </w:rPr>
      </w:pPr>
      <w:r w:rsidRPr="009D258A">
        <w:rPr>
          <w:noProof/>
        </w:rPr>
        <w:t xml:space="preserve">f) asetusten (EU) 2016/679 ja (EU) 2018/1725 sekä </w:t>
      </w:r>
      <w:r w:rsidRPr="009D258A">
        <w:rPr>
          <w:noProof/>
          <w:color w:val="333333"/>
        </w:rPr>
        <w:t>direktiivin (EU) 2016/680</w:t>
      </w:r>
      <w:r w:rsidRPr="009D258A">
        <w:rPr>
          <w:noProof/>
        </w:rPr>
        <w:t xml:space="preserve"> mukaisissa käsittelytoimia koskevissa selosteissa esitetään syyt, joiden vuoksi erityisten henkilötietoryhmien käsittely oli välttämätöntä vinoutumien havaitsemiseksi ja korjaamiseksi ja miksi tätä tavoitetta ei voitu saavuttaa käsittelemällä muita tietoja.</w:t>
      </w:r>
    </w:p>
    <w:p w14:paraId="6C5D06DD" w14:textId="77777777" w:rsidR="00BC4D42" w:rsidRPr="009D258A" w:rsidRDefault="00BC4D42" w:rsidP="0078585D">
      <w:pPr>
        <w:pStyle w:val="Point2"/>
        <w:rPr>
          <w:noProof/>
        </w:rPr>
      </w:pPr>
      <w:r w:rsidRPr="009D258A">
        <w:rPr>
          <w:noProof/>
        </w:rPr>
        <w:t>2. Edellä olevaa 1 kohtaa voidaan soveltaa muiden tekoälyjärjestelmien ja -mallien tarjoajiin ja käyttöönottajiin sekä suuririskisten tekoälyjärjestelmien käyttöönottajiin, jos se on välttämätöntä ja oikeasuhteista, jos käsittely tapahtuu kyseisessä kohdassa vahvistettuja tarkoituksia varten ja edellyttäen, että kyseisessä kohdassa tarkoitetut suojatoimet ovat käytössä ja kyseisessä kohdassa vahvistetut ehdot täyttyvät.”;</w:t>
      </w:r>
    </w:p>
    <w:p w14:paraId="47DD44D8" w14:textId="27449AC2" w:rsidR="088FC654" w:rsidRPr="009D258A" w:rsidRDefault="00FE0697" w:rsidP="00FE0697">
      <w:pPr>
        <w:pStyle w:val="Point1"/>
        <w:rPr>
          <w:rFonts w:eastAsia="Times New Roman"/>
          <w:noProof/>
        </w:rPr>
      </w:pPr>
      <w:r>
        <w:rPr>
          <w:noProof/>
        </w:rPr>
        <w:t>6)</w:t>
      </w:r>
      <w:r>
        <w:rPr>
          <w:noProof/>
        </w:rPr>
        <w:tab/>
      </w:r>
      <w:r w:rsidR="088FC654" w:rsidRPr="009D258A">
        <w:rPr>
          <w:noProof/>
        </w:rPr>
        <w:t>korvataan 6 artiklan 4 kohta seuraavasti:</w:t>
      </w:r>
    </w:p>
    <w:p w14:paraId="0EA6F65A" w14:textId="77777777" w:rsidR="00DA0E75" w:rsidRPr="009D258A" w:rsidRDefault="001F09D6" w:rsidP="69C9579D">
      <w:pPr>
        <w:pStyle w:val="Point2"/>
        <w:rPr>
          <w:noProof/>
        </w:rPr>
      </w:pPr>
      <w:r w:rsidRPr="009D258A">
        <w:rPr>
          <w:noProof/>
        </w:rPr>
        <w:t>”4. Tarjoajan, joka katsoo, että liitteessä III tarkoitettu tekoälyjärjestelmä ei ole suuririskinen, on dokumentoitava arvionsa ennen kuin kyseinen järjestelmä saatetaan markkinoille tai otetaan käyttöön. Tarjoajan on kansallisten toimivaltaisten viranomaisten pyynnöstä toimitettava arvion perustana oleva dokumentaatio.”;</w:t>
      </w:r>
    </w:p>
    <w:p w14:paraId="3645930B" w14:textId="49DCB976" w:rsidR="00BC4D42" w:rsidRPr="009D258A" w:rsidRDefault="00FE0697" w:rsidP="00FE0697">
      <w:pPr>
        <w:pStyle w:val="Point1"/>
        <w:rPr>
          <w:noProof/>
        </w:rPr>
      </w:pPr>
      <w:r>
        <w:rPr>
          <w:noProof/>
        </w:rPr>
        <w:t>7)</w:t>
      </w:r>
      <w:r>
        <w:rPr>
          <w:noProof/>
        </w:rPr>
        <w:tab/>
      </w:r>
      <w:r w:rsidR="00BC4D42" w:rsidRPr="009D258A">
        <w:rPr>
          <w:noProof/>
        </w:rPr>
        <w:t>muutetaan 10 artikla seuraavasti:</w:t>
      </w:r>
    </w:p>
    <w:p w14:paraId="2626D740" w14:textId="54036645" w:rsidR="001F09D6" w:rsidRPr="009D258A" w:rsidRDefault="00FE0697" w:rsidP="00FE0697">
      <w:pPr>
        <w:pStyle w:val="Point1"/>
        <w:rPr>
          <w:noProof/>
        </w:rPr>
      </w:pPr>
      <w:r>
        <w:rPr>
          <w:noProof/>
        </w:rPr>
        <w:t>a)</w:t>
      </w:r>
      <w:r>
        <w:rPr>
          <w:noProof/>
        </w:rPr>
        <w:tab/>
      </w:r>
      <w:r w:rsidR="001F09D6" w:rsidRPr="009D258A">
        <w:rPr>
          <w:noProof/>
        </w:rPr>
        <w:t>korvataan 1 kohta seuraavasti:</w:t>
      </w:r>
    </w:p>
    <w:p w14:paraId="3B1C8C50" w14:textId="77777777" w:rsidR="00BC4D42" w:rsidRPr="009D258A" w:rsidRDefault="00BC4D42" w:rsidP="0078585D">
      <w:pPr>
        <w:pStyle w:val="Point2"/>
        <w:rPr>
          <w:noProof/>
        </w:rPr>
      </w:pPr>
      <w:r w:rsidRPr="009D258A">
        <w:rPr>
          <w:noProof/>
        </w:rPr>
        <w:t>”1. Suuririskiset tekoälyjärjestelmät, joissa hyödynnetään tekoälymallien kouluttamista datalla sisältäviä tekniikoita, on kehitettävä sellaisten koulutus-, validointi- ja testausdatajoukkojen pohjalta, jotka täyttävät tämän artiklan 2, 3 ja 4 kohdassa tarkoitetut laatuvaatimukset sekä 4 a artiklan 1 kohdassa tarkoitetut laatuvaatimukset, jos käytetään siinä tarkoitettuja datajoukkoja.”;</w:t>
      </w:r>
    </w:p>
    <w:p w14:paraId="513FBFA3" w14:textId="02FB225C" w:rsidR="00BC4D42" w:rsidRPr="009D258A" w:rsidRDefault="00FE0697" w:rsidP="00FE0697">
      <w:pPr>
        <w:pStyle w:val="Point1"/>
        <w:rPr>
          <w:noProof/>
        </w:rPr>
      </w:pPr>
      <w:r>
        <w:rPr>
          <w:noProof/>
        </w:rPr>
        <w:t>b)</w:t>
      </w:r>
      <w:r>
        <w:rPr>
          <w:noProof/>
        </w:rPr>
        <w:tab/>
      </w:r>
      <w:r w:rsidR="00BC4D42" w:rsidRPr="009D258A">
        <w:rPr>
          <w:noProof/>
        </w:rPr>
        <w:t>kumotaan 5 kohta;</w:t>
      </w:r>
    </w:p>
    <w:p w14:paraId="15A7C39B" w14:textId="701AD4CC" w:rsidR="00BC4D42" w:rsidRPr="009D258A" w:rsidRDefault="00FE0697" w:rsidP="00FE0697">
      <w:pPr>
        <w:pStyle w:val="Point1"/>
        <w:rPr>
          <w:noProof/>
        </w:rPr>
      </w:pPr>
      <w:r>
        <w:rPr>
          <w:noProof/>
        </w:rPr>
        <w:t>c)</w:t>
      </w:r>
      <w:r>
        <w:rPr>
          <w:noProof/>
        </w:rPr>
        <w:tab/>
      </w:r>
      <w:r w:rsidR="00BC4D42" w:rsidRPr="009D258A">
        <w:rPr>
          <w:noProof/>
        </w:rPr>
        <w:t>korvataan 6 kohta seuraavasti:</w:t>
      </w:r>
    </w:p>
    <w:p w14:paraId="6007E0A8" w14:textId="77777777" w:rsidR="00BC4D42" w:rsidRPr="009D258A" w:rsidRDefault="00BC4D42" w:rsidP="0078585D">
      <w:pPr>
        <w:pStyle w:val="Point2"/>
        <w:rPr>
          <w:noProof/>
        </w:rPr>
      </w:pPr>
      <w:r w:rsidRPr="009D258A">
        <w:rPr>
          <w:noProof/>
        </w:rPr>
        <w:t>”6. Sellaisen suuririskisten tekoälyjärjestelmien kehittämisen osalta, jossa ei käytetä tekoälymallien kouluttamista sisältäviä tekniikoita, tämän artiklan 2, 3 ja 4 kohtaa ja 4 a artiklan 1 kohtaa sovelletaan ainoastaan testausdatajoukkoihin.”;</w:t>
      </w:r>
    </w:p>
    <w:p w14:paraId="29427495" w14:textId="61A25374" w:rsidR="00BC4D42" w:rsidRPr="009D258A" w:rsidRDefault="00FE0697" w:rsidP="00FE0697">
      <w:pPr>
        <w:pStyle w:val="Point1"/>
        <w:rPr>
          <w:noProof/>
        </w:rPr>
      </w:pPr>
      <w:r>
        <w:rPr>
          <w:noProof/>
        </w:rPr>
        <w:t>8)</w:t>
      </w:r>
      <w:r>
        <w:rPr>
          <w:noProof/>
        </w:rPr>
        <w:tab/>
      </w:r>
      <w:r w:rsidR="00BC4D42" w:rsidRPr="009D258A">
        <w:rPr>
          <w:noProof/>
        </w:rPr>
        <w:t>korvataan 11 artiklan 1 kohdan toinen alakohta seuraavasti:</w:t>
      </w:r>
    </w:p>
    <w:p w14:paraId="757F5304" w14:textId="77777777" w:rsidR="00BC4D42" w:rsidRPr="009D258A" w:rsidRDefault="00BC4D42" w:rsidP="69C9579D">
      <w:pPr>
        <w:pStyle w:val="Point2"/>
        <w:rPr>
          <w:noProof/>
        </w:rPr>
      </w:pPr>
      <w:r w:rsidRPr="009D258A">
        <w:rPr>
          <w:noProof/>
        </w:rPr>
        <w:t xml:space="preserve">”Dokumentaatio on laadittava siten, että siinä osoitetaan suuririskisen tekoälyjärjestelmän täyttävän tässä jaksossa vahvistetut vaatimukset ja annetaan kansallisille toimivaltaisille viranomaisille ja ilmoitetuille laitoksille selkeässä ja ymmärrettävässä muodossa tarvittavat tiedot sen arvioimiseksi, täyttääkö tekoälyjärjestelmä nämä vaatimukset. Sen on sisällettävä vähintään liitteessä IV esitetyt tiedot. Pienet midcap-yritykset ja pk-yritykset, mukaan lukien startup-yritykset, voivat toimittaa liitteessä IV täsmennetyn teknisen dokumentaation osat yksinkertaistetulla tavalla. Tätä varten komissio laatii yksinkertaistetun teknisen dokumentaatiolomakkeen, joka on suunnattu pienten midcap-yritysten ja pk-yritysten, startup-yritykset mukaan lukien, tarpeisiin. Jos pieni midcap-yritys tai pk-yritys, myös startup-yritys, päättää toimittaa liitteessä IV vaaditut tiedot yksinkertaistetussa muodossa, sen on käytettävä tässä kappaleessa tarkoitettua lomaketta. Ilmoitettujen laitosten on hyväksyttävä kyseinen lomake vaatimustenmukaisuuden arviointia varten.”; </w:t>
      </w:r>
    </w:p>
    <w:p w14:paraId="30A0A6F5" w14:textId="6DE2E109" w:rsidR="00BC4D42" w:rsidRPr="009D258A" w:rsidRDefault="00FE0697" w:rsidP="00FE0697">
      <w:pPr>
        <w:pStyle w:val="Point1"/>
        <w:rPr>
          <w:noProof/>
        </w:rPr>
      </w:pPr>
      <w:r>
        <w:rPr>
          <w:noProof/>
        </w:rPr>
        <w:t>9)</w:t>
      </w:r>
      <w:r>
        <w:rPr>
          <w:noProof/>
        </w:rPr>
        <w:tab/>
      </w:r>
      <w:r w:rsidR="00EC0FF6" w:rsidRPr="009D258A">
        <w:rPr>
          <w:noProof/>
        </w:rPr>
        <w:t>korvataan 17 artiklan 2 kohta seuraavasti:</w:t>
      </w:r>
    </w:p>
    <w:p w14:paraId="1E31CB10" w14:textId="77777777" w:rsidR="00BC4D42" w:rsidRPr="009D258A" w:rsidRDefault="00BC4D42" w:rsidP="0078585D">
      <w:pPr>
        <w:pStyle w:val="Point2"/>
        <w:rPr>
          <w:noProof/>
        </w:rPr>
      </w:pPr>
      <w:r w:rsidRPr="009D258A">
        <w:rPr>
          <w:noProof/>
        </w:rPr>
        <w:t xml:space="preserve">”2. Edellä 1 kohdassa tarkoitettujen seikkojen toteutuksen on oltava oikeassa suhteessa tarjoajan organisaation kokoon, varsinkin jos tarjoaja on pieni midcap-yritys tai pk-yritys, startup-yritykset mukaan lukien. Tarjoajien on joka tapauksessa noudatettava sellaista kurinalaisuutta ja suojelun tasoa, jota vaaditaan, jotta suuririskinen tekoälyjärjestelmä on tämän asetuksen mukainen.”; </w:t>
      </w:r>
    </w:p>
    <w:p w14:paraId="7747F848" w14:textId="2EB699AE" w:rsidR="00BC4D42" w:rsidRPr="009D258A" w:rsidRDefault="00FE0697" w:rsidP="00FE0697">
      <w:pPr>
        <w:pStyle w:val="Point1"/>
        <w:rPr>
          <w:noProof/>
        </w:rPr>
      </w:pPr>
      <w:r>
        <w:rPr>
          <w:noProof/>
        </w:rPr>
        <w:t>10)</w:t>
      </w:r>
      <w:r>
        <w:rPr>
          <w:noProof/>
        </w:rPr>
        <w:tab/>
      </w:r>
      <w:r w:rsidR="00BC4D42" w:rsidRPr="009D258A">
        <w:rPr>
          <w:noProof/>
        </w:rPr>
        <w:t>lisätään 28 artiklaan 8 kohta seuraavasti:</w:t>
      </w:r>
    </w:p>
    <w:p w14:paraId="1F0CC956" w14:textId="77777777" w:rsidR="00C44D47" w:rsidRPr="009D258A" w:rsidRDefault="00BC4D42" w:rsidP="0078585D">
      <w:pPr>
        <w:pStyle w:val="Point2"/>
        <w:rPr>
          <w:noProof/>
        </w:rPr>
      </w:pPr>
      <w:r w:rsidRPr="009D258A">
        <w:rPr>
          <w:noProof/>
        </w:rPr>
        <w:t>”8. Tämän asetuksen nojalla nimettyjen ilmoittamisesta vastaavien viranomaisten, jotka ovat vastuussa liitteessä I olevassa A jaksossa luetellun unionin yhdenmukaistamislainsäädännön piiriin kuuluvista tekoälyjärjestelmistä, on oltava toteutukseltaan, organisaatioltaan ja toiminnaltaan sellaisia, että vaatimustenmukaisuuden arviointilaitokselle, joka hakee nimeämistä sekä tämän asetuksen että liitteessä I olevassa A jaksossa luetellun unionin yhdenmukaistamislainsäädännön nojalla, annetaan mahdollisuus jättää yksi yhteinen hakemus ja läpäistä yksi yhteinen arviointimenettely, tullakseen nimetyksi tämän asetuksen ja liitteessä I olevassa A jaksossa luetellun unionin yhdenmukaistamislainsäädännön nojalla, jos kyseessä olevassa unionin yhdenmukaistamislainsäädännössä säädetään tällaisesta yhteisestä hakemuksesta ja yhteisestä arviointimenettelystä.</w:t>
      </w:r>
    </w:p>
    <w:p w14:paraId="4894A05D" w14:textId="77777777" w:rsidR="00C44D47" w:rsidRPr="009D258A" w:rsidRDefault="00C44D47" w:rsidP="00C44D47">
      <w:pPr>
        <w:pStyle w:val="Point2"/>
        <w:rPr>
          <w:noProof/>
        </w:rPr>
      </w:pPr>
      <w:r w:rsidRPr="009D258A">
        <w:rPr>
          <w:noProof/>
        </w:rPr>
        <w:t>Tässä kohdassa tarkoitettu yhteinen hakemus ja arviointimenettely on mahdollistettava myös liitteessä I olevassa A jaksossa luetellun unionin yhdenmukaistamislainsäädännön nojalla jo nimetyille ilmoitetuille laitoksille, kun nämä ilmoitetut laitokset hakevat nimeämistä tämän asetuksen nojalla, edellyttäen, että kyseessä olevassa unionin yhdenmukaistamislainsäädännössä säädetään tällaisesta menettelystä.</w:t>
      </w:r>
    </w:p>
    <w:p w14:paraId="08D8EB80" w14:textId="461ECE08" w:rsidR="00BC4D42" w:rsidRPr="009D258A" w:rsidRDefault="003A335C" w:rsidP="0078585D">
      <w:pPr>
        <w:pStyle w:val="Point2"/>
        <w:rPr>
          <w:noProof/>
        </w:rPr>
      </w:pPr>
      <w:r w:rsidRPr="009D258A">
        <w:rPr>
          <w:noProof/>
        </w:rPr>
        <w:t xml:space="preserve">Yhteisellä hakemuksella ja arviointimenettelyllä on vältettävä tarpeettomat päällekkäisyydet, niiden on perustuttava liitteessä I olevassa A jaksossa luetellun unionin yhdenmukaistamislainsäädännön mukaisiin olemassa oleviin nimeämismenettelyihin ja niillä on varmistettava sekä tämän asetuksen että kyseessä olevan unionin yhdenmukaistamislainsäädännön mukaisten ilmoitettuja laitoksia koskevien vaatimusten täyttyminen.”; </w:t>
      </w:r>
    </w:p>
    <w:p w14:paraId="04CF4D91" w14:textId="189B85C0" w:rsidR="00BC4D42" w:rsidRPr="009D258A" w:rsidRDefault="00FE0697" w:rsidP="00FE0697">
      <w:pPr>
        <w:pStyle w:val="Point1"/>
        <w:rPr>
          <w:noProof/>
        </w:rPr>
      </w:pPr>
      <w:r>
        <w:rPr>
          <w:noProof/>
        </w:rPr>
        <w:t>11)</w:t>
      </w:r>
      <w:r>
        <w:rPr>
          <w:noProof/>
        </w:rPr>
        <w:tab/>
      </w:r>
      <w:r w:rsidR="00EC0FF6" w:rsidRPr="009D258A">
        <w:rPr>
          <w:noProof/>
        </w:rPr>
        <w:t>korvataan 29 artiklan 4 kohta seuraavasti:</w:t>
      </w:r>
    </w:p>
    <w:p w14:paraId="1FDF72C5" w14:textId="77777777" w:rsidR="00332A05" w:rsidRPr="009D258A" w:rsidRDefault="00BC4D42" w:rsidP="00332A05">
      <w:pPr>
        <w:pStyle w:val="Point2"/>
        <w:rPr>
          <w:noProof/>
        </w:rPr>
      </w:pPr>
      <w:r w:rsidRPr="009D258A">
        <w:rPr>
          <w:noProof/>
        </w:rPr>
        <w:t>”4. Kun on kyse muun unionin yhdenmukaistamislainsäädännön nojalla nimetyistä ilmoitetuista laitoksista, kaikkia näihin nimeämisiin liittyviä asiakirjoja ja todistuksia voidaan tarvittaessa käyttää tämän asetuksen mukaisen nimeämismenettelyn tukena ja nopeuttamiseksi.</w:t>
      </w:r>
    </w:p>
    <w:p w14:paraId="5A42A0CB" w14:textId="77777777" w:rsidR="00332A05" w:rsidRPr="009D258A" w:rsidRDefault="00332A05" w:rsidP="00332A05">
      <w:pPr>
        <w:pStyle w:val="Point2"/>
        <w:rPr>
          <w:noProof/>
        </w:rPr>
      </w:pPr>
      <w:r w:rsidRPr="009D258A">
        <w:rPr>
          <w:noProof/>
        </w:rPr>
        <w:t>Ilmoitettujen laitosten, jotka on nimetty liitteessä I olevassa A jaksossa luetellun unionin yhdenmukaistamislainsäädännön nojalla ja jotka hakevat 28 artiklan 8 kohdassa tarkoitettua yhteistä arviointia, on toimitettava arviointihakemus kyseisen unionin yhdenmukaistamislainsäädännön mukaisesti nimetylle ilmoittamisesta vastaavalle viranomaiselle.</w:t>
      </w:r>
    </w:p>
    <w:p w14:paraId="491F728C" w14:textId="77777777" w:rsidR="00BC4D42" w:rsidRPr="009D258A" w:rsidRDefault="00332A05" w:rsidP="0078585D">
      <w:pPr>
        <w:pStyle w:val="Point2"/>
        <w:rPr>
          <w:noProof/>
        </w:rPr>
      </w:pPr>
      <w:r w:rsidRPr="009D258A">
        <w:rPr>
          <w:noProof/>
        </w:rPr>
        <w:t>Ilmoitetun laitoksen on päivitettävä tämän artiklan 2 ja 3 kohdassa tarkoitetut asiakirjat aina, kun merkityksellisiä muutoksia tapahtuu, jotta ilmoitetuista laitoksista vastaava viranomainen voi valvoa ja todentaa, että 31 artiklassa säädettyjä vaatimuksia noudatetaan jatkuvasti.”;</w:t>
      </w:r>
    </w:p>
    <w:p w14:paraId="567A46CA" w14:textId="48B6AC33" w:rsidR="00BC4D42" w:rsidRPr="009D258A" w:rsidRDefault="00FE0697" w:rsidP="00FE0697">
      <w:pPr>
        <w:pStyle w:val="Point1"/>
        <w:rPr>
          <w:noProof/>
        </w:rPr>
      </w:pPr>
      <w:r>
        <w:rPr>
          <w:noProof/>
        </w:rPr>
        <w:t>12)</w:t>
      </w:r>
      <w:r>
        <w:rPr>
          <w:noProof/>
        </w:rPr>
        <w:tab/>
      </w:r>
      <w:r w:rsidR="00BC4D42" w:rsidRPr="009D258A">
        <w:rPr>
          <w:noProof/>
        </w:rPr>
        <w:t>korvataan 30 artiklan 2 kohta seuraavasti:</w:t>
      </w:r>
    </w:p>
    <w:p w14:paraId="2BFA9CBC" w14:textId="77777777" w:rsidR="0090032C" w:rsidRPr="009D258A" w:rsidRDefault="00BC4D42" w:rsidP="0078585D">
      <w:pPr>
        <w:pStyle w:val="Point2"/>
        <w:rPr>
          <w:noProof/>
        </w:rPr>
      </w:pPr>
      <w:r w:rsidRPr="009D258A">
        <w:rPr>
          <w:noProof/>
        </w:rPr>
        <w:t>”2. Ilmoittamisesta vastaavien viranomaisten on tehtävä kustakin 1 kohdassa tarkoitetusta vaatimustenmukaisuuden arviointilaitoksesta ilmoitus komissiolle ja muille jäsenvaltioille liitteessä XIV esitetyn koodien, luokkien ja vastaavien tekoälyjärjestelmien tyyppien luettelon pohjalta käyttäen komission kehittämää ja hallinnoimaa sähköistä ilmoitusvälinettä.</w:t>
      </w:r>
    </w:p>
    <w:p w14:paraId="485B9A9C" w14:textId="77777777" w:rsidR="00BC4D42" w:rsidRPr="009D258A" w:rsidRDefault="0090032C" w:rsidP="0078585D">
      <w:pPr>
        <w:pStyle w:val="Point2"/>
        <w:rPr>
          <w:noProof/>
        </w:rPr>
      </w:pPr>
      <w:r w:rsidRPr="009D258A">
        <w:rPr>
          <w:noProof/>
        </w:rPr>
        <w:t>Valtuutetaan komissio antamaan 97 artiklan mukaisesti delegoituja säädöksiä, joilla muutetaan liitettä XIV tekniikan kehityksen, tiedon lisääntymisen tai uuden tieteellisen näytön perusteella lisäämällä koodien, luokkien ja vastaavien tekoälyjärjestelmien tyyppien luetteloon uusi koodi, luokka tai tekoälyjärjestelmien tyyppi, poistamalla luettelosta koodi, luokka tai tekoälyjärjestelmien tyyppi tai siirtämällä koodi tai tekoälyjärjestelmän tyyppi luokasta toiseen.”;</w:t>
      </w:r>
    </w:p>
    <w:p w14:paraId="4E61AEB0" w14:textId="01B5F591" w:rsidR="00BC4D42" w:rsidRPr="009D258A" w:rsidRDefault="00FE0697" w:rsidP="00FE0697">
      <w:pPr>
        <w:pStyle w:val="Point1"/>
        <w:rPr>
          <w:noProof/>
        </w:rPr>
      </w:pPr>
      <w:r>
        <w:rPr>
          <w:noProof/>
        </w:rPr>
        <w:t>13)</w:t>
      </w:r>
      <w:r>
        <w:rPr>
          <w:noProof/>
        </w:rPr>
        <w:tab/>
      </w:r>
      <w:r w:rsidR="005D0AE7" w:rsidRPr="009D258A">
        <w:rPr>
          <w:noProof/>
        </w:rPr>
        <w:t>korvataan 43 artiklan 3 kohta seuraavasti:</w:t>
      </w:r>
    </w:p>
    <w:p w14:paraId="14778848" w14:textId="77777777" w:rsidR="00BC4D42" w:rsidRPr="009D258A" w:rsidRDefault="00BC4D42" w:rsidP="0078585D">
      <w:pPr>
        <w:pStyle w:val="Point2"/>
        <w:rPr>
          <w:noProof/>
        </w:rPr>
      </w:pPr>
      <w:r w:rsidRPr="009D258A">
        <w:rPr>
          <w:noProof/>
        </w:rPr>
        <w:t>”3. Liitteessä I olevassa A jaksossa luetellun unionin yhdenmukaistamislainsäädännön piiriin kuuluvien suuririskisten tekoälyjärjestelmien tarjoajien on noudatettava kyseisessä unionin yhdenmukaistamislainsäädännössä edellytettyä asiaankuuluvaa vaatimustenmukaisuuden arviointimenettelyä. Kyseisiin suuririskisiin tekoälyjärjestelmiin sovelletaan tämän luvun 2 jaksossa vahvistettuja vaatimuksia, ja niiden on oltava osa tätä arviointia. Lisäksi on arvioitava 17 artiklan ja liitteen VII mukainen laadunhallintajärjestelmä.</w:t>
      </w:r>
    </w:p>
    <w:p w14:paraId="48B3ECAD" w14:textId="77777777" w:rsidR="00BC4D42" w:rsidRPr="009D258A" w:rsidRDefault="00933CBD" w:rsidP="0078585D">
      <w:pPr>
        <w:pStyle w:val="Point2"/>
        <w:rPr>
          <w:noProof/>
        </w:rPr>
      </w:pPr>
      <w:r w:rsidRPr="009D258A">
        <w:rPr>
          <w:noProof/>
        </w:rPr>
        <w:t>Tätä vaatimustenmukaisuuden arviointia varten ilmoitetuilla laitoksilla, jotka on ilmoitettu liitteessä I olevassa A jaksossa luetellun unionin yhdenmukaistamislainsäädännön nojalla, on oltava toimivalta arvioida, täyttävätkö suuririskiset tekoälyjärjestelmät 2 jaksossa vahvistetut vaatimukset, edellyttäen, että se, että kyseiset ilmoitut laitokset täyttävät 31 artiklan 4, 5, 10 ja 11 kohdassa vahvistetut vaatimukset, on arvioitu unionin yhdenmukaistamislainsäädännön mukaisen ilmoitusmenettelyn yhteydessä. Tällaisten ilmoitettujen laitosten, jotka on ilmoitettu liitteessä I olevassa A jaksossa luetellun unionin yhdenmukaistamislainsäädännön nojalla, on haettava nimeämistä 4 jakson mukaisesti viimeistään [18 kuukauden kuluttua tämän asetuksen soveltamisen alkamisesta], sanotun kuitenkaan rajoittamatta 28 artiklan soveltamista.</w:t>
      </w:r>
    </w:p>
    <w:p w14:paraId="398B7D5E" w14:textId="77777777" w:rsidR="00BC4D42" w:rsidRPr="009D258A" w:rsidRDefault="00BC4D42" w:rsidP="0078585D">
      <w:pPr>
        <w:pStyle w:val="Point2"/>
        <w:rPr>
          <w:noProof/>
        </w:rPr>
      </w:pPr>
      <w:r w:rsidRPr="009D258A">
        <w:rPr>
          <w:noProof/>
        </w:rPr>
        <w:t>Jos liitteessä I olevassa A jaksossa luetellussa unionin yhdenmukaistamislainsäädännössä säädetään tuotteen valmistajan mahdollisuudesta olla käyttämättä kolmannen osapuolen suorittamaa vaatimustenmukaisuuden arviointia ja edellyttäen, että kyseinen valmistaja on noudattanut yhdenmukaistettuja standardeja, jotka kattavat kaikki asiaankuuluvat vaatimukset, valmistaja voi käyttää tätä vaihtoehtoa ainoastaan, jos se on noudattanut myös 41 artiklassa tarkoitettuja yhdenmukaistettuja standardeja tai tapauksen mukaan yhteisiä eritelmiä, jotka kattavat kaikki tämän luvun 2 jaksossa vahvistetut vaatimukset.</w:t>
      </w:r>
    </w:p>
    <w:p w14:paraId="375554CB" w14:textId="1DD021E8" w:rsidR="00BC4D42" w:rsidRPr="009D258A" w:rsidRDefault="00BC4D42" w:rsidP="0078585D">
      <w:pPr>
        <w:pStyle w:val="Point2"/>
        <w:rPr>
          <w:noProof/>
        </w:rPr>
      </w:pPr>
      <w:r w:rsidRPr="009D258A">
        <w:rPr>
          <w:noProof/>
        </w:rPr>
        <w:t xml:space="preserve"> Jos suuririskinen tekoälyjärjestelmä kuuluu sekä liitteessä I olevassa A jaksossa luetellun unionin yhdenmukaistamislainsäädännön piiriin että johonkin liitteessä III luetelluista luokista, järjestelmän tarjoajan on noudatettava liitteessä I olevassa A jaksossa luetellussa kyseisessä unionin yhdenmukaistamislainsäädännössä edellytettyä asiaankuuluvaa vaatimustenmukaisuuden arviointimenettelyä.”;</w:t>
      </w:r>
    </w:p>
    <w:p w14:paraId="5FA2BAD3" w14:textId="5614EFAF" w:rsidR="00BC4D42" w:rsidRPr="009D258A" w:rsidRDefault="00FE0697" w:rsidP="00FE0697">
      <w:pPr>
        <w:pStyle w:val="Point1"/>
        <w:rPr>
          <w:noProof/>
        </w:rPr>
      </w:pPr>
      <w:r>
        <w:rPr>
          <w:noProof/>
        </w:rPr>
        <w:t>14)</w:t>
      </w:r>
      <w:r>
        <w:rPr>
          <w:noProof/>
        </w:rPr>
        <w:tab/>
      </w:r>
      <w:r w:rsidR="60D9A582" w:rsidRPr="009D258A">
        <w:rPr>
          <w:noProof/>
        </w:rPr>
        <w:t>kumotaan 49 artiklan 2 kohta;</w:t>
      </w:r>
    </w:p>
    <w:p w14:paraId="00E60AA5" w14:textId="258B53B1" w:rsidR="00BC4D42" w:rsidRPr="009D258A" w:rsidRDefault="00FE0697" w:rsidP="00FE0697">
      <w:pPr>
        <w:pStyle w:val="Point1"/>
        <w:rPr>
          <w:noProof/>
        </w:rPr>
      </w:pPr>
      <w:r>
        <w:rPr>
          <w:noProof/>
        </w:rPr>
        <w:t>15)</w:t>
      </w:r>
      <w:r>
        <w:rPr>
          <w:noProof/>
        </w:rPr>
        <w:tab/>
      </w:r>
      <w:r w:rsidR="00BC4D42" w:rsidRPr="009D258A">
        <w:rPr>
          <w:noProof/>
        </w:rPr>
        <w:t xml:space="preserve">korvataan 50 artiklan 7 kohta seuraavasti: </w:t>
      </w:r>
    </w:p>
    <w:p w14:paraId="14331531" w14:textId="77777777" w:rsidR="00BC4D42" w:rsidRPr="009D258A" w:rsidRDefault="00BC4D42" w:rsidP="0078585D">
      <w:pPr>
        <w:pStyle w:val="Point2"/>
        <w:rPr>
          <w:noProof/>
        </w:rPr>
      </w:pPr>
      <w:r w:rsidRPr="009D258A">
        <w:rPr>
          <w:noProof/>
        </w:rPr>
        <w:t>”7. Tekoälytoimisto edesauttaa käytännesääntöjen laatimista unionin tasolla, jotta voidaan helpottaa keinotekoisesti tuotetun tai manipuloidun sisällön havaitsemista, merkitsemistä ja sellaiseksi ilmoittamista koskevien velvoitteiden käytännön noudattamista. Komissio voi 56 artiklan 6 kohdan ensimmäisessä alakohdassa säädettyä menettelyä noudattaen arvioida, riittääkö näiden käytännesääntöjen noudattaminen varmistamaan 2 kohdassa säädetyn velvoitteen täyttymisen. Jos komissio katsoo, että käytännesäännöt eivät riitä, se voi antaa 98 artiklan 2 kohdassa säädettyä tarkastelumenettelyä noudattaen täytäntöönpanosäädöksen, jossa täsmennetään yhteiset säännöt kyseisten velvoitteiden täytäntöönpanemiseksi.”;</w:t>
      </w:r>
    </w:p>
    <w:p w14:paraId="06C0A397" w14:textId="6A58B3F4" w:rsidR="00BC4D42" w:rsidRPr="009D258A" w:rsidRDefault="00FE0697" w:rsidP="00FE0697">
      <w:pPr>
        <w:pStyle w:val="Point1"/>
        <w:rPr>
          <w:noProof/>
        </w:rPr>
      </w:pPr>
      <w:r>
        <w:rPr>
          <w:noProof/>
        </w:rPr>
        <w:t>16)</w:t>
      </w:r>
      <w:r>
        <w:rPr>
          <w:noProof/>
        </w:rPr>
        <w:tab/>
      </w:r>
      <w:r w:rsidR="00BC4D42" w:rsidRPr="009D258A">
        <w:rPr>
          <w:noProof/>
        </w:rPr>
        <w:t>korvataan 56 artiklan 6 kohdan ensimmäinen alakohta seuraavasti:</w:t>
      </w:r>
    </w:p>
    <w:p w14:paraId="27508BF8" w14:textId="77777777" w:rsidR="00BC4D42" w:rsidRPr="009D258A" w:rsidRDefault="00BC4D42" w:rsidP="69C9579D">
      <w:pPr>
        <w:pStyle w:val="Point2"/>
        <w:rPr>
          <w:noProof/>
        </w:rPr>
      </w:pPr>
      <w:r w:rsidRPr="009D258A">
        <w:rPr>
          <w:noProof/>
        </w:rPr>
        <w:t>”6. Komissio ja tekoälyneuvosto seuraavat ja arvioivat säännöllisesti, miten osallistujat saavuttavat käytännesääntöjen tavoitteet ja miten käytännesäännöt osaltaan edistävät tämän asetuksen asianmukaista soveltamista. Komissio arvioi, ottaen tekoälyneuvoston lausunnon mahdollisimman tarkasti huomioon, kattavatko käytännesäännöt 53 ja 55 artiklassa säädetyt velvoitteet, ja seuraavat ja arvioivat säännöllisesti käytännesääntöjen tavoitteiden saavuttamista. Komissio julkaisee arvionsa käytännesääntöjen riittävyydestä.”;</w:t>
      </w:r>
    </w:p>
    <w:p w14:paraId="58167C73" w14:textId="12B24B71" w:rsidR="00BC4D42" w:rsidRPr="009D258A" w:rsidRDefault="00FE0697" w:rsidP="00FE0697">
      <w:pPr>
        <w:pStyle w:val="Point1"/>
        <w:rPr>
          <w:noProof/>
        </w:rPr>
      </w:pPr>
      <w:r>
        <w:rPr>
          <w:noProof/>
        </w:rPr>
        <w:t>17)</w:t>
      </w:r>
      <w:r>
        <w:rPr>
          <w:noProof/>
        </w:rPr>
        <w:tab/>
      </w:r>
      <w:r w:rsidR="00BC4D42" w:rsidRPr="009D258A">
        <w:rPr>
          <w:noProof/>
        </w:rPr>
        <w:t>muutetaan 57 artikla seuraavasti:</w:t>
      </w:r>
    </w:p>
    <w:p w14:paraId="71B137AE" w14:textId="35F328F3" w:rsidR="00BC4D42" w:rsidRPr="009D258A" w:rsidRDefault="00FE0697" w:rsidP="00FE0697">
      <w:pPr>
        <w:pStyle w:val="Point1"/>
        <w:rPr>
          <w:noProof/>
        </w:rPr>
      </w:pPr>
      <w:r>
        <w:rPr>
          <w:noProof/>
        </w:rPr>
        <w:t>a)</w:t>
      </w:r>
      <w:r>
        <w:rPr>
          <w:noProof/>
        </w:rPr>
        <w:tab/>
      </w:r>
      <w:r w:rsidR="00BC4D42" w:rsidRPr="009D258A">
        <w:rPr>
          <w:noProof/>
        </w:rPr>
        <w:t>lisätään 3 a kohta seuraavasti:</w:t>
      </w:r>
    </w:p>
    <w:p w14:paraId="36B205F2" w14:textId="58D3673A" w:rsidR="00BC4D42" w:rsidRPr="009D258A" w:rsidRDefault="00BC4D42" w:rsidP="0078585D">
      <w:pPr>
        <w:pStyle w:val="Point2"/>
        <w:rPr>
          <w:noProof/>
        </w:rPr>
      </w:pPr>
      <w:r w:rsidRPr="009D258A">
        <w:rPr>
          <w:noProof/>
        </w:rPr>
        <w:t>”3 a. Myös tekoälytoimisto voi perustaa unionin tasolla tekoälyn sääntelyn testiympäristön 75 artiklan 1 kohdan piiriin kuuluville tekoälyjärjestelmille. Tällainen testiympäristö on toteutettava tiiviissä yhteistyössä asiaankuuluvien toimivaltaisten viranomaisten kanssa, varsinkin jos testiympäristössä testataan muunkin unionin lainsäädännön kuin tämän asetuksen noudattamista, ja testiympäristön käytössä on annettava etusija pk-yrityksille.”;</w:t>
      </w:r>
    </w:p>
    <w:p w14:paraId="669AF8F1" w14:textId="1A6D2ECD" w:rsidR="00BC4D42" w:rsidRPr="009D258A" w:rsidRDefault="00FE0697" w:rsidP="00FE0697">
      <w:pPr>
        <w:pStyle w:val="Point1"/>
        <w:rPr>
          <w:noProof/>
        </w:rPr>
      </w:pPr>
      <w:r>
        <w:rPr>
          <w:noProof/>
        </w:rPr>
        <w:t>b)</w:t>
      </w:r>
      <w:r>
        <w:rPr>
          <w:noProof/>
        </w:rPr>
        <w:tab/>
      </w:r>
      <w:r w:rsidR="00BC4D42" w:rsidRPr="009D258A">
        <w:rPr>
          <w:noProof/>
        </w:rPr>
        <w:t>korvataan 5 kohta seuraavasti:</w:t>
      </w:r>
    </w:p>
    <w:p w14:paraId="624D2232" w14:textId="77777777" w:rsidR="00BC4D42" w:rsidRPr="009D258A" w:rsidRDefault="00BC4D42" w:rsidP="0078585D">
      <w:pPr>
        <w:pStyle w:val="Point2"/>
        <w:rPr>
          <w:noProof/>
        </w:rPr>
      </w:pPr>
      <w:r w:rsidRPr="009D258A">
        <w:rPr>
          <w:noProof/>
        </w:rPr>
        <w:t>”5. Tämän artiklan mukaisesti perustettujen tekoälyn sääntelyn testiympäristöjen on tarjottava valvottu ympäristö, joka edistää innovointia ja edesauttaa innovatiivisten tekoälyjärjestelmien kehittämistä, kouluttamista, testausta ja validointia tarjoajien tai mahdollisten tarjoajien ja toimivaltaisen viranomaisen keskenään sopiman erityisen testiympäristösuunnitelman mukaisesti rajoitetun ajan ennen kuin ne saatetaan markkinoille tai otetaan käyttöön ja varmistaen, että käytössä on asianmukaiset suojatoimet. Tällaisiin testiympäristöihin voi sisältyä niissä valvottu todellisissa olosuhteissa tapahtuva testaus. Testiympäristösuunnitelmaan on tällöin sisällytettävä samaan asiakirjaan todellisissa olosuhteissa tapahtuvaa testausta koskeva suunnitelma.”;</w:t>
      </w:r>
    </w:p>
    <w:p w14:paraId="61ED0A7F" w14:textId="6532A026" w:rsidR="0031111A" w:rsidRPr="009D258A" w:rsidRDefault="00FE0697" w:rsidP="00FE0697">
      <w:pPr>
        <w:pStyle w:val="Point1"/>
        <w:rPr>
          <w:noProof/>
        </w:rPr>
      </w:pPr>
      <w:r>
        <w:rPr>
          <w:noProof/>
        </w:rPr>
        <w:t>c)</w:t>
      </w:r>
      <w:r>
        <w:rPr>
          <w:noProof/>
        </w:rPr>
        <w:tab/>
      </w:r>
      <w:r w:rsidR="0031111A" w:rsidRPr="009D258A">
        <w:rPr>
          <w:noProof/>
        </w:rPr>
        <w:t>korvataan 9 kohdan e alakohta seuraavasti:</w:t>
      </w:r>
    </w:p>
    <w:p w14:paraId="58661132" w14:textId="242BA773" w:rsidR="0031111A" w:rsidRPr="009D258A" w:rsidRDefault="0031111A" w:rsidP="0031111A">
      <w:pPr>
        <w:pStyle w:val="Point2"/>
        <w:rPr>
          <w:noProof/>
        </w:rPr>
      </w:pPr>
      <w:r w:rsidRPr="009D258A">
        <w:rPr>
          <w:noProof/>
        </w:rPr>
        <w:t>”e) edesautetaan ja vauhditetaan tekoälyjärjestelmien pääsyä unionin markkinoille, erityisesti kun niitä tarjoavat pienet midcap-yritykset ja pk-yritykset, mukaan lukien startup-yritykset.”;</w:t>
      </w:r>
    </w:p>
    <w:p w14:paraId="4425C08A" w14:textId="08739E11" w:rsidR="00BC4D42" w:rsidRPr="009D258A" w:rsidRDefault="00FE0697" w:rsidP="00FE0697">
      <w:pPr>
        <w:pStyle w:val="Point1"/>
        <w:rPr>
          <w:noProof/>
        </w:rPr>
      </w:pPr>
      <w:r>
        <w:rPr>
          <w:noProof/>
        </w:rPr>
        <w:t>d)</w:t>
      </w:r>
      <w:r>
        <w:rPr>
          <w:noProof/>
        </w:rPr>
        <w:tab/>
      </w:r>
      <w:r w:rsidR="00BC4D42" w:rsidRPr="009D258A">
        <w:rPr>
          <w:noProof/>
        </w:rPr>
        <w:t>korvataan 13 kohta seuraavasti:</w:t>
      </w:r>
    </w:p>
    <w:p w14:paraId="775848F1" w14:textId="77777777" w:rsidR="00BC4D42" w:rsidRPr="009D258A" w:rsidRDefault="00521E69" w:rsidP="0078585D">
      <w:pPr>
        <w:pStyle w:val="Point2"/>
        <w:rPr>
          <w:noProof/>
        </w:rPr>
      </w:pPr>
      <w:r w:rsidRPr="009D258A">
        <w:rPr>
          <w:noProof/>
        </w:rPr>
        <w:t>”13. Tekoälyn sääntelyn testiympäristöt on suunniteltava ja toteutettava siten, että ne edesauttavat rajat ylittävää yhteistyötä kansallisten toimivaltaisten viranomaisten välillä.”;</w:t>
      </w:r>
    </w:p>
    <w:p w14:paraId="10F34B73" w14:textId="1533E31E" w:rsidR="00BC4D42" w:rsidRPr="009D258A" w:rsidRDefault="00FE0697" w:rsidP="00FE0697">
      <w:pPr>
        <w:pStyle w:val="Point1"/>
        <w:rPr>
          <w:noProof/>
        </w:rPr>
      </w:pPr>
      <w:r>
        <w:rPr>
          <w:noProof/>
        </w:rPr>
        <w:t>e)</w:t>
      </w:r>
      <w:r>
        <w:rPr>
          <w:noProof/>
        </w:rPr>
        <w:tab/>
      </w:r>
      <w:r w:rsidR="00BC4D42" w:rsidRPr="009D258A">
        <w:rPr>
          <w:noProof/>
        </w:rPr>
        <w:t>korvataan 14 kohta seuraavasti:</w:t>
      </w:r>
    </w:p>
    <w:p w14:paraId="60A24508" w14:textId="77777777" w:rsidR="00BC4D42" w:rsidRPr="009D258A" w:rsidRDefault="00521E69" w:rsidP="002B67E4">
      <w:pPr>
        <w:pStyle w:val="Point2"/>
        <w:rPr>
          <w:noProof/>
        </w:rPr>
      </w:pPr>
      <w:r w:rsidRPr="009D258A">
        <w:rPr>
          <w:noProof/>
        </w:rPr>
        <w:t>”14. Kansallisten toimivaltaisten viranomaisten on koordinoitava toimintaansa ja tehtävä yhteistyötä tekoälyneuvoston puitteissa. Niiden on tuettava tekoälyn sääntelyn testiympäristöjen yhteistä perustamista ja toimintaa, myös eri sektoreilla.”;</w:t>
      </w:r>
    </w:p>
    <w:p w14:paraId="4C3F1DF8" w14:textId="306EC296" w:rsidR="004A4E82" w:rsidRPr="009D258A" w:rsidRDefault="00FE0697" w:rsidP="00FE0697">
      <w:pPr>
        <w:pStyle w:val="Point1"/>
        <w:rPr>
          <w:noProof/>
        </w:rPr>
      </w:pPr>
      <w:r>
        <w:rPr>
          <w:noProof/>
        </w:rPr>
        <w:t>18)</w:t>
      </w:r>
      <w:r>
        <w:rPr>
          <w:noProof/>
        </w:rPr>
        <w:tab/>
      </w:r>
      <w:r w:rsidR="004A4E82" w:rsidRPr="009D258A">
        <w:rPr>
          <w:noProof/>
        </w:rPr>
        <w:t>korvataan 58 artiklan 1 kohta seuraavasti:</w:t>
      </w:r>
    </w:p>
    <w:p w14:paraId="2C6D99AC" w14:textId="77777777" w:rsidR="005426A0" w:rsidRPr="009D258A" w:rsidRDefault="004A4E82" w:rsidP="005426A0">
      <w:pPr>
        <w:pStyle w:val="Point2"/>
        <w:rPr>
          <w:noProof/>
        </w:rPr>
      </w:pPr>
      <w:r w:rsidRPr="009D258A">
        <w:rPr>
          <w:noProof/>
        </w:rPr>
        <w:t>”1. Jotta vältetään hajanaisuutta unionissa, komissio hyväksyy täytäntöönpanosäädöksiä, joissa esitetään tekoälyn sääntelyn testiympäristöjen perustamista, kehittämistä, toteutusta, toimintaa, hallinnointia ja valvontaa koskevat yksityiskohtaiset järjestelyt. Täytäntöönpanosäädöksiin on sisällytettävä yhteiset periaatteet seuraavista kysymyksistä:</w:t>
      </w:r>
    </w:p>
    <w:p w14:paraId="03AD2884" w14:textId="77777777" w:rsidR="005426A0" w:rsidRPr="009D258A" w:rsidRDefault="005426A0" w:rsidP="005426A0">
      <w:pPr>
        <w:pStyle w:val="Point2"/>
        <w:rPr>
          <w:noProof/>
        </w:rPr>
      </w:pPr>
      <w:r w:rsidRPr="009D258A">
        <w:rPr>
          <w:noProof/>
        </w:rPr>
        <w:t>a) tekoälyn sääntelyn testiympäristöön osallistumista koskevat kelpoisuusehdot ja valintaperusteet;</w:t>
      </w:r>
    </w:p>
    <w:p w14:paraId="24F7F8F1" w14:textId="77777777" w:rsidR="005426A0" w:rsidRPr="009D258A" w:rsidRDefault="005426A0" w:rsidP="005426A0">
      <w:pPr>
        <w:pStyle w:val="Point2"/>
        <w:rPr>
          <w:noProof/>
        </w:rPr>
      </w:pPr>
      <w:r w:rsidRPr="009D258A">
        <w:rPr>
          <w:noProof/>
        </w:rPr>
        <w:t>b) tekoälyn testiympäristöä koskevat menettelyt siihen hakemista, siihen osallistumista, sen seurantaa, siitä poistumista ja sen lopettamista varten, mukaan lukien testiympäristösuunnitelma ja loppuraportti;</w:t>
      </w:r>
    </w:p>
    <w:p w14:paraId="5815F6BD" w14:textId="77777777" w:rsidR="005426A0" w:rsidRPr="009D258A" w:rsidRDefault="005426A0" w:rsidP="005426A0">
      <w:pPr>
        <w:pStyle w:val="Point2"/>
        <w:rPr>
          <w:noProof/>
        </w:rPr>
      </w:pPr>
      <w:r w:rsidRPr="009D258A">
        <w:rPr>
          <w:noProof/>
        </w:rPr>
        <w:t>c) osallistujiin sovellettavat ehdot ja edellytykset;</w:t>
      </w:r>
    </w:p>
    <w:p w14:paraId="5DA78B8C" w14:textId="68EF7AA8" w:rsidR="004A4E82" w:rsidRPr="009D258A" w:rsidRDefault="005426A0" w:rsidP="00BF60C4">
      <w:pPr>
        <w:pStyle w:val="Point2"/>
        <w:rPr>
          <w:noProof/>
        </w:rPr>
      </w:pPr>
      <w:r w:rsidRPr="009D258A">
        <w:rPr>
          <w:noProof/>
        </w:rPr>
        <w:t xml:space="preserve">d) 57 artiklan mukaisten tekoälyn sääntelyn testiympäristöjen hallinnointia koskevat yksityiskohtaiset säännöt, myös toimivaltaisten viranomaisten tehtävien hoitamisen sekä kansallisen ja EU-tason koordinoinnin ja yhteistyön osalta.”; </w:t>
      </w:r>
    </w:p>
    <w:p w14:paraId="7FA1605C" w14:textId="702DEEDA" w:rsidR="00BC4D42" w:rsidRPr="009D258A" w:rsidRDefault="00FE0697" w:rsidP="00FE0697">
      <w:pPr>
        <w:pStyle w:val="Point1"/>
        <w:rPr>
          <w:noProof/>
        </w:rPr>
      </w:pPr>
      <w:r>
        <w:rPr>
          <w:noProof/>
        </w:rPr>
        <w:t>19)</w:t>
      </w:r>
      <w:r>
        <w:rPr>
          <w:noProof/>
        </w:rPr>
        <w:tab/>
      </w:r>
      <w:r w:rsidR="00BC4D42" w:rsidRPr="009D258A">
        <w:rPr>
          <w:noProof/>
        </w:rPr>
        <w:t>muutetaan 60 artikla seuraavasti:</w:t>
      </w:r>
    </w:p>
    <w:p w14:paraId="6CFA95D7" w14:textId="0ED8CA53" w:rsidR="00BC4D42" w:rsidRPr="009D258A" w:rsidRDefault="00FE0697" w:rsidP="00FE0697">
      <w:pPr>
        <w:pStyle w:val="Point1"/>
        <w:rPr>
          <w:noProof/>
        </w:rPr>
      </w:pPr>
      <w:r>
        <w:rPr>
          <w:noProof/>
        </w:rPr>
        <w:t>a)</w:t>
      </w:r>
      <w:r>
        <w:rPr>
          <w:noProof/>
        </w:rPr>
        <w:tab/>
      </w:r>
      <w:r w:rsidR="00BC4D42" w:rsidRPr="009D258A">
        <w:rPr>
          <w:noProof/>
        </w:rPr>
        <w:t>korvataan 1 kohdan ensimmäinen alakohta seuraavasti:</w:t>
      </w:r>
    </w:p>
    <w:p w14:paraId="64535303" w14:textId="6980337A" w:rsidR="00BC4D42" w:rsidRPr="009D258A" w:rsidRDefault="00BC4D42" w:rsidP="002B67E4">
      <w:pPr>
        <w:pStyle w:val="Point2"/>
        <w:rPr>
          <w:noProof/>
        </w:rPr>
      </w:pPr>
      <w:r w:rsidRPr="009D258A">
        <w:rPr>
          <w:noProof/>
        </w:rPr>
        <w:t>”Liitteessä III lueteltujen tai liitteessä I olevassa A jaksossa luetellun unionin yhdenmukaistamislainsäädännön piiriin kuuluvien suuririskisten tekoälyjärjestelmien tarjoajat tai mahdolliset tarjoajat voivat testata suuririskisiä tekoälyjärjestelmiä todellisissa olosuhteissa tekoälyn sääntelyn testiympäristöjen ulkopuolella tämän artiklan ja tässä artiklassa tarkoitetun todellisissa olosuhteissa tapahtuvaa testausta koskevan suunnitelman mukaisesti sanotun kuitenkaan rajoittamatta 5 artiklassa säädettyjä kieltoja.”;</w:t>
      </w:r>
    </w:p>
    <w:p w14:paraId="6BA4884F" w14:textId="6F6D4FB3" w:rsidR="00BC4D42" w:rsidRPr="009D258A" w:rsidRDefault="00FE0697" w:rsidP="00FE0697">
      <w:pPr>
        <w:pStyle w:val="Point1"/>
        <w:rPr>
          <w:noProof/>
        </w:rPr>
      </w:pPr>
      <w:r>
        <w:rPr>
          <w:noProof/>
        </w:rPr>
        <w:t>b)</w:t>
      </w:r>
      <w:r>
        <w:rPr>
          <w:noProof/>
        </w:rPr>
        <w:tab/>
      </w:r>
      <w:r w:rsidR="00BC4D42" w:rsidRPr="009D258A">
        <w:rPr>
          <w:noProof/>
        </w:rPr>
        <w:t>korvataan 2 kohta seuraavasti:</w:t>
      </w:r>
    </w:p>
    <w:p w14:paraId="220E1FF5" w14:textId="77777777" w:rsidR="00BC4D42" w:rsidRPr="009D258A" w:rsidRDefault="00BC4D42" w:rsidP="002B67E4">
      <w:pPr>
        <w:pStyle w:val="Point2"/>
        <w:rPr>
          <w:noProof/>
        </w:rPr>
      </w:pPr>
      <w:r w:rsidRPr="009D258A">
        <w:rPr>
          <w:noProof/>
        </w:rPr>
        <w:t>”2. Tarjoajat tai mahdolliset tarjoajat voivat testata liitteessä III tarkoitettuja tai liitteessä I olevassa A jaksossa luetellun unionin yhdenmukaistamislainsäädännön piiriin kuuluvia suuririskisiä tekoälyjärjestelmiä todellisissa olosuhteissa milloin tahansa ennen kyseisen tekoälyjärjestelmän markkinoille saattamista tai käyttöönottoa yksinään tai yhteistyössä yhden tai useamman käyttöönottajan tai mahdollisen käyttöönottajan kanssa.”;</w:t>
      </w:r>
    </w:p>
    <w:p w14:paraId="12ECCB28" w14:textId="40A70C35" w:rsidR="00E5289A" w:rsidRPr="009D258A" w:rsidRDefault="00FE0697" w:rsidP="00FE0697">
      <w:pPr>
        <w:pStyle w:val="Point1"/>
        <w:rPr>
          <w:noProof/>
        </w:rPr>
      </w:pPr>
      <w:r>
        <w:rPr>
          <w:noProof/>
        </w:rPr>
        <w:t>20)</w:t>
      </w:r>
      <w:r>
        <w:rPr>
          <w:noProof/>
        </w:rPr>
        <w:tab/>
      </w:r>
      <w:r w:rsidR="005D6D0A" w:rsidRPr="009D258A">
        <w:rPr>
          <w:noProof/>
        </w:rPr>
        <w:t>lisätään 60 a artikla seuraavasti:</w:t>
      </w:r>
    </w:p>
    <w:p w14:paraId="213A6625" w14:textId="77777777" w:rsidR="001675E9" w:rsidRPr="009D258A" w:rsidRDefault="00E5289A" w:rsidP="001675E9">
      <w:pPr>
        <w:pStyle w:val="Point2"/>
        <w:jc w:val="center"/>
        <w:rPr>
          <w:noProof/>
        </w:rPr>
      </w:pPr>
      <w:r w:rsidRPr="009D258A">
        <w:rPr>
          <w:noProof/>
        </w:rPr>
        <w:t>”</w:t>
      </w:r>
      <w:r w:rsidRPr="009D258A">
        <w:rPr>
          <w:i/>
          <w:noProof/>
        </w:rPr>
        <w:t>60 a artikla</w:t>
      </w:r>
    </w:p>
    <w:p w14:paraId="586D5E26" w14:textId="77777777" w:rsidR="002E2590" w:rsidRPr="009D258A" w:rsidRDefault="001675E9" w:rsidP="00175212">
      <w:pPr>
        <w:pStyle w:val="Point2"/>
        <w:jc w:val="center"/>
        <w:rPr>
          <w:b/>
          <w:bCs/>
          <w:noProof/>
        </w:rPr>
      </w:pPr>
      <w:r w:rsidRPr="009D258A">
        <w:rPr>
          <w:b/>
          <w:noProof/>
        </w:rPr>
        <w:t>Liitteessä I olevassa B jaksossa luetellun unionin yhdenmukaistamislainsäädännön piiriin kuuluvien suuririskisten tekoälyjärjestelmien testaus todellisissa olosuhteissa tekoälyn sääntelyn testiympäristöjen ulkopuolella</w:t>
      </w:r>
    </w:p>
    <w:p w14:paraId="76C1C74C" w14:textId="77777777" w:rsidR="00B3281C" w:rsidRPr="009D258A" w:rsidRDefault="00B3281C" w:rsidP="00B3281C">
      <w:pPr>
        <w:pStyle w:val="Point2"/>
        <w:rPr>
          <w:noProof/>
        </w:rPr>
      </w:pPr>
      <w:r w:rsidRPr="009D258A">
        <w:rPr>
          <w:noProof/>
        </w:rPr>
        <w:t>1.</w:t>
      </w:r>
      <w:r w:rsidRPr="009D258A">
        <w:rPr>
          <w:noProof/>
        </w:rPr>
        <w:tab/>
        <w:t>Liitteessä I olevassa B jaksossa luetellun unionin yhdenmukaistamislainsäädännön piiriin kuuluvien tekoälyä hyödyntävien tuotteiden tarjoajat tai mahdolliset tarjoajat voivat testata suuririskisiä tekoälyjärjestelmiä todellisissa olosuhteissa tekoälyn sääntelyn testiympäristöjen ulkopuolella tämän artiklan ja vapaaehtoisen todellisissa olosuhteissa tapahtuvaa testausta koskevan sopimuksen mukaisesti sanotun kuitenkaan rajoittamatta 5 artiklassa säädettyjä kieltoja.</w:t>
      </w:r>
    </w:p>
    <w:p w14:paraId="0307933E" w14:textId="77777777" w:rsidR="00B3281C" w:rsidRPr="009D258A" w:rsidRDefault="00B3281C" w:rsidP="00B3281C">
      <w:pPr>
        <w:pStyle w:val="Point2"/>
        <w:rPr>
          <w:noProof/>
        </w:rPr>
      </w:pPr>
      <w:r w:rsidRPr="009D258A">
        <w:rPr>
          <w:noProof/>
        </w:rPr>
        <w:t>2.</w:t>
      </w:r>
      <w:r w:rsidRPr="009D258A">
        <w:rPr>
          <w:noProof/>
        </w:rPr>
        <w:tab/>
        <w:t xml:space="preserve">Edellä 1 kohdassa tarkoitettu vapaaehtoinen todellisissa olosuhteissa tapahtuvaa testausta koskeva sopimus on tehtävä kirjallisesti asianomaisten jäsenvaltioiden ja komission välillä. Siinä on vahvistettava vaatimukset, joiden on täytyttävä testattaessa liitteessä I olevassa B jaksossa luetellun unionin yhdenmukaistamislainsäädännön piiriin kuuluvia tekoälyä hyödyntäviä tuotteita todellisissa olosuhteissa. </w:t>
      </w:r>
    </w:p>
    <w:p w14:paraId="54A862E6" w14:textId="77777777" w:rsidR="00B3281C" w:rsidRPr="009D258A" w:rsidRDefault="00B3281C" w:rsidP="00B3281C">
      <w:pPr>
        <w:pStyle w:val="Point2"/>
        <w:rPr>
          <w:noProof/>
        </w:rPr>
      </w:pPr>
      <w:r w:rsidRPr="009D258A">
        <w:rPr>
          <w:noProof/>
        </w:rPr>
        <w:t>3.</w:t>
      </w:r>
      <w:r w:rsidRPr="009D258A">
        <w:rPr>
          <w:noProof/>
        </w:rPr>
        <w:tab/>
        <w:t xml:space="preserve">Jäsenvaltioiden, komission, markkinavalvontaviranomaisten ja liitteessä I olevassa B jaksossa luetellun unionin yhdenmukaistamislainsäädännön piiriin kuuluvien infrastruktuurien ja tuotteiden hallinnoinnista ja toiminnasta vastaavien viranomaisten on tehtävä tiivistä yhteistyötä vilpittömässä mielessä ja poistettava kaikki käytännön esteet, joita voi liittyä esimerkiksi fyysisen julkisen infrastruktuurin käyttömahdollisuuksia koskeviin menettelysääntöihin, jos se on tarpeen, jotta voidaan onnistuneesti panna täytäntöön vapaaehtoinen todellisissa olosuhteissa tapahtuvaa testausta koskeva sopimus ja testata liitteessä I olevassa B jaksossa luetellun unionin yhdenmukaistamislainsäädännön piiriin kuuluvia tekoälyä hyödyntäviä tuotteita. </w:t>
      </w:r>
    </w:p>
    <w:p w14:paraId="5AE7064B" w14:textId="77777777" w:rsidR="00B3281C" w:rsidRPr="009D258A" w:rsidRDefault="00B3281C" w:rsidP="00B3281C">
      <w:pPr>
        <w:pStyle w:val="Point2"/>
        <w:rPr>
          <w:noProof/>
        </w:rPr>
      </w:pPr>
      <w:r w:rsidRPr="009D258A">
        <w:rPr>
          <w:noProof/>
        </w:rPr>
        <w:t>4.</w:t>
      </w:r>
      <w:r w:rsidRPr="009D258A">
        <w:rPr>
          <w:noProof/>
        </w:rPr>
        <w:tab/>
        <w:t>Vapaaehtoisen todellisissa olosuhteissa tapahtuvaa testausta koskevan sopimuksen allekirjoittajien on täsmennettävä testaamisen ehdot ja vahvistettava liitteessä I olevassa B jaksossa luetellun unionin yhdenmukaistamislainsäädännön piiriin kuuluvien tekoälyjärjestelmien todellisissa olosuhteissa tapahtuvaa testausta koskevan suunnitelman yksityiskohdat.</w:t>
      </w:r>
    </w:p>
    <w:p w14:paraId="6BE95BF0" w14:textId="77777777" w:rsidR="00E5289A" w:rsidRPr="009D258A" w:rsidRDefault="00B3281C" w:rsidP="00AF4894">
      <w:pPr>
        <w:pStyle w:val="Point2"/>
        <w:rPr>
          <w:noProof/>
        </w:rPr>
      </w:pPr>
      <w:r w:rsidRPr="009D258A">
        <w:rPr>
          <w:noProof/>
        </w:rPr>
        <w:t>5.</w:t>
      </w:r>
      <w:r w:rsidRPr="009D258A">
        <w:rPr>
          <w:noProof/>
        </w:rPr>
        <w:tab/>
        <w:t>Sovelletaan, mitä 60 artiklan 2, 5 ja 9 kohdassa säädetään.”;</w:t>
      </w:r>
    </w:p>
    <w:p w14:paraId="7278E738" w14:textId="5062CD56" w:rsidR="000E5521" w:rsidRPr="009D258A" w:rsidRDefault="00FE0697" w:rsidP="00FE0697">
      <w:pPr>
        <w:pStyle w:val="Point1"/>
        <w:rPr>
          <w:noProof/>
        </w:rPr>
      </w:pPr>
      <w:r>
        <w:rPr>
          <w:noProof/>
        </w:rPr>
        <w:t>21)</w:t>
      </w:r>
      <w:r>
        <w:rPr>
          <w:noProof/>
        </w:rPr>
        <w:tab/>
      </w:r>
      <w:r w:rsidR="000E5521" w:rsidRPr="009D258A">
        <w:rPr>
          <w:noProof/>
        </w:rPr>
        <w:t>korvataan 63 artiklan 1 kohta seuraavasti:</w:t>
      </w:r>
    </w:p>
    <w:p w14:paraId="234B31E0" w14:textId="77777777" w:rsidR="000E5521" w:rsidRPr="009D258A" w:rsidRDefault="00503C85" w:rsidP="00503C85">
      <w:pPr>
        <w:pStyle w:val="Point2"/>
        <w:rPr>
          <w:noProof/>
        </w:rPr>
      </w:pPr>
      <w:r w:rsidRPr="009D258A">
        <w:rPr>
          <w:noProof/>
        </w:rPr>
        <w:t>”1. Pk-yritykset, mukaan lukien startup-yritykset, voivat täyttää tietyt 17 artiklassa edellytetyn laadunhallintajärjestelmän osavaatimukset yksinkertaistetulla tavalla. Tätä varten komissio laatii ohjeet laadunhallintajärjestelmän osavaatimuksista, jotka voidaan täyttää yksinkertaistetusti ottaen huomioon pk-yritysten tarpeet vaikuttamatta suojelun tasoon tai tarpeeseen täyttää suuririskisiä tekoälyjärjestelmiä koskevat vaatimukset.”;</w:t>
      </w:r>
    </w:p>
    <w:p w14:paraId="16C532D2" w14:textId="1B3E9B01" w:rsidR="00BC4D42" w:rsidRPr="009D258A" w:rsidRDefault="00FE0697" w:rsidP="00FE0697">
      <w:pPr>
        <w:pStyle w:val="Point1"/>
        <w:rPr>
          <w:noProof/>
        </w:rPr>
      </w:pPr>
      <w:r>
        <w:rPr>
          <w:noProof/>
        </w:rPr>
        <w:t>22)</w:t>
      </w:r>
      <w:r>
        <w:rPr>
          <w:noProof/>
        </w:rPr>
        <w:tab/>
      </w:r>
      <w:r w:rsidR="00BC4D42" w:rsidRPr="009D258A">
        <w:rPr>
          <w:noProof/>
        </w:rPr>
        <w:t>muutetaan 69 artikla seuraavasti:</w:t>
      </w:r>
    </w:p>
    <w:p w14:paraId="263B70F7" w14:textId="3D1269A1" w:rsidR="00BC4D42" w:rsidRPr="009D258A" w:rsidRDefault="00FE0697" w:rsidP="00FE0697">
      <w:pPr>
        <w:pStyle w:val="Point1"/>
        <w:rPr>
          <w:noProof/>
        </w:rPr>
      </w:pPr>
      <w:r>
        <w:rPr>
          <w:noProof/>
        </w:rPr>
        <w:t>a)</w:t>
      </w:r>
      <w:r>
        <w:rPr>
          <w:noProof/>
        </w:rPr>
        <w:tab/>
      </w:r>
      <w:r w:rsidR="00BC4D42" w:rsidRPr="009D258A">
        <w:rPr>
          <w:noProof/>
        </w:rPr>
        <w:t>korvataan 2 kohta seuraavasti:</w:t>
      </w:r>
    </w:p>
    <w:p w14:paraId="516982EE" w14:textId="77777777" w:rsidR="00BC4D42" w:rsidRPr="009D258A" w:rsidRDefault="00BC4D42" w:rsidP="00473EAA">
      <w:pPr>
        <w:pStyle w:val="Point2"/>
        <w:rPr>
          <w:noProof/>
        </w:rPr>
      </w:pPr>
      <w:r w:rsidRPr="009D258A">
        <w:rPr>
          <w:noProof/>
        </w:rPr>
        <w:t>”2. Jäsenvaltioilta voidaan edellyttää, että ne maksavat asiantuntijoiden antamasta neuvonnasta ja tuesta palkkioita, jotka vastaavat komission 68 artiklan 1 kohdassa tarkoitetun täytäntöönpanosäädöksen nojalla maksamia palkkioita.”;</w:t>
      </w:r>
    </w:p>
    <w:p w14:paraId="57D0BE13" w14:textId="1D72010F" w:rsidR="00BC4D42" w:rsidRPr="009D258A" w:rsidRDefault="00FE0697" w:rsidP="00FE0697">
      <w:pPr>
        <w:pStyle w:val="Point1"/>
        <w:rPr>
          <w:noProof/>
        </w:rPr>
      </w:pPr>
      <w:r>
        <w:rPr>
          <w:noProof/>
        </w:rPr>
        <w:t>b)</w:t>
      </w:r>
      <w:r>
        <w:rPr>
          <w:noProof/>
        </w:rPr>
        <w:tab/>
      </w:r>
      <w:r w:rsidR="00BC4D42" w:rsidRPr="009D258A">
        <w:rPr>
          <w:noProof/>
        </w:rPr>
        <w:t>kumotaan 3 kohta;</w:t>
      </w:r>
    </w:p>
    <w:p w14:paraId="53755F98" w14:textId="07161848" w:rsidR="00B47478" w:rsidRPr="009D258A" w:rsidRDefault="00FE0697" w:rsidP="00FE0697">
      <w:pPr>
        <w:pStyle w:val="Point1"/>
        <w:rPr>
          <w:noProof/>
        </w:rPr>
      </w:pPr>
      <w:r>
        <w:rPr>
          <w:noProof/>
        </w:rPr>
        <w:t>23)</w:t>
      </w:r>
      <w:r>
        <w:rPr>
          <w:noProof/>
        </w:rPr>
        <w:tab/>
      </w:r>
      <w:r w:rsidR="00B47478" w:rsidRPr="009D258A">
        <w:rPr>
          <w:noProof/>
        </w:rPr>
        <w:t>korvataan 70 artiklan 8 kohta seuraavasti:</w:t>
      </w:r>
    </w:p>
    <w:p w14:paraId="17504D82" w14:textId="3009B250" w:rsidR="00B47478" w:rsidRPr="009D258A" w:rsidRDefault="00B47478" w:rsidP="00B47478">
      <w:pPr>
        <w:pStyle w:val="Point2"/>
        <w:rPr>
          <w:noProof/>
        </w:rPr>
      </w:pPr>
      <w:r w:rsidRPr="009D258A">
        <w:rPr>
          <w:noProof/>
        </w:rPr>
        <w:t>”8. Kansalliset toimivaltaiset viranomaiset voivat antaa ohjeita ja neuvoja tämän asetuksen täytäntöönpanosta, erityisesti pienille midcap-yrityksille ja pk-yrityksille, myös startup-yrityksille, ottaen huomioon tarvittaessa tekoälyneuvoston ja komission ohjeet ja neuvot. Kun kansalliset toimivaltaiset viranomaiset aikovat antaa tekoälyjärjestelmää koskevia ohjeita ja neuvoja muun unionin oikeuden kattamilla aloilla, kansallisia kyseisen unionin oikeuden nojalla toimivaltaisia viranomaisia on tarvittaessa kuultava.”;</w:t>
      </w:r>
    </w:p>
    <w:p w14:paraId="7E18C207" w14:textId="5AC539FE" w:rsidR="00BC4D42" w:rsidRPr="009D258A" w:rsidRDefault="00FE0697" w:rsidP="00FE0697">
      <w:pPr>
        <w:pStyle w:val="Point1"/>
        <w:rPr>
          <w:noProof/>
        </w:rPr>
      </w:pPr>
      <w:r>
        <w:rPr>
          <w:noProof/>
        </w:rPr>
        <w:t>24)</w:t>
      </w:r>
      <w:r>
        <w:rPr>
          <w:noProof/>
        </w:rPr>
        <w:tab/>
      </w:r>
      <w:r w:rsidR="00BC4D42" w:rsidRPr="009D258A">
        <w:rPr>
          <w:noProof/>
        </w:rPr>
        <w:t>korvataan 72 artiklan 3 kohta seuraavasti:</w:t>
      </w:r>
    </w:p>
    <w:p w14:paraId="16D892A9" w14:textId="77777777" w:rsidR="00BC4D42" w:rsidRPr="009D258A" w:rsidRDefault="00BC4D42" w:rsidP="00473EAA">
      <w:pPr>
        <w:pStyle w:val="Point2"/>
        <w:rPr>
          <w:noProof/>
        </w:rPr>
      </w:pPr>
      <w:r w:rsidRPr="009D258A">
        <w:rPr>
          <w:noProof/>
        </w:rPr>
        <w:t>”3. Markkinoille saattamisen jälkeisen seurantajärjestelmän on perustuttava markkinoille saattamisen jälkeistä seurantaa koskevaan suunnitelmaan. Markkinoille saattamisen jälkeistä seurantaa koskevan suunnitelman on oltava osa liitteessä IV tarkoitettua teknistä dokumentaatiota. Komissio laatii ohjeistusta markkinoille saattamisen jälkeistä seurantaa koskevasta suunnitelmasta.”;</w:t>
      </w:r>
    </w:p>
    <w:p w14:paraId="0D7F2AA6" w14:textId="1CF14985" w:rsidR="00BC4D42" w:rsidRPr="009D258A" w:rsidRDefault="00FE0697" w:rsidP="00FE0697">
      <w:pPr>
        <w:pStyle w:val="Point1"/>
        <w:rPr>
          <w:noProof/>
        </w:rPr>
      </w:pPr>
      <w:r>
        <w:rPr>
          <w:noProof/>
        </w:rPr>
        <w:t>25)</w:t>
      </w:r>
      <w:r>
        <w:rPr>
          <w:noProof/>
        </w:rPr>
        <w:tab/>
      </w:r>
      <w:r w:rsidR="00BC4D42" w:rsidRPr="009D258A">
        <w:rPr>
          <w:noProof/>
        </w:rPr>
        <w:t>muutetaan 75 artikla seuraavasti:</w:t>
      </w:r>
    </w:p>
    <w:p w14:paraId="6293E032" w14:textId="0F68354C" w:rsidR="00BC4D42" w:rsidRPr="009D258A" w:rsidRDefault="00FE0697" w:rsidP="00FE0697">
      <w:pPr>
        <w:pStyle w:val="Point1"/>
        <w:rPr>
          <w:noProof/>
        </w:rPr>
      </w:pPr>
      <w:r>
        <w:rPr>
          <w:noProof/>
        </w:rPr>
        <w:t>a)</w:t>
      </w:r>
      <w:r>
        <w:rPr>
          <w:noProof/>
        </w:rPr>
        <w:tab/>
      </w:r>
      <w:r w:rsidR="00BC4D42" w:rsidRPr="009D258A">
        <w:rPr>
          <w:noProof/>
        </w:rPr>
        <w:t>korvataan 75 artiklan otsikko seuraavasti:</w:t>
      </w:r>
    </w:p>
    <w:p w14:paraId="5E0CB95A" w14:textId="77777777" w:rsidR="00BC4D42" w:rsidRPr="009D258A" w:rsidRDefault="00BC4D42" w:rsidP="36847363">
      <w:pPr>
        <w:pStyle w:val="Point2"/>
        <w:rPr>
          <w:noProof/>
        </w:rPr>
      </w:pPr>
      <w:r w:rsidRPr="009D258A">
        <w:rPr>
          <w:noProof/>
        </w:rPr>
        <w:t>”</w:t>
      </w:r>
      <w:r w:rsidRPr="009D258A">
        <w:rPr>
          <w:b/>
          <w:noProof/>
        </w:rPr>
        <w:t>Tekoälyjärjestelmien markkinavalvonta ja tarkastukset sekä keskinäinen avunanto</w:t>
      </w:r>
      <w:r w:rsidRPr="009D258A">
        <w:rPr>
          <w:noProof/>
        </w:rPr>
        <w:t>”;</w:t>
      </w:r>
    </w:p>
    <w:p w14:paraId="292F8DB5" w14:textId="073A6705" w:rsidR="00BC4D42" w:rsidRPr="009D258A" w:rsidRDefault="00FE0697" w:rsidP="00FE0697">
      <w:pPr>
        <w:pStyle w:val="Point1"/>
        <w:rPr>
          <w:noProof/>
        </w:rPr>
      </w:pPr>
      <w:r>
        <w:rPr>
          <w:noProof/>
        </w:rPr>
        <w:t>b)</w:t>
      </w:r>
      <w:r>
        <w:rPr>
          <w:noProof/>
        </w:rPr>
        <w:tab/>
      </w:r>
      <w:r w:rsidR="00BC4D42" w:rsidRPr="009D258A">
        <w:rPr>
          <w:noProof/>
        </w:rPr>
        <w:t>korvataan 1 kohta seuraavasti:</w:t>
      </w:r>
    </w:p>
    <w:p w14:paraId="205C34B1" w14:textId="77777777" w:rsidR="00D12D9E" w:rsidRPr="009D258A" w:rsidRDefault="00BC4D42" w:rsidP="00473EAA">
      <w:pPr>
        <w:pStyle w:val="Point2"/>
        <w:rPr>
          <w:noProof/>
        </w:rPr>
      </w:pPr>
      <w:r w:rsidRPr="009D258A">
        <w:rPr>
          <w:noProof/>
        </w:rPr>
        <w:t>”1. Jos tekoälyjärjestelmä perustuu yleiskäyttöiseen tekoälymalliin, lukuun ottamatta tekoälyjärjestelmiä, jotka liittyvät liitteessä I luetellun unionin yhdenmukaistamislainsäädännön piiriin kuuluviin tuotteisiin, ja kyseinen malli ja kyseinen järjestelmä ovat saman tarjoajan kehittämiä, tekoälytoimistolla on yksinomainen toimivalta tässä asetuksessa markkinavalvontaviranomaisille annettujen tehtävien ja vastuiden puitteissa valvoa ja varmistaa, että järjestelmä täyttää tässä asetuksessa säädetyt velvoitteet. Tekoälytoimistolla on myös yksinomainen toimivalta valvoa ja varmistaa, että tämän asetuksen mukaiset velvoitteet täyttyvät sellaisten tekoälyjärjestelmien osalta, jotka muodostavat asetuksessa (EU) 2022/2065 tarkoitetun ja sellaiseksi nimetyn erittäin suuren verkkoalustan tai erittäin suuren verkkohakukoneen tai jotka on integroitu sellaiseen.</w:t>
      </w:r>
    </w:p>
    <w:p w14:paraId="0C5E3F46" w14:textId="77777777" w:rsidR="00D12D9E" w:rsidRPr="009D258A" w:rsidRDefault="00D12D9E" w:rsidP="00473EAA">
      <w:pPr>
        <w:pStyle w:val="Point2"/>
        <w:rPr>
          <w:noProof/>
        </w:rPr>
      </w:pPr>
      <w:r w:rsidRPr="009D258A">
        <w:rPr>
          <w:noProof/>
        </w:rPr>
        <w:t xml:space="preserve">Tekoälytoimistolla on tämän kohdan ensimmäisen alakohdan mukaisia valvonta- ja täytäntöönpanotehtäviä hoitaessaan kaikki tässä jaksossa ja asetuksessa (EU) 2019/1020 säädetyt markkinavalvontaviranomaisen valtuudet. Tekoälytoimistolla on toimivalta toteuttaa tarvittavat toimenpiteet ja tehdä asianmukaiset päätökset, jotta se voi käyttää valvonta- ja täytäntöönpanovaltuuksiaan riittävällä tavalla. Asetuksen (EU) 2019/1020 14 artiklaa sovelletaan soveltuvin osin. </w:t>
      </w:r>
    </w:p>
    <w:p w14:paraId="16AE1329" w14:textId="77777777" w:rsidR="00BC4D42" w:rsidRPr="009D258A" w:rsidRDefault="00BC4D42" w:rsidP="00473EAA">
      <w:pPr>
        <w:pStyle w:val="Point2"/>
        <w:rPr>
          <w:noProof/>
          <w:highlight w:val="yellow"/>
        </w:rPr>
      </w:pPr>
      <w:r w:rsidRPr="009D258A">
        <w:rPr>
          <w:noProof/>
        </w:rPr>
        <w:t>Tämän asetuksen soveltamiseen osallistuvien viranomaisten on tehtävä aktiivisesti yhteistyötä näitä valtuuksia käyttäessään erityisesti silloin, kun on toteutettava täytäntöönpanotoimia jonkin jäsenvaltion alueella.”;</w:t>
      </w:r>
    </w:p>
    <w:p w14:paraId="2F21BE3F" w14:textId="23987273" w:rsidR="00BC4D42" w:rsidRPr="009D258A" w:rsidRDefault="00FE0697" w:rsidP="00FE0697">
      <w:pPr>
        <w:pStyle w:val="Point1"/>
        <w:rPr>
          <w:noProof/>
        </w:rPr>
      </w:pPr>
      <w:r>
        <w:rPr>
          <w:noProof/>
        </w:rPr>
        <w:t>c)</w:t>
      </w:r>
      <w:r>
        <w:rPr>
          <w:noProof/>
        </w:rPr>
        <w:tab/>
      </w:r>
      <w:r w:rsidR="00BC4D42" w:rsidRPr="009D258A">
        <w:rPr>
          <w:noProof/>
        </w:rPr>
        <w:t>lisätään 1 a–1 c kohta seuraavasti:</w:t>
      </w:r>
    </w:p>
    <w:p w14:paraId="3C8C5320" w14:textId="77777777" w:rsidR="00BC4D42" w:rsidRPr="009D258A" w:rsidRDefault="00BC4D42" w:rsidP="00473EAA">
      <w:pPr>
        <w:pStyle w:val="Point2"/>
        <w:rPr>
          <w:noProof/>
        </w:rPr>
      </w:pPr>
      <w:r w:rsidRPr="009D258A">
        <w:rPr>
          <w:noProof/>
        </w:rPr>
        <w:t>”1 a. Komissio hyväksyy täytäntöönpanosäädöksen, jossa määritellään tekoälytoimiston täytäntöönpanovaltuudet ja menettelyt näiden valtuuksien käyttämiseksi tämän artiklan mukaisten seuranta- ja valvontatehtävien yhteydessä, mukaan lukien sen mahdollisuudet määrätä seuraamuksia, kuten sakkoja tai muita hallinnollisia seuraamuksia, 99 artiklassa yksilöityjen edellytysten ja enimmäismäärien mukaisesti sellaisten tämän artiklan 1 ja 1 a kohdassa tarkoitettujen tekoälyjärjestelmien osalta, joiden on todettu olevan tämän asetuksen vaatimusten vastaisia.</w:t>
      </w:r>
    </w:p>
    <w:p w14:paraId="6E5DBD1A" w14:textId="77777777" w:rsidR="00BC4D42" w:rsidRPr="009D258A" w:rsidRDefault="00BC4D42" w:rsidP="00473EAA">
      <w:pPr>
        <w:pStyle w:val="Point2"/>
        <w:rPr>
          <w:noProof/>
        </w:rPr>
      </w:pPr>
      <w:r w:rsidRPr="009D258A">
        <w:rPr>
          <w:noProof/>
        </w:rPr>
        <w:t>1 b. Asetuksen (EU) 2019/1020 18 artiklaa sovelletaan soveltuvin osin 1 kohdassa tarkoitettujen tekoälyjärjestelmien tarjoajiin, sanotun kuitenkaan rajoittamatta tässä asetuksessa säädettyjä yksityiskohtaisempia menettelyllisiä oikeuksia.</w:t>
      </w:r>
    </w:p>
    <w:p w14:paraId="1D2C7D6B" w14:textId="42A00C64" w:rsidR="00A47BE6" w:rsidRPr="009D258A" w:rsidRDefault="00A47BE6" w:rsidP="007A3385">
      <w:pPr>
        <w:pStyle w:val="Point2"/>
        <w:rPr>
          <w:noProof/>
        </w:rPr>
      </w:pPr>
      <w:r w:rsidRPr="009D258A">
        <w:rPr>
          <w:noProof/>
        </w:rPr>
        <w:t>1 c. Komissio järjestää ja suorittaa markkinoille saattamista edeltävät vaatimustenmukaisuuden arvioinnit ja testit 1 kohdassa tarkoitetuille tekoälyjärjestelmille, jotka on luokiteltu suuririskisiksi ja joille on tehtävä 43 artiklan mukainen kolmannen osapuolen suorittama vaatimustenmukaisuuden arviointi ennen markkinoille saattamista tai käyttöönottoa. Näillä testeillä ja arvioinneilla todennetaan, että kyseiset järjestelmät täyttävät tämän asetuksen asiaankuuluvat vaatimukset ja että ne voidaan saattaa markkinoille tai ottaa käyttöön unionissa tämän asetuksen mukaisesti. Komissio voi antaa näiden testien tai arviointien suorittamisen tämän asetuksen nojalla nimetyille ilmoitetuille laitoksille, jolloin ilmoitettu laitos toimii komission puolesta. Komission käyttäessä tämän kohdan mukaista toimivaltaansa siihen sovelletaan 34 artiklan 1 ja 2 kohtaa soveltuvin osin.</w:t>
      </w:r>
    </w:p>
    <w:p w14:paraId="4ED425CC" w14:textId="77777777" w:rsidR="00A47BE6" w:rsidRPr="009D258A" w:rsidRDefault="00A47BE6" w:rsidP="00A47BE6">
      <w:pPr>
        <w:pStyle w:val="Point2"/>
        <w:rPr>
          <w:noProof/>
        </w:rPr>
      </w:pPr>
      <w:r w:rsidRPr="009D258A">
        <w:rPr>
          <w:noProof/>
        </w:rPr>
        <w:t>Testaus- ja arviointimaksut on perittävä suuririskisen tekoälyjärjestelmän tarjoajalta, joka on pyytänyt komissiolta kolmannen osapuolen suorittamaa vaatimustenmukaisuuden arviointia. Tarjoajan on suoritettava maksut, joita peritään komission ilmoitetulle laitokselle tämän artiklan mukaisesti siirtämistä palveluista, suoraan kyseiselle ilmoitetulle laitokselle.”;</w:t>
      </w:r>
    </w:p>
    <w:p w14:paraId="3BBAD83A" w14:textId="29FA9D40" w:rsidR="00BC4D42" w:rsidRPr="009D258A" w:rsidRDefault="00FE0697" w:rsidP="00FE0697">
      <w:pPr>
        <w:pStyle w:val="Point1"/>
        <w:rPr>
          <w:noProof/>
        </w:rPr>
      </w:pPr>
      <w:r>
        <w:rPr>
          <w:noProof/>
        </w:rPr>
        <w:t>26)</w:t>
      </w:r>
      <w:r>
        <w:rPr>
          <w:noProof/>
        </w:rPr>
        <w:tab/>
      </w:r>
      <w:r w:rsidR="00BC4D42" w:rsidRPr="009D258A">
        <w:rPr>
          <w:noProof/>
        </w:rPr>
        <w:t>muutetaan 77 artikla seuraavasti:</w:t>
      </w:r>
    </w:p>
    <w:p w14:paraId="0A06101A" w14:textId="33829328" w:rsidR="00BC4D42" w:rsidRPr="009D258A" w:rsidRDefault="00FE0697" w:rsidP="00FE0697">
      <w:pPr>
        <w:pStyle w:val="Point1"/>
        <w:rPr>
          <w:noProof/>
        </w:rPr>
      </w:pPr>
      <w:r>
        <w:rPr>
          <w:noProof/>
        </w:rPr>
        <w:t>a)</w:t>
      </w:r>
      <w:r>
        <w:rPr>
          <w:noProof/>
        </w:rPr>
        <w:tab/>
      </w:r>
      <w:r w:rsidR="00BC4D42" w:rsidRPr="009D258A">
        <w:rPr>
          <w:noProof/>
        </w:rPr>
        <w:t>korvataan otsikko seuraavasti:</w:t>
      </w:r>
    </w:p>
    <w:p w14:paraId="25A45F8F" w14:textId="77777777" w:rsidR="00BC4D42" w:rsidRPr="009D258A" w:rsidRDefault="00BC4D42" w:rsidP="00473EAA">
      <w:pPr>
        <w:pStyle w:val="Point2"/>
        <w:rPr>
          <w:noProof/>
        </w:rPr>
      </w:pPr>
      <w:r w:rsidRPr="009D258A">
        <w:rPr>
          <w:noProof/>
        </w:rPr>
        <w:t>”</w:t>
      </w:r>
      <w:r w:rsidRPr="009D258A">
        <w:rPr>
          <w:b/>
          <w:noProof/>
        </w:rPr>
        <w:t>Perusoikeuksia suojelevien viranomaisten valtuudet ja yhteistyö markkinavalvontaviranomaisten kanssa</w:t>
      </w:r>
      <w:r w:rsidRPr="009D258A">
        <w:rPr>
          <w:noProof/>
        </w:rPr>
        <w:t>”</w:t>
      </w:r>
    </w:p>
    <w:p w14:paraId="2DF2A793" w14:textId="7E08F515" w:rsidR="00BC4D42" w:rsidRPr="009D258A" w:rsidRDefault="00FE0697" w:rsidP="00FE0697">
      <w:pPr>
        <w:pStyle w:val="Point1"/>
        <w:rPr>
          <w:noProof/>
        </w:rPr>
      </w:pPr>
      <w:r>
        <w:rPr>
          <w:noProof/>
        </w:rPr>
        <w:t>b)</w:t>
      </w:r>
      <w:r>
        <w:rPr>
          <w:noProof/>
        </w:rPr>
        <w:tab/>
      </w:r>
      <w:r w:rsidR="00BC4D42" w:rsidRPr="009D258A">
        <w:rPr>
          <w:noProof/>
        </w:rPr>
        <w:t>korvataan 1 kohta seuraavasti:</w:t>
      </w:r>
    </w:p>
    <w:p w14:paraId="511375D6" w14:textId="77777777" w:rsidR="00BC4D42" w:rsidRPr="009D258A" w:rsidRDefault="00BC4D42" w:rsidP="00473EAA">
      <w:pPr>
        <w:pStyle w:val="Point2"/>
        <w:rPr>
          <w:noProof/>
        </w:rPr>
      </w:pPr>
      <w:r w:rsidRPr="009D258A">
        <w:rPr>
          <w:noProof/>
        </w:rPr>
        <w:t>”1. Kansallisilla viranomaisilla tai elimillä, jotka valvovat tai panevat täytäntöön perusoikeuksien, mukaan lukien oikeus syrjimättömyyteen, suojelua koskevan unionin oikeuden mukaisia velvoitteita, on oltava valtuudet pyytää ja saada käyttöönsä kaikki asianomaisen markkinavalvontaviranomaisen tämän asetuksen nojalla luoma tai ylläpitämä informaatio tai dokumentaatio ymmärrettävällä kielellä ja saavutettavassa muodossa, kun kyseisen informaation tai dokumentaation käyttömahdollisuus on tarpeen, jotta ne voivat hoitaa tuloksellisesti tehtäviään omalla lainkäyttöalueellaan.”;</w:t>
      </w:r>
    </w:p>
    <w:p w14:paraId="729C7EDC" w14:textId="184063BB" w:rsidR="00BC4D42" w:rsidRPr="009D258A" w:rsidRDefault="00FE0697" w:rsidP="00FE0697">
      <w:pPr>
        <w:pStyle w:val="Point1"/>
        <w:rPr>
          <w:noProof/>
        </w:rPr>
      </w:pPr>
      <w:r>
        <w:rPr>
          <w:noProof/>
        </w:rPr>
        <w:t>c)</w:t>
      </w:r>
      <w:r>
        <w:rPr>
          <w:noProof/>
        </w:rPr>
        <w:tab/>
      </w:r>
      <w:r w:rsidR="00BC4D42" w:rsidRPr="009D258A">
        <w:rPr>
          <w:noProof/>
        </w:rPr>
        <w:t>lisätään 1 a ja 1 b kohta seuraavasti:</w:t>
      </w:r>
    </w:p>
    <w:p w14:paraId="78BBC23E" w14:textId="373F382A" w:rsidR="00BC4D42" w:rsidRPr="009D258A" w:rsidRDefault="00BC4D42" w:rsidP="00473EAA">
      <w:pPr>
        <w:pStyle w:val="Point2"/>
        <w:rPr>
          <w:noProof/>
        </w:rPr>
      </w:pPr>
      <w:r w:rsidRPr="009D258A">
        <w:rPr>
          <w:noProof/>
        </w:rPr>
        <w:t>”1 a. Markkinavalvontaviranomaisen on tässä artiklassa täsmennetyin edellytyksin annettava 1 kohdassa tarkoitetulle viranomaiselle tai elimelle pääsy tällaiseen informaatioon tai dokumentaatioon, myös tarvittaessa pyytämällä tällaista informaatiota tai dokumentaatiota tarjoajalta tai käyttöönottajalta.</w:t>
      </w:r>
    </w:p>
    <w:p w14:paraId="5617BC55" w14:textId="77777777" w:rsidR="00BC4D42" w:rsidRPr="009D258A" w:rsidRDefault="00BC4D42" w:rsidP="00473EAA">
      <w:pPr>
        <w:pStyle w:val="Point2"/>
        <w:rPr>
          <w:noProof/>
        </w:rPr>
      </w:pPr>
      <w:r w:rsidRPr="009D258A">
        <w:rPr>
          <w:noProof/>
        </w:rPr>
        <w:t>1 b. Markkinavalvontaviranomaisten ja 1 kohdassa tarkoitettujen viranomaisten tai elinten on tehtävä tiivistä yhteistyötä ja annettava toisilleen keskinäistä apua, joka on tarpeen niiden tehtävien hoitamiseksi, jotta voidaan varmistaa tämän asetuksen ja perusoikeuksia suojaavan unionin lainsäädännön johdonmukainen soveltaminen ja sujuvoittaa menettelyjä. Tähän sisältyy erityisesti tietojenvaihto, kun se on tarpeen tämän asetuksen ja asiaa koskevan muun unionin lainsäädännön tuloksellista valvontaa tai täytäntöönpanoa varten.”;</w:t>
      </w:r>
    </w:p>
    <w:p w14:paraId="2120BD57" w14:textId="473D4033" w:rsidR="0001384E" w:rsidRPr="009D258A" w:rsidRDefault="00FE0697" w:rsidP="00FE0697">
      <w:pPr>
        <w:pStyle w:val="Point1"/>
        <w:rPr>
          <w:noProof/>
        </w:rPr>
      </w:pPr>
      <w:r>
        <w:rPr>
          <w:noProof/>
        </w:rPr>
        <w:t>27)</w:t>
      </w:r>
      <w:r>
        <w:rPr>
          <w:noProof/>
        </w:rPr>
        <w:tab/>
      </w:r>
      <w:r w:rsidR="0001384E" w:rsidRPr="009D258A">
        <w:rPr>
          <w:noProof/>
        </w:rPr>
        <w:t>korvataan 95 artiklan 4 kohta seuraavasti:</w:t>
      </w:r>
    </w:p>
    <w:p w14:paraId="000C822F" w14:textId="0F5A6892" w:rsidR="0001384E" w:rsidRPr="009D258A" w:rsidRDefault="0001384E" w:rsidP="0001384E">
      <w:pPr>
        <w:pStyle w:val="Point2"/>
        <w:rPr>
          <w:noProof/>
        </w:rPr>
      </w:pPr>
      <w:r w:rsidRPr="009D258A">
        <w:rPr>
          <w:noProof/>
        </w:rPr>
        <w:t>”4. Tekoälytoimisto ja jäsenvaltiot ottavat huomioon pienten midcap-yritysten ja pk-yritysten sekä startup-yritysten erityisedut ja -tarpeet edesauttaessaan käytännesääntöjen laatimista.”;</w:t>
      </w:r>
    </w:p>
    <w:p w14:paraId="7AEAF4CD" w14:textId="193D34FA" w:rsidR="0001384E" w:rsidRPr="009D258A" w:rsidRDefault="00FE0697" w:rsidP="00FE0697">
      <w:pPr>
        <w:pStyle w:val="Point1"/>
        <w:rPr>
          <w:noProof/>
        </w:rPr>
      </w:pPr>
      <w:r>
        <w:rPr>
          <w:noProof/>
        </w:rPr>
        <w:t>28)</w:t>
      </w:r>
      <w:r>
        <w:rPr>
          <w:noProof/>
        </w:rPr>
        <w:tab/>
      </w:r>
      <w:r w:rsidR="0001384E" w:rsidRPr="009D258A">
        <w:rPr>
          <w:noProof/>
        </w:rPr>
        <w:t>korvataan 96 artiklan 1 kohdan toinen alakohta seuraavasti:</w:t>
      </w:r>
    </w:p>
    <w:p w14:paraId="093F3685" w14:textId="79E0C9DC" w:rsidR="0001384E" w:rsidRPr="009D258A" w:rsidRDefault="0001384E" w:rsidP="0001384E">
      <w:pPr>
        <w:pStyle w:val="Point2"/>
        <w:rPr>
          <w:noProof/>
        </w:rPr>
      </w:pPr>
      <w:r w:rsidRPr="009D258A">
        <w:rPr>
          <w:noProof/>
        </w:rPr>
        <w:t>”Tällaisia suuntaviivoja antaessaan komissio kiinnittää erityistä huomiota pienten midcap-yritysten, pk-yritysten ja startup-yritysten, paikallisten viranomaisten ja niiden sektoreiden, joihin tämä asetus todennäköisimmin vaikuttaa, tarpeisiin.”;</w:t>
      </w:r>
    </w:p>
    <w:p w14:paraId="67A0F3CD" w14:textId="08459AD9" w:rsidR="00BC4D42" w:rsidRPr="009D258A" w:rsidRDefault="00FE0697" w:rsidP="00FE0697">
      <w:pPr>
        <w:pStyle w:val="Point1"/>
        <w:rPr>
          <w:noProof/>
        </w:rPr>
      </w:pPr>
      <w:r>
        <w:rPr>
          <w:noProof/>
        </w:rPr>
        <w:t>29)</w:t>
      </w:r>
      <w:r>
        <w:rPr>
          <w:noProof/>
        </w:rPr>
        <w:tab/>
      </w:r>
      <w:r w:rsidR="00BC4D42" w:rsidRPr="009D258A">
        <w:rPr>
          <w:noProof/>
        </w:rPr>
        <w:t>muutetaan 99 artikla seuraavasti:</w:t>
      </w:r>
    </w:p>
    <w:p w14:paraId="24B5E108" w14:textId="00B10C74" w:rsidR="00BC4D42" w:rsidRPr="009D258A" w:rsidRDefault="00FE0697" w:rsidP="00FE0697">
      <w:pPr>
        <w:pStyle w:val="Point1"/>
        <w:rPr>
          <w:noProof/>
        </w:rPr>
      </w:pPr>
      <w:r>
        <w:rPr>
          <w:noProof/>
        </w:rPr>
        <w:t>a)</w:t>
      </w:r>
      <w:r>
        <w:rPr>
          <w:noProof/>
        </w:rPr>
        <w:tab/>
      </w:r>
      <w:r w:rsidR="00BC4D42" w:rsidRPr="009D258A">
        <w:rPr>
          <w:noProof/>
        </w:rPr>
        <w:t>korvataan 1 kohta seuraavasti:</w:t>
      </w:r>
    </w:p>
    <w:p w14:paraId="7086B669" w14:textId="77777777" w:rsidR="00BC4D42" w:rsidRPr="009D258A" w:rsidRDefault="00BC4D42" w:rsidP="59CF96A7">
      <w:pPr>
        <w:pStyle w:val="Point2"/>
        <w:rPr>
          <w:noProof/>
        </w:rPr>
      </w:pPr>
      <w:r w:rsidRPr="009D258A">
        <w:rPr>
          <w:noProof/>
        </w:rPr>
        <w:t xml:space="preserve">”1. Jäsenvaltioiden on tässä asetuksessa säädettyjä ehtoja noudattaen säädettävä seuraamuksista ja muista täytäntöönpanotoimista, joita voivat olla myös varoitukset ja muut kuin rahalliset toimenpiteet, joita sovelletaan toimijoiden rikkoessa tätä asetusta, ja toteutettava kaikki tarvittavat toimenpiteet niiden asianmukaisen ja tuloksellisen soveltamisen varmistamiseksi, ottaen tässä huomioon komission 96 artiklan nojalla antamat suuntaviivat. Seuraamusten on oltava vaikuttavia, oikeasuhteisia ja varoittavia. Jäsenvaltioiden on seuraamuksia asettaessaan otettava huomioon pienten midcap-yritysten ja pk-yritysten sekä startup-yritysten edut ja niiden taloudellinen elinkelpoisuus.”; </w:t>
      </w:r>
    </w:p>
    <w:p w14:paraId="7B10D76C" w14:textId="2B6174FB" w:rsidR="00BC4D42" w:rsidRPr="009D258A" w:rsidRDefault="00FE0697" w:rsidP="00FE0697">
      <w:pPr>
        <w:pStyle w:val="Point1"/>
        <w:rPr>
          <w:noProof/>
        </w:rPr>
      </w:pPr>
      <w:r>
        <w:rPr>
          <w:noProof/>
        </w:rPr>
        <w:t>b)</w:t>
      </w:r>
      <w:r>
        <w:rPr>
          <w:noProof/>
        </w:rPr>
        <w:tab/>
      </w:r>
      <w:r w:rsidR="00BC4D42" w:rsidRPr="009D258A">
        <w:rPr>
          <w:noProof/>
        </w:rPr>
        <w:t>korvataan 6 kohta seuraavasti:</w:t>
      </w:r>
    </w:p>
    <w:p w14:paraId="50253F0C" w14:textId="77777777" w:rsidR="00BC4D42" w:rsidRPr="009D258A" w:rsidRDefault="00BC4D42" w:rsidP="002D1402">
      <w:pPr>
        <w:pStyle w:val="Point2"/>
        <w:rPr>
          <w:noProof/>
        </w:rPr>
      </w:pPr>
      <w:r w:rsidRPr="009D258A">
        <w:rPr>
          <w:noProof/>
        </w:rPr>
        <w:t xml:space="preserve">”6. Pienten midcap-yritysten ja pk-yritysten, myös startup-yritysten, osalta kukin tässä artiklassa tarkoitettu sakko on enintään 3, 4 ja 5 kohdassa tarkoitettu prosenttiosuus tai määrä sen mukaan, kumpi niistä on alhaisempi.”; </w:t>
      </w:r>
    </w:p>
    <w:p w14:paraId="3FF09018" w14:textId="12A1C77E" w:rsidR="00BC4D42" w:rsidRPr="009D258A" w:rsidRDefault="00FE0697" w:rsidP="00FE0697">
      <w:pPr>
        <w:pStyle w:val="Point1"/>
        <w:rPr>
          <w:noProof/>
        </w:rPr>
      </w:pPr>
      <w:r>
        <w:rPr>
          <w:noProof/>
        </w:rPr>
        <w:t>30)</w:t>
      </w:r>
      <w:r>
        <w:rPr>
          <w:noProof/>
        </w:rPr>
        <w:tab/>
      </w:r>
      <w:r w:rsidR="00BC4D42" w:rsidRPr="009D258A">
        <w:rPr>
          <w:noProof/>
        </w:rPr>
        <w:t>muutetaan 111 artikla seuraavasti:</w:t>
      </w:r>
    </w:p>
    <w:p w14:paraId="0AD4AF4E" w14:textId="2C054D6D" w:rsidR="00BC4D42" w:rsidRPr="009D258A" w:rsidRDefault="00FE0697" w:rsidP="00FE0697">
      <w:pPr>
        <w:pStyle w:val="Point1"/>
        <w:rPr>
          <w:noProof/>
        </w:rPr>
      </w:pPr>
      <w:r>
        <w:rPr>
          <w:noProof/>
        </w:rPr>
        <w:t>a)</w:t>
      </w:r>
      <w:r>
        <w:rPr>
          <w:noProof/>
        </w:rPr>
        <w:tab/>
      </w:r>
      <w:r w:rsidR="00BC4D42" w:rsidRPr="009D258A">
        <w:rPr>
          <w:noProof/>
        </w:rPr>
        <w:t>korvataan 2 kohta seuraavasti:</w:t>
      </w:r>
    </w:p>
    <w:p w14:paraId="1C55FADC" w14:textId="77777777" w:rsidR="00BC4D42" w:rsidRPr="009D258A" w:rsidRDefault="00BC4D42" w:rsidP="002D1402">
      <w:pPr>
        <w:pStyle w:val="Point2"/>
        <w:rPr>
          <w:noProof/>
        </w:rPr>
      </w:pPr>
      <w:r w:rsidRPr="009D258A">
        <w:rPr>
          <w:noProof/>
        </w:rPr>
        <w:t>”2. Tätä asetusta sovelletaan ennen III luvun ja 113 artiklassa tarkoitettujen vastaavien velvoitteiden soveltamisen alkamista markkinoille saatettujen tai käyttöön otettujen suuririskisten tekoälyjärjestelmien, lukuun ottamatta 1 kohdassa tarkoitettuja järjestelmiä, ylläpitäjiin ainoastaan, jos kyseisten järjestelmien rakenteessa tapahtuu merkittäviä muutoksia kyseisen ajankohdan jälkeen, sanotun kuitenkaan rajoittamatta 113 artiklan kolmannen kohdan a alakohdassa tarkoitettua 5 artiklan soveltamista. Joka tapauksessa viranomaisten käytettäviksi tarkoitettujen suuririskisten tekoälyjärjestelmien tarjoajien ja käyttöönottajien on toteutettava tarvittavat toimenpiteet tässä asetuksessa säädettyjen vaatimusten ja velvoitteiden noudattamiseksi viimeistään 2 päivänä elokuuta 2030.”;</w:t>
      </w:r>
    </w:p>
    <w:p w14:paraId="29859441" w14:textId="2CD85AFB" w:rsidR="00BC4D42" w:rsidRPr="009D258A" w:rsidRDefault="00FE0697" w:rsidP="00FE0697">
      <w:pPr>
        <w:pStyle w:val="Point1"/>
        <w:rPr>
          <w:noProof/>
        </w:rPr>
      </w:pPr>
      <w:r>
        <w:rPr>
          <w:noProof/>
        </w:rPr>
        <w:t>b)</w:t>
      </w:r>
      <w:r>
        <w:rPr>
          <w:noProof/>
        </w:rPr>
        <w:tab/>
      </w:r>
      <w:r w:rsidR="00BC4D42" w:rsidRPr="009D258A">
        <w:rPr>
          <w:noProof/>
        </w:rPr>
        <w:t>lisätään 4 kohta seuraavasti:</w:t>
      </w:r>
    </w:p>
    <w:p w14:paraId="04953C49" w14:textId="26BE5EA9" w:rsidR="00BC4D42" w:rsidRPr="009D258A" w:rsidRDefault="00BC4D42" w:rsidP="002D1402">
      <w:pPr>
        <w:pStyle w:val="Point2"/>
        <w:rPr>
          <w:noProof/>
        </w:rPr>
      </w:pPr>
      <w:r w:rsidRPr="009D258A">
        <w:rPr>
          <w:noProof/>
        </w:rPr>
        <w:t xml:space="preserve">”4. Synteettistä ääni-, kuva-, video- tai tekstisisältöä tuottavien tekoälyjärjestelmien, mukaan lukien yleiskäyttöiset tekoälyjärjestelmät, jotka on saatettu markkinoille ennen 2 päivää elokuuta 2026, tarjoajien on toteutettava tarvittavat toimenpiteet 50 artiklan 2 kohdan noudattamiseksi viimeistään 2 päivänä helmikuuta 2027.”; </w:t>
      </w:r>
    </w:p>
    <w:p w14:paraId="6C36789C" w14:textId="6971C391" w:rsidR="00BC4D42" w:rsidRPr="009D258A" w:rsidRDefault="00FE0697" w:rsidP="00FE0697">
      <w:pPr>
        <w:pStyle w:val="Point1"/>
        <w:rPr>
          <w:noProof/>
        </w:rPr>
      </w:pPr>
      <w:r>
        <w:rPr>
          <w:noProof/>
        </w:rPr>
        <w:t>31)</w:t>
      </w:r>
      <w:r>
        <w:rPr>
          <w:noProof/>
        </w:rPr>
        <w:tab/>
      </w:r>
      <w:r w:rsidR="00BC4D42" w:rsidRPr="009D258A">
        <w:rPr>
          <w:noProof/>
        </w:rPr>
        <w:t>muutetaan 113 artikla seuraavasti:</w:t>
      </w:r>
    </w:p>
    <w:p w14:paraId="39348AC5" w14:textId="7896CF43" w:rsidR="009A76B0" w:rsidRPr="009D258A" w:rsidRDefault="00FE0697" w:rsidP="00FE0697">
      <w:pPr>
        <w:pStyle w:val="Point1"/>
        <w:rPr>
          <w:noProof/>
        </w:rPr>
      </w:pPr>
      <w:r>
        <w:rPr>
          <w:noProof/>
        </w:rPr>
        <w:t>a)</w:t>
      </w:r>
      <w:r>
        <w:rPr>
          <w:noProof/>
        </w:rPr>
        <w:tab/>
      </w:r>
      <w:r w:rsidR="0066606C" w:rsidRPr="009D258A">
        <w:rPr>
          <w:noProof/>
        </w:rPr>
        <w:t>lisätään kolmanteen kohtaan d alakohta seuraavasti:</w:t>
      </w:r>
    </w:p>
    <w:p w14:paraId="2FBC8BB6" w14:textId="77777777" w:rsidR="00663758" w:rsidRPr="009D258A" w:rsidRDefault="00663758" w:rsidP="00663758">
      <w:pPr>
        <w:pStyle w:val="Point2"/>
        <w:rPr>
          <w:noProof/>
        </w:rPr>
      </w:pPr>
      <w:r w:rsidRPr="009D258A">
        <w:rPr>
          <w:noProof/>
        </w:rPr>
        <w:t>”d) III luvun 1, 2 ja 3 jaksoa sovelletaan sen jälkeen, kun komissio on hyväksynyt päätöksen, jossa vahvistetaan, että III luvun noudattamista tukevat riittävät tekijät ovat saatavilla, seuraavasti:</w:t>
      </w:r>
    </w:p>
    <w:p w14:paraId="6F4882B5" w14:textId="77777777" w:rsidR="00663758" w:rsidRPr="009D258A" w:rsidRDefault="0066606C" w:rsidP="0066606C">
      <w:pPr>
        <w:pStyle w:val="Point2"/>
        <w:rPr>
          <w:noProof/>
        </w:rPr>
      </w:pPr>
      <w:r w:rsidRPr="009D258A">
        <w:rPr>
          <w:noProof/>
        </w:rPr>
        <w:t xml:space="preserve">i) kuuden kuukauden kuluttua kyseisen päätöksen hyväksymisestä niiden tekoälyjärjestelmien osalta, jotka on luokiteltu suuririskisiksi 6 artiklan 2 kohdan ja liitteen III nojalla, ja </w:t>
      </w:r>
    </w:p>
    <w:p w14:paraId="4BCB3F6E" w14:textId="77777777" w:rsidR="00663758" w:rsidRPr="009D258A" w:rsidRDefault="0066606C" w:rsidP="00663758">
      <w:pPr>
        <w:pStyle w:val="Point2"/>
        <w:rPr>
          <w:noProof/>
        </w:rPr>
      </w:pPr>
      <w:r w:rsidRPr="009D258A">
        <w:rPr>
          <w:noProof/>
        </w:rPr>
        <w:t xml:space="preserve">ii) 12 kuukauden kuluttua kyseisen päätöksen hyväksymisestä niiden tekoälyjärjestelmien osalta, jotka on luokiteltu suuririskisiksi 6 artiklan 1 kohdan ja liitteen I nojalla. </w:t>
      </w:r>
    </w:p>
    <w:p w14:paraId="4F4D4B88" w14:textId="77777777" w:rsidR="00663758" w:rsidRPr="009D258A" w:rsidRDefault="00663758" w:rsidP="00663758">
      <w:pPr>
        <w:pStyle w:val="Point2"/>
        <w:rPr>
          <w:noProof/>
        </w:rPr>
      </w:pPr>
      <w:r w:rsidRPr="009D258A">
        <w:rPr>
          <w:noProof/>
        </w:rPr>
        <w:t>Jos tämän d alakohdan ensimmäisessä alakohdassa tarkoitettua päätöstä ei ole hyväksytty tai jos alla mainitut päivämäärät ovat aikaisempia kuin kyseisen päätöksen hyväksymistä seuraavat päivämäärät, III luvun 1, 2 ja 3 jaksoa sovelletaan seuraavasti:</w:t>
      </w:r>
    </w:p>
    <w:p w14:paraId="635781D0" w14:textId="00FEBC8B" w:rsidR="00663758" w:rsidRPr="009D258A" w:rsidRDefault="0066606C" w:rsidP="0066606C">
      <w:pPr>
        <w:pStyle w:val="Point2"/>
        <w:rPr>
          <w:noProof/>
        </w:rPr>
      </w:pPr>
      <w:r w:rsidRPr="009D258A">
        <w:rPr>
          <w:noProof/>
        </w:rPr>
        <w:t>i) 2 päivästä joulukuuta 2027 niiden tekoälyjärjestelmien osalta, jotka on luokiteltu suuririskisiksi 6 artiklan 2 kohdan ja liitteen III nojalla, ja</w:t>
      </w:r>
    </w:p>
    <w:p w14:paraId="2F1BE77F" w14:textId="0CF88BFB" w:rsidR="00CB1196" w:rsidRPr="009D258A" w:rsidRDefault="0066606C" w:rsidP="00663758">
      <w:pPr>
        <w:pStyle w:val="Point2"/>
        <w:rPr>
          <w:noProof/>
        </w:rPr>
      </w:pPr>
      <w:r w:rsidRPr="009D258A">
        <w:rPr>
          <w:noProof/>
        </w:rPr>
        <w:t>ii) 2 päivästä elokuuta 2028 niiden tekoälyjärjestelmien osalta, jotka on luokiteltu suuririskisiksi 6 artiklan 1 kohdan ja liitteen I nojalla.”;</w:t>
      </w:r>
    </w:p>
    <w:p w14:paraId="5C8CD24B" w14:textId="0D68DC8A" w:rsidR="00CB1196" w:rsidRPr="009D258A" w:rsidRDefault="00FE0697" w:rsidP="00FE0697">
      <w:pPr>
        <w:pStyle w:val="Point1"/>
        <w:rPr>
          <w:noProof/>
        </w:rPr>
      </w:pPr>
      <w:r>
        <w:rPr>
          <w:noProof/>
        </w:rPr>
        <w:t>b)</w:t>
      </w:r>
      <w:r>
        <w:rPr>
          <w:noProof/>
        </w:rPr>
        <w:tab/>
      </w:r>
      <w:r w:rsidR="0066606C" w:rsidRPr="009D258A">
        <w:rPr>
          <w:noProof/>
        </w:rPr>
        <w:t>lisätään kolmanteen kohtaan alakohta seuraavasti:</w:t>
      </w:r>
    </w:p>
    <w:p w14:paraId="216C7B50" w14:textId="77777777" w:rsidR="00BC4D42" w:rsidRPr="009D258A" w:rsidRDefault="00CB1196" w:rsidP="002D1402">
      <w:pPr>
        <w:pStyle w:val="Point2"/>
        <w:rPr>
          <w:noProof/>
        </w:rPr>
      </w:pPr>
      <w:r w:rsidRPr="009D258A">
        <w:rPr>
          <w:noProof/>
        </w:rPr>
        <w:t>”e) 102 ja 110 artiklaa sovelletaan ... päivästä ...kuuta ... [tämän asetuksen soveltamisen alkamispäivä].”;</w:t>
      </w:r>
    </w:p>
    <w:p w14:paraId="59C36D66" w14:textId="72E14928" w:rsidR="00023077" w:rsidRPr="009D258A" w:rsidRDefault="00FE0697" w:rsidP="00FE0697">
      <w:pPr>
        <w:pStyle w:val="Point1"/>
        <w:rPr>
          <w:noProof/>
        </w:rPr>
      </w:pPr>
      <w:r>
        <w:rPr>
          <w:noProof/>
        </w:rPr>
        <w:t>32)</w:t>
      </w:r>
      <w:r>
        <w:rPr>
          <w:noProof/>
        </w:rPr>
        <w:tab/>
      </w:r>
      <w:r w:rsidR="5ED247F2" w:rsidRPr="009D258A">
        <w:rPr>
          <w:noProof/>
        </w:rPr>
        <w:t>poistetaan liitteessä VIII oleva B jakso;</w:t>
      </w:r>
    </w:p>
    <w:p w14:paraId="3948CAE1" w14:textId="0F57AB72" w:rsidR="00003ADB" w:rsidRPr="009D258A" w:rsidRDefault="00FE0697" w:rsidP="00FE0697">
      <w:pPr>
        <w:pStyle w:val="Point1"/>
        <w:rPr>
          <w:noProof/>
        </w:rPr>
      </w:pPr>
      <w:r>
        <w:rPr>
          <w:noProof/>
        </w:rPr>
        <w:t>33)</w:t>
      </w:r>
      <w:r>
        <w:rPr>
          <w:noProof/>
        </w:rPr>
        <w:tab/>
      </w:r>
      <w:r w:rsidR="00003ADB" w:rsidRPr="009D258A">
        <w:rPr>
          <w:noProof/>
        </w:rPr>
        <w:t>lisätään liite XIV seuraavasti:</w:t>
      </w:r>
    </w:p>
    <w:p w14:paraId="389BF800" w14:textId="77777777" w:rsidR="00BD50B6" w:rsidRPr="009D258A" w:rsidRDefault="00BD50B6" w:rsidP="00BD50B6">
      <w:pPr>
        <w:spacing w:after="0"/>
        <w:jc w:val="center"/>
        <w:rPr>
          <w:b/>
          <w:bCs/>
          <w:noProof/>
        </w:rPr>
      </w:pPr>
      <w:r w:rsidRPr="009D258A">
        <w:rPr>
          <w:b/>
          <w:noProof/>
        </w:rPr>
        <w:t>”Liite XIV</w:t>
      </w:r>
    </w:p>
    <w:p w14:paraId="5285DECE" w14:textId="77777777" w:rsidR="00BD50B6" w:rsidRPr="009D258A" w:rsidRDefault="00BD50B6" w:rsidP="00BD50B6">
      <w:pPr>
        <w:spacing w:after="0"/>
        <w:jc w:val="center"/>
        <w:rPr>
          <w:b/>
          <w:bCs/>
          <w:noProof/>
        </w:rPr>
      </w:pPr>
    </w:p>
    <w:p w14:paraId="74C177A0" w14:textId="77777777" w:rsidR="00BD50B6" w:rsidRPr="009D258A" w:rsidRDefault="00BD50B6" w:rsidP="00BD50B6">
      <w:pPr>
        <w:spacing w:after="0"/>
        <w:jc w:val="center"/>
        <w:rPr>
          <w:b/>
          <w:bCs/>
          <w:noProof/>
        </w:rPr>
      </w:pPr>
      <w:r w:rsidRPr="009D258A">
        <w:rPr>
          <w:b/>
          <w:noProof/>
        </w:rPr>
        <w:t>Luettelo 30 artiklassa tarkoitetussa ilmoitusmenettelyssä käytettävistä koodeista, luokista ja vastaavista tekoälyjärjestelmien tyypeistä, joilla täsmennetään ilmoitettujen laitosten nimeämisen kohdeala</w:t>
      </w:r>
    </w:p>
    <w:p w14:paraId="3D171974" w14:textId="77777777" w:rsidR="00BD50B6" w:rsidRPr="009D258A" w:rsidRDefault="00BD50B6" w:rsidP="00BD50B6">
      <w:pPr>
        <w:rPr>
          <w:b/>
          <w:bCs/>
          <w:noProof/>
        </w:rPr>
      </w:pPr>
    </w:p>
    <w:p w14:paraId="3A38595F" w14:textId="40720970" w:rsidR="00BD50B6" w:rsidRPr="009D258A" w:rsidRDefault="00DB7715" w:rsidP="00DB7715">
      <w:pPr>
        <w:pStyle w:val="ManualNumPar1"/>
        <w:rPr>
          <w:noProof/>
        </w:rPr>
      </w:pPr>
      <w:r w:rsidRPr="00DB7715">
        <w:rPr>
          <w:noProof/>
        </w:rPr>
        <w:t>1.</w:t>
      </w:r>
      <w:r w:rsidRPr="00DB7715">
        <w:rPr>
          <w:noProof/>
        </w:rPr>
        <w:tab/>
      </w:r>
      <w:r w:rsidR="00BD50B6" w:rsidRPr="009D258A">
        <w:rPr>
          <w:noProof/>
        </w:rPr>
        <w:t xml:space="preserve">Johdanto </w:t>
      </w:r>
    </w:p>
    <w:p w14:paraId="1EC97060" w14:textId="7076AFAE" w:rsidR="00BD50B6" w:rsidRPr="009D258A" w:rsidRDefault="00BD50B6" w:rsidP="00BD50B6">
      <w:pPr>
        <w:ind w:left="360"/>
        <w:rPr>
          <w:noProof/>
        </w:rPr>
      </w:pPr>
      <w:r w:rsidRPr="009D258A">
        <w:rPr>
          <w:noProof/>
        </w:rPr>
        <w:t>Suuririskisten tekoälyjärjestelmien vaatimustenmukaisuuden arviointi tämän asetuksen nojalla voi edellyttää vaatimustenmukaisuuden arviointilaitosten osallistumista. Ainoastaan tämän asetuksen mukaisesti nimetyt vaatimustenmukaisuuden arviointilaitokset voivat suorittaa vaatimustenmukaisuuden arviointeja ja ainoastaan tekoälyjärjestelmien asianomaisten tyyppien toiminnasta. Tämän asetuksen 30 artiklan nojalla ilmoitettujen vaatimustenmukaisuuden arviointilaitosten nimeämisen kohdeala määritellään koodien, luokkien ja vastaavien tekoälyjärjestelmien tyyppien luettelon perusteella.</w:t>
      </w:r>
    </w:p>
    <w:p w14:paraId="30E8C4B4" w14:textId="77777777" w:rsidR="00BD50B6" w:rsidRPr="009D258A" w:rsidRDefault="00BD50B6" w:rsidP="00BD50B6">
      <w:pPr>
        <w:pStyle w:val="ListParagraph"/>
        <w:rPr>
          <w:b/>
          <w:bCs/>
          <w:noProof/>
        </w:rPr>
      </w:pPr>
    </w:p>
    <w:p w14:paraId="6CCEFF36" w14:textId="22637278" w:rsidR="00BD50B6" w:rsidRPr="009D258A" w:rsidRDefault="00DB7715" w:rsidP="00DB7715">
      <w:pPr>
        <w:pStyle w:val="ManualNumPar1"/>
        <w:rPr>
          <w:noProof/>
        </w:rPr>
      </w:pPr>
      <w:r w:rsidRPr="00DB7715">
        <w:rPr>
          <w:noProof/>
        </w:rPr>
        <w:t>2.</w:t>
      </w:r>
      <w:r w:rsidRPr="00DB7715">
        <w:rPr>
          <w:noProof/>
        </w:rPr>
        <w:tab/>
      </w:r>
      <w:r w:rsidR="00BD50B6" w:rsidRPr="009D258A">
        <w:rPr>
          <w:noProof/>
        </w:rPr>
        <w:t>Luettelo koodeista, luokista ja vastaavista tekoälyjärjestelmistä</w:t>
      </w:r>
    </w:p>
    <w:p w14:paraId="5C21A1F1" w14:textId="77777777" w:rsidR="00BD50B6" w:rsidRPr="009D258A" w:rsidRDefault="00BD50B6" w:rsidP="00BD50B6">
      <w:pPr>
        <w:pStyle w:val="ListParagraph"/>
        <w:ind w:left="1080"/>
        <w:rPr>
          <w:b/>
          <w:bCs/>
          <w:noProof/>
        </w:rPr>
      </w:pPr>
    </w:p>
    <w:p w14:paraId="114E86FA" w14:textId="544988A8" w:rsidR="00BD50B6" w:rsidRPr="009D258A" w:rsidRDefault="00226B4E" w:rsidP="00226B4E">
      <w:pPr>
        <w:pStyle w:val="Point1"/>
        <w:rPr>
          <w:b/>
          <w:bCs/>
          <w:i/>
          <w:iCs/>
          <w:noProof/>
          <w:u w:val="single"/>
        </w:rPr>
      </w:pPr>
      <w:r w:rsidRPr="009D258A">
        <w:rPr>
          <w:b/>
          <w:i/>
          <w:noProof/>
        </w:rPr>
        <w:t>1.</w:t>
      </w:r>
      <w:r w:rsidRPr="009D258A">
        <w:rPr>
          <w:noProof/>
        </w:rPr>
        <w:tab/>
      </w:r>
      <w:r w:rsidRPr="009D258A">
        <w:rPr>
          <w:b/>
          <w:i/>
          <w:noProof/>
          <w:u w:val="single"/>
        </w:rPr>
        <w:t>Tekoälysäädöksen liitteen I soveltamisalaan kuuluvat tekoälyjärjestelmät</w:t>
      </w:r>
    </w:p>
    <w:p w14:paraId="0C9CD1EE" w14:textId="77777777" w:rsidR="00BD50B6" w:rsidRPr="009D258A" w:rsidRDefault="00BD50B6" w:rsidP="00BD50B6">
      <w:pPr>
        <w:pStyle w:val="ListParagraph"/>
        <w:ind w:left="1080"/>
        <w:rPr>
          <w:b/>
          <w:bCs/>
          <w:i/>
          <w:iCs/>
          <w:noProof/>
        </w:rPr>
      </w:pPr>
    </w:p>
    <w:tbl>
      <w:tblPr>
        <w:tblStyle w:val="TableGrid"/>
        <w:tblW w:w="8296"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6894"/>
      </w:tblGrid>
      <w:tr w:rsidR="00BD50B6" w:rsidRPr="009D258A" w14:paraId="5C8633D9" w14:textId="77777777" w:rsidTr="00175212">
        <w:tc>
          <w:tcPr>
            <w:tcW w:w="1402" w:type="dxa"/>
          </w:tcPr>
          <w:p w14:paraId="772E5845" w14:textId="77777777" w:rsidR="00BD50B6" w:rsidRPr="009D258A" w:rsidRDefault="00BD50B6">
            <w:pPr>
              <w:pStyle w:val="ListParagraph"/>
              <w:ind w:left="0"/>
              <w:rPr>
                <w:b/>
                <w:bCs/>
                <w:noProof/>
              </w:rPr>
            </w:pPr>
            <w:r w:rsidRPr="009D258A">
              <w:rPr>
                <w:b/>
                <w:noProof/>
              </w:rPr>
              <w:t>AIA-koodi</w:t>
            </w:r>
          </w:p>
        </w:tc>
        <w:tc>
          <w:tcPr>
            <w:tcW w:w="6894" w:type="dxa"/>
          </w:tcPr>
          <w:p w14:paraId="47FD53D7" w14:textId="77777777" w:rsidR="00BD50B6" w:rsidRPr="009D258A" w:rsidRDefault="00BD50B6">
            <w:pPr>
              <w:pStyle w:val="ListParagraph"/>
              <w:ind w:left="0"/>
              <w:rPr>
                <w:b/>
                <w:bCs/>
                <w:noProof/>
              </w:rPr>
            </w:pPr>
          </w:p>
        </w:tc>
      </w:tr>
      <w:tr w:rsidR="00BD50B6" w:rsidRPr="009D258A" w14:paraId="687A1A89" w14:textId="77777777" w:rsidTr="00175212">
        <w:tc>
          <w:tcPr>
            <w:tcW w:w="1402" w:type="dxa"/>
          </w:tcPr>
          <w:p w14:paraId="237FF662" w14:textId="77777777" w:rsidR="00BD50B6" w:rsidRPr="009D258A" w:rsidRDefault="00BD50B6">
            <w:pPr>
              <w:pStyle w:val="ListParagraph"/>
              <w:ind w:left="0"/>
              <w:rPr>
                <w:b/>
                <w:bCs/>
                <w:noProof/>
              </w:rPr>
            </w:pPr>
            <w:r w:rsidRPr="009D258A">
              <w:rPr>
                <w:b/>
                <w:noProof/>
              </w:rPr>
              <w:t>AIP 0101</w:t>
            </w:r>
          </w:p>
        </w:tc>
        <w:tc>
          <w:tcPr>
            <w:tcW w:w="6894" w:type="dxa"/>
          </w:tcPr>
          <w:p w14:paraId="7F1BCC50" w14:textId="77777777" w:rsidR="00BD50B6" w:rsidRPr="009D258A" w:rsidRDefault="00BD50B6">
            <w:pPr>
              <w:pStyle w:val="ListParagraph"/>
              <w:ind w:left="0"/>
              <w:rPr>
                <w:noProof/>
              </w:rPr>
            </w:pPr>
            <w:r w:rsidRPr="009D258A">
              <w:rPr>
                <w:noProof/>
              </w:rPr>
              <w:t>Tekoälysäädöksen liitteessä I olevan A jakson 1 kohdan soveltamisalaan kuuluvat tekoälyjärjestelmät.</w:t>
            </w:r>
          </w:p>
        </w:tc>
      </w:tr>
      <w:tr w:rsidR="00BD50B6" w:rsidRPr="009D258A" w14:paraId="7F6A2D5F" w14:textId="77777777" w:rsidTr="00175212">
        <w:tc>
          <w:tcPr>
            <w:tcW w:w="1402" w:type="dxa"/>
          </w:tcPr>
          <w:p w14:paraId="2F58F52E" w14:textId="77777777" w:rsidR="00BD50B6" w:rsidRPr="009D258A" w:rsidRDefault="00BD50B6">
            <w:pPr>
              <w:pStyle w:val="ListParagraph"/>
              <w:ind w:left="0"/>
              <w:rPr>
                <w:b/>
                <w:bCs/>
                <w:noProof/>
              </w:rPr>
            </w:pPr>
            <w:r w:rsidRPr="009D258A">
              <w:rPr>
                <w:b/>
                <w:noProof/>
              </w:rPr>
              <w:t>AIP 0102</w:t>
            </w:r>
          </w:p>
        </w:tc>
        <w:tc>
          <w:tcPr>
            <w:tcW w:w="6894" w:type="dxa"/>
          </w:tcPr>
          <w:p w14:paraId="02C29F69" w14:textId="77777777" w:rsidR="00BD50B6" w:rsidRPr="009D258A" w:rsidRDefault="00BD50B6">
            <w:pPr>
              <w:pStyle w:val="ListParagraph"/>
              <w:ind w:left="0"/>
              <w:rPr>
                <w:b/>
                <w:bCs/>
                <w:noProof/>
              </w:rPr>
            </w:pPr>
            <w:r w:rsidRPr="009D258A">
              <w:rPr>
                <w:noProof/>
              </w:rPr>
              <w:t>Tekoälysäädöksen liitteessä I olevan A jakson 2 kohdan soveltamisalaan kuuluvat tekoälyjärjestelmät.</w:t>
            </w:r>
          </w:p>
        </w:tc>
      </w:tr>
      <w:tr w:rsidR="00BD50B6" w:rsidRPr="009D258A" w14:paraId="1470DAAF" w14:textId="77777777" w:rsidTr="00175212">
        <w:tc>
          <w:tcPr>
            <w:tcW w:w="1402" w:type="dxa"/>
          </w:tcPr>
          <w:p w14:paraId="275B987E" w14:textId="77777777" w:rsidR="00BD50B6" w:rsidRPr="009D258A" w:rsidRDefault="00BD50B6">
            <w:pPr>
              <w:pStyle w:val="ListParagraph"/>
              <w:ind w:left="0"/>
              <w:rPr>
                <w:b/>
                <w:bCs/>
                <w:noProof/>
              </w:rPr>
            </w:pPr>
            <w:r w:rsidRPr="009D258A">
              <w:rPr>
                <w:b/>
                <w:noProof/>
              </w:rPr>
              <w:t>AIP 0103</w:t>
            </w:r>
          </w:p>
        </w:tc>
        <w:tc>
          <w:tcPr>
            <w:tcW w:w="6894" w:type="dxa"/>
          </w:tcPr>
          <w:p w14:paraId="7FF5D171" w14:textId="77777777" w:rsidR="00BD50B6" w:rsidRPr="009D258A" w:rsidRDefault="00BD50B6">
            <w:pPr>
              <w:pStyle w:val="ListParagraph"/>
              <w:ind w:left="0"/>
              <w:rPr>
                <w:b/>
                <w:bCs/>
                <w:noProof/>
              </w:rPr>
            </w:pPr>
            <w:r w:rsidRPr="009D258A">
              <w:rPr>
                <w:noProof/>
              </w:rPr>
              <w:t>Tekoälysäädöksen liitteessä I olevan A jakson 3 kohdan soveltamisalaan kuuluvat tekoälyjärjestelmät.</w:t>
            </w:r>
          </w:p>
        </w:tc>
      </w:tr>
      <w:tr w:rsidR="00BD50B6" w:rsidRPr="009D258A" w14:paraId="15519065" w14:textId="77777777" w:rsidTr="00175212">
        <w:tc>
          <w:tcPr>
            <w:tcW w:w="1402" w:type="dxa"/>
          </w:tcPr>
          <w:p w14:paraId="48821E27" w14:textId="77777777" w:rsidR="00BD50B6" w:rsidRPr="009D258A" w:rsidRDefault="00BD50B6">
            <w:pPr>
              <w:pStyle w:val="ListParagraph"/>
              <w:ind w:left="0"/>
              <w:rPr>
                <w:b/>
                <w:bCs/>
                <w:noProof/>
              </w:rPr>
            </w:pPr>
            <w:r w:rsidRPr="009D258A">
              <w:rPr>
                <w:b/>
                <w:noProof/>
              </w:rPr>
              <w:t>AIP 0104</w:t>
            </w:r>
          </w:p>
        </w:tc>
        <w:tc>
          <w:tcPr>
            <w:tcW w:w="6894" w:type="dxa"/>
          </w:tcPr>
          <w:p w14:paraId="42CB88F2" w14:textId="77777777" w:rsidR="00BD50B6" w:rsidRPr="009D258A" w:rsidRDefault="00BD50B6">
            <w:pPr>
              <w:pStyle w:val="ListParagraph"/>
              <w:ind w:left="0"/>
              <w:rPr>
                <w:b/>
                <w:bCs/>
                <w:noProof/>
              </w:rPr>
            </w:pPr>
            <w:r w:rsidRPr="009D258A">
              <w:rPr>
                <w:noProof/>
              </w:rPr>
              <w:t>Tekoälysäädöksen liitteessä I olevan A jakson 4 kohdan soveltamisalaan kuuluvat tekoälyjärjestelmät.</w:t>
            </w:r>
          </w:p>
        </w:tc>
      </w:tr>
      <w:tr w:rsidR="00BD50B6" w:rsidRPr="009D258A" w14:paraId="0FAB1D3E" w14:textId="77777777" w:rsidTr="00175212">
        <w:tc>
          <w:tcPr>
            <w:tcW w:w="1402" w:type="dxa"/>
          </w:tcPr>
          <w:p w14:paraId="751D3C6B" w14:textId="77777777" w:rsidR="00BD50B6" w:rsidRPr="009D258A" w:rsidRDefault="00BD50B6">
            <w:pPr>
              <w:pStyle w:val="ListParagraph"/>
              <w:ind w:left="0"/>
              <w:rPr>
                <w:b/>
                <w:bCs/>
                <w:noProof/>
              </w:rPr>
            </w:pPr>
            <w:r w:rsidRPr="009D258A">
              <w:rPr>
                <w:b/>
                <w:noProof/>
              </w:rPr>
              <w:t>AIP 0105</w:t>
            </w:r>
          </w:p>
        </w:tc>
        <w:tc>
          <w:tcPr>
            <w:tcW w:w="6894" w:type="dxa"/>
          </w:tcPr>
          <w:p w14:paraId="7DA3CAE1" w14:textId="77777777" w:rsidR="00BD50B6" w:rsidRPr="009D258A" w:rsidRDefault="00BD50B6">
            <w:pPr>
              <w:pStyle w:val="ListParagraph"/>
              <w:ind w:left="0"/>
              <w:rPr>
                <w:b/>
                <w:bCs/>
                <w:noProof/>
              </w:rPr>
            </w:pPr>
            <w:r w:rsidRPr="009D258A">
              <w:rPr>
                <w:noProof/>
              </w:rPr>
              <w:t>Tekoälysäädöksen liitteessä I olevan A jakson 5 kohdan soveltamisalaan kuuluvat tekoälyjärjestelmät.</w:t>
            </w:r>
          </w:p>
        </w:tc>
      </w:tr>
      <w:tr w:rsidR="00BD50B6" w:rsidRPr="009D258A" w14:paraId="7DD0381E" w14:textId="77777777" w:rsidTr="00175212">
        <w:tc>
          <w:tcPr>
            <w:tcW w:w="1402" w:type="dxa"/>
          </w:tcPr>
          <w:p w14:paraId="328D7E9C" w14:textId="77777777" w:rsidR="00BD50B6" w:rsidRPr="009D258A" w:rsidRDefault="00BD50B6">
            <w:pPr>
              <w:pStyle w:val="ListParagraph"/>
              <w:ind w:left="0"/>
              <w:rPr>
                <w:b/>
                <w:bCs/>
                <w:noProof/>
              </w:rPr>
            </w:pPr>
            <w:bookmarkStart w:id="1" w:name="_Hlk211344084"/>
            <w:r w:rsidRPr="009D258A">
              <w:rPr>
                <w:b/>
                <w:noProof/>
              </w:rPr>
              <w:t>AIP 0106</w:t>
            </w:r>
            <w:bookmarkEnd w:id="1"/>
          </w:p>
        </w:tc>
        <w:tc>
          <w:tcPr>
            <w:tcW w:w="6894" w:type="dxa"/>
          </w:tcPr>
          <w:p w14:paraId="793EEB27" w14:textId="77777777" w:rsidR="00BD50B6" w:rsidRPr="009D258A" w:rsidRDefault="00BD50B6">
            <w:pPr>
              <w:pStyle w:val="ListParagraph"/>
              <w:ind w:left="0"/>
              <w:rPr>
                <w:b/>
                <w:bCs/>
                <w:noProof/>
              </w:rPr>
            </w:pPr>
            <w:r w:rsidRPr="009D258A">
              <w:rPr>
                <w:noProof/>
              </w:rPr>
              <w:t>Tekoälysäädöksen liitteessä I olevan A jakson 6 kohdan soveltamisalaan kuuluvat tekoälyjärjestelmät.</w:t>
            </w:r>
          </w:p>
        </w:tc>
      </w:tr>
      <w:tr w:rsidR="00BD50B6" w:rsidRPr="009D258A" w14:paraId="1D11F43F" w14:textId="77777777" w:rsidTr="00175212">
        <w:tc>
          <w:tcPr>
            <w:tcW w:w="1402" w:type="dxa"/>
          </w:tcPr>
          <w:p w14:paraId="3805C7F7" w14:textId="77777777" w:rsidR="00BD50B6" w:rsidRPr="009D258A" w:rsidRDefault="00BD50B6">
            <w:pPr>
              <w:pStyle w:val="ListParagraph"/>
              <w:ind w:left="0"/>
              <w:rPr>
                <w:b/>
                <w:bCs/>
                <w:noProof/>
              </w:rPr>
            </w:pPr>
            <w:r w:rsidRPr="009D258A">
              <w:rPr>
                <w:b/>
                <w:noProof/>
              </w:rPr>
              <w:t>AIP 0107</w:t>
            </w:r>
          </w:p>
        </w:tc>
        <w:tc>
          <w:tcPr>
            <w:tcW w:w="6894" w:type="dxa"/>
          </w:tcPr>
          <w:p w14:paraId="50D52C51" w14:textId="77777777" w:rsidR="00BD50B6" w:rsidRPr="009D258A" w:rsidRDefault="00BD50B6">
            <w:pPr>
              <w:pStyle w:val="ListParagraph"/>
              <w:ind w:left="0"/>
              <w:rPr>
                <w:b/>
                <w:bCs/>
                <w:noProof/>
              </w:rPr>
            </w:pPr>
            <w:r w:rsidRPr="009D258A">
              <w:rPr>
                <w:noProof/>
              </w:rPr>
              <w:t>Tekoälysäädöksen liitteessä I olevan A jakson 7 kohdan soveltamisalaan kuuluvat tekoälyjärjestelmät.</w:t>
            </w:r>
          </w:p>
        </w:tc>
      </w:tr>
      <w:tr w:rsidR="00BD50B6" w:rsidRPr="009D258A" w14:paraId="38573C58" w14:textId="77777777" w:rsidTr="00175212">
        <w:tc>
          <w:tcPr>
            <w:tcW w:w="1402" w:type="dxa"/>
          </w:tcPr>
          <w:p w14:paraId="54D3E00A" w14:textId="77777777" w:rsidR="00BD50B6" w:rsidRPr="009D258A" w:rsidRDefault="00BD50B6">
            <w:pPr>
              <w:pStyle w:val="ListParagraph"/>
              <w:ind w:left="0"/>
              <w:rPr>
                <w:b/>
                <w:bCs/>
                <w:noProof/>
              </w:rPr>
            </w:pPr>
            <w:r w:rsidRPr="009D258A">
              <w:rPr>
                <w:b/>
                <w:noProof/>
              </w:rPr>
              <w:t>AIP 0108</w:t>
            </w:r>
          </w:p>
        </w:tc>
        <w:tc>
          <w:tcPr>
            <w:tcW w:w="6894" w:type="dxa"/>
          </w:tcPr>
          <w:p w14:paraId="5F46C097" w14:textId="77777777" w:rsidR="00BD50B6" w:rsidRPr="009D258A" w:rsidRDefault="00BD50B6">
            <w:pPr>
              <w:pStyle w:val="ListParagraph"/>
              <w:ind w:left="0"/>
              <w:rPr>
                <w:b/>
                <w:bCs/>
                <w:noProof/>
              </w:rPr>
            </w:pPr>
            <w:r w:rsidRPr="009D258A">
              <w:rPr>
                <w:noProof/>
              </w:rPr>
              <w:t>Tekoälysäädöksen liitteessä I olevan A jakson 8 kohdan soveltamisalaan kuuluvat tekoälyjärjestelmät.</w:t>
            </w:r>
          </w:p>
        </w:tc>
      </w:tr>
      <w:tr w:rsidR="00BD50B6" w:rsidRPr="009D258A" w14:paraId="1701558A" w14:textId="77777777" w:rsidTr="00175212">
        <w:tc>
          <w:tcPr>
            <w:tcW w:w="1402" w:type="dxa"/>
          </w:tcPr>
          <w:p w14:paraId="05B2CD7F" w14:textId="77777777" w:rsidR="00BD50B6" w:rsidRPr="009D258A" w:rsidRDefault="00BD50B6">
            <w:pPr>
              <w:pStyle w:val="ListParagraph"/>
              <w:ind w:left="0"/>
              <w:rPr>
                <w:b/>
                <w:bCs/>
                <w:noProof/>
              </w:rPr>
            </w:pPr>
            <w:r w:rsidRPr="009D258A">
              <w:rPr>
                <w:b/>
                <w:noProof/>
              </w:rPr>
              <w:t>AIP 0109</w:t>
            </w:r>
          </w:p>
        </w:tc>
        <w:tc>
          <w:tcPr>
            <w:tcW w:w="6894" w:type="dxa"/>
          </w:tcPr>
          <w:p w14:paraId="3782263A" w14:textId="77777777" w:rsidR="00BD50B6" w:rsidRPr="009D258A" w:rsidRDefault="00BD50B6">
            <w:pPr>
              <w:pStyle w:val="ListParagraph"/>
              <w:ind w:left="0"/>
              <w:rPr>
                <w:b/>
                <w:bCs/>
                <w:noProof/>
              </w:rPr>
            </w:pPr>
            <w:r w:rsidRPr="009D258A">
              <w:rPr>
                <w:noProof/>
              </w:rPr>
              <w:t>Tekoälysäädöksen liitteessä I olevan A jakson 9 kohdan soveltamisalaan kuuluvat tekoälyjärjestelmät.</w:t>
            </w:r>
          </w:p>
        </w:tc>
      </w:tr>
      <w:tr w:rsidR="00BD50B6" w:rsidRPr="009D258A" w14:paraId="764AE706" w14:textId="77777777" w:rsidTr="00175212">
        <w:tc>
          <w:tcPr>
            <w:tcW w:w="1402" w:type="dxa"/>
          </w:tcPr>
          <w:p w14:paraId="293B5A23" w14:textId="77777777" w:rsidR="00BD50B6" w:rsidRPr="009D258A" w:rsidRDefault="00BD50B6">
            <w:pPr>
              <w:pStyle w:val="ListParagraph"/>
              <w:ind w:left="0"/>
              <w:rPr>
                <w:b/>
                <w:bCs/>
                <w:noProof/>
              </w:rPr>
            </w:pPr>
            <w:r w:rsidRPr="009D258A">
              <w:rPr>
                <w:b/>
                <w:noProof/>
              </w:rPr>
              <w:t>AIP 0110</w:t>
            </w:r>
          </w:p>
        </w:tc>
        <w:tc>
          <w:tcPr>
            <w:tcW w:w="6894" w:type="dxa"/>
          </w:tcPr>
          <w:p w14:paraId="64FDC3BC" w14:textId="77777777" w:rsidR="00BD50B6" w:rsidRPr="009D258A" w:rsidRDefault="00BD50B6">
            <w:pPr>
              <w:pStyle w:val="ListParagraph"/>
              <w:ind w:left="0"/>
              <w:rPr>
                <w:b/>
                <w:bCs/>
                <w:noProof/>
              </w:rPr>
            </w:pPr>
            <w:r w:rsidRPr="009D258A">
              <w:rPr>
                <w:noProof/>
              </w:rPr>
              <w:t>Tekoälysäädöksen liitteessä I olevan A jakson 10 kohdan soveltamisalaan kuuluvat tekoälyjärjestelmät.</w:t>
            </w:r>
          </w:p>
        </w:tc>
      </w:tr>
      <w:tr w:rsidR="00BD50B6" w:rsidRPr="009D258A" w14:paraId="3D9EFFCA" w14:textId="77777777" w:rsidTr="00175212">
        <w:tc>
          <w:tcPr>
            <w:tcW w:w="1402" w:type="dxa"/>
          </w:tcPr>
          <w:p w14:paraId="328DC851" w14:textId="77777777" w:rsidR="00BD50B6" w:rsidRPr="009D258A" w:rsidRDefault="00BD50B6">
            <w:pPr>
              <w:pStyle w:val="ListParagraph"/>
              <w:ind w:left="0"/>
              <w:rPr>
                <w:b/>
                <w:bCs/>
                <w:noProof/>
              </w:rPr>
            </w:pPr>
            <w:r w:rsidRPr="009D258A">
              <w:rPr>
                <w:b/>
                <w:noProof/>
              </w:rPr>
              <w:t>AIP 0111</w:t>
            </w:r>
          </w:p>
        </w:tc>
        <w:tc>
          <w:tcPr>
            <w:tcW w:w="6894" w:type="dxa"/>
          </w:tcPr>
          <w:p w14:paraId="044A9E13" w14:textId="77777777" w:rsidR="00BD50B6" w:rsidRPr="009D258A" w:rsidRDefault="00BD50B6">
            <w:pPr>
              <w:pStyle w:val="ListParagraph"/>
              <w:ind w:left="0"/>
              <w:rPr>
                <w:b/>
                <w:bCs/>
                <w:noProof/>
              </w:rPr>
            </w:pPr>
            <w:r w:rsidRPr="009D258A">
              <w:rPr>
                <w:noProof/>
              </w:rPr>
              <w:t>Tekoälysäädöksen liitteessä I olevan A jakson 11 kohdan soveltamisalaan kuuluvat tekoälyjärjestelmät.</w:t>
            </w:r>
          </w:p>
        </w:tc>
      </w:tr>
      <w:tr w:rsidR="00BD50B6" w:rsidRPr="009D258A" w14:paraId="57F2D3CA" w14:textId="77777777" w:rsidTr="00175212">
        <w:tc>
          <w:tcPr>
            <w:tcW w:w="1402" w:type="dxa"/>
          </w:tcPr>
          <w:p w14:paraId="17C7CDC3" w14:textId="77777777" w:rsidR="00BD50B6" w:rsidRPr="009D258A" w:rsidRDefault="00BD50B6">
            <w:pPr>
              <w:pStyle w:val="ListParagraph"/>
              <w:ind w:left="0"/>
              <w:rPr>
                <w:b/>
                <w:bCs/>
                <w:noProof/>
              </w:rPr>
            </w:pPr>
            <w:r w:rsidRPr="009D258A">
              <w:rPr>
                <w:b/>
                <w:noProof/>
              </w:rPr>
              <w:t>AIP 0112</w:t>
            </w:r>
          </w:p>
        </w:tc>
        <w:tc>
          <w:tcPr>
            <w:tcW w:w="6894" w:type="dxa"/>
          </w:tcPr>
          <w:p w14:paraId="672D8276" w14:textId="77777777" w:rsidR="00BD50B6" w:rsidRPr="009D258A" w:rsidRDefault="00BD50B6">
            <w:pPr>
              <w:pStyle w:val="ListParagraph"/>
              <w:ind w:left="0"/>
              <w:rPr>
                <w:b/>
                <w:bCs/>
                <w:noProof/>
              </w:rPr>
            </w:pPr>
            <w:r w:rsidRPr="009D258A">
              <w:rPr>
                <w:noProof/>
              </w:rPr>
              <w:t>Tekoälysäädöksen liitteessä I olevan A jakson 12 kohdan soveltamisalaan kuuluvat tekoälyjärjestelmät.</w:t>
            </w:r>
          </w:p>
        </w:tc>
      </w:tr>
    </w:tbl>
    <w:p w14:paraId="19B3CDF1" w14:textId="77777777" w:rsidR="00BD50B6" w:rsidRPr="009D258A" w:rsidRDefault="00BD50B6" w:rsidP="00BD50B6">
      <w:pPr>
        <w:ind w:left="360"/>
        <w:rPr>
          <w:b/>
          <w:bCs/>
          <w:i/>
          <w:iCs/>
          <w:noProof/>
        </w:rPr>
      </w:pPr>
    </w:p>
    <w:p w14:paraId="21F05D0F" w14:textId="684CF9B4" w:rsidR="00BD50B6" w:rsidRPr="009D258A" w:rsidRDefault="00226B4E" w:rsidP="00226B4E">
      <w:pPr>
        <w:pStyle w:val="Point1"/>
        <w:rPr>
          <w:b/>
          <w:bCs/>
          <w:i/>
          <w:iCs/>
          <w:noProof/>
          <w:u w:val="single"/>
        </w:rPr>
      </w:pPr>
      <w:r w:rsidRPr="009D258A">
        <w:rPr>
          <w:b/>
          <w:i/>
          <w:noProof/>
        </w:rPr>
        <w:t>2.</w:t>
      </w:r>
      <w:r w:rsidRPr="009D258A">
        <w:rPr>
          <w:noProof/>
        </w:rPr>
        <w:tab/>
      </w:r>
      <w:r w:rsidRPr="009D258A">
        <w:rPr>
          <w:b/>
          <w:i/>
          <w:noProof/>
          <w:u w:val="single"/>
        </w:rPr>
        <w:t>Tekoälysäädöksen liitteessä III olevan 1 kohdan soveltamisalaan kuuluvat tekoälyjärjestelmät</w:t>
      </w:r>
    </w:p>
    <w:tbl>
      <w:tblPr>
        <w:tblStyle w:val="TableGrid"/>
        <w:tblW w:w="8296"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6894"/>
      </w:tblGrid>
      <w:tr w:rsidR="00BD50B6" w:rsidRPr="009D258A" w14:paraId="5730B93D" w14:textId="77777777" w:rsidTr="00175212">
        <w:tc>
          <w:tcPr>
            <w:tcW w:w="1402" w:type="dxa"/>
          </w:tcPr>
          <w:p w14:paraId="1D2EDF5E" w14:textId="77777777" w:rsidR="00BD50B6" w:rsidRPr="009D258A" w:rsidRDefault="00BD50B6">
            <w:pPr>
              <w:pStyle w:val="ListParagraph"/>
              <w:ind w:left="0"/>
              <w:rPr>
                <w:b/>
                <w:bCs/>
                <w:noProof/>
              </w:rPr>
            </w:pPr>
            <w:r w:rsidRPr="009D258A">
              <w:rPr>
                <w:b/>
                <w:noProof/>
              </w:rPr>
              <w:t>AIA-koodi</w:t>
            </w:r>
          </w:p>
        </w:tc>
        <w:tc>
          <w:tcPr>
            <w:tcW w:w="6894" w:type="dxa"/>
          </w:tcPr>
          <w:p w14:paraId="2A3BE79A" w14:textId="77777777" w:rsidR="00BD50B6" w:rsidRPr="009D258A" w:rsidRDefault="00BD50B6">
            <w:pPr>
              <w:pStyle w:val="ListParagraph"/>
              <w:ind w:left="0"/>
              <w:rPr>
                <w:b/>
                <w:bCs/>
                <w:noProof/>
              </w:rPr>
            </w:pPr>
          </w:p>
        </w:tc>
      </w:tr>
      <w:tr w:rsidR="00BD50B6" w:rsidRPr="009D258A" w14:paraId="60A99A29" w14:textId="77777777" w:rsidTr="00175212">
        <w:tc>
          <w:tcPr>
            <w:tcW w:w="1402" w:type="dxa"/>
          </w:tcPr>
          <w:p w14:paraId="033F3F24" w14:textId="77777777" w:rsidR="00BD50B6" w:rsidRPr="009D258A" w:rsidRDefault="00BD50B6">
            <w:pPr>
              <w:pStyle w:val="ListParagraph"/>
              <w:ind w:left="0"/>
              <w:rPr>
                <w:b/>
                <w:bCs/>
                <w:noProof/>
              </w:rPr>
            </w:pPr>
            <w:r w:rsidRPr="009D258A">
              <w:rPr>
                <w:b/>
                <w:noProof/>
              </w:rPr>
              <w:t>AIB 0201</w:t>
            </w:r>
          </w:p>
        </w:tc>
        <w:tc>
          <w:tcPr>
            <w:tcW w:w="6894" w:type="dxa"/>
          </w:tcPr>
          <w:p w14:paraId="2C6603B9" w14:textId="77777777" w:rsidR="00BD50B6" w:rsidRPr="009D258A" w:rsidRDefault="00BD50B6">
            <w:pPr>
              <w:pStyle w:val="ListParagraph"/>
              <w:ind w:left="0"/>
              <w:rPr>
                <w:noProof/>
              </w:rPr>
            </w:pPr>
            <w:r w:rsidRPr="009D258A">
              <w:rPr>
                <w:noProof/>
              </w:rPr>
              <w:t>Tekoälysäädöksen liitteessä III olevan 1 kohdan a alakohdan mukaiset biometriset etätunnistusjärjestelmät, jotka on tarkoitettu unionin toimielinten, unionin muiden elinten tai unionin laitosten käyttöön.</w:t>
            </w:r>
          </w:p>
        </w:tc>
      </w:tr>
      <w:tr w:rsidR="00BD50B6" w:rsidRPr="009D258A" w14:paraId="01797F49" w14:textId="77777777" w:rsidTr="00175212">
        <w:tc>
          <w:tcPr>
            <w:tcW w:w="1402" w:type="dxa"/>
          </w:tcPr>
          <w:p w14:paraId="658C1273" w14:textId="77777777" w:rsidR="00BD50B6" w:rsidRPr="009D258A" w:rsidRDefault="00BD50B6">
            <w:pPr>
              <w:pStyle w:val="ListParagraph"/>
              <w:ind w:left="0"/>
              <w:rPr>
                <w:b/>
                <w:bCs/>
                <w:noProof/>
              </w:rPr>
            </w:pPr>
            <w:r w:rsidRPr="009D258A">
              <w:rPr>
                <w:b/>
                <w:noProof/>
              </w:rPr>
              <w:t>AIB 0202</w:t>
            </w:r>
          </w:p>
        </w:tc>
        <w:tc>
          <w:tcPr>
            <w:tcW w:w="6894" w:type="dxa"/>
          </w:tcPr>
          <w:p w14:paraId="49ACB3C6" w14:textId="77777777" w:rsidR="00BD50B6" w:rsidRPr="009D258A" w:rsidRDefault="00BD50B6">
            <w:pPr>
              <w:pStyle w:val="ListParagraph"/>
              <w:ind w:left="0"/>
              <w:rPr>
                <w:noProof/>
              </w:rPr>
            </w:pPr>
            <w:r w:rsidRPr="009D258A">
              <w:rPr>
                <w:noProof/>
              </w:rPr>
              <w:t>Tekoälysäädöksen liitteessä III olevan 1 kohdan b alakohdan mukaiset biometrisen luokittelun tekoälyjärjestelmät, jotka on tarkoitettu unionin toimielinten, unionin muiden elinten tai unionin laitosten käyttöön.</w:t>
            </w:r>
          </w:p>
        </w:tc>
      </w:tr>
      <w:tr w:rsidR="00BD50B6" w:rsidRPr="009D258A" w14:paraId="443D8A74" w14:textId="77777777" w:rsidTr="00175212">
        <w:tc>
          <w:tcPr>
            <w:tcW w:w="1402" w:type="dxa"/>
          </w:tcPr>
          <w:p w14:paraId="2D14CA85" w14:textId="77777777" w:rsidR="00BD50B6" w:rsidRPr="009D258A" w:rsidRDefault="00BD50B6">
            <w:pPr>
              <w:pStyle w:val="ListParagraph"/>
              <w:ind w:left="0"/>
              <w:rPr>
                <w:b/>
                <w:bCs/>
                <w:noProof/>
              </w:rPr>
            </w:pPr>
            <w:r w:rsidRPr="009D258A">
              <w:rPr>
                <w:b/>
                <w:noProof/>
              </w:rPr>
              <w:t>AIB 0203</w:t>
            </w:r>
          </w:p>
        </w:tc>
        <w:tc>
          <w:tcPr>
            <w:tcW w:w="6894" w:type="dxa"/>
          </w:tcPr>
          <w:p w14:paraId="11AA103C" w14:textId="77777777" w:rsidR="00BD50B6" w:rsidRPr="009D258A" w:rsidRDefault="00BD50B6">
            <w:pPr>
              <w:pStyle w:val="ListParagraph"/>
              <w:ind w:left="0"/>
              <w:rPr>
                <w:noProof/>
              </w:rPr>
            </w:pPr>
            <w:r w:rsidRPr="009D258A">
              <w:rPr>
                <w:noProof/>
              </w:rPr>
              <w:t>Tekoälysäädöksen liitteessä III olevan 1 kohdan c alakohdan mukaiset tunteentunnistuksen tekoälyjärjestelmät, jotka on tarkoitettu unionin toimielinten, unionin muiden elinten tai unionin laitosten käyttöön.</w:t>
            </w:r>
          </w:p>
        </w:tc>
      </w:tr>
      <w:tr w:rsidR="00BD50B6" w:rsidRPr="009D258A" w14:paraId="611742BD" w14:textId="77777777" w:rsidTr="00175212">
        <w:tc>
          <w:tcPr>
            <w:tcW w:w="1402" w:type="dxa"/>
          </w:tcPr>
          <w:p w14:paraId="07F54C43" w14:textId="77777777" w:rsidR="00BD50B6" w:rsidRPr="009D258A" w:rsidRDefault="00BD50B6">
            <w:pPr>
              <w:pStyle w:val="ListParagraph"/>
              <w:ind w:left="0"/>
              <w:rPr>
                <w:b/>
                <w:bCs/>
                <w:noProof/>
              </w:rPr>
            </w:pPr>
            <w:r w:rsidRPr="009D258A">
              <w:rPr>
                <w:b/>
                <w:noProof/>
              </w:rPr>
              <w:t>AIB 0204</w:t>
            </w:r>
          </w:p>
        </w:tc>
        <w:tc>
          <w:tcPr>
            <w:tcW w:w="6894" w:type="dxa"/>
          </w:tcPr>
          <w:p w14:paraId="687B667A" w14:textId="77777777" w:rsidR="00BD50B6" w:rsidRPr="009D258A" w:rsidRDefault="00BD50B6">
            <w:pPr>
              <w:pStyle w:val="ListParagraph"/>
              <w:ind w:left="0"/>
              <w:rPr>
                <w:noProof/>
              </w:rPr>
            </w:pPr>
            <w:r w:rsidRPr="009D258A">
              <w:rPr>
                <w:noProof/>
              </w:rPr>
              <w:t xml:space="preserve">Tekoälysäädöksen liitteessä III olevan 1 kohdan a alakohdan mukaiset biometriset etätunnistusjärjestelmät, </w:t>
            </w:r>
            <w:bookmarkStart w:id="2" w:name="_Hlk212107973"/>
            <w:r w:rsidRPr="009D258A">
              <w:rPr>
                <w:noProof/>
              </w:rPr>
              <w:t>jotka on tarkoitettu lainvalvonta-, maahanmuutto- tai turvapaikkaviranomaisten käyttöön</w:t>
            </w:r>
            <w:bookmarkEnd w:id="2"/>
            <w:r w:rsidRPr="009D258A">
              <w:rPr>
                <w:noProof/>
              </w:rPr>
              <w:t>.</w:t>
            </w:r>
          </w:p>
        </w:tc>
      </w:tr>
      <w:tr w:rsidR="00BD50B6" w:rsidRPr="009D258A" w14:paraId="28F9E6B0" w14:textId="77777777" w:rsidTr="00175212">
        <w:tc>
          <w:tcPr>
            <w:tcW w:w="1402" w:type="dxa"/>
          </w:tcPr>
          <w:p w14:paraId="5468467E" w14:textId="77777777" w:rsidR="00BD50B6" w:rsidRPr="009D258A" w:rsidRDefault="00BD50B6">
            <w:pPr>
              <w:pStyle w:val="ListParagraph"/>
              <w:ind w:left="0"/>
              <w:rPr>
                <w:b/>
                <w:bCs/>
                <w:noProof/>
              </w:rPr>
            </w:pPr>
            <w:r w:rsidRPr="009D258A">
              <w:rPr>
                <w:b/>
                <w:noProof/>
              </w:rPr>
              <w:t>AIB 0205</w:t>
            </w:r>
          </w:p>
        </w:tc>
        <w:tc>
          <w:tcPr>
            <w:tcW w:w="6894" w:type="dxa"/>
          </w:tcPr>
          <w:p w14:paraId="3F6536F3" w14:textId="77777777" w:rsidR="00BD50B6" w:rsidRPr="009D258A" w:rsidRDefault="00BD50B6">
            <w:pPr>
              <w:pStyle w:val="ListParagraph"/>
              <w:ind w:left="0"/>
              <w:rPr>
                <w:noProof/>
              </w:rPr>
            </w:pPr>
            <w:r w:rsidRPr="009D258A">
              <w:rPr>
                <w:noProof/>
              </w:rPr>
              <w:t>Tekoälysäädöksen liitteessä III olevan 1 kohdan b alakohdan mukaiset biometrisen luokittelun tekoälyjärjestelmät, jotka on tarkoitettu lainvalvonta-, maahanmuutto- tai turvapaikkaviranomaisten käyttöön.</w:t>
            </w:r>
          </w:p>
        </w:tc>
      </w:tr>
      <w:tr w:rsidR="00BD50B6" w:rsidRPr="009D258A" w14:paraId="6B9F328D" w14:textId="77777777" w:rsidTr="00175212">
        <w:tc>
          <w:tcPr>
            <w:tcW w:w="1402" w:type="dxa"/>
          </w:tcPr>
          <w:p w14:paraId="1613C2AF" w14:textId="77777777" w:rsidR="00BD50B6" w:rsidRPr="009D258A" w:rsidRDefault="00BD50B6">
            <w:pPr>
              <w:pStyle w:val="ListParagraph"/>
              <w:ind w:left="0"/>
              <w:rPr>
                <w:b/>
                <w:bCs/>
                <w:noProof/>
              </w:rPr>
            </w:pPr>
            <w:r w:rsidRPr="009D258A">
              <w:rPr>
                <w:b/>
                <w:noProof/>
              </w:rPr>
              <w:t>AIB 0206</w:t>
            </w:r>
          </w:p>
        </w:tc>
        <w:tc>
          <w:tcPr>
            <w:tcW w:w="6894" w:type="dxa"/>
          </w:tcPr>
          <w:p w14:paraId="0F2077C3" w14:textId="77777777" w:rsidR="00BD50B6" w:rsidRPr="009D258A" w:rsidRDefault="00BD50B6">
            <w:pPr>
              <w:pStyle w:val="ListParagraph"/>
              <w:ind w:left="0"/>
              <w:rPr>
                <w:noProof/>
              </w:rPr>
            </w:pPr>
            <w:r w:rsidRPr="009D258A">
              <w:rPr>
                <w:noProof/>
              </w:rPr>
              <w:t>Tekoälysäädöksen liitteessä III olevan 1 kohdan c alakohdan mukaiset tunteentunnistuksen tekoälyjärjestelmät, jotka on tarkoitettu lainvalvonta-, maahanmuutto- tai turvapaikkaviranomaisten käyttöön.</w:t>
            </w:r>
          </w:p>
        </w:tc>
      </w:tr>
      <w:tr w:rsidR="00BD50B6" w:rsidRPr="009D258A" w14:paraId="697A4698" w14:textId="77777777" w:rsidTr="00175212">
        <w:tc>
          <w:tcPr>
            <w:tcW w:w="1402" w:type="dxa"/>
          </w:tcPr>
          <w:p w14:paraId="55634CB3" w14:textId="77777777" w:rsidR="00BD50B6" w:rsidRPr="009D258A" w:rsidRDefault="00BD50B6">
            <w:pPr>
              <w:pStyle w:val="ListParagraph"/>
              <w:ind w:left="0"/>
              <w:rPr>
                <w:b/>
                <w:bCs/>
                <w:noProof/>
              </w:rPr>
            </w:pPr>
            <w:r w:rsidRPr="009D258A">
              <w:rPr>
                <w:b/>
                <w:noProof/>
              </w:rPr>
              <w:t>AIB 0207</w:t>
            </w:r>
          </w:p>
        </w:tc>
        <w:tc>
          <w:tcPr>
            <w:tcW w:w="6894" w:type="dxa"/>
          </w:tcPr>
          <w:p w14:paraId="5D824412" w14:textId="77777777" w:rsidR="00BD50B6" w:rsidRPr="009D258A" w:rsidRDefault="00BD50B6">
            <w:pPr>
              <w:pStyle w:val="ListParagraph"/>
              <w:ind w:left="0"/>
              <w:rPr>
                <w:noProof/>
              </w:rPr>
            </w:pPr>
            <w:r w:rsidRPr="009D258A">
              <w:rPr>
                <w:noProof/>
              </w:rPr>
              <w:t>Tekoälysäädöksen liitteessä III olevan 1 kohdan a alakohdan mukaiset biometriset etätunnistusjärjestelmät (yleiset).</w:t>
            </w:r>
          </w:p>
        </w:tc>
      </w:tr>
      <w:tr w:rsidR="00BD50B6" w:rsidRPr="009D258A" w14:paraId="158D4654" w14:textId="77777777" w:rsidTr="00175212">
        <w:tc>
          <w:tcPr>
            <w:tcW w:w="1402" w:type="dxa"/>
          </w:tcPr>
          <w:p w14:paraId="12F3302E" w14:textId="77777777" w:rsidR="00BD50B6" w:rsidRPr="009D258A" w:rsidRDefault="00BD50B6">
            <w:pPr>
              <w:pStyle w:val="ListParagraph"/>
              <w:ind w:left="0"/>
              <w:rPr>
                <w:b/>
                <w:bCs/>
                <w:noProof/>
              </w:rPr>
            </w:pPr>
            <w:r w:rsidRPr="009D258A">
              <w:rPr>
                <w:b/>
                <w:noProof/>
              </w:rPr>
              <w:t>AIB 0208</w:t>
            </w:r>
          </w:p>
        </w:tc>
        <w:tc>
          <w:tcPr>
            <w:tcW w:w="6894" w:type="dxa"/>
          </w:tcPr>
          <w:p w14:paraId="168C0AF6" w14:textId="77777777" w:rsidR="00BD50B6" w:rsidRPr="009D258A" w:rsidRDefault="00BD50B6">
            <w:pPr>
              <w:pStyle w:val="ListParagraph"/>
              <w:ind w:left="0"/>
              <w:rPr>
                <w:b/>
                <w:bCs/>
                <w:noProof/>
              </w:rPr>
            </w:pPr>
            <w:r w:rsidRPr="009D258A">
              <w:rPr>
                <w:noProof/>
              </w:rPr>
              <w:t>Tekoälysäädöksen liitteessä III olevan 1 kohdan b alakohdan mukaiset biometrisen luokittelun tekoälyjärjestelmät (yleiset).</w:t>
            </w:r>
          </w:p>
        </w:tc>
      </w:tr>
      <w:tr w:rsidR="00BD50B6" w:rsidRPr="009D258A" w14:paraId="73316E89" w14:textId="77777777" w:rsidTr="00175212">
        <w:tc>
          <w:tcPr>
            <w:tcW w:w="1402" w:type="dxa"/>
          </w:tcPr>
          <w:p w14:paraId="67CFB884" w14:textId="77777777" w:rsidR="00BD50B6" w:rsidRPr="009D258A" w:rsidRDefault="00BD50B6">
            <w:pPr>
              <w:pStyle w:val="ListParagraph"/>
              <w:ind w:left="0"/>
              <w:rPr>
                <w:b/>
                <w:bCs/>
                <w:noProof/>
              </w:rPr>
            </w:pPr>
            <w:r w:rsidRPr="009D258A">
              <w:rPr>
                <w:b/>
                <w:noProof/>
              </w:rPr>
              <w:t>AIB 0209</w:t>
            </w:r>
          </w:p>
        </w:tc>
        <w:tc>
          <w:tcPr>
            <w:tcW w:w="6894" w:type="dxa"/>
          </w:tcPr>
          <w:p w14:paraId="26E67C0B" w14:textId="77777777" w:rsidR="00BD50B6" w:rsidRPr="009D258A" w:rsidRDefault="00BD50B6">
            <w:pPr>
              <w:pStyle w:val="ListParagraph"/>
              <w:ind w:left="0"/>
              <w:rPr>
                <w:b/>
                <w:bCs/>
                <w:noProof/>
              </w:rPr>
            </w:pPr>
            <w:r w:rsidRPr="009D258A">
              <w:rPr>
                <w:noProof/>
              </w:rPr>
              <w:t>Tekoälysäädöksen liitteessä III olevan 1 kohdan c alakohdan mukaiset tunteentunnistuksen tekoälyjärjestelmät (yleiset).</w:t>
            </w:r>
          </w:p>
        </w:tc>
      </w:tr>
    </w:tbl>
    <w:p w14:paraId="4A6A74FB" w14:textId="77777777" w:rsidR="00BD50B6" w:rsidRPr="009D258A" w:rsidRDefault="00BD50B6" w:rsidP="00BD50B6">
      <w:pPr>
        <w:pStyle w:val="ListParagraph"/>
        <w:ind w:left="1080"/>
        <w:rPr>
          <w:b/>
          <w:bCs/>
          <w:i/>
          <w:iCs/>
          <w:noProof/>
        </w:rPr>
      </w:pPr>
    </w:p>
    <w:p w14:paraId="71169AB8" w14:textId="7885C287" w:rsidR="00BD50B6" w:rsidRPr="009D258A" w:rsidRDefault="00226B4E" w:rsidP="00226B4E">
      <w:pPr>
        <w:pStyle w:val="Point1"/>
        <w:rPr>
          <w:noProof/>
        </w:rPr>
      </w:pPr>
      <w:r w:rsidRPr="009D258A">
        <w:rPr>
          <w:b/>
          <w:i/>
          <w:noProof/>
        </w:rPr>
        <w:t>3.</w:t>
      </w:r>
      <w:r w:rsidRPr="009D258A">
        <w:rPr>
          <w:noProof/>
        </w:rPr>
        <w:tab/>
      </w:r>
      <w:r w:rsidRPr="009D258A">
        <w:rPr>
          <w:b/>
          <w:i/>
          <w:noProof/>
          <w:u w:val="single"/>
        </w:rPr>
        <w:t>Tekoälyteknologiakohtaiset koodit</w:t>
      </w:r>
    </w:p>
    <w:p w14:paraId="0B3A875F" w14:textId="77777777" w:rsidR="00BD50B6" w:rsidRPr="009D258A" w:rsidRDefault="00BD50B6" w:rsidP="00BD50B6">
      <w:pPr>
        <w:pStyle w:val="ListParagraph"/>
        <w:ind w:left="1080"/>
        <w:rPr>
          <w:b/>
          <w:bCs/>
          <w:i/>
          <w:iCs/>
          <w:noProof/>
        </w:rPr>
      </w:pPr>
    </w:p>
    <w:p w14:paraId="5F680B2C" w14:textId="4D25E156" w:rsidR="00BD50B6" w:rsidRPr="009D258A" w:rsidRDefault="00226B4E" w:rsidP="00226B4E">
      <w:pPr>
        <w:pStyle w:val="Point1"/>
        <w:rPr>
          <w:noProof/>
        </w:rPr>
      </w:pPr>
      <w:r w:rsidRPr="009D258A">
        <w:rPr>
          <w:b/>
          <w:i/>
          <w:noProof/>
        </w:rPr>
        <w:t>a)</w:t>
      </w:r>
      <w:r w:rsidRPr="009D258A">
        <w:rPr>
          <w:noProof/>
        </w:rPr>
        <w:tab/>
      </w:r>
      <w:r w:rsidRPr="009D258A">
        <w:rPr>
          <w:b/>
          <w:i/>
          <w:noProof/>
          <w:u w:val="single"/>
        </w:rPr>
        <w:t>Symbolinen tekoäly, asiantuntijajärjestelmät ja matemaattinen optimointi</w:t>
      </w:r>
    </w:p>
    <w:tbl>
      <w:tblPr>
        <w:tblStyle w:val="TableGrid"/>
        <w:tblW w:w="8296"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6894"/>
      </w:tblGrid>
      <w:tr w:rsidR="00BD50B6" w:rsidRPr="009D258A" w14:paraId="72357656" w14:textId="77777777" w:rsidTr="00175212">
        <w:trPr>
          <w:trHeight w:val="300"/>
        </w:trPr>
        <w:tc>
          <w:tcPr>
            <w:tcW w:w="1402" w:type="dxa"/>
          </w:tcPr>
          <w:p w14:paraId="358171A6" w14:textId="77777777" w:rsidR="00BD50B6" w:rsidRPr="009D258A" w:rsidRDefault="00BD50B6">
            <w:pPr>
              <w:pStyle w:val="ListParagraph"/>
              <w:ind w:left="0"/>
              <w:rPr>
                <w:b/>
                <w:bCs/>
                <w:noProof/>
              </w:rPr>
            </w:pPr>
            <w:r w:rsidRPr="009D258A">
              <w:rPr>
                <w:b/>
                <w:noProof/>
              </w:rPr>
              <w:t>AIA-koodi</w:t>
            </w:r>
          </w:p>
        </w:tc>
        <w:tc>
          <w:tcPr>
            <w:tcW w:w="6894" w:type="dxa"/>
          </w:tcPr>
          <w:p w14:paraId="41F1BEE7" w14:textId="77777777" w:rsidR="00BD50B6" w:rsidRPr="009D258A" w:rsidRDefault="00BD50B6">
            <w:pPr>
              <w:pStyle w:val="ListParagraph"/>
              <w:ind w:left="0"/>
              <w:rPr>
                <w:b/>
                <w:bCs/>
                <w:noProof/>
                <w:highlight w:val="yellow"/>
              </w:rPr>
            </w:pPr>
          </w:p>
        </w:tc>
      </w:tr>
      <w:tr w:rsidR="00BD50B6" w:rsidRPr="009D258A" w14:paraId="53DE1C2F" w14:textId="77777777" w:rsidTr="00175212">
        <w:trPr>
          <w:trHeight w:val="300"/>
        </w:trPr>
        <w:tc>
          <w:tcPr>
            <w:tcW w:w="1402" w:type="dxa"/>
          </w:tcPr>
          <w:p w14:paraId="0809B9F5" w14:textId="77777777" w:rsidR="00BD50B6" w:rsidRPr="009D258A" w:rsidRDefault="00BD50B6">
            <w:pPr>
              <w:pStyle w:val="ListParagraph"/>
              <w:ind w:left="0"/>
              <w:rPr>
                <w:b/>
                <w:bCs/>
                <w:noProof/>
              </w:rPr>
            </w:pPr>
            <w:r w:rsidRPr="009D258A">
              <w:rPr>
                <w:b/>
                <w:noProof/>
              </w:rPr>
              <w:t>AIH 0101</w:t>
            </w:r>
          </w:p>
        </w:tc>
        <w:tc>
          <w:tcPr>
            <w:tcW w:w="6894" w:type="dxa"/>
          </w:tcPr>
          <w:p w14:paraId="782F9117" w14:textId="512B0496" w:rsidR="00BD50B6" w:rsidRPr="009D258A" w:rsidRDefault="00F5098F">
            <w:pPr>
              <w:pStyle w:val="ListParagraph"/>
              <w:ind w:left="0"/>
              <w:rPr>
                <w:noProof/>
                <w:highlight w:val="yellow"/>
              </w:rPr>
            </w:pPr>
            <w:r w:rsidRPr="009D258A">
              <w:rPr>
                <w:noProof/>
              </w:rPr>
              <w:t>Logiikka- ja tietopohjaiset tekoälyjärjestelmät, jotka päättelevät koodatun tiedon tai symbolisen representaation perusteella, asiantuntijajärjestelmät</w:t>
            </w:r>
          </w:p>
        </w:tc>
      </w:tr>
      <w:tr w:rsidR="00BD50B6" w:rsidRPr="009D258A" w14:paraId="012B4C0E" w14:textId="77777777" w:rsidTr="00175212">
        <w:trPr>
          <w:trHeight w:val="300"/>
        </w:trPr>
        <w:tc>
          <w:tcPr>
            <w:tcW w:w="1402" w:type="dxa"/>
          </w:tcPr>
          <w:p w14:paraId="0AEC2898" w14:textId="77777777" w:rsidR="00BD50B6" w:rsidRPr="009D258A" w:rsidRDefault="00BD50B6">
            <w:pPr>
              <w:pStyle w:val="ListParagraph"/>
              <w:ind w:left="0"/>
              <w:rPr>
                <w:b/>
                <w:bCs/>
                <w:noProof/>
              </w:rPr>
            </w:pPr>
            <w:r w:rsidRPr="009D258A">
              <w:rPr>
                <w:b/>
                <w:noProof/>
              </w:rPr>
              <w:t>AIH 0102</w:t>
            </w:r>
          </w:p>
        </w:tc>
        <w:tc>
          <w:tcPr>
            <w:tcW w:w="6894" w:type="dxa"/>
          </w:tcPr>
          <w:p w14:paraId="20DE09D1" w14:textId="77777777" w:rsidR="00BD50B6" w:rsidRPr="009D258A" w:rsidRDefault="007049B3">
            <w:pPr>
              <w:rPr>
                <w:noProof/>
              </w:rPr>
            </w:pPr>
            <w:r w:rsidRPr="009D258A">
              <w:rPr>
                <w:noProof/>
              </w:rPr>
              <w:t>Logiikkapohjaiset tekoälyjärjestelmät, pois lukien datan perustason prosessointi</w:t>
            </w:r>
          </w:p>
        </w:tc>
      </w:tr>
    </w:tbl>
    <w:p w14:paraId="7511603E" w14:textId="77777777" w:rsidR="00BD50B6" w:rsidRPr="009D258A" w:rsidRDefault="00BD50B6" w:rsidP="00BD50B6">
      <w:pPr>
        <w:pStyle w:val="ListParagraph"/>
        <w:ind w:left="1080"/>
        <w:rPr>
          <w:b/>
          <w:bCs/>
          <w:i/>
          <w:iCs/>
          <w:noProof/>
          <w:u w:val="single"/>
        </w:rPr>
      </w:pPr>
    </w:p>
    <w:p w14:paraId="36A61C57" w14:textId="5ED933E3" w:rsidR="00BD50B6" w:rsidRPr="009D258A" w:rsidRDefault="00226B4E" w:rsidP="00226B4E">
      <w:pPr>
        <w:pStyle w:val="Point1"/>
        <w:rPr>
          <w:b/>
          <w:bCs/>
          <w:i/>
          <w:iCs/>
          <w:noProof/>
        </w:rPr>
      </w:pPr>
      <w:r w:rsidRPr="009D258A">
        <w:rPr>
          <w:b/>
          <w:i/>
          <w:noProof/>
        </w:rPr>
        <w:t>b)</w:t>
      </w:r>
      <w:r w:rsidRPr="009D258A">
        <w:rPr>
          <w:noProof/>
        </w:rPr>
        <w:tab/>
      </w:r>
      <w:r w:rsidRPr="009D258A">
        <w:rPr>
          <w:b/>
          <w:i/>
          <w:noProof/>
          <w:u w:val="single"/>
        </w:rPr>
        <w:t>Koneoppiminen, pois lukien yleiskäyttöinen generatiivinen tekoäly ja yksimodaalinen generatiivinen tekoäly</w:t>
      </w:r>
    </w:p>
    <w:tbl>
      <w:tblPr>
        <w:tblStyle w:val="TableGrid"/>
        <w:tblW w:w="8296"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6894"/>
      </w:tblGrid>
      <w:tr w:rsidR="00BD50B6" w:rsidRPr="009D258A" w14:paraId="7381575A" w14:textId="77777777" w:rsidTr="00175212">
        <w:trPr>
          <w:trHeight w:val="300"/>
        </w:trPr>
        <w:tc>
          <w:tcPr>
            <w:tcW w:w="1402" w:type="dxa"/>
          </w:tcPr>
          <w:p w14:paraId="1D9A17B0" w14:textId="77777777" w:rsidR="00BD50B6" w:rsidRPr="009D258A" w:rsidRDefault="00BD50B6">
            <w:pPr>
              <w:pStyle w:val="ListParagraph"/>
              <w:ind w:left="0"/>
              <w:rPr>
                <w:b/>
                <w:bCs/>
                <w:noProof/>
              </w:rPr>
            </w:pPr>
            <w:r w:rsidRPr="009D258A">
              <w:rPr>
                <w:b/>
                <w:noProof/>
              </w:rPr>
              <w:t>AIA-koodi</w:t>
            </w:r>
          </w:p>
        </w:tc>
        <w:tc>
          <w:tcPr>
            <w:tcW w:w="6894" w:type="dxa"/>
          </w:tcPr>
          <w:p w14:paraId="3B8B8BDC" w14:textId="77777777" w:rsidR="00BD50B6" w:rsidRPr="009D258A" w:rsidRDefault="00BD50B6">
            <w:pPr>
              <w:pStyle w:val="ListParagraph"/>
              <w:ind w:left="0"/>
              <w:rPr>
                <w:b/>
                <w:bCs/>
                <w:noProof/>
                <w:highlight w:val="yellow"/>
              </w:rPr>
            </w:pPr>
          </w:p>
        </w:tc>
      </w:tr>
      <w:tr w:rsidR="00BD50B6" w:rsidRPr="009D258A" w14:paraId="75C678FE" w14:textId="77777777" w:rsidTr="00175212">
        <w:trPr>
          <w:trHeight w:val="300"/>
        </w:trPr>
        <w:tc>
          <w:tcPr>
            <w:tcW w:w="1402" w:type="dxa"/>
          </w:tcPr>
          <w:p w14:paraId="44010F22" w14:textId="77777777" w:rsidR="00BD50B6" w:rsidRPr="009D258A" w:rsidRDefault="00BD50B6">
            <w:pPr>
              <w:pStyle w:val="ListParagraph"/>
              <w:ind w:left="0"/>
              <w:rPr>
                <w:b/>
                <w:bCs/>
                <w:noProof/>
              </w:rPr>
            </w:pPr>
            <w:r w:rsidRPr="009D258A">
              <w:rPr>
                <w:b/>
                <w:noProof/>
              </w:rPr>
              <w:t>AIH 0201</w:t>
            </w:r>
          </w:p>
        </w:tc>
        <w:tc>
          <w:tcPr>
            <w:tcW w:w="6894" w:type="dxa"/>
            <w:shd w:val="clear" w:color="auto" w:fill="FFFFFF" w:themeFill="background1"/>
          </w:tcPr>
          <w:p w14:paraId="77AE5381" w14:textId="77777777" w:rsidR="00BD50B6" w:rsidRPr="009D258A" w:rsidRDefault="00BD50B6">
            <w:pPr>
              <w:pStyle w:val="ListParagraph"/>
              <w:ind w:left="0"/>
              <w:rPr>
                <w:noProof/>
                <w:highlight w:val="yellow"/>
              </w:rPr>
            </w:pPr>
            <w:r w:rsidRPr="009D258A">
              <w:rPr>
                <w:noProof/>
              </w:rPr>
              <w:t>Rakenteista dataa prosessoivat tekoälyjärjestelmät</w:t>
            </w:r>
          </w:p>
        </w:tc>
      </w:tr>
      <w:tr w:rsidR="00BD50B6" w:rsidRPr="009D258A" w14:paraId="1754CB46" w14:textId="77777777" w:rsidTr="00175212">
        <w:trPr>
          <w:trHeight w:val="300"/>
        </w:trPr>
        <w:tc>
          <w:tcPr>
            <w:tcW w:w="1402" w:type="dxa"/>
          </w:tcPr>
          <w:p w14:paraId="5A1C8F4C" w14:textId="77777777" w:rsidR="00BD50B6" w:rsidRPr="009D258A" w:rsidRDefault="00BD50B6">
            <w:pPr>
              <w:pStyle w:val="ListParagraph"/>
              <w:ind w:left="0"/>
              <w:rPr>
                <w:b/>
                <w:bCs/>
                <w:noProof/>
              </w:rPr>
            </w:pPr>
            <w:r w:rsidRPr="009D258A">
              <w:rPr>
                <w:b/>
                <w:noProof/>
              </w:rPr>
              <w:t>AIH 0202</w:t>
            </w:r>
          </w:p>
        </w:tc>
        <w:tc>
          <w:tcPr>
            <w:tcW w:w="6894" w:type="dxa"/>
            <w:shd w:val="clear" w:color="auto" w:fill="FFFFFF" w:themeFill="background1"/>
          </w:tcPr>
          <w:p w14:paraId="14B24D86" w14:textId="77777777" w:rsidR="00BD50B6" w:rsidRPr="009D258A" w:rsidRDefault="00BD50B6">
            <w:pPr>
              <w:pStyle w:val="ListParagraph"/>
              <w:ind w:left="0"/>
              <w:rPr>
                <w:noProof/>
                <w:highlight w:val="yellow"/>
              </w:rPr>
            </w:pPr>
            <w:r w:rsidRPr="009D258A">
              <w:rPr>
                <w:noProof/>
              </w:rPr>
              <w:t>Signaali- ja audiodataa prosessoivat tekoälyjärjestelmät</w:t>
            </w:r>
          </w:p>
        </w:tc>
      </w:tr>
      <w:tr w:rsidR="00BD50B6" w:rsidRPr="009D258A" w14:paraId="52F28CC1" w14:textId="77777777" w:rsidTr="00175212">
        <w:trPr>
          <w:trHeight w:val="300"/>
        </w:trPr>
        <w:tc>
          <w:tcPr>
            <w:tcW w:w="1402" w:type="dxa"/>
          </w:tcPr>
          <w:p w14:paraId="2B06FBBF" w14:textId="77777777" w:rsidR="00BD50B6" w:rsidRPr="009D258A" w:rsidRDefault="00BD50B6">
            <w:pPr>
              <w:pStyle w:val="ListParagraph"/>
              <w:ind w:left="0"/>
              <w:rPr>
                <w:b/>
                <w:bCs/>
                <w:noProof/>
              </w:rPr>
            </w:pPr>
            <w:r w:rsidRPr="009D258A">
              <w:rPr>
                <w:b/>
                <w:noProof/>
              </w:rPr>
              <w:t>AIH 0203</w:t>
            </w:r>
          </w:p>
        </w:tc>
        <w:tc>
          <w:tcPr>
            <w:tcW w:w="6894" w:type="dxa"/>
            <w:shd w:val="clear" w:color="auto" w:fill="FFFFFF" w:themeFill="background1"/>
          </w:tcPr>
          <w:p w14:paraId="45F49485" w14:textId="77777777" w:rsidR="00BD50B6" w:rsidRPr="009D258A" w:rsidRDefault="00BD50B6">
            <w:pPr>
              <w:pStyle w:val="ListParagraph"/>
              <w:ind w:left="0"/>
              <w:rPr>
                <w:noProof/>
                <w:highlight w:val="yellow"/>
              </w:rPr>
            </w:pPr>
            <w:r w:rsidRPr="009D258A">
              <w:rPr>
                <w:noProof/>
              </w:rPr>
              <w:t>Tekstidataa prosessoivat tekoälyjärjestelmät</w:t>
            </w:r>
          </w:p>
        </w:tc>
      </w:tr>
      <w:tr w:rsidR="00BD50B6" w:rsidRPr="009D258A" w14:paraId="71C3BA00" w14:textId="77777777" w:rsidTr="00175212">
        <w:trPr>
          <w:trHeight w:val="300"/>
        </w:trPr>
        <w:tc>
          <w:tcPr>
            <w:tcW w:w="1402" w:type="dxa"/>
          </w:tcPr>
          <w:p w14:paraId="3E0EAB2B" w14:textId="77777777" w:rsidR="00BD50B6" w:rsidRPr="009D258A" w:rsidRDefault="00BD50B6">
            <w:pPr>
              <w:pStyle w:val="ListParagraph"/>
              <w:ind w:left="0"/>
              <w:rPr>
                <w:b/>
                <w:bCs/>
                <w:noProof/>
              </w:rPr>
            </w:pPr>
            <w:r w:rsidRPr="009D258A">
              <w:rPr>
                <w:b/>
                <w:noProof/>
              </w:rPr>
              <w:t>AIH 0204</w:t>
            </w:r>
          </w:p>
        </w:tc>
        <w:tc>
          <w:tcPr>
            <w:tcW w:w="6894" w:type="dxa"/>
          </w:tcPr>
          <w:p w14:paraId="53C96F68" w14:textId="77777777" w:rsidR="00BD50B6" w:rsidRPr="009D258A" w:rsidRDefault="00BD50B6">
            <w:pPr>
              <w:pStyle w:val="ListParagraph"/>
              <w:ind w:left="0"/>
              <w:rPr>
                <w:noProof/>
                <w:highlight w:val="yellow"/>
              </w:rPr>
            </w:pPr>
            <w:r w:rsidRPr="009D258A">
              <w:rPr>
                <w:noProof/>
              </w:rPr>
              <w:t>Kuvaa ja videota prosessoivat tekoälyjärjestelmät</w:t>
            </w:r>
          </w:p>
        </w:tc>
      </w:tr>
      <w:tr w:rsidR="00BD50B6" w:rsidRPr="009D258A" w14:paraId="60D41955" w14:textId="77777777" w:rsidTr="00175212">
        <w:trPr>
          <w:trHeight w:val="300"/>
        </w:trPr>
        <w:tc>
          <w:tcPr>
            <w:tcW w:w="1402" w:type="dxa"/>
          </w:tcPr>
          <w:p w14:paraId="7CC38E4D" w14:textId="77777777" w:rsidR="00BD50B6" w:rsidRPr="009D258A" w:rsidRDefault="00BD50B6">
            <w:pPr>
              <w:rPr>
                <w:b/>
                <w:bCs/>
                <w:noProof/>
              </w:rPr>
            </w:pPr>
            <w:r w:rsidRPr="009D258A">
              <w:rPr>
                <w:b/>
                <w:noProof/>
              </w:rPr>
              <w:t>AIH 0205</w:t>
            </w:r>
          </w:p>
        </w:tc>
        <w:tc>
          <w:tcPr>
            <w:tcW w:w="6894" w:type="dxa"/>
          </w:tcPr>
          <w:p w14:paraId="75372D5C" w14:textId="77777777" w:rsidR="00BD50B6" w:rsidRPr="009D258A" w:rsidRDefault="00BD50B6">
            <w:pPr>
              <w:rPr>
                <w:noProof/>
              </w:rPr>
            </w:pPr>
            <w:r w:rsidRPr="009D258A">
              <w:rPr>
                <w:noProof/>
              </w:rPr>
              <w:t>Ympäristöstään oppivat tekoälyjärjestelmät, pois lukien agenttinen tekoäly</w:t>
            </w:r>
          </w:p>
        </w:tc>
      </w:tr>
    </w:tbl>
    <w:p w14:paraId="43DCB5E9" w14:textId="77777777" w:rsidR="00BD50B6" w:rsidRPr="009D258A" w:rsidRDefault="00BD50B6" w:rsidP="00BD50B6">
      <w:pPr>
        <w:pStyle w:val="ListParagraph"/>
        <w:ind w:left="1080"/>
        <w:rPr>
          <w:b/>
          <w:bCs/>
          <w:i/>
          <w:iCs/>
          <w:noProof/>
          <w:u w:val="single"/>
        </w:rPr>
      </w:pPr>
    </w:p>
    <w:p w14:paraId="053B71EE" w14:textId="75879CCD" w:rsidR="00BD50B6" w:rsidRPr="009D258A" w:rsidRDefault="00226B4E" w:rsidP="00226B4E">
      <w:pPr>
        <w:pStyle w:val="Point1"/>
        <w:rPr>
          <w:b/>
          <w:bCs/>
          <w:i/>
          <w:iCs/>
          <w:noProof/>
        </w:rPr>
      </w:pPr>
      <w:r w:rsidRPr="009D258A">
        <w:rPr>
          <w:b/>
          <w:i/>
          <w:noProof/>
        </w:rPr>
        <w:t>c)</w:t>
      </w:r>
      <w:r w:rsidRPr="009D258A">
        <w:rPr>
          <w:noProof/>
        </w:rPr>
        <w:tab/>
      </w:r>
      <w:r w:rsidRPr="009D258A">
        <w:rPr>
          <w:b/>
          <w:i/>
          <w:noProof/>
          <w:u w:val="single"/>
        </w:rPr>
        <w:t>Yleiskäyttöiseen generatiiviseen tekoälyyn tai yksimodaaliseen generatiiviseen tekoälyyn perustuvat tekoälyjärjestelmät</w:t>
      </w:r>
    </w:p>
    <w:tbl>
      <w:tblPr>
        <w:tblStyle w:val="TableGrid"/>
        <w:tblW w:w="8296"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6894"/>
      </w:tblGrid>
      <w:tr w:rsidR="00BD50B6" w:rsidRPr="009D258A" w14:paraId="6905F219" w14:textId="77777777" w:rsidTr="00175212">
        <w:trPr>
          <w:trHeight w:val="300"/>
        </w:trPr>
        <w:tc>
          <w:tcPr>
            <w:tcW w:w="1402" w:type="dxa"/>
          </w:tcPr>
          <w:p w14:paraId="548E7979" w14:textId="77777777" w:rsidR="00BD50B6" w:rsidRPr="009D258A" w:rsidRDefault="00BD50B6">
            <w:pPr>
              <w:pStyle w:val="ListParagraph"/>
              <w:ind w:left="0"/>
              <w:rPr>
                <w:b/>
                <w:bCs/>
                <w:noProof/>
              </w:rPr>
            </w:pPr>
            <w:r w:rsidRPr="009D258A">
              <w:rPr>
                <w:b/>
                <w:noProof/>
              </w:rPr>
              <w:t>AIA-koodi</w:t>
            </w:r>
          </w:p>
        </w:tc>
        <w:tc>
          <w:tcPr>
            <w:tcW w:w="6894" w:type="dxa"/>
          </w:tcPr>
          <w:p w14:paraId="78D6F1C4" w14:textId="77777777" w:rsidR="00BD50B6" w:rsidRPr="009D258A" w:rsidRDefault="00BD50B6">
            <w:pPr>
              <w:pStyle w:val="ListParagraph"/>
              <w:ind w:left="0"/>
              <w:rPr>
                <w:b/>
                <w:bCs/>
                <w:noProof/>
                <w:highlight w:val="yellow"/>
              </w:rPr>
            </w:pPr>
          </w:p>
        </w:tc>
      </w:tr>
      <w:tr w:rsidR="00BD50B6" w:rsidRPr="009D258A" w14:paraId="26A252EF" w14:textId="77777777" w:rsidTr="00175212">
        <w:trPr>
          <w:trHeight w:val="300"/>
        </w:trPr>
        <w:tc>
          <w:tcPr>
            <w:tcW w:w="1402" w:type="dxa"/>
          </w:tcPr>
          <w:p w14:paraId="242599B4" w14:textId="77777777" w:rsidR="00BD50B6" w:rsidRPr="009D258A" w:rsidRDefault="00BD50B6">
            <w:pPr>
              <w:pStyle w:val="ListParagraph"/>
              <w:ind w:left="0"/>
              <w:rPr>
                <w:b/>
                <w:bCs/>
                <w:noProof/>
              </w:rPr>
            </w:pPr>
            <w:r w:rsidRPr="009D258A">
              <w:rPr>
                <w:b/>
                <w:noProof/>
              </w:rPr>
              <w:t>AIH 0301</w:t>
            </w:r>
          </w:p>
        </w:tc>
        <w:tc>
          <w:tcPr>
            <w:tcW w:w="6894" w:type="dxa"/>
          </w:tcPr>
          <w:p w14:paraId="51864217" w14:textId="77777777" w:rsidR="00BD50B6" w:rsidRPr="009D258A" w:rsidRDefault="00BD50B6">
            <w:pPr>
              <w:pStyle w:val="ListParagraph"/>
              <w:ind w:left="0"/>
              <w:rPr>
                <w:noProof/>
              </w:rPr>
            </w:pPr>
            <w:r w:rsidRPr="009D258A">
              <w:rPr>
                <w:noProof/>
              </w:rPr>
              <w:t>Yksimodaaliset generatiiviset tekoälyjärjestelmät</w:t>
            </w:r>
          </w:p>
        </w:tc>
      </w:tr>
      <w:tr w:rsidR="00BD50B6" w:rsidRPr="009D258A" w14:paraId="4212ED0C" w14:textId="77777777" w:rsidTr="00175212">
        <w:trPr>
          <w:trHeight w:val="300"/>
        </w:trPr>
        <w:tc>
          <w:tcPr>
            <w:tcW w:w="1402" w:type="dxa"/>
          </w:tcPr>
          <w:p w14:paraId="3C5467DA" w14:textId="77777777" w:rsidR="00BD50B6" w:rsidRPr="009D258A" w:rsidRDefault="00BD50B6">
            <w:pPr>
              <w:rPr>
                <w:b/>
                <w:bCs/>
                <w:noProof/>
              </w:rPr>
            </w:pPr>
            <w:r w:rsidRPr="009D258A">
              <w:rPr>
                <w:b/>
                <w:noProof/>
              </w:rPr>
              <w:t>AIH 0302</w:t>
            </w:r>
          </w:p>
        </w:tc>
        <w:tc>
          <w:tcPr>
            <w:tcW w:w="6894" w:type="dxa"/>
          </w:tcPr>
          <w:p w14:paraId="0D20E58C" w14:textId="77777777" w:rsidR="00BD50B6" w:rsidRPr="009D258A" w:rsidRDefault="00BD50B6">
            <w:pPr>
              <w:rPr>
                <w:noProof/>
              </w:rPr>
            </w:pPr>
            <w:r w:rsidRPr="009D258A">
              <w:rPr>
                <w:noProof/>
              </w:rPr>
              <w:t>Monimodaaliset generatiiviset tekoälyjärjestelmät, mukaan lukien yleiskäyttöisiin generatiivisiin tekoälymalleihin perustuvat tekoälyjärjestelmät</w:t>
            </w:r>
          </w:p>
        </w:tc>
      </w:tr>
    </w:tbl>
    <w:p w14:paraId="6B1CC03F" w14:textId="77777777" w:rsidR="00BD50B6" w:rsidRPr="009D258A" w:rsidRDefault="00BD50B6" w:rsidP="00BD50B6">
      <w:pPr>
        <w:pStyle w:val="ListParagraph"/>
        <w:ind w:left="1080"/>
        <w:rPr>
          <w:b/>
          <w:bCs/>
          <w:i/>
          <w:iCs/>
          <w:noProof/>
        </w:rPr>
      </w:pPr>
    </w:p>
    <w:p w14:paraId="49081763" w14:textId="34E75329" w:rsidR="00BD50B6" w:rsidRPr="009D258A" w:rsidRDefault="00226B4E" w:rsidP="00226B4E">
      <w:pPr>
        <w:pStyle w:val="Point1"/>
        <w:rPr>
          <w:b/>
          <w:bCs/>
          <w:i/>
          <w:iCs/>
          <w:noProof/>
        </w:rPr>
      </w:pPr>
      <w:r w:rsidRPr="009D258A">
        <w:rPr>
          <w:b/>
          <w:i/>
          <w:noProof/>
        </w:rPr>
        <w:t>d)</w:t>
      </w:r>
      <w:r w:rsidRPr="009D258A">
        <w:rPr>
          <w:noProof/>
        </w:rPr>
        <w:tab/>
      </w:r>
      <w:r w:rsidRPr="009D258A">
        <w:rPr>
          <w:b/>
          <w:i/>
          <w:noProof/>
          <w:u w:val="single"/>
        </w:rPr>
        <w:t>Agenttinen tekoäly</w:t>
      </w:r>
    </w:p>
    <w:tbl>
      <w:tblPr>
        <w:tblStyle w:val="TableGrid"/>
        <w:tblW w:w="8296"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6894"/>
      </w:tblGrid>
      <w:tr w:rsidR="00BD50B6" w:rsidRPr="009D258A" w14:paraId="4865B380" w14:textId="77777777" w:rsidTr="00175212">
        <w:trPr>
          <w:trHeight w:val="300"/>
        </w:trPr>
        <w:tc>
          <w:tcPr>
            <w:tcW w:w="1402" w:type="dxa"/>
          </w:tcPr>
          <w:p w14:paraId="56761D63" w14:textId="77777777" w:rsidR="00BD50B6" w:rsidRPr="009D258A" w:rsidRDefault="00BD50B6">
            <w:pPr>
              <w:pStyle w:val="ListParagraph"/>
              <w:ind w:left="0"/>
              <w:rPr>
                <w:b/>
                <w:bCs/>
                <w:noProof/>
              </w:rPr>
            </w:pPr>
            <w:r w:rsidRPr="009D258A">
              <w:rPr>
                <w:b/>
                <w:noProof/>
              </w:rPr>
              <w:t>AIA-koodi</w:t>
            </w:r>
          </w:p>
        </w:tc>
        <w:tc>
          <w:tcPr>
            <w:tcW w:w="6894" w:type="dxa"/>
          </w:tcPr>
          <w:p w14:paraId="0C523270" w14:textId="77777777" w:rsidR="00BD50B6" w:rsidRPr="009D258A" w:rsidRDefault="00BD50B6">
            <w:pPr>
              <w:pStyle w:val="ListParagraph"/>
              <w:ind w:left="0"/>
              <w:rPr>
                <w:b/>
                <w:bCs/>
                <w:noProof/>
                <w:highlight w:val="yellow"/>
              </w:rPr>
            </w:pPr>
          </w:p>
        </w:tc>
      </w:tr>
      <w:tr w:rsidR="00BD50B6" w:rsidRPr="009D258A" w14:paraId="61A80E83" w14:textId="77777777" w:rsidTr="00175212">
        <w:trPr>
          <w:trHeight w:val="300"/>
        </w:trPr>
        <w:tc>
          <w:tcPr>
            <w:tcW w:w="1402" w:type="dxa"/>
          </w:tcPr>
          <w:p w14:paraId="00A413EA" w14:textId="77777777" w:rsidR="00BD50B6" w:rsidRPr="009D258A" w:rsidRDefault="00BD50B6">
            <w:pPr>
              <w:pStyle w:val="ListParagraph"/>
              <w:ind w:left="0"/>
              <w:rPr>
                <w:b/>
                <w:bCs/>
                <w:noProof/>
              </w:rPr>
            </w:pPr>
            <w:r w:rsidRPr="009D258A">
              <w:rPr>
                <w:b/>
                <w:noProof/>
              </w:rPr>
              <w:t>AIH 0401</w:t>
            </w:r>
          </w:p>
        </w:tc>
        <w:tc>
          <w:tcPr>
            <w:tcW w:w="6894" w:type="dxa"/>
          </w:tcPr>
          <w:p w14:paraId="319CA664" w14:textId="77777777" w:rsidR="00BD50B6" w:rsidRPr="009D258A" w:rsidRDefault="00BD50B6">
            <w:pPr>
              <w:pStyle w:val="ListParagraph"/>
              <w:ind w:left="0"/>
              <w:rPr>
                <w:noProof/>
              </w:rPr>
            </w:pPr>
            <w:r w:rsidRPr="009D258A">
              <w:rPr>
                <w:noProof/>
              </w:rPr>
              <w:t>Agenttinen tekoäly</w:t>
            </w:r>
          </w:p>
        </w:tc>
      </w:tr>
    </w:tbl>
    <w:p w14:paraId="0741A82C" w14:textId="77777777" w:rsidR="00BD50B6" w:rsidRPr="009D258A" w:rsidRDefault="00BD50B6" w:rsidP="00BD50B6">
      <w:pPr>
        <w:pStyle w:val="ListParagraph"/>
        <w:ind w:left="1080"/>
        <w:rPr>
          <w:noProof/>
        </w:rPr>
      </w:pPr>
      <w:r w:rsidRPr="009D258A">
        <w:rPr>
          <w:noProof/>
        </w:rPr>
        <w:t xml:space="preserve"> </w:t>
      </w:r>
    </w:p>
    <w:p w14:paraId="7CDD636B" w14:textId="25ED79B9" w:rsidR="00BD50B6" w:rsidRPr="009D258A" w:rsidRDefault="00DB7715" w:rsidP="00DB7715">
      <w:pPr>
        <w:pStyle w:val="ManualNumPar1"/>
        <w:rPr>
          <w:noProof/>
        </w:rPr>
      </w:pPr>
      <w:r w:rsidRPr="00DB7715">
        <w:rPr>
          <w:noProof/>
        </w:rPr>
        <w:t>3.</w:t>
      </w:r>
      <w:r w:rsidRPr="00DB7715">
        <w:rPr>
          <w:noProof/>
        </w:rPr>
        <w:tab/>
      </w:r>
      <w:r w:rsidR="00BD50B6" w:rsidRPr="009D258A">
        <w:rPr>
          <w:noProof/>
        </w:rPr>
        <w:t>Nimeämistä koskeva hakemus</w:t>
      </w:r>
    </w:p>
    <w:p w14:paraId="543BEBFE" w14:textId="77777777" w:rsidR="00BD50B6" w:rsidRPr="009D258A" w:rsidRDefault="00BD50B6" w:rsidP="00CB6259">
      <w:pPr>
        <w:rPr>
          <w:b/>
          <w:bCs/>
          <w:noProof/>
        </w:rPr>
      </w:pPr>
    </w:p>
    <w:p w14:paraId="19D94D50" w14:textId="77777777" w:rsidR="00BC4D42" w:rsidRPr="009D258A" w:rsidRDefault="00BD50B6" w:rsidP="00CB6259">
      <w:pPr>
        <w:pStyle w:val="Text1"/>
        <w:rPr>
          <w:noProof/>
        </w:rPr>
      </w:pPr>
      <w:r w:rsidRPr="009D258A">
        <w:rPr>
          <w:noProof/>
        </w:rPr>
        <w:t>Vaatimustenmukaisuuden arviointilaitosten on käytettävä tässä liitteessä vahvistettuja koodien, luokkien ja vastaavien tekoälyjärjestelmien tyyppien luetteloita täsmentäessään kyseessä olevat tekoälyjärjestelmien tyypit tämän asetuksen 29 artiklassa tarkoitetussa nimeämistä koskevassa hakemuksessa.”.</w:t>
      </w:r>
    </w:p>
    <w:p w14:paraId="4077A7F7" w14:textId="77777777" w:rsidR="009C3EE2" w:rsidRPr="009D258A" w:rsidRDefault="009C3EE2" w:rsidP="0002735A">
      <w:pPr>
        <w:pStyle w:val="Titrearticle"/>
        <w:rPr>
          <w:noProof/>
        </w:rPr>
      </w:pPr>
      <w:r w:rsidRPr="009D258A">
        <w:rPr>
          <w:noProof/>
        </w:rPr>
        <w:t>2 artikla</w:t>
      </w:r>
    </w:p>
    <w:p w14:paraId="49738785" w14:textId="77777777" w:rsidR="00B05832" w:rsidRPr="009D258A" w:rsidRDefault="00B05832" w:rsidP="00175212">
      <w:pPr>
        <w:jc w:val="center"/>
        <w:rPr>
          <w:b/>
          <w:bCs/>
          <w:noProof/>
        </w:rPr>
      </w:pPr>
      <w:r w:rsidRPr="009D258A">
        <w:rPr>
          <w:b/>
          <w:noProof/>
        </w:rPr>
        <w:t>Asetuksen (EU) 2018/1139 muuttaminen</w:t>
      </w:r>
      <w:bookmarkStart w:id="3" w:name="_Hlk213332308"/>
      <w:bookmarkEnd w:id="3"/>
    </w:p>
    <w:p w14:paraId="7022DC85" w14:textId="77777777" w:rsidR="00F95DD8" w:rsidRPr="009D258A" w:rsidRDefault="001C13AC" w:rsidP="00175212">
      <w:pPr>
        <w:jc w:val="left"/>
        <w:rPr>
          <w:noProof/>
        </w:rPr>
      </w:pPr>
      <w:r w:rsidRPr="009D258A">
        <w:rPr>
          <w:noProof/>
        </w:rPr>
        <w:t>Muutetaan asetus (EU) 2018/1139 seuraavasti:</w:t>
      </w:r>
    </w:p>
    <w:p w14:paraId="0472C70B" w14:textId="16677521" w:rsidR="00F95DD8" w:rsidRPr="009D258A" w:rsidRDefault="00FE0697" w:rsidP="00FE0697">
      <w:pPr>
        <w:pStyle w:val="Point0"/>
        <w:rPr>
          <w:noProof/>
        </w:rPr>
      </w:pPr>
      <w:r>
        <w:rPr>
          <w:noProof/>
        </w:rPr>
        <w:t>1)</w:t>
      </w:r>
      <w:r>
        <w:rPr>
          <w:noProof/>
        </w:rPr>
        <w:tab/>
      </w:r>
      <w:r w:rsidR="006C0EF5" w:rsidRPr="009D258A">
        <w:rPr>
          <w:noProof/>
        </w:rPr>
        <w:t>lisätään 27 artiklaan kohta seuraavasti:</w:t>
      </w:r>
    </w:p>
    <w:p w14:paraId="424A93B0" w14:textId="22FCEA34" w:rsidR="00F95DD8" w:rsidRPr="009D258A" w:rsidRDefault="00F95DD8" w:rsidP="00F95DD8">
      <w:pPr>
        <w:pStyle w:val="Point2"/>
        <w:rPr>
          <w:noProof/>
        </w:rPr>
      </w:pPr>
      <w:r w:rsidRPr="009D258A">
        <w:rPr>
          <w:noProof/>
        </w:rPr>
        <w:t>”3. Hyväksyttäessä 1 kohdan nojalla täytäntöönpanosäädöksiä tekoälyjärjestelmistä, jotka ovat Euroopan parlamentin ja neuvoston asetuksessa (EU) 2024/1689</w:t>
      </w:r>
      <w:r w:rsidRPr="009D258A">
        <w:rPr>
          <w:rStyle w:val="FootnoteReference"/>
          <w:noProof/>
        </w:rPr>
        <w:footnoteReference w:id="26"/>
      </w:r>
      <w:r w:rsidRPr="009D258A">
        <w:rPr>
          <w:noProof/>
        </w:rPr>
        <w:t xml:space="preserve"> tarkoitettuja turvakomponentteja, huomioon on otettava mainitun asetuksen III luvun 2 jaksossa säädetyt vaatimukset, sanotun kuitenkaan rajoittamatta 2 kohdan soveltamista.”;</w:t>
      </w:r>
    </w:p>
    <w:p w14:paraId="4210A499" w14:textId="661AB2E4" w:rsidR="00F95DD8" w:rsidRPr="009D258A" w:rsidRDefault="00FE0697" w:rsidP="00FE0697">
      <w:pPr>
        <w:pStyle w:val="Point0"/>
        <w:rPr>
          <w:noProof/>
        </w:rPr>
      </w:pPr>
      <w:r>
        <w:rPr>
          <w:noProof/>
        </w:rPr>
        <w:t>2)</w:t>
      </w:r>
      <w:r>
        <w:rPr>
          <w:noProof/>
        </w:rPr>
        <w:tab/>
      </w:r>
      <w:r w:rsidR="00F95DD8" w:rsidRPr="009D258A">
        <w:rPr>
          <w:noProof/>
        </w:rPr>
        <w:t>lisätään 31 artiklaan kohta seuraavasti:</w:t>
      </w:r>
    </w:p>
    <w:p w14:paraId="13875D5F" w14:textId="1E137CDD" w:rsidR="00F95DD8" w:rsidRPr="009D258A" w:rsidRDefault="00F95DD8" w:rsidP="00F95DD8">
      <w:pPr>
        <w:pStyle w:val="Point2"/>
        <w:rPr>
          <w:noProof/>
        </w:rPr>
      </w:pPr>
      <w:r w:rsidRPr="009D258A">
        <w:rPr>
          <w:noProof/>
        </w:rPr>
        <w:t>”3. Hyväksyttäessä 1 kohdan nojalla täytäntöönpanosäädöksiä tekoälyjärjestelmistä, jotka ovat Euroopan parlamentin ja neuvoston asetuksessa (EU) 2024/1689 tarkoitettuja turvakomponentteja, huomioon on otettava mainitun asetuksen III luvun 2 jaksossa säädetyt vaatimukset, sanotun kuitenkaan rajoittamatta 2 kohdan soveltamista.”;</w:t>
      </w:r>
    </w:p>
    <w:p w14:paraId="4B15CC8B" w14:textId="0B9CEE4D" w:rsidR="00F95DD8" w:rsidRPr="009D258A" w:rsidRDefault="00FE0697" w:rsidP="00FE0697">
      <w:pPr>
        <w:pStyle w:val="Point0"/>
        <w:rPr>
          <w:noProof/>
        </w:rPr>
      </w:pPr>
      <w:r>
        <w:rPr>
          <w:noProof/>
        </w:rPr>
        <w:t>3)</w:t>
      </w:r>
      <w:r>
        <w:rPr>
          <w:noProof/>
        </w:rPr>
        <w:tab/>
      </w:r>
      <w:r w:rsidR="00F95DD8" w:rsidRPr="009D258A">
        <w:rPr>
          <w:noProof/>
        </w:rPr>
        <w:t>lisätään 32 artiklaan kohta seuraavasti:</w:t>
      </w:r>
    </w:p>
    <w:p w14:paraId="1E54D1D5" w14:textId="77777777" w:rsidR="00F95DD8" w:rsidRPr="009D258A" w:rsidRDefault="00F95DD8" w:rsidP="00F95DD8">
      <w:pPr>
        <w:pStyle w:val="Point2"/>
        <w:rPr>
          <w:noProof/>
        </w:rPr>
      </w:pPr>
      <w:r w:rsidRPr="009D258A">
        <w:rPr>
          <w:noProof/>
        </w:rPr>
        <w:t>”3. Hyväksyttäessä 1 kohdan nojalla delegoituja säädöksiä tekoälyjärjestelmistä, jotka ovat Euroopan parlamentin ja neuvoston asetuksessa (EU) 2024/1689* tarkoitettuja turvakomponentteja, huomioon on otettava mainitun asetuksen III luvun 2 jaksossa säädetyt vaatimukset.”;</w:t>
      </w:r>
    </w:p>
    <w:p w14:paraId="370289FB" w14:textId="4B341E45" w:rsidR="00F95DD8" w:rsidRPr="009D258A" w:rsidRDefault="00FE0697" w:rsidP="00FE0697">
      <w:pPr>
        <w:pStyle w:val="Point0"/>
        <w:rPr>
          <w:noProof/>
        </w:rPr>
      </w:pPr>
      <w:r>
        <w:rPr>
          <w:noProof/>
        </w:rPr>
        <w:t>4)</w:t>
      </w:r>
      <w:r>
        <w:rPr>
          <w:noProof/>
        </w:rPr>
        <w:tab/>
      </w:r>
      <w:r w:rsidR="00F95DD8" w:rsidRPr="009D258A">
        <w:rPr>
          <w:noProof/>
        </w:rPr>
        <w:t>lisätään 36 artiklaan kohta seuraavasti:</w:t>
      </w:r>
    </w:p>
    <w:p w14:paraId="77744576" w14:textId="5A1484AA" w:rsidR="00F95DD8" w:rsidRPr="009D258A" w:rsidRDefault="00F95DD8" w:rsidP="00F95DD8">
      <w:pPr>
        <w:pStyle w:val="Point2"/>
        <w:rPr>
          <w:noProof/>
        </w:rPr>
      </w:pPr>
      <w:r w:rsidRPr="009D258A">
        <w:rPr>
          <w:noProof/>
        </w:rPr>
        <w:t>”3. Hyväksyttäessä 1 kohdan nojalla täytäntöönpanosäädöksiä tekoälyjärjestelmistä, jotka ovat Euroopan parlamentin ja neuvoston asetuksessa (EU) 2024/1689 tarkoitettuja turvakomponentteja, huomioon on otettava mainitun asetuksen III luvun 2 jaksossa säädetyt vaatimukset, sanotun kuitenkaan rajoittamatta 2 kohdan soveltamista.”;</w:t>
      </w:r>
    </w:p>
    <w:p w14:paraId="4299B38E" w14:textId="4DC23E54" w:rsidR="00F95DD8" w:rsidRPr="009D258A" w:rsidRDefault="00FE0697" w:rsidP="00FE0697">
      <w:pPr>
        <w:pStyle w:val="Point0"/>
        <w:rPr>
          <w:noProof/>
        </w:rPr>
      </w:pPr>
      <w:r>
        <w:rPr>
          <w:noProof/>
        </w:rPr>
        <w:t>5)</w:t>
      </w:r>
      <w:r>
        <w:rPr>
          <w:noProof/>
        </w:rPr>
        <w:tab/>
      </w:r>
      <w:r w:rsidR="00F95DD8" w:rsidRPr="009D258A">
        <w:rPr>
          <w:noProof/>
        </w:rPr>
        <w:t>lisätään 39 artiklaan kohta seuraavasti:</w:t>
      </w:r>
    </w:p>
    <w:p w14:paraId="1D8A39D0" w14:textId="1879A1D9" w:rsidR="00F95DD8" w:rsidRPr="009D258A" w:rsidRDefault="00F95DD8" w:rsidP="00B27AC0">
      <w:pPr>
        <w:pStyle w:val="Point2"/>
        <w:rPr>
          <w:noProof/>
        </w:rPr>
      </w:pPr>
      <w:r w:rsidRPr="009D258A">
        <w:rPr>
          <w:noProof/>
        </w:rPr>
        <w:t>”3. Hyväksyttäessä 1 kohdan nojalla delegoituja säädöksiä tekoälyjärjestelmistä, jotka ovat Euroopan parlamentin ja neuvoston asetuksessa (EU) 2024/1689 tarkoitettuja turvakomponentteja, huomioon on otettava mainitun asetuksen III luvun 2 jaksossa säädetyt vaatimukset.”;</w:t>
      </w:r>
    </w:p>
    <w:p w14:paraId="5AD89144" w14:textId="082CCE51" w:rsidR="00F95DD8" w:rsidRPr="009D258A" w:rsidRDefault="00FE0697" w:rsidP="00FE0697">
      <w:pPr>
        <w:pStyle w:val="Point0"/>
        <w:rPr>
          <w:noProof/>
        </w:rPr>
      </w:pPr>
      <w:r>
        <w:rPr>
          <w:noProof/>
        </w:rPr>
        <w:t>6)</w:t>
      </w:r>
      <w:r>
        <w:rPr>
          <w:noProof/>
        </w:rPr>
        <w:tab/>
      </w:r>
      <w:r w:rsidR="00F95DD8" w:rsidRPr="009D258A">
        <w:rPr>
          <w:noProof/>
        </w:rPr>
        <w:t>lisätään 50 artiklaan kohta seuraavasti:</w:t>
      </w:r>
    </w:p>
    <w:p w14:paraId="4149BA17" w14:textId="3963DDED" w:rsidR="00F95DD8" w:rsidRPr="009D258A" w:rsidRDefault="00F95DD8" w:rsidP="00F95DD8">
      <w:pPr>
        <w:pStyle w:val="Point2"/>
        <w:rPr>
          <w:noProof/>
        </w:rPr>
      </w:pPr>
      <w:r w:rsidRPr="009D258A">
        <w:rPr>
          <w:noProof/>
        </w:rPr>
        <w:t>”3. Hyväksyttäessä 1 kohdan nojalla täytäntöönpanosäädöksiä tekoälyjärjestelmistä, jotka ovat Euroopan parlamentin ja neuvoston asetuksessa (EU) 2024/1689 tarkoitettuja turvakomponentteja, huomioon on otettava mainitun asetuksen III luvun 2 jaksossa säädetyt vaatimukset, sanotun kuitenkaan rajoittamatta 2 kohdan soveltamista.”;</w:t>
      </w:r>
    </w:p>
    <w:p w14:paraId="4474DCC5" w14:textId="6833D2CB" w:rsidR="00F95DD8" w:rsidRPr="009D258A" w:rsidRDefault="00FE0697" w:rsidP="00FE0697">
      <w:pPr>
        <w:pStyle w:val="Point0"/>
        <w:rPr>
          <w:noProof/>
        </w:rPr>
      </w:pPr>
      <w:r>
        <w:rPr>
          <w:noProof/>
        </w:rPr>
        <w:t>7)</w:t>
      </w:r>
      <w:r>
        <w:rPr>
          <w:noProof/>
        </w:rPr>
        <w:tab/>
      </w:r>
      <w:r w:rsidR="00F95DD8" w:rsidRPr="009D258A">
        <w:rPr>
          <w:noProof/>
        </w:rPr>
        <w:t>lisätään 53 artiklaan kohta seuraavasti:</w:t>
      </w:r>
    </w:p>
    <w:p w14:paraId="5246584B" w14:textId="7786A354" w:rsidR="00F95DD8" w:rsidRPr="009D258A" w:rsidRDefault="00F95DD8" w:rsidP="00F95DD8">
      <w:pPr>
        <w:pStyle w:val="Point2"/>
        <w:rPr>
          <w:noProof/>
        </w:rPr>
      </w:pPr>
      <w:r w:rsidRPr="009D258A">
        <w:rPr>
          <w:noProof/>
        </w:rPr>
        <w:t>”3. Hyväksyttäessä 1 kohdan nojalla täytäntöönpanosäädöksiä tekoälyjärjestelmistä, jotka ovat Euroopan parlamentin ja neuvoston asetuksessa (EU) 2024/1689 tarkoitettuja turvakomponentteja, huomioon on otettava mainitun asetuksen III luvun 2 jaksossa säädetyt vaatimukset, sanotun kuitenkaan rajoittamatta 2 kohdan soveltamista.”.</w:t>
      </w:r>
    </w:p>
    <w:p w14:paraId="6FB61035" w14:textId="77777777" w:rsidR="00F95DD8" w:rsidRPr="009D258A" w:rsidRDefault="00F95DD8" w:rsidP="0002735A">
      <w:pPr>
        <w:rPr>
          <w:noProof/>
        </w:rPr>
      </w:pPr>
    </w:p>
    <w:p w14:paraId="3698AEBA" w14:textId="77777777" w:rsidR="00F95DD8" w:rsidRPr="009D258A" w:rsidRDefault="00F95DD8" w:rsidP="00F95DD8">
      <w:pPr>
        <w:pStyle w:val="Titrearticle"/>
        <w:rPr>
          <w:noProof/>
        </w:rPr>
      </w:pPr>
      <w:r w:rsidRPr="009D258A">
        <w:rPr>
          <w:noProof/>
        </w:rPr>
        <w:t>3 artikla</w:t>
      </w:r>
    </w:p>
    <w:p w14:paraId="1A73D796" w14:textId="77777777" w:rsidR="00943DB8" w:rsidRPr="009D258A" w:rsidRDefault="00943DB8" w:rsidP="00175212">
      <w:pPr>
        <w:jc w:val="center"/>
        <w:rPr>
          <w:noProof/>
        </w:rPr>
      </w:pPr>
      <w:r w:rsidRPr="009D258A">
        <w:rPr>
          <w:b/>
          <w:noProof/>
        </w:rPr>
        <w:t xml:space="preserve">Voimaantulo ja soveltaminen </w:t>
      </w:r>
    </w:p>
    <w:p w14:paraId="692249F1" w14:textId="77777777" w:rsidR="009C3EE2" w:rsidRPr="009D258A" w:rsidRDefault="009C3EE2" w:rsidP="0002735A">
      <w:pPr>
        <w:rPr>
          <w:noProof/>
        </w:rPr>
      </w:pPr>
      <w:r w:rsidRPr="009D258A">
        <w:rPr>
          <w:noProof/>
        </w:rPr>
        <w:t xml:space="preserve">Tämä asetus tulee voimaan kolmantena päivänä sen jälkeen, kun se on julkaistu </w:t>
      </w:r>
      <w:r w:rsidRPr="009D258A">
        <w:rPr>
          <w:i/>
          <w:noProof/>
        </w:rPr>
        <w:t>Euroopan unionin virallisessa lehdessä</w:t>
      </w:r>
      <w:r w:rsidRPr="009D258A">
        <w:rPr>
          <w:noProof/>
        </w:rPr>
        <w:t>.</w:t>
      </w:r>
    </w:p>
    <w:p w14:paraId="637B8215" w14:textId="77777777" w:rsidR="009C3EE2" w:rsidRPr="009D258A" w:rsidRDefault="009C3EE2" w:rsidP="0002735A">
      <w:pPr>
        <w:pStyle w:val="Applicationdirecte"/>
        <w:rPr>
          <w:noProof/>
        </w:rPr>
      </w:pPr>
      <w:r w:rsidRPr="009D258A">
        <w:rPr>
          <w:noProof/>
        </w:rPr>
        <w:t>Tämä asetus on kaikilta osiltaan velvoittava, ja sitä sovelletaan sellaisenaan kaikissa jäsenvaltioissa.</w:t>
      </w:r>
    </w:p>
    <w:p w14:paraId="143A502D" w14:textId="30E38696" w:rsidR="009C3EE2" w:rsidRPr="009D258A" w:rsidRDefault="009D258A" w:rsidP="0083300D">
      <w:pPr>
        <w:pStyle w:val="Fait"/>
        <w:rPr>
          <w:noProof/>
        </w:rPr>
      </w:pPr>
      <w:r>
        <w:rPr>
          <w:noProof/>
        </w:rPr>
        <w:t>Tehty Brysselissä</w:t>
      </w:r>
    </w:p>
    <w:p w14:paraId="1C227B15" w14:textId="77777777" w:rsidR="009C3EE2" w:rsidRPr="009D258A" w:rsidRDefault="009C3EE2" w:rsidP="0083300D">
      <w:pPr>
        <w:pStyle w:val="Institutionquisigne"/>
        <w:rPr>
          <w:noProof/>
        </w:rPr>
      </w:pPr>
      <w:r w:rsidRPr="009D258A">
        <w:rPr>
          <w:noProof/>
        </w:rPr>
        <w:t>Euroopan parlamentin puolesta</w:t>
      </w:r>
      <w:r w:rsidRPr="009D258A">
        <w:rPr>
          <w:noProof/>
        </w:rPr>
        <w:tab/>
        <w:t>Neuvoston puolesta</w:t>
      </w:r>
    </w:p>
    <w:p w14:paraId="71D898F6" w14:textId="77777777" w:rsidR="009C3EE2" w:rsidRPr="009D258A" w:rsidRDefault="009C3EE2" w:rsidP="009C3EE2">
      <w:pPr>
        <w:pStyle w:val="Personnequisigne"/>
        <w:rPr>
          <w:noProof/>
        </w:rPr>
      </w:pPr>
      <w:r w:rsidRPr="009D258A">
        <w:rPr>
          <w:noProof/>
        </w:rPr>
        <w:t>Puhemies</w:t>
      </w:r>
      <w:r w:rsidRPr="009D258A">
        <w:rPr>
          <w:noProof/>
        </w:rPr>
        <w:tab/>
        <w:t>Puheenjohtaja</w:t>
      </w:r>
    </w:p>
    <w:p w14:paraId="1D710862" w14:textId="77777777" w:rsidR="009C3EE2" w:rsidRPr="009D258A" w:rsidRDefault="009C3EE2" w:rsidP="009C3EE2">
      <w:pPr>
        <w:rPr>
          <w:noProof/>
        </w:rPr>
        <w:sectPr w:rsidR="009C3EE2" w:rsidRPr="009D258A" w:rsidSect="0053045F">
          <w:footnotePr>
            <w:numRestart w:val="eachSect"/>
          </w:footnotePr>
          <w:pgSz w:w="11907" w:h="16839"/>
          <w:pgMar w:top="1134" w:right="1417" w:bottom="1134" w:left="1417" w:header="709" w:footer="709" w:gutter="0"/>
          <w:cols w:space="708"/>
          <w:docGrid w:linePitch="360"/>
        </w:sectPr>
      </w:pPr>
    </w:p>
    <w:p w14:paraId="145B6A8D" w14:textId="77777777" w:rsidR="009C3EE2" w:rsidRPr="009D258A" w:rsidRDefault="009C3EE2" w:rsidP="0002735A">
      <w:pPr>
        <w:pStyle w:val="Fichefinanciretitre"/>
        <w:keepNext/>
        <w:rPr>
          <w:noProof/>
        </w:rPr>
      </w:pPr>
      <w:r w:rsidRPr="009D258A">
        <w:rPr>
          <w:noProof/>
        </w:rPr>
        <w:t>SÄÄDÖSEHDOTUKSEEN LIITTYVÄ RAHOITUSTA JA DIGITAALISIA VAIKUTUKSIA KOSKEVA SELVITYS</w:t>
      </w:r>
    </w:p>
    <w:p w14:paraId="121359A0" w14:textId="77777777" w:rsidR="009C3EE2" w:rsidRPr="009D258A" w:rsidRDefault="009C3EE2" w:rsidP="0002735A">
      <w:pPr>
        <w:pStyle w:val="TOC1"/>
        <w:rPr>
          <w:rFonts w:asciiTheme="minorHAnsi" w:eastAsiaTheme="minorEastAsia" w:hAnsiTheme="minorHAnsi" w:cstheme="minorBidi"/>
          <w:noProof/>
          <w:kern w:val="2"/>
          <w:sz w:val="22"/>
          <w14:ligatures w14:val="standardContextual"/>
        </w:rPr>
      </w:pPr>
      <w:r w:rsidRPr="009D258A">
        <w:rPr>
          <w:noProof/>
        </w:rPr>
        <w:t>1.</w:t>
      </w:r>
      <w:r w:rsidRPr="009D258A">
        <w:rPr>
          <w:noProof/>
        </w:rPr>
        <w:tab/>
        <w:t>PERUSTIEDOT EHDOTUKSESTA/ALOITTEESTA</w:t>
      </w:r>
      <w:r w:rsidRPr="009D258A">
        <w:rPr>
          <w:noProof/>
        </w:rPr>
        <w:tab/>
      </w:r>
      <w:r w:rsidRPr="009D258A">
        <w:rPr>
          <w:noProof/>
          <w:webHidden/>
        </w:rPr>
        <w:t>3</w:t>
      </w:r>
    </w:p>
    <w:p w14:paraId="0B61FDA9" w14:textId="77777777" w:rsidR="009C3EE2" w:rsidRPr="009D258A" w:rsidRDefault="009C3EE2" w:rsidP="0002735A">
      <w:pPr>
        <w:pStyle w:val="TOC2"/>
        <w:rPr>
          <w:rFonts w:asciiTheme="minorHAnsi" w:eastAsiaTheme="minorEastAsia" w:hAnsiTheme="minorHAnsi" w:cstheme="minorBidi"/>
          <w:noProof/>
          <w:kern w:val="2"/>
          <w:sz w:val="22"/>
          <w14:ligatures w14:val="standardContextual"/>
        </w:rPr>
      </w:pPr>
      <w:r w:rsidRPr="009D258A">
        <w:rPr>
          <w:noProof/>
        </w:rPr>
        <w:t>1.1.</w:t>
      </w:r>
      <w:r w:rsidRPr="009D258A">
        <w:rPr>
          <w:noProof/>
        </w:rPr>
        <w:tab/>
        <w:t>Ehdotuksen/aloitteen nimi</w:t>
      </w:r>
      <w:r w:rsidRPr="009D258A">
        <w:rPr>
          <w:noProof/>
        </w:rPr>
        <w:tab/>
      </w:r>
      <w:r w:rsidRPr="009D258A">
        <w:rPr>
          <w:noProof/>
          <w:webHidden/>
        </w:rPr>
        <w:t>3</w:t>
      </w:r>
    </w:p>
    <w:p w14:paraId="494CE827" w14:textId="77777777" w:rsidR="009C3EE2" w:rsidRPr="009D258A" w:rsidRDefault="009C3EE2" w:rsidP="0002735A">
      <w:pPr>
        <w:pStyle w:val="TOC2"/>
        <w:rPr>
          <w:rFonts w:asciiTheme="minorHAnsi" w:eastAsiaTheme="minorEastAsia" w:hAnsiTheme="minorHAnsi" w:cstheme="minorBidi"/>
          <w:noProof/>
          <w:kern w:val="2"/>
          <w:sz w:val="22"/>
          <w14:ligatures w14:val="standardContextual"/>
        </w:rPr>
      </w:pPr>
      <w:r w:rsidRPr="009D258A">
        <w:rPr>
          <w:noProof/>
        </w:rPr>
        <w:t>1.2.</w:t>
      </w:r>
      <w:r w:rsidRPr="009D258A">
        <w:rPr>
          <w:noProof/>
        </w:rPr>
        <w:tab/>
        <w:t>Toimintalohko(t)</w:t>
      </w:r>
      <w:r w:rsidRPr="009D258A">
        <w:rPr>
          <w:noProof/>
        </w:rPr>
        <w:tab/>
      </w:r>
      <w:r w:rsidRPr="009D258A">
        <w:rPr>
          <w:noProof/>
          <w:webHidden/>
        </w:rPr>
        <w:t>3</w:t>
      </w:r>
    </w:p>
    <w:p w14:paraId="2672FD02" w14:textId="77777777" w:rsidR="009C3EE2" w:rsidRPr="009D258A" w:rsidRDefault="009C3EE2" w:rsidP="0002735A">
      <w:pPr>
        <w:pStyle w:val="TOC2"/>
        <w:rPr>
          <w:rFonts w:asciiTheme="minorHAnsi" w:eastAsiaTheme="minorEastAsia" w:hAnsiTheme="minorHAnsi" w:cstheme="minorBidi"/>
          <w:noProof/>
          <w:kern w:val="2"/>
          <w:sz w:val="22"/>
          <w14:ligatures w14:val="standardContextual"/>
        </w:rPr>
      </w:pPr>
      <w:r w:rsidRPr="009D258A">
        <w:rPr>
          <w:noProof/>
        </w:rPr>
        <w:t>1.3.</w:t>
      </w:r>
      <w:r w:rsidRPr="009D258A">
        <w:rPr>
          <w:noProof/>
        </w:rPr>
        <w:tab/>
        <w:t>Tavoite (Tavoitteet)</w:t>
      </w:r>
      <w:r w:rsidRPr="009D258A">
        <w:rPr>
          <w:noProof/>
        </w:rPr>
        <w:tab/>
      </w:r>
      <w:r w:rsidRPr="009D258A">
        <w:rPr>
          <w:noProof/>
          <w:webHidden/>
        </w:rPr>
        <w:t>3</w:t>
      </w:r>
    </w:p>
    <w:p w14:paraId="2460EB3A" w14:textId="77777777" w:rsidR="009C3EE2" w:rsidRPr="009D258A" w:rsidRDefault="009C3EE2" w:rsidP="0002735A">
      <w:pPr>
        <w:pStyle w:val="TOC3"/>
        <w:rPr>
          <w:rFonts w:asciiTheme="minorHAnsi" w:eastAsiaTheme="minorEastAsia" w:hAnsiTheme="minorHAnsi" w:cstheme="minorBidi"/>
          <w:noProof/>
          <w:kern w:val="2"/>
          <w:sz w:val="22"/>
          <w14:ligatures w14:val="standardContextual"/>
        </w:rPr>
      </w:pPr>
      <w:r w:rsidRPr="009D258A">
        <w:rPr>
          <w:noProof/>
        </w:rPr>
        <w:t>1.3.1.</w:t>
      </w:r>
      <w:r w:rsidRPr="009D258A">
        <w:rPr>
          <w:noProof/>
        </w:rPr>
        <w:tab/>
        <w:t>Yleistavoite (Yleistavoitteet)</w:t>
      </w:r>
      <w:r w:rsidRPr="009D258A">
        <w:rPr>
          <w:noProof/>
        </w:rPr>
        <w:tab/>
      </w:r>
      <w:r w:rsidRPr="009D258A">
        <w:rPr>
          <w:noProof/>
          <w:webHidden/>
        </w:rPr>
        <w:t>3</w:t>
      </w:r>
    </w:p>
    <w:p w14:paraId="352CDE12" w14:textId="77777777" w:rsidR="009C3EE2" w:rsidRPr="009D258A" w:rsidRDefault="009C3EE2" w:rsidP="0002735A">
      <w:pPr>
        <w:pStyle w:val="TOC3"/>
        <w:rPr>
          <w:rFonts w:asciiTheme="minorHAnsi" w:eastAsiaTheme="minorEastAsia" w:hAnsiTheme="minorHAnsi" w:cstheme="minorBidi"/>
          <w:noProof/>
          <w:kern w:val="2"/>
          <w:sz w:val="22"/>
          <w14:ligatures w14:val="standardContextual"/>
        </w:rPr>
      </w:pPr>
      <w:r w:rsidRPr="009D258A">
        <w:rPr>
          <w:noProof/>
        </w:rPr>
        <w:t>1.3.2.</w:t>
      </w:r>
      <w:r w:rsidRPr="009D258A">
        <w:rPr>
          <w:noProof/>
        </w:rPr>
        <w:tab/>
        <w:t>Erityistavoite (Erityistavoitteet)</w:t>
      </w:r>
      <w:r w:rsidRPr="009D258A">
        <w:rPr>
          <w:noProof/>
        </w:rPr>
        <w:tab/>
      </w:r>
      <w:r w:rsidRPr="009D258A">
        <w:rPr>
          <w:noProof/>
          <w:webHidden/>
        </w:rPr>
        <w:t>3</w:t>
      </w:r>
    </w:p>
    <w:p w14:paraId="155035C1" w14:textId="77777777" w:rsidR="009C3EE2" w:rsidRPr="009D258A" w:rsidRDefault="009C3EE2" w:rsidP="0002735A">
      <w:pPr>
        <w:pStyle w:val="TOC3"/>
        <w:rPr>
          <w:rFonts w:asciiTheme="minorHAnsi" w:eastAsiaTheme="minorEastAsia" w:hAnsiTheme="minorHAnsi" w:cstheme="minorBidi"/>
          <w:noProof/>
          <w:kern w:val="2"/>
          <w:sz w:val="22"/>
          <w14:ligatures w14:val="standardContextual"/>
        </w:rPr>
      </w:pPr>
      <w:r w:rsidRPr="009D258A">
        <w:rPr>
          <w:noProof/>
        </w:rPr>
        <w:t>1.3.3.</w:t>
      </w:r>
      <w:r w:rsidRPr="009D258A">
        <w:rPr>
          <w:noProof/>
        </w:rPr>
        <w:tab/>
        <w:t>Odotettavissa olevat tulokset ja vaikutukset</w:t>
      </w:r>
      <w:r w:rsidRPr="009D258A">
        <w:rPr>
          <w:noProof/>
        </w:rPr>
        <w:tab/>
      </w:r>
      <w:r w:rsidRPr="009D258A">
        <w:rPr>
          <w:noProof/>
          <w:webHidden/>
        </w:rPr>
        <w:t>3</w:t>
      </w:r>
    </w:p>
    <w:p w14:paraId="412ADF17" w14:textId="77777777" w:rsidR="009C3EE2" w:rsidRPr="009D258A" w:rsidRDefault="009C3EE2" w:rsidP="0002735A">
      <w:pPr>
        <w:pStyle w:val="TOC3"/>
        <w:rPr>
          <w:rFonts w:asciiTheme="minorHAnsi" w:eastAsiaTheme="minorEastAsia" w:hAnsiTheme="minorHAnsi" w:cstheme="minorBidi"/>
          <w:noProof/>
          <w:kern w:val="2"/>
          <w:sz w:val="22"/>
          <w14:ligatures w14:val="standardContextual"/>
        </w:rPr>
      </w:pPr>
      <w:r w:rsidRPr="009D258A">
        <w:rPr>
          <w:noProof/>
        </w:rPr>
        <w:t>1.3.4.</w:t>
      </w:r>
      <w:r w:rsidRPr="009D258A">
        <w:rPr>
          <w:noProof/>
        </w:rPr>
        <w:tab/>
        <w:t>Tulosindikaattorit</w:t>
      </w:r>
      <w:r w:rsidRPr="009D258A">
        <w:rPr>
          <w:noProof/>
        </w:rPr>
        <w:tab/>
      </w:r>
      <w:r w:rsidRPr="009D258A">
        <w:rPr>
          <w:noProof/>
          <w:webHidden/>
        </w:rPr>
        <w:t>3</w:t>
      </w:r>
    </w:p>
    <w:p w14:paraId="24BD551E" w14:textId="77777777" w:rsidR="009C3EE2" w:rsidRPr="009D258A" w:rsidRDefault="009C3EE2" w:rsidP="0002735A">
      <w:pPr>
        <w:pStyle w:val="TOC2"/>
        <w:rPr>
          <w:rFonts w:asciiTheme="minorHAnsi" w:eastAsiaTheme="minorEastAsia" w:hAnsiTheme="minorHAnsi" w:cstheme="minorBidi"/>
          <w:noProof/>
          <w:kern w:val="2"/>
          <w:sz w:val="22"/>
          <w14:ligatures w14:val="standardContextual"/>
        </w:rPr>
      </w:pPr>
      <w:r w:rsidRPr="009D258A">
        <w:rPr>
          <w:noProof/>
        </w:rPr>
        <w:t>1.4.</w:t>
      </w:r>
      <w:r w:rsidRPr="009D258A">
        <w:rPr>
          <w:noProof/>
        </w:rPr>
        <w:tab/>
        <w:t>Ehdotus/aloite liittyy</w:t>
      </w:r>
      <w:r w:rsidRPr="009D258A">
        <w:rPr>
          <w:noProof/>
        </w:rPr>
        <w:tab/>
      </w:r>
      <w:r w:rsidRPr="009D258A">
        <w:rPr>
          <w:noProof/>
          <w:webHidden/>
        </w:rPr>
        <w:t>4</w:t>
      </w:r>
    </w:p>
    <w:p w14:paraId="0E77189F" w14:textId="77777777" w:rsidR="009C3EE2" w:rsidRPr="009D258A" w:rsidRDefault="009C3EE2" w:rsidP="0002735A">
      <w:pPr>
        <w:pStyle w:val="TOC2"/>
        <w:rPr>
          <w:rFonts w:asciiTheme="minorHAnsi" w:eastAsiaTheme="minorEastAsia" w:hAnsiTheme="minorHAnsi" w:cstheme="minorBidi"/>
          <w:noProof/>
          <w:kern w:val="2"/>
          <w:sz w:val="22"/>
          <w14:ligatures w14:val="standardContextual"/>
        </w:rPr>
      </w:pPr>
      <w:r w:rsidRPr="009D258A">
        <w:rPr>
          <w:noProof/>
        </w:rPr>
        <w:t>1.5.</w:t>
      </w:r>
      <w:r w:rsidRPr="009D258A">
        <w:rPr>
          <w:noProof/>
        </w:rPr>
        <w:tab/>
        <w:t>Ehdotuksen/aloitteen perustelut</w:t>
      </w:r>
      <w:r w:rsidRPr="009D258A">
        <w:rPr>
          <w:noProof/>
        </w:rPr>
        <w:tab/>
      </w:r>
      <w:r w:rsidRPr="009D258A">
        <w:rPr>
          <w:noProof/>
          <w:webHidden/>
        </w:rPr>
        <w:t>4</w:t>
      </w:r>
    </w:p>
    <w:p w14:paraId="09F8527F" w14:textId="77777777" w:rsidR="009C3EE2" w:rsidRPr="009D258A" w:rsidRDefault="009C3EE2" w:rsidP="0002735A">
      <w:pPr>
        <w:pStyle w:val="TOC3"/>
        <w:rPr>
          <w:rFonts w:asciiTheme="minorHAnsi" w:eastAsiaTheme="minorEastAsia" w:hAnsiTheme="minorHAnsi" w:cstheme="minorBidi"/>
          <w:noProof/>
          <w:kern w:val="2"/>
          <w:sz w:val="22"/>
          <w14:ligatures w14:val="standardContextual"/>
        </w:rPr>
      </w:pPr>
      <w:r w:rsidRPr="009D258A">
        <w:rPr>
          <w:noProof/>
        </w:rPr>
        <w:t>1.5.1.</w:t>
      </w:r>
      <w:r w:rsidRPr="009D258A">
        <w:rPr>
          <w:noProof/>
        </w:rPr>
        <w:tab/>
        <w:t>Tarpeet, joihin ehdotuksella/aloitteella vastataan lyhyellä tai pitkällä aikavälillä sekä aloitteen yksityiskohtainen toteutusaikataulu</w:t>
      </w:r>
      <w:r w:rsidRPr="009D258A">
        <w:rPr>
          <w:noProof/>
        </w:rPr>
        <w:tab/>
      </w:r>
      <w:r w:rsidRPr="009D258A">
        <w:rPr>
          <w:noProof/>
          <w:webHidden/>
        </w:rPr>
        <w:t>4</w:t>
      </w:r>
    </w:p>
    <w:p w14:paraId="16819799" w14:textId="77777777" w:rsidR="009C3EE2" w:rsidRPr="009D258A" w:rsidRDefault="009C3EE2" w:rsidP="0002735A">
      <w:pPr>
        <w:pStyle w:val="TOC3"/>
        <w:rPr>
          <w:rFonts w:asciiTheme="minorHAnsi" w:eastAsiaTheme="minorEastAsia" w:hAnsiTheme="minorHAnsi" w:cstheme="minorBidi"/>
          <w:noProof/>
          <w:kern w:val="2"/>
          <w:sz w:val="22"/>
          <w14:ligatures w14:val="standardContextual"/>
        </w:rPr>
      </w:pPr>
      <w:r w:rsidRPr="009D258A">
        <w:rPr>
          <w:noProof/>
        </w:rPr>
        <w:t>1.5.2.</w:t>
      </w:r>
      <w:r w:rsidRPr="009D258A">
        <w:rPr>
          <w:noProof/>
        </w:rPr>
        <w:tab/>
        <w:t>EU:n osallistumisesta saatava lisäarvo (joka voi olla seurausta eri tekijöistä, kuten koordinoinnin paranemisesta, oikeusvarmuudesta tai toiminnan vaikuttavuuden tai täydentävyyden paranemisesta). EU:n osallistumisesta saatavalla lisäarvolla tarkoitetaan tässä kohdassa arvoa, jonka EU:n osallistuminen tuottaa sen arvon lisäksi, joka olisi saatu aikaan pelkillä jäsenvaltioiden toimilla.</w:t>
      </w:r>
      <w:r w:rsidRPr="009D258A">
        <w:rPr>
          <w:noProof/>
        </w:rPr>
        <w:tab/>
      </w:r>
      <w:r w:rsidRPr="009D258A">
        <w:rPr>
          <w:noProof/>
          <w:webHidden/>
        </w:rPr>
        <w:t>4</w:t>
      </w:r>
    </w:p>
    <w:p w14:paraId="04A18AAC" w14:textId="77777777" w:rsidR="009C3EE2" w:rsidRPr="009D258A" w:rsidRDefault="009C3EE2" w:rsidP="0002735A">
      <w:pPr>
        <w:pStyle w:val="TOC3"/>
        <w:rPr>
          <w:rFonts w:asciiTheme="minorHAnsi" w:eastAsiaTheme="minorEastAsia" w:hAnsiTheme="minorHAnsi" w:cstheme="minorBidi"/>
          <w:noProof/>
          <w:kern w:val="2"/>
          <w:sz w:val="22"/>
          <w14:ligatures w14:val="standardContextual"/>
        </w:rPr>
      </w:pPr>
      <w:r w:rsidRPr="009D258A">
        <w:rPr>
          <w:noProof/>
        </w:rPr>
        <w:t>1.5.3.</w:t>
      </w:r>
      <w:r w:rsidRPr="009D258A">
        <w:rPr>
          <w:noProof/>
        </w:rPr>
        <w:tab/>
        <w:t>Vastaavista toimista saadut kokemukset</w:t>
      </w:r>
      <w:r w:rsidRPr="009D258A">
        <w:rPr>
          <w:noProof/>
        </w:rPr>
        <w:tab/>
      </w:r>
      <w:r w:rsidRPr="009D258A">
        <w:rPr>
          <w:noProof/>
          <w:webHidden/>
        </w:rPr>
        <w:t>4</w:t>
      </w:r>
    </w:p>
    <w:p w14:paraId="4451A3E7" w14:textId="77777777" w:rsidR="009C3EE2" w:rsidRPr="009D258A" w:rsidRDefault="009C3EE2" w:rsidP="0002735A">
      <w:pPr>
        <w:pStyle w:val="TOC3"/>
        <w:rPr>
          <w:rFonts w:asciiTheme="minorHAnsi" w:eastAsiaTheme="minorEastAsia" w:hAnsiTheme="minorHAnsi" w:cstheme="minorBidi"/>
          <w:noProof/>
          <w:kern w:val="2"/>
          <w:sz w:val="22"/>
          <w14:ligatures w14:val="standardContextual"/>
        </w:rPr>
      </w:pPr>
      <w:r w:rsidRPr="009D258A">
        <w:rPr>
          <w:noProof/>
        </w:rPr>
        <w:t>1.5.4.</w:t>
      </w:r>
      <w:r w:rsidRPr="009D258A">
        <w:rPr>
          <w:noProof/>
        </w:rPr>
        <w:tab/>
        <w:t>Yhteensopivuus monivuotisen rahoituskehyksen kanssa ja mahdolliset synergiaedut suhteessa muihin kyseeseen tuleviin välineisiin</w:t>
      </w:r>
      <w:r w:rsidRPr="009D258A">
        <w:rPr>
          <w:noProof/>
        </w:rPr>
        <w:tab/>
      </w:r>
      <w:r w:rsidRPr="009D258A">
        <w:rPr>
          <w:noProof/>
          <w:webHidden/>
        </w:rPr>
        <w:t>5</w:t>
      </w:r>
    </w:p>
    <w:p w14:paraId="0B09B056" w14:textId="77777777" w:rsidR="009C3EE2" w:rsidRPr="009D258A" w:rsidRDefault="009C3EE2" w:rsidP="0002735A">
      <w:pPr>
        <w:pStyle w:val="TOC3"/>
        <w:rPr>
          <w:rFonts w:asciiTheme="minorHAnsi" w:eastAsiaTheme="minorEastAsia" w:hAnsiTheme="minorHAnsi" w:cstheme="minorBidi"/>
          <w:noProof/>
          <w:kern w:val="2"/>
          <w:sz w:val="22"/>
          <w14:ligatures w14:val="standardContextual"/>
        </w:rPr>
      </w:pPr>
      <w:r w:rsidRPr="009D258A">
        <w:rPr>
          <w:noProof/>
        </w:rPr>
        <w:t>1.5.5.</w:t>
      </w:r>
      <w:r w:rsidRPr="009D258A">
        <w:rPr>
          <w:noProof/>
        </w:rPr>
        <w:tab/>
        <w:t>Arvio käytettävissä olevista rahoitusvaihtoehdoista, mukaan lukien mahdollisuudet määrärahojen uudelleenkohdentamiseen</w:t>
      </w:r>
      <w:r w:rsidRPr="009D258A">
        <w:rPr>
          <w:noProof/>
        </w:rPr>
        <w:tab/>
      </w:r>
      <w:r w:rsidRPr="009D258A">
        <w:rPr>
          <w:noProof/>
          <w:webHidden/>
        </w:rPr>
        <w:t>5</w:t>
      </w:r>
    </w:p>
    <w:p w14:paraId="0DBE7770" w14:textId="77777777" w:rsidR="009C3EE2" w:rsidRPr="009D258A" w:rsidRDefault="009C3EE2" w:rsidP="0002735A">
      <w:pPr>
        <w:pStyle w:val="TOC2"/>
        <w:rPr>
          <w:rFonts w:asciiTheme="minorHAnsi" w:eastAsiaTheme="minorEastAsia" w:hAnsiTheme="minorHAnsi" w:cstheme="minorBidi"/>
          <w:noProof/>
          <w:kern w:val="2"/>
          <w:sz w:val="22"/>
          <w14:ligatures w14:val="standardContextual"/>
        </w:rPr>
      </w:pPr>
      <w:r w:rsidRPr="009D258A">
        <w:rPr>
          <w:noProof/>
        </w:rPr>
        <w:t>1.6.</w:t>
      </w:r>
      <w:r w:rsidRPr="009D258A">
        <w:rPr>
          <w:noProof/>
        </w:rPr>
        <w:tab/>
        <w:t>Ehdotetun toimen/aloitteen ja sen rahoitusvaikutusten kesto</w:t>
      </w:r>
      <w:r w:rsidRPr="009D258A">
        <w:rPr>
          <w:noProof/>
        </w:rPr>
        <w:tab/>
      </w:r>
      <w:r w:rsidRPr="009D258A">
        <w:rPr>
          <w:noProof/>
          <w:webHidden/>
        </w:rPr>
        <w:t>6</w:t>
      </w:r>
    </w:p>
    <w:p w14:paraId="5EF8ACE6" w14:textId="77777777" w:rsidR="009C3EE2" w:rsidRPr="009D258A" w:rsidRDefault="009C3EE2" w:rsidP="0002735A">
      <w:pPr>
        <w:pStyle w:val="TOC2"/>
        <w:rPr>
          <w:rFonts w:asciiTheme="minorHAnsi" w:eastAsiaTheme="minorEastAsia" w:hAnsiTheme="minorHAnsi" w:cstheme="minorBidi"/>
          <w:noProof/>
          <w:kern w:val="2"/>
          <w:sz w:val="22"/>
          <w14:ligatures w14:val="standardContextual"/>
        </w:rPr>
      </w:pPr>
      <w:r w:rsidRPr="009D258A">
        <w:rPr>
          <w:noProof/>
        </w:rPr>
        <w:t>1.7.</w:t>
      </w:r>
      <w:r w:rsidRPr="009D258A">
        <w:rPr>
          <w:noProof/>
        </w:rPr>
        <w:tab/>
        <w:t>Suunniteltu talousarvion toteuttamistapa / Suunnitellut talousarvion toteuttamistavat</w:t>
      </w:r>
      <w:r w:rsidRPr="009D258A">
        <w:rPr>
          <w:noProof/>
        </w:rPr>
        <w:tab/>
      </w:r>
      <w:r w:rsidRPr="009D258A">
        <w:rPr>
          <w:noProof/>
          <w:webHidden/>
        </w:rPr>
        <w:t>6</w:t>
      </w:r>
    </w:p>
    <w:p w14:paraId="050DC9A7" w14:textId="77777777" w:rsidR="009C3EE2" w:rsidRPr="009D258A" w:rsidRDefault="009C3EE2" w:rsidP="0002735A">
      <w:pPr>
        <w:pStyle w:val="TOC1"/>
        <w:rPr>
          <w:rFonts w:asciiTheme="minorHAnsi" w:eastAsiaTheme="minorEastAsia" w:hAnsiTheme="minorHAnsi" w:cstheme="minorBidi"/>
          <w:noProof/>
          <w:kern w:val="2"/>
          <w:sz w:val="22"/>
          <w14:ligatures w14:val="standardContextual"/>
        </w:rPr>
      </w:pPr>
      <w:r w:rsidRPr="009D258A">
        <w:rPr>
          <w:noProof/>
        </w:rPr>
        <w:t>2.</w:t>
      </w:r>
      <w:r w:rsidRPr="009D258A">
        <w:rPr>
          <w:noProof/>
        </w:rPr>
        <w:tab/>
        <w:t>HALLINNOINTI</w:t>
      </w:r>
      <w:r w:rsidRPr="009D258A">
        <w:rPr>
          <w:noProof/>
        </w:rPr>
        <w:tab/>
      </w:r>
      <w:r w:rsidRPr="009D258A">
        <w:rPr>
          <w:noProof/>
          <w:webHidden/>
        </w:rPr>
        <w:t>8</w:t>
      </w:r>
    </w:p>
    <w:p w14:paraId="7CFDB3D3" w14:textId="77777777" w:rsidR="009C3EE2" w:rsidRPr="009D258A" w:rsidRDefault="009C3EE2" w:rsidP="0002735A">
      <w:pPr>
        <w:pStyle w:val="TOC2"/>
        <w:rPr>
          <w:rFonts w:asciiTheme="minorHAnsi" w:eastAsiaTheme="minorEastAsia" w:hAnsiTheme="minorHAnsi" w:cstheme="minorBidi"/>
          <w:noProof/>
          <w:kern w:val="2"/>
          <w:sz w:val="22"/>
          <w14:ligatures w14:val="standardContextual"/>
        </w:rPr>
      </w:pPr>
      <w:r w:rsidRPr="009D258A">
        <w:rPr>
          <w:noProof/>
        </w:rPr>
        <w:t>2.1.</w:t>
      </w:r>
      <w:r w:rsidRPr="009D258A">
        <w:rPr>
          <w:noProof/>
        </w:rPr>
        <w:tab/>
        <w:t>Seuranta- ja raportointisäännöt</w:t>
      </w:r>
      <w:r w:rsidRPr="009D258A">
        <w:rPr>
          <w:noProof/>
        </w:rPr>
        <w:tab/>
      </w:r>
      <w:r w:rsidRPr="009D258A">
        <w:rPr>
          <w:noProof/>
          <w:webHidden/>
        </w:rPr>
        <w:t>8</w:t>
      </w:r>
    </w:p>
    <w:p w14:paraId="2BE8B3A5" w14:textId="77777777" w:rsidR="009C3EE2" w:rsidRPr="009D258A" w:rsidRDefault="009C3EE2" w:rsidP="0002735A">
      <w:pPr>
        <w:pStyle w:val="TOC2"/>
        <w:rPr>
          <w:rFonts w:asciiTheme="minorHAnsi" w:eastAsiaTheme="minorEastAsia" w:hAnsiTheme="minorHAnsi" w:cstheme="minorBidi"/>
          <w:noProof/>
          <w:kern w:val="2"/>
          <w:sz w:val="22"/>
          <w14:ligatures w14:val="standardContextual"/>
        </w:rPr>
      </w:pPr>
      <w:r w:rsidRPr="009D258A">
        <w:rPr>
          <w:noProof/>
        </w:rPr>
        <w:t>2.2.</w:t>
      </w:r>
      <w:r w:rsidRPr="009D258A">
        <w:rPr>
          <w:noProof/>
        </w:rPr>
        <w:tab/>
        <w:t>Hallinnointi- ja valvontajärjestelmä(t)</w:t>
      </w:r>
      <w:r w:rsidRPr="009D258A">
        <w:rPr>
          <w:noProof/>
        </w:rPr>
        <w:tab/>
      </w:r>
      <w:r w:rsidRPr="009D258A">
        <w:rPr>
          <w:noProof/>
          <w:webHidden/>
        </w:rPr>
        <w:t>8</w:t>
      </w:r>
    </w:p>
    <w:p w14:paraId="19407C83" w14:textId="77777777" w:rsidR="009C3EE2" w:rsidRPr="009D258A" w:rsidRDefault="009C3EE2" w:rsidP="0002735A">
      <w:pPr>
        <w:pStyle w:val="TOC3"/>
        <w:rPr>
          <w:rFonts w:asciiTheme="minorHAnsi" w:eastAsiaTheme="minorEastAsia" w:hAnsiTheme="minorHAnsi" w:cstheme="minorBidi"/>
          <w:noProof/>
          <w:kern w:val="2"/>
          <w:sz w:val="22"/>
          <w14:ligatures w14:val="standardContextual"/>
        </w:rPr>
      </w:pPr>
      <w:r w:rsidRPr="009D258A">
        <w:rPr>
          <w:noProof/>
        </w:rPr>
        <w:t>2.2.1.</w:t>
      </w:r>
      <w:r w:rsidRPr="009D258A">
        <w:rPr>
          <w:noProof/>
        </w:rPr>
        <w:tab/>
        <w:t>Perustelut ehdotetu(i)lle talousarvion toteuttamistavalle(/-tavoille), rahoituksen toteutusmekanismille(/-mekanismeille), maksujärjestelyille sekä valvontastrategialle</w:t>
      </w:r>
      <w:r w:rsidRPr="009D258A">
        <w:rPr>
          <w:noProof/>
        </w:rPr>
        <w:tab/>
      </w:r>
      <w:r w:rsidRPr="009D258A">
        <w:rPr>
          <w:noProof/>
          <w:webHidden/>
        </w:rPr>
        <w:t>8</w:t>
      </w:r>
    </w:p>
    <w:p w14:paraId="59F57093" w14:textId="77777777" w:rsidR="009C3EE2" w:rsidRPr="009D258A" w:rsidRDefault="009C3EE2" w:rsidP="0002735A">
      <w:pPr>
        <w:pStyle w:val="TOC3"/>
        <w:rPr>
          <w:rFonts w:asciiTheme="minorHAnsi" w:eastAsiaTheme="minorEastAsia" w:hAnsiTheme="minorHAnsi" w:cstheme="minorBidi"/>
          <w:noProof/>
          <w:kern w:val="2"/>
          <w:sz w:val="22"/>
          <w14:ligatures w14:val="standardContextual"/>
        </w:rPr>
      </w:pPr>
      <w:r w:rsidRPr="009D258A">
        <w:rPr>
          <w:noProof/>
        </w:rPr>
        <w:t>2.2.2.</w:t>
      </w:r>
      <w:r w:rsidRPr="009D258A">
        <w:rPr>
          <w:noProof/>
        </w:rPr>
        <w:tab/>
        <w:t>Tiedot todetuista riskeistä ja niiden vähentämiseksi käyttöön otetuista sisäisistä valvontajärjestelmistä</w:t>
      </w:r>
      <w:r w:rsidRPr="009D258A">
        <w:rPr>
          <w:noProof/>
        </w:rPr>
        <w:tab/>
      </w:r>
      <w:r w:rsidRPr="009D258A">
        <w:rPr>
          <w:noProof/>
          <w:webHidden/>
        </w:rPr>
        <w:t>8</w:t>
      </w:r>
    </w:p>
    <w:p w14:paraId="37ECA014" w14:textId="77777777" w:rsidR="009C3EE2" w:rsidRPr="009D258A" w:rsidRDefault="009C3EE2" w:rsidP="0002735A">
      <w:pPr>
        <w:pStyle w:val="TOC3"/>
        <w:rPr>
          <w:rFonts w:asciiTheme="minorHAnsi" w:eastAsiaTheme="minorEastAsia" w:hAnsiTheme="minorHAnsi" w:cstheme="minorBidi"/>
          <w:noProof/>
          <w:kern w:val="2"/>
          <w:sz w:val="22"/>
          <w14:ligatures w14:val="standardContextual"/>
        </w:rPr>
      </w:pPr>
      <w:r w:rsidRPr="009D258A">
        <w:rPr>
          <w:noProof/>
        </w:rPr>
        <w:t>2.2.3.</w:t>
      </w:r>
      <w:r w:rsidRPr="009D258A">
        <w:rPr>
          <w:noProof/>
        </w:rPr>
        <w:tab/>
        <w:t>Valvonnan kustannustehokkuutta (valvontakustannusten suhde hallinnoitujen varojen arvoon) koskevat arviot ja perustelut sekä arviot maksujen suoritusajankohdan ja toimen päättämisajankohdan odotetuista virheriskitasoista</w:t>
      </w:r>
      <w:r w:rsidRPr="009D258A">
        <w:rPr>
          <w:noProof/>
        </w:rPr>
        <w:tab/>
      </w:r>
      <w:r w:rsidRPr="009D258A">
        <w:rPr>
          <w:noProof/>
          <w:webHidden/>
        </w:rPr>
        <w:t>8</w:t>
      </w:r>
    </w:p>
    <w:p w14:paraId="0BC5EF98" w14:textId="77777777" w:rsidR="009C3EE2" w:rsidRPr="009D258A" w:rsidRDefault="009C3EE2" w:rsidP="0002735A">
      <w:pPr>
        <w:pStyle w:val="TOC2"/>
        <w:rPr>
          <w:rFonts w:asciiTheme="minorHAnsi" w:eastAsiaTheme="minorEastAsia" w:hAnsiTheme="minorHAnsi" w:cstheme="minorBidi"/>
          <w:noProof/>
          <w:kern w:val="2"/>
          <w:sz w:val="22"/>
          <w14:ligatures w14:val="standardContextual"/>
        </w:rPr>
      </w:pPr>
      <w:r w:rsidRPr="009D258A">
        <w:rPr>
          <w:noProof/>
        </w:rPr>
        <w:t>2.3.</w:t>
      </w:r>
      <w:r w:rsidRPr="009D258A">
        <w:rPr>
          <w:noProof/>
        </w:rPr>
        <w:tab/>
        <w:t>Toimenpiteet petosten ja sääntöjenvastaisuuksien ehkäisemiseksi</w:t>
      </w:r>
      <w:r w:rsidRPr="009D258A">
        <w:rPr>
          <w:noProof/>
        </w:rPr>
        <w:tab/>
      </w:r>
      <w:r w:rsidRPr="009D258A">
        <w:rPr>
          <w:noProof/>
          <w:webHidden/>
        </w:rPr>
        <w:t>9</w:t>
      </w:r>
    </w:p>
    <w:p w14:paraId="438542E8" w14:textId="77777777" w:rsidR="009C3EE2" w:rsidRPr="009D258A" w:rsidRDefault="009C3EE2" w:rsidP="0002735A">
      <w:pPr>
        <w:pStyle w:val="TOC1"/>
        <w:rPr>
          <w:rFonts w:asciiTheme="minorHAnsi" w:eastAsiaTheme="minorEastAsia" w:hAnsiTheme="minorHAnsi" w:cstheme="minorBidi"/>
          <w:noProof/>
          <w:kern w:val="2"/>
          <w:sz w:val="22"/>
          <w14:ligatures w14:val="standardContextual"/>
        </w:rPr>
      </w:pPr>
      <w:r w:rsidRPr="009D258A">
        <w:rPr>
          <w:noProof/>
        </w:rPr>
        <w:t>3.</w:t>
      </w:r>
      <w:r w:rsidRPr="009D258A">
        <w:rPr>
          <w:noProof/>
        </w:rPr>
        <w:tab/>
        <w:t>EHDOTUKSEN/ALOITTEEN ARVIOIDUT RAHOITUSVAIKUTUKSET</w:t>
      </w:r>
      <w:r w:rsidRPr="009D258A">
        <w:rPr>
          <w:noProof/>
        </w:rPr>
        <w:tab/>
      </w:r>
      <w:r w:rsidRPr="009D258A">
        <w:rPr>
          <w:noProof/>
          <w:webHidden/>
        </w:rPr>
        <w:t>10</w:t>
      </w:r>
    </w:p>
    <w:p w14:paraId="6A6489F5" w14:textId="77777777" w:rsidR="009C3EE2" w:rsidRPr="009D258A" w:rsidRDefault="009C3EE2" w:rsidP="0002735A">
      <w:pPr>
        <w:pStyle w:val="TOC2"/>
        <w:rPr>
          <w:rFonts w:asciiTheme="minorHAnsi" w:eastAsiaTheme="minorEastAsia" w:hAnsiTheme="minorHAnsi" w:cstheme="minorBidi"/>
          <w:noProof/>
          <w:kern w:val="2"/>
          <w:sz w:val="22"/>
          <w14:ligatures w14:val="standardContextual"/>
        </w:rPr>
      </w:pPr>
      <w:r w:rsidRPr="009D258A">
        <w:rPr>
          <w:noProof/>
        </w:rPr>
        <w:t>3.1.</w:t>
      </w:r>
      <w:r w:rsidRPr="009D258A">
        <w:rPr>
          <w:noProof/>
        </w:rPr>
        <w:tab/>
        <w:t>Kyseeseen tulevat monivuotisen rahoituskehyksen otsakkeet ja menopuolen budjettikohdat</w:t>
      </w:r>
      <w:r w:rsidRPr="009D258A">
        <w:rPr>
          <w:noProof/>
        </w:rPr>
        <w:tab/>
      </w:r>
      <w:r w:rsidRPr="009D258A">
        <w:rPr>
          <w:noProof/>
          <w:webHidden/>
        </w:rPr>
        <w:t>10</w:t>
      </w:r>
    </w:p>
    <w:p w14:paraId="2E0D6761" w14:textId="77777777" w:rsidR="009C3EE2" w:rsidRPr="009D258A" w:rsidRDefault="009C3EE2" w:rsidP="0002735A">
      <w:pPr>
        <w:pStyle w:val="TOC2"/>
        <w:rPr>
          <w:rFonts w:asciiTheme="minorHAnsi" w:eastAsiaTheme="minorEastAsia" w:hAnsiTheme="minorHAnsi" w:cstheme="minorBidi"/>
          <w:noProof/>
          <w:kern w:val="2"/>
          <w:sz w:val="22"/>
          <w14:ligatures w14:val="standardContextual"/>
        </w:rPr>
      </w:pPr>
      <w:r w:rsidRPr="009D258A">
        <w:rPr>
          <w:noProof/>
        </w:rPr>
        <w:t>3.2.</w:t>
      </w:r>
      <w:r w:rsidRPr="009D258A">
        <w:rPr>
          <w:noProof/>
        </w:rPr>
        <w:tab/>
        <w:t>Arvioidut vaikutukset määrärahoihin</w:t>
      </w:r>
      <w:r w:rsidRPr="009D258A">
        <w:rPr>
          <w:noProof/>
        </w:rPr>
        <w:tab/>
      </w:r>
      <w:r w:rsidRPr="009D258A">
        <w:rPr>
          <w:noProof/>
          <w:webHidden/>
        </w:rPr>
        <w:t>12</w:t>
      </w:r>
    </w:p>
    <w:p w14:paraId="5343B2E1" w14:textId="77777777" w:rsidR="009C3EE2" w:rsidRPr="009D258A" w:rsidRDefault="009C3EE2" w:rsidP="0002735A">
      <w:pPr>
        <w:pStyle w:val="TOC3"/>
        <w:rPr>
          <w:rFonts w:asciiTheme="minorHAnsi" w:eastAsiaTheme="minorEastAsia" w:hAnsiTheme="minorHAnsi" w:cstheme="minorBidi"/>
          <w:noProof/>
          <w:kern w:val="2"/>
          <w:sz w:val="22"/>
          <w14:ligatures w14:val="standardContextual"/>
        </w:rPr>
      </w:pPr>
      <w:r w:rsidRPr="009D258A">
        <w:rPr>
          <w:noProof/>
        </w:rPr>
        <w:t>3.2.1.</w:t>
      </w:r>
      <w:r w:rsidRPr="009D258A">
        <w:rPr>
          <w:noProof/>
        </w:rPr>
        <w:tab/>
        <w:t>Yhteenveto arvioiduista vaikutuksista toimintamäärärahoihin</w:t>
      </w:r>
      <w:r w:rsidRPr="009D258A">
        <w:rPr>
          <w:noProof/>
        </w:rPr>
        <w:tab/>
      </w:r>
      <w:r w:rsidRPr="009D258A">
        <w:rPr>
          <w:noProof/>
          <w:webHidden/>
        </w:rPr>
        <w:t>12</w:t>
      </w:r>
    </w:p>
    <w:p w14:paraId="673235E1" w14:textId="77777777" w:rsidR="009C3EE2" w:rsidRPr="009D258A" w:rsidRDefault="009C3EE2" w:rsidP="0002735A">
      <w:pPr>
        <w:pStyle w:val="TOC3"/>
        <w:rPr>
          <w:rFonts w:asciiTheme="minorHAnsi" w:eastAsiaTheme="minorEastAsia" w:hAnsiTheme="minorHAnsi" w:cstheme="minorBidi"/>
          <w:noProof/>
          <w:kern w:val="2"/>
          <w:sz w:val="22"/>
          <w14:ligatures w14:val="standardContextual"/>
        </w:rPr>
      </w:pPr>
      <w:r w:rsidRPr="009D258A">
        <w:rPr>
          <w:noProof/>
        </w:rPr>
        <w:t>3.2.1.1.</w:t>
      </w:r>
      <w:r w:rsidRPr="009D258A">
        <w:rPr>
          <w:noProof/>
        </w:rPr>
        <w:tab/>
        <w:t>Hyväksytystä talousarviosta peräisin olevat määrärahat</w:t>
      </w:r>
      <w:r w:rsidRPr="009D258A">
        <w:rPr>
          <w:noProof/>
        </w:rPr>
        <w:tab/>
      </w:r>
      <w:r w:rsidRPr="009D258A">
        <w:rPr>
          <w:noProof/>
          <w:webHidden/>
        </w:rPr>
        <w:t>12</w:t>
      </w:r>
    </w:p>
    <w:p w14:paraId="0C49F845" w14:textId="77777777" w:rsidR="009C3EE2" w:rsidRPr="009D258A" w:rsidRDefault="009C3EE2" w:rsidP="0002735A">
      <w:pPr>
        <w:pStyle w:val="TOC3"/>
        <w:rPr>
          <w:rFonts w:asciiTheme="minorHAnsi" w:eastAsiaTheme="minorEastAsia" w:hAnsiTheme="minorHAnsi" w:cstheme="minorBidi"/>
          <w:noProof/>
          <w:kern w:val="2"/>
          <w:sz w:val="22"/>
          <w14:ligatures w14:val="standardContextual"/>
        </w:rPr>
      </w:pPr>
      <w:r w:rsidRPr="009D258A">
        <w:rPr>
          <w:noProof/>
        </w:rPr>
        <w:t>3.2.1.2.</w:t>
      </w:r>
      <w:r w:rsidRPr="009D258A">
        <w:rPr>
          <w:noProof/>
        </w:rPr>
        <w:tab/>
        <w:t>Ulkoisista käyttötarkoitukseensa sidotuista tuloista peräisin olevat määrärahat</w:t>
      </w:r>
      <w:r w:rsidRPr="009D258A">
        <w:rPr>
          <w:noProof/>
        </w:rPr>
        <w:tab/>
      </w:r>
      <w:r w:rsidRPr="009D258A">
        <w:rPr>
          <w:noProof/>
          <w:webHidden/>
        </w:rPr>
        <w:t>17</w:t>
      </w:r>
    </w:p>
    <w:p w14:paraId="0CC62864" w14:textId="77777777" w:rsidR="009C3EE2" w:rsidRPr="009D258A" w:rsidRDefault="009C3EE2" w:rsidP="0002735A">
      <w:pPr>
        <w:pStyle w:val="TOC3"/>
        <w:rPr>
          <w:rFonts w:asciiTheme="minorHAnsi" w:eastAsiaTheme="minorEastAsia" w:hAnsiTheme="minorHAnsi" w:cstheme="minorBidi"/>
          <w:noProof/>
          <w:kern w:val="2"/>
          <w:sz w:val="22"/>
          <w14:ligatures w14:val="standardContextual"/>
        </w:rPr>
      </w:pPr>
      <w:r w:rsidRPr="009D258A">
        <w:rPr>
          <w:noProof/>
        </w:rPr>
        <w:t>3.2.2.</w:t>
      </w:r>
      <w:r w:rsidRPr="009D258A">
        <w:rPr>
          <w:noProof/>
        </w:rPr>
        <w:tab/>
        <w:t>Arvioidut toimintamäärärahoista rahoitetut tuotokset</w:t>
      </w:r>
      <w:r w:rsidRPr="009D258A">
        <w:rPr>
          <w:noProof/>
        </w:rPr>
        <w:tab/>
      </w:r>
      <w:r w:rsidRPr="009D258A">
        <w:rPr>
          <w:noProof/>
          <w:webHidden/>
        </w:rPr>
        <w:t>22</w:t>
      </w:r>
    </w:p>
    <w:p w14:paraId="29083615" w14:textId="77777777" w:rsidR="009C3EE2" w:rsidRPr="009D258A" w:rsidRDefault="009C3EE2" w:rsidP="0002735A">
      <w:pPr>
        <w:pStyle w:val="TOC3"/>
        <w:rPr>
          <w:rFonts w:asciiTheme="minorHAnsi" w:eastAsiaTheme="minorEastAsia" w:hAnsiTheme="minorHAnsi" w:cstheme="minorBidi"/>
          <w:noProof/>
          <w:kern w:val="2"/>
          <w:sz w:val="22"/>
          <w14:ligatures w14:val="standardContextual"/>
        </w:rPr>
      </w:pPr>
      <w:r w:rsidRPr="009D258A">
        <w:rPr>
          <w:noProof/>
        </w:rPr>
        <w:t>3.2.3.</w:t>
      </w:r>
      <w:r w:rsidRPr="009D258A">
        <w:rPr>
          <w:noProof/>
        </w:rPr>
        <w:tab/>
        <w:t>Yhteenveto arvioiduista vaikutuksista hallintomäärärahoihin</w:t>
      </w:r>
      <w:r w:rsidRPr="009D258A">
        <w:rPr>
          <w:noProof/>
        </w:rPr>
        <w:tab/>
      </w:r>
      <w:r w:rsidRPr="009D258A">
        <w:rPr>
          <w:noProof/>
          <w:webHidden/>
        </w:rPr>
        <w:t>24</w:t>
      </w:r>
    </w:p>
    <w:p w14:paraId="3B0F8E7C" w14:textId="77777777" w:rsidR="009C3EE2" w:rsidRPr="009D258A" w:rsidRDefault="009C3EE2" w:rsidP="0002735A">
      <w:pPr>
        <w:pStyle w:val="TOC3"/>
        <w:rPr>
          <w:rFonts w:asciiTheme="minorHAnsi" w:eastAsiaTheme="minorEastAsia" w:hAnsiTheme="minorHAnsi" w:cstheme="minorBidi"/>
          <w:noProof/>
          <w:kern w:val="2"/>
          <w:sz w:val="22"/>
          <w14:ligatures w14:val="standardContextual"/>
        </w:rPr>
      </w:pPr>
      <w:r w:rsidRPr="009D258A">
        <w:rPr>
          <w:noProof/>
        </w:rPr>
        <w:t>3.2.3.1. Hyväksytystä talousarviosta peräisin olevat määrärahat</w:t>
      </w:r>
      <w:r w:rsidRPr="009D258A">
        <w:rPr>
          <w:noProof/>
        </w:rPr>
        <w:tab/>
      </w:r>
      <w:r w:rsidRPr="009D258A">
        <w:rPr>
          <w:noProof/>
          <w:webHidden/>
        </w:rPr>
        <w:t>24</w:t>
      </w:r>
    </w:p>
    <w:p w14:paraId="5ED9F021" w14:textId="77777777" w:rsidR="009C3EE2" w:rsidRPr="009D258A" w:rsidRDefault="009C3EE2" w:rsidP="0002735A">
      <w:pPr>
        <w:pStyle w:val="TOC3"/>
        <w:rPr>
          <w:rFonts w:asciiTheme="minorHAnsi" w:eastAsiaTheme="minorEastAsia" w:hAnsiTheme="minorHAnsi" w:cstheme="minorBidi"/>
          <w:noProof/>
          <w:kern w:val="2"/>
          <w:sz w:val="22"/>
          <w14:ligatures w14:val="standardContextual"/>
        </w:rPr>
      </w:pPr>
      <w:r w:rsidRPr="009D258A">
        <w:rPr>
          <w:noProof/>
        </w:rPr>
        <w:t>3.2.3.2.</w:t>
      </w:r>
      <w:r w:rsidRPr="009D258A">
        <w:rPr>
          <w:noProof/>
        </w:rPr>
        <w:tab/>
        <w:t>Ulkoisista käyttötarkoitukseensa sidotuista tuloista peräisin olevat määrärahat</w:t>
      </w:r>
      <w:r w:rsidRPr="009D258A">
        <w:rPr>
          <w:noProof/>
        </w:rPr>
        <w:tab/>
      </w:r>
      <w:r w:rsidRPr="009D258A">
        <w:rPr>
          <w:noProof/>
          <w:webHidden/>
        </w:rPr>
        <w:t>24</w:t>
      </w:r>
    </w:p>
    <w:p w14:paraId="69DE0DF5" w14:textId="77777777" w:rsidR="009C3EE2" w:rsidRPr="009D258A" w:rsidRDefault="009C3EE2" w:rsidP="0002735A">
      <w:pPr>
        <w:pStyle w:val="TOC3"/>
        <w:rPr>
          <w:rFonts w:asciiTheme="minorHAnsi" w:eastAsiaTheme="minorEastAsia" w:hAnsiTheme="minorHAnsi" w:cstheme="minorBidi"/>
          <w:noProof/>
          <w:kern w:val="2"/>
          <w:sz w:val="22"/>
          <w14:ligatures w14:val="standardContextual"/>
        </w:rPr>
      </w:pPr>
      <w:r w:rsidRPr="009D258A">
        <w:rPr>
          <w:noProof/>
        </w:rPr>
        <w:t>3.2.3.3.</w:t>
      </w:r>
      <w:r w:rsidRPr="009D258A">
        <w:rPr>
          <w:noProof/>
        </w:rPr>
        <w:tab/>
        <w:t>Määrärahat yhteensä</w:t>
      </w:r>
      <w:r w:rsidRPr="009D258A">
        <w:rPr>
          <w:noProof/>
        </w:rPr>
        <w:tab/>
      </w:r>
      <w:r w:rsidRPr="009D258A">
        <w:rPr>
          <w:noProof/>
          <w:webHidden/>
        </w:rPr>
        <w:t>24</w:t>
      </w:r>
    </w:p>
    <w:p w14:paraId="06CA6665" w14:textId="77777777" w:rsidR="009C3EE2" w:rsidRPr="009D258A" w:rsidRDefault="009C3EE2" w:rsidP="0002735A">
      <w:pPr>
        <w:pStyle w:val="TOC3"/>
        <w:rPr>
          <w:rFonts w:asciiTheme="minorHAnsi" w:eastAsiaTheme="minorEastAsia" w:hAnsiTheme="minorHAnsi" w:cstheme="minorBidi"/>
          <w:noProof/>
          <w:kern w:val="2"/>
          <w:sz w:val="22"/>
          <w14:ligatures w14:val="standardContextual"/>
        </w:rPr>
      </w:pPr>
      <w:r w:rsidRPr="009D258A">
        <w:rPr>
          <w:noProof/>
        </w:rPr>
        <w:t>3.2.4.</w:t>
      </w:r>
      <w:r w:rsidRPr="009D258A">
        <w:rPr>
          <w:noProof/>
        </w:rPr>
        <w:tab/>
        <w:t>Henkilöresurssien arvioitu tarve</w:t>
      </w:r>
      <w:r w:rsidRPr="009D258A">
        <w:rPr>
          <w:noProof/>
        </w:rPr>
        <w:tab/>
      </w:r>
      <w:r w:rsidRPr="009D258A">
        <w:rPr>
          <w:noProof/>
          <w:webHidden/>
        </w:rPr>
        <w:t>25</w:t>
      </w:r>
    </w:p>
    <w:p w14:paraId="1DC6E3DF" w14:textId="77777777" w:rsidR="009C3EE2" w:rsidRPr="009D258A" w:rsidRDefault="009C3EE2" w:rsidP="0002735A">
      <w:pPr>
        <w:pStyle w:val="TOC3"/>
        <w:rPr>
          <w:rFonts w:asciiTheme="minorHAnsi" w:eastAsiaTheme="minorEastAsia" w:hAnsiTheme="minorHAnsi" w:cstheme="minorBidi"/>
          <w:noProof/>
          <w:kern w:val="2"/>
          <w:sz w:val="22"/>
          <w14:ligatures w14:val="standardContextual"/>
        </w:rPr>
      </w:pPr>
      <w:r w:rsidRPr="009D258A">
        <w:rPr>
          <w:noProof/>
        </w:rPr>
        <w:t>3.2.4.1.</w:t>
      </w:r>
      <w:r w:rsidRPr="009D258A">
        <w:rPr>
          <w:noProof/>
        </w:rPr>
        <w:tab/>
        <w:t>Hyväksytystä talousarviosta katettavat</w:t>
      </w:r>
      <w:r w:rsidRPr="009D258A">
        <w:rPr>
          <w:noProof/>
        </w:rPr>
        <w:tab/>
      </w:r>
      <w:r w:rsidRPr="009D258A">
        <w:rPr>
          <w:noProof/>
          <w:webHidden/>
        </w:rPr>
        <w:t>25</w:t>
      </w:r>
    </w:p>
    <w:p w14:paraId="722097CF" w14:textId="77777777" w:rsidR="009C3EE2" w:rsidRPr="009D258A" w:rsidRDefault="009C3EE2" w:rsidP="0002735A">
      <w:pPr>
        <w:pStyle w:val="TOC3"/>
        <w:rPr>
          <w:rFonts w:asciiTheme="minorHAnsi" w:eastAsiaTheme="minorEastAsia" w:hAnsiTheme="minorHAnsi" w:cstheme="minorBidi"/>
          <w:noProof/>
          <w:kern w:val="2"/>
          <w:sz w:val="22"/>
          <w14:ligatures w14:val="standardContextual"/>
        </w:rPr>
      </w:pPr>
      <w:r w:rsidRPr="009D258A">
        <w:rPr>
          <w:noProof/>
        </w:rPr>
        <w:t>3.2.4.2.</w:t>
      </w:r>
      <w:r w:rsidRPr="009D258A">
        <w:rPr>
          <w:noProof/>
        </w:rPr>
        <w:tab/>
        <w:t>Ulkoisilla käyttötarkoitukseensa sidotuilla tuloilla katettavat</w:t>
      </w:r>
      <w:r w:rsidRPr="009D258A">
        <w:rPr>
          <w:noProof/>
        </w:rPr>
        <w:tab/>
      </w:r>
      <w:r w:rsidRPr="009D258A">
        <w:rPr>
          <w:noProof/>
          <w:webHidden/>
        </w:rPr>
        <w:t>26</w:t>
      </w:r>
    </w:p>
    <w:p w14:paraId="676CCA12" w14:textId="77777777" w:rsidR="009C3EE2" w:rsidRPr="009D258A" w:rsidRDefault="009C3EE2" w:rsidP="0002735A">
      <w:pPr>
        <w:pStyle w:val="TOC3"/>
        <w:rPr>
          <w:rFonts w:asciiTheme="minorHAnsi" w:eastAsiaTheme="minorEastAsia" w:hAnsiTheme="minorHAnsi" w:cstheme="minorBidi"/>
          <w:noProof/>
          <w:kern w:val="2"/>
          <w:sz w:val="22"/>
          <w14:ligatures w14:val="standardContextual"/>
        </w:rPr>
      </w:pPr>
      <w:r w:rsidRPr="009D258A">
        <w:rPr>
          <w:noProof/>
        </w:rPr>
        <w:t>3.2.4.3.</w:t>
      </w:r>
      <w:r w:rsidRPr="009D258A">
        <w:rPr>
          <w:noProof/>
        </w:rPr>
        <w:tab/>
        <w:t>Henkilöresurssien kokonaistarve</w:t>
      </w:r>
      <w:r w:rsidRPr="009D258A">
        <w:rPr>
          <w:noProof/>
        </w:rPr>
        <w:tab/>
      </w:r>
      <w:r w:rsidRPr="009D258A">
        <w:rPr>
          <w:noProof/>
          <w:webHidden/>
        </w:rPr>
        <w:t>26</w:t>
      </w:r>
    </w:p>
    <w:p w14:paraId="539107B4" w14:textId="77777777" w:rsidR="009C3EE2" w:rsidRPr="009D258A" w:rsidRDefault="009C3EE2" w:rsidP="0002735A">
      <w:pPr>
        <w:pStyle w:val="TOC3"/>
        <w:rPr>
          <w:rFonts w:asciiTheme="minorHAnsi" w:eastAsiaTheme="minorEastAsia" w:hAnsiTheme="minorHAnsi" w:cstheme="minorBidi"/>
          <w:noProof/>
          <w:kern w:val="2"/>
          <w:sz w:val="22"/>
          <w14:ligatures w14:val="standardContextual"/>
        </w:rPr>
      </w:pPr>
      <w:r w:rsidRPr="009D258A">
        <w:rPr>
          <w:noProof/>
        </w:rPr>
        <w:t>3.2.5.</w:t>
      </w:r>
      <w:r w:rsidRPr="009D258A">
        <w:rPr>
          <w:noProof/>
        </w:rPr>
        <w:tab/>
        <w:t>Yhteenveto arvioiduista vaikutuksista digitaaliteknologiaan liittyviin investointeihin</w:t>
      </w:r>
      <w:r w:rsidRPr="009D258A">
        <w:rPr>
          <w:noProof/>
        </w:rPr>
        <w:tab/>
      </w:r>
      <w:r w:rsidRPr="009D258A">
        <w:rPr>
          <w:noProof/>
          <w:webHidden/>
        </w:rPr>
        <w:t>28</w:t>
      </w:r>
    </w:p>
    <w:p w14:paraId="7DE16532" w14:textId="77777777" w:rsidR="009C3EE2" w:rsidRPr="009D258A" w:rsidRDefault="009C3EE2" w:rsidP="0002735A">
      <w:pPr>
        <w:pStyle w:val="TOC3"/>
        <w:rPr>
          <w:rFonts w:asciiTheme="minorHAnsi" w:eastAsiaTheme="minorEastAsia" w:hAnsiTheme="minorHAnsi" w:cstheme="minorBidi"/>
          <w:noProof/>
          <w:kern w:val="2"/>
          <w:sz w:val="22"/>
          <w14:ligatures w14:val="standardContextual"/>
        </w:rPr>
      </w:pPr>
      <w:r w:rsidRPr="009D258A">
        <w:rPr>
          <w:noProof/>
        </w:rPr>
        <w:t>3.2.6.</w:t>
      </w:r>
      <w:r w:rsidRPr="009D258A">
        <w:rPr>
          <w:noProof/>
        </w:rPr>
        <w:tab/>
        <w:t>Yhteensopivuus nykyisen monivuotisen rahoituskehyksen kanssa</w:t>
      </w:r>
      <w:r w:rsidRPr="009D258A">
        <w:rPr>
          <w:noProof/>
        </w:rPr>
        <w:tab/>
      </w:r>
      <w:r w:rsidRPr="009D258A">
        <w:rPr>
          <w:noProof/>
          <w:webHidden/>
        </w:rPr>
        <w:t>28</w:t>
      </w:r>
    </w:p>
    <w:p w14:paraId="4AF42314" w14:textId="77777777" w:rsidR="009C3EE2" w:rsidRPr="009D258A" w:rsidRDefault="009C3EE2" w:rsidP="0002735A">
      <w:pPr>
        <w:pStyle w:val="TOC3"/>
        <w:rPr>
          <w:rFonts w:asciiTheme="minorHAnsi" w:eastAsiaTheme="minorEastAsia" w:hAnsiTheme="minorHAnsi" w:cstheme="minorBidi"/>
          <w:noProof/>
          <w:kern w:val="2"/>
          <w:sz w:val="22"/>
          <w14:ligatures w14:val="standardContextual"/>
        </w:rPr>
      </w:pPr>
      <w:r w:rsidRPr="009D258A">
        <w:rPr>
          <w:noProof/>
        </w:rPr>
        <w:t>3.2.7.</w:t>
      </w:r>
      <w:r w:rsidRPr="009D258A">
        <w:rPr>
          <w:noProof/>
        </w:rPr>
        <w:tab/>
        <w:t>Ulkopuolisten tahojen rahoitusosuudet</w:t>
      </w:r>
      <w:r w:rsidRPr="009D258A">
        <w:rPr>
          <w:noProof/>
        </w:rPr>
        <w:tab/>
      </w:r>
      <w:r w:rsidRPr="009D258A">
        <w:rPr>
          <w:noProof/>
          <w:webHidden/>
        </w:rPr>
        <w:t>28</w:t>
      </w:r>
    </w:p>
    <w:p w14:paraId="12F2901C" w14:textId="77777777" w:rsidR="009C3EE2" w:rsidRPr="009D258A" w:rsidRDefault="009C3EE2" w:rsidP="0002735A">
      <w:pPr>
        <w:pStyle w:val="TOC2"/>
        <w:rPr>
          <w:rFonts w:asciiTheme="minorHAnsi" w:eastAsiaTheme="minorEastAsia" w:hAnsiTheme="minorHAnsi" w:cstheme="minorBidi"/>
          <w:noProof/>
          <w:kern w:val="2"/>
          <w:sz w:val="22"/>
          <w14:ligatures w14:val="standardContextual"/>
        </w:rPr>
      </w:pPr>
      <w:r w:rsidRPr="009D258A">
        <w:rPr>
          <w:noProof/>
        </w:rPr>
        <w:t>3.3.</w:t>
      </w:r>
      <w:r w:rsidRPr="009D258A">
        <w:rPr>
          <w:noProof/>
        </w:rPr>
        <w:tab/>
        <w:t>Arvioidut vaikutukset tuloihin</w:t>
      </w:r>
      <w:r w:rsidRPr="009D258A">
        <w:rPr>
          <w:noProof/>
        </w:rPr>
        <w:tab/>
      </w:r>
      <w:r w:rsidRPr="009D258A">
        <w:rPr>
          <w:noProof/>
          <w:webHidden/>
        </w:rPr>
        <w:t>29</w:t>
      </w:r>
    </w:p>
    <w:p w14:paraId="7E8F2D7A" w14:textId="77777777" w:rsidR="009C3EE2" w:rsidRPr="009D258A" w:rsidRDefault="009C3EE2" w:rsidP="0002735A">
      <w:pPr>
        <w:pStyle w:val="TOC1"/>
        <w:rPr>
          <w:rFonts w:asciiTheme="minorHAnsi" w:eastAsiaTheme="minorEastAsia" w:hAnsiTheme="minorHAnsi" w:cstheme="minorBidi"/>
          <w:noProof/>
          <w:kern w:val="2"/>
          <w:sz w:val="22"/>
          <w14:ligatures w14:val="standardContextual"/>
        </w:rPr>
      </w:pPr>
      <w:r w:rsidRPr="009D258A">
        <w:rPr>
          <w:noProof/>
        </w:rPr>
        <w:t>4.</w:t>
      </w:r>
      <w:r w:rsidRPr="009D258A">
        <w:rPr>
          <w:noProof/>
        </w:rPr>
        <w:tab/>
      </w:r>
      <w:r w:rsidRPr="009D258A">
        <w:rPr>
          <w:caps/>
          <w:noProof/>
        </w:rPr>
        <w:t>Digitaaliset ulottuvuudet</w:t>
      </w:r>
      <w:r w:rsidRPr="009D258A">
        <w:rPr>
          <w:noProof/>
        </w:rPr>
        <w:tab/>
      </w:r>
      <w:r w:rsidRPr="009D258A">
        <w:rPr>
          <w:noProof/>
          <w:webHidden/>
        </w:rPr>
        <w:t>29</w:t>
      </w:r>
    </w:p>
    <w:p w14:paraId="55D0A112" w14:textId="77777777" w:rsidR="009C3EE2" w:rsidRPr="009D258A" w:rsidRDefault="009C3EE2" w:rsidP="0002735A">
      <w:pPr>
        <w:pStyle w:val="TOC2"/>
        <w:rPr>
          <w:rFonts w:asciiTheme="minorHAnsi" w:eastAsiaTheme="minorEastAsia" w:hAnsiTheme="minorHAnsi" w:cstheme="minorBidi"/>
          <w:noProof/>
          <w:kern w:val="2"/>
          <w:sz w:val="22"/>
          <w14:ligatures w14:val="standardContextual"/>
        </w:rPr>
      </w:pPr>
      <w:r w:rsidRPr="009D258A">
        <w:rPr>
          <w:noProof/>
        </w:rPr>
        <w:t>4.1.</w:t>
      </w:r>
      <w:r w:rsidRPr="009D258A">
        <w:rPr>
          <w:noProof/>
        </w:rPr>
        <w:tab/>
        <w:t>Vaatimukset, joilla on merkitystä digitalisaation kannalta</w:t>
      </w:r>
      <w:r w:rsidRPr="009D258A">
        <w:rPr>
          <w:noProof/>
        </w:rPr>
        <w:tab/>
      </w:r>
      <w:r w:rsidRPr="009D258A">
        <w:rPr>
          <w:noProof/>
          <w:webHidden/>
        </w:rPr>
        <w:t>30</w:t>
      </w:r>
    </w:p>
    <w:p w14:paraId="3FC02434" w14:textId="77777777" w:rsidR="009C3EE2" w:rsidRPr="009D258A" w:rsidRDefault="009C3EE2" w:rsidP="0002735A">
      <w:pPr>
        <w:pStyle w:val="TOC2"/>
        <w:rPr>
          <w:rFonts w:asciiTheme="minorHAnsi" w:eastAsiaTheme="minorEastAsia" w:hAnsiTheme="minorHAnsi" w:cstheme="minorBidi"/>
          <w:noProof/>
          <w:kern w:val="2"/>
          <w:sz w:val="22"/>
          <w14:ligatures w14:val="standardContextual"/>
        </w:rPr>
      </w:pPr>
      <w:r w:rsidRPr="009D258A">
        <w:rPr>
          <w:noProof/>
        </w:rPr>
        <w:t>4.2.</w:t>
      </w:r>
      <w:r w:rsidRPr="009D258A">
        <w:rPr>
          <w:noProof/>
        </w:rPr>
        <w:tab/>
        <w:t>Data</w:t>
      </w:r>
      <w:r w:rsidRPr="009D258A">
        <w:rPr>
          <w:noProof/>
        </w:rPr>
        <w:tab/>
      </w:r>
      <w:r w:rsidRPr="009D258A">
        <w:rPr>
          <w:noProof/>
          <w:webHidden/>
        </w:rPr>
        <w:t>30</w:t>
      </w:r>
    </w:p>
    <w:p w14:paraId="4939B19C" w14:textId="77777777" w:rsidR="009C3EE2" w:rsidRPr="009D258A" w:rsidRDefault="009C3EE2" w:rsidP="0002735A">
      <w:pPr>
        <w:pStyle w:val="TOC2"/>
        <w:rPr>
          <w:rFonts w:asciiTheme="minorHAnsi" w:eastAsiaTheme="minorEastAsia" w:hAnsiTheme="minorHAnsi" w:cstheme="minorBidi"/>
          <w:noProof/>
          <w:kern w:val="2"/>
          <w:sz w:val="22"/>
          <w14:ligatures w14:val="standardContextual"/>
        </w:rPr>
      </w:pPr>
      <w:r w:rsidRPr="009D258A">
        <w:rPr>
          <w:noProof/>
        </w:rPr>
        <w:t>4.3.</w:t>
      </w:r>
      <w:r w:rsidRPr="009D258A">
        <w:rPr>
          <w:noProof/>
        </w:rPr>
        <w:tab/>
        <w:t>Digitaaliset ratkaisut</w:t>
      </w:r>
      <w:r w:rsidRPr="009D258A">
        <w:rPr>
          <w:noProof/>
        </w:rPr>
        <w:tab/>
      </w:r>
      <w:r w:rsidRPr="009D258A">
        <w:rPr>
          <w:noProof/>
          <w:webHidden/>
        </w:rPr>
        <w:t>31</w:t>
      </w:r>
    </w:p>
    <w:p w14:paraId="455F9BE4" w14:textId="77777777" w:rsidR="009C3EE2" w:rsidRPr="009D258A" w:rsidRDefault="009C3EE2" w:rsidP="0002735A">
      <w:pPr>
        <w:pStyle w:val="TOC2"/>
        <w:rPr>
          <w:rFonts w:asciiTheme="minorHAnsi" w:eastAsiaTheme="minorEastAsia" w:hAnsiTheme="minorHAnsi" w:cstheme="minorBidi"/>
          <w:noProof/>
          <w:kern w:val="2"/>
          <w:sz w:val="22"/>
          <w14:ligatures w14:val="standardContextual"/>
        </w:rPr>
      </w:pPr>
      <w:r w:rsidRPr="009D258A">
        <w:rPr>
          <w:noProof/>
        </w:rPr>
        <w:t>4.4.</w:t>
      </w:r>
      <w:r w:rsidRPr="009D258A">
        <w:rPr>
          <w:noProof/>
        </w:rPr>
        <w:tab/>
        <w:t>Yhteentoimivuusarviointi</w:t>
      </w:r>
      <w:r w:rsidRPr="009D258A">
        <w:rPr>
          <w:noProof/>
        </w:rPr>
        <w:tab/>
      </w:r>
      <w:r w:rsidRPr="009D258A">
        <w:rPr>
          <w:noProof/>
          <w:webHidden/>
        </w:rPr>
        <w:t>31</w:t>
      </w:r>
    </w:p>
    <w:p w14:paraId="7FEC5B15" w14:textId="77777777" w:rsidR="009C3EE2" w:rsidRPr="009D258A" w:rsidRDefault="009C3EE2" w:rsidP="0002735A">
      <w:pPr>
        <w:pStyle w:val="TOC2"/>
        <w:rPr>
          <w:rFonts w:asciiTheme="minorHAnsi" w:eastAsiaTheme="minorEastAsia" w:hAnsiTheme="minorHAnsi" w:cstheme="minorBidi"/>
          <w:noProof/>
          <w:kern w:val="2"/>
          <w:sz w:val="22"/>
          <w14:ligatures w14:val="standardContextual"/>
        </w:rPr>
      </w:pPr>
      <w:r w:rsidRPr="009D258A">
        <w:rPr>
          <w:noProof/>
        </w:rPr>
        <w:t>4.5.</w:t>
      </w:r>
      <w:r w:rsidRPr="009D258A">
        <w:rPr>
          <w:noProof/>
        </w:rPr>
        <w:tab/>
        <w:t>Toimenpiteet digitaalisen täytäntöönpanon tukemiseksi</w:t>
      </w:r>
      <w:r w:rsidRPr="009D258A">
        <w:rPr>
          <w:noProof/>
        </w:rPr>
        <w:tab/>
      </w:r>
      <w:r w:rsidRPr="009D258A">
        <w:rPr>
          <w:noProof/>
          <w:webHidden/>
        </w:rPr>
        <w:t>32</w:t>
      </w:r>
    </w:p>
    <w:p w14:paraId="296F2BFE" w14:textId="77777777" w:rsidR="009C3EE2" w:rsidRPr="009D258A" w:rsidRDefault="009C3EE2" w:rsidP="0002735A">
      <w:pPr>
        <w:pStyle w:val="TOC1"/>
        <w:ind w:left="0" w:firstLine="0"/>
        <w:rPr>
          <w:noProof/>
        </w:rPr>
        <w:sectPr w:rsidR="009C3EE2" w:rsidRPr="009D258A" w:rsidSect="0053045F">
          <w:pgSz w:w="11907" w:h="16840" w:code="9"/>
          <w:pgMar w:top="1134" w:right="1418" w:bottom="1134" w:left="1418" w:header="709" w:footer="709" w:gutter="0"/>
          <w:pgNumType w:start="1"/>
          <w:cols w:space="720"/>
          <w:docGrid w:linePitch="360"/>
        </w:sectPr>
      </w:pPr>
    </w:p>
    <w:p w14:paraId="28F77063" w14:textId="77777777" w:rsidR="009C3EE2" w:rsidRPr="009D258A" w:rsidRDefault="009C3EE2" w:rsidP="0002735A">
      <w:pPr>
        <w:pStyle w:val="ManualHeading1"/>
        <w:rPr>
          <w:noProof/>
        </w:rPr>
      </w:pPr>
      <w:r w:rsidRPr="009D258A">
        <w:rPr>
          <w:noProof/>
        </w:rPr>
        <w:t>1.</w:t>
      </w:r>
      <w:r w:rsidRPr="009D258A">
        <w:rPr>
          <w:noProof/>
        </w:rPr>
        <w:tab/>
        <w:t xml:space="preserve">PERUSTIEDOT EHDOTUKSESTA/ALOITTEESTA </w:t>
      </w:r>
    </w:p>
    <w:p w14:paraId="379F59E3" w14:textId="77777777" w:rsidR="009C3EE2" w:rsidRPr="009D258A" w:rsidRDefault="009C3EE2" w:rsidP="0002735A">
      <w:pPr>
        <w:pStyle w:val="ManualHeading2"/>
        <w:rPr>
          <w:noProof/>
        </w:rPr>
      </w:pPr>
      <w:r w:rsidRPr="009D258A">
        <w:rPr>
          <w:noProof/>
        </w:rPr>
        <w:t>1.1.</w:t>
      </w:r>
      <w:r w:rsidRPr="009D258A">
        <w:rPr>
          <w:noProof/>
        </w:rPr>
        <w:tab/>
        <w:t>Ehdotuksen/aloitteen nimi</w:t>
      </w:r>
    </w:p>
    <w:p w14:paraId="77481DB9" w14:textId="361EC240" w:rsidR="00C90C9C" w:rsidRPr="009D258A" w:rsidRDefault="00491B3F" w:rsidP="00C90C9C">
      <w:pPr>
        <w:pStyle w:val="Text1"/>
        <w:pBdr>
          <w:top w:val="single" w:sz="4" w:space="1" w:color="auto"/>
          <w:left w:val="single" w:sz="4" w:space="4" w:color="auto"/>
          <w:bottom w:val="single" w:sz="4" w:space="1" w:color="auto"/>
          <w:right w:val="single" w:sz="4" w:space="4" w:color="auto"/>
        </w:pBdr>
        <w:rPr>
          <w:noProof/>
        </w:rPr>
      </w:pPr>
      <w:r w:rsidRPr="009D258A">
        <w:rPr>
          <w:noProof/>
        </w:rPr>
        <w:t>Ehdotus Euroopan parlamentin ja neuvoston asetukseksi asetusten (EU) 2024/1689 ja (EU) 2018/1139 muuttamisesta tekoälyä koskevien yhdenmukaistettujen sääntöjen täytäntöönpanon yksinkertaistamiseksi (tekoälyä koskeva digitaalialan koontiasetus)</w:t>
      </w:r>
    </w:p>
    <w:p w14:paraId="24A92E41" w14:textId="77777777" w:rsidR="009C3EE2" w:rsidRPr="009D258A" w:rsidRDefault="009C3EE2" w:rsidP="0002735A">
      <w:pPr>
        <w:pStyle w:val="ManualHeading2"/>
        <w:rPr>
          <w:i/>
          <w:noProof/>
        </w:rPr>
      </w:pPr>
      <w:r w:rsidRPr="009D258A">
        <w:rPr>
          <w:noProof/>
        </w:rPr>
        <w:t>1.2.</w:t>
      </w:r>
      <w:r w:rsidRPr="009D258A">
        <w:rPr>
          <w:noProof/>
        </w:rPr>
        <w:tab/>
        <w:t>Toimintalohko(t)</w:t>
      </w:r>
      <w:r w:rsidRPr="009D258A">
        <w:rPr>
          <w:i/>
          <w:noProof/>
        </w:rPr>
        <w:t xml:space="preserve"> </w:t>
      </w:r>
    </w:p>
    <w:p w14:paraId="09604AC2" w14:textId="77777777" w:rsidR="00C90C9C" w:rsidRPr="009D258A" w:rsidRDefault="00C90C9C" w:rsidP="00C90C9C">
      <w:pPr>
        <w:pStyle w:val="Text1"/>
        <w:pBdr>
          <w:top w:val="single" w:sz="4" w:space="1" w:color="auto"/>
          <w:left w:val="single" w:sz="4" w:space="4" w:color="auto"/>
          <w:bottom w:val="single" w:sz="4" w:space="1" w:color="auto"/>
          <w:right w:val="single" w:sz="4" w:space="4" w:color="auto"/>
        </w:pBdr>
        <w:rPr>
          <w:noProof/>
        </w:rPr>
      </w:pPr>
      <w:r w:rsidRPr="009D258A">
        <w:rPr>
          <w:noProof/>
        </w:rPr>
        <w:t xml:space="preserve">Viestintäverkot, sisällöt ja teknologia; </w:t>
      </w:r>
    </w:p>
    <w:p w14:paraId="4E20B178" w14:textId="77777777" w:rsidR="00C90C9C" w:rsidRPr="009D258A" w:rsidRDefault="00C90C9C" w:rsidP="00C90C9C">
      <w:pPr>
        <w:pStyle w:val="Text1"/>
        <w:pBdr>
          <w:top w:val="single" w:sz="4" w:space="1" w:color="auto"/>
          <w:left w:val="single" w:sz="4" w:space="4" w:color="auto"/>
          <w:bottom w:val="single" w:sz="4" w:space="1" w:color="auto"/>
          <w:right w:val="single" w:sz="4" w:space="4" w:color="auto"/>
        </w:pBdr>
        <w:rPr>
          <w:noProof/>
        </w:rPr>
      </w:pPr>
      <w:r w:rsidRPr="009D258A">
        <w:rPr>
          <w:noProof/>
        </w:rPr>
        <w:t>sisämarkkinat, teollisuus, yrittäjyys ja pk-yritykset</w:t>
      </w:r>
    </w:p>
    <w:p w14:paraId="57451CE3" w14:textId="77777777" w:rsidR="00C90C9C" w:rsidRPr="009D258A" w:rsidRDefault="00C90C9C" w:rsidP="00C90C9C">
      <w:pPr>
        <w:pStyle w:val="Text1"/>
        <w:pBdr>
          <w:top w:val="single" w:sz="4" w:space="1" w:color="auto"/>
          <w:left w:val="single" w:sz="4" w:space="4" w:color="auto"/>
          <w:bottom w:val="single" w:sz="4" w:space="1" w:color="auto"/>
          <w:right w:val="single" w:sz="4" w:space="4" w:color="auto"/>
        </w:pBdr>
        <w:rPr>
          <w:noProof/>
        </w:rPr>
      </w:pPr>
      <w:r w:rsidRPr="009D258A">
        <w:rPr>
          <w:noProof/>
        </w:rPr>
        <w:t>Talousarviovaikutukset liittyvät tekoälytoimistolle annettaviin uusiin tehtäviin.</w:t>
      </w:r>
    </w:p>
    <w:p w14:paraId="11721792" w14:textId="77777777" w:rsidR="009C3EE2" w:rsidRPr="009D258A" w:rsidRDefault="009C3EE2" w:rsidP="0002735A">
      <w:pPr>
        <w:pStyle w:val="ManualHeading2"/>
        <w:rPr>
          <w:noProof/>
        </w:rPr>
      </w:pPr>
      <w:r w:rsidRPr="009D258A">
        <w:rPr>
          <w:noProof/>
        </w:rPr>
        <w:t>1.3.</w:t>
      </w:r>
      <w:r w:rsidRPr="009D258A">
        <w:rPr>
          <w:noProof/>
        </w:rPr>
        <w:tab/>
        <w:t>Tavoite (Tavoitteet)</w:t>
      </w:r>
    </w:p>
    <w:p w14:paraId="60FEED1E" w14:textId="77777777" w:rsidR="009C3EE2" w:rsidRPr="009D258A" w:rsidRDefault="009C3EE2" w:rsidP="0002735A">
      <w:pPr>
        <w:pStyle w:val="ManualHeading3"/>
        <w:rPr>
          <w:noProof/>
        </w:rPr>
      </w:pPr>
      <w:r w:rsidRPr="009D258A">
        <w:rPr>
          <w:noProof/>
        </w:rPr>
        <w:t>1.3.1.</w:t>
      </w:r>
      <w:r w:rsidRPr="009D258A">
        <w:rPr>
          <w:noProof/>
        </w:rPr>
        <w:tab/>
        <w:t>Yleistavoite (Yleistavoitteet)</w:t>
      </w:r>
    </w:p>
    <w:p w14:paraId="2EDB70C4" w14:textId="77777777" w:rsidR="00C90C9C" w:rsidRPr="009D258A" w:rsidRDefault="00C90C9C" w:rsidP="00C90C9C">
      <w:pPr>
        <w:pStyle w:val="Text1"/>
        <w:pBdr>
          <w:top w:val="single" w:sz="4" w:space="1" w:color="auto"/>
          <w:left w:val="single" w:sz="4" w:space="4" w:color="auto"/>
          <w:bottom w:val="single" w:sz="4" w:space="1" w:color="auto"/>
          <w:right w:val="single" w:sz="4" w:space="4" w:color="auto"/>
        </w:pBdr>
        <w:rPr>
          <w:noProof/>
        </w:rPr>
      </w:pPr>
      <w:r w:rsidRPr="009D258A">
        <w:rPr>
          <w:noProof/>
        </w:rPr>
        <w:t xml:space="preserve">1. Vahvistetaan tekoälytoimiston harjoittamaa tekoälyjärjestelmien tiettyjen luokkien seurantaa ja valvontaa. </w:t>
      </w:r>
    </w:p>
    <w:p w14:paraId="3381D304" w14:textId="77777777" w:rsidR="00C90C9C" w:rsidRPr="009D258A" w:rsidRDefault="00C90C9C" w:rsidP="00C90C9C">
      <w:pPr>
        <w:pStyle w:val="Text1"/>
        <w:pBdr>
          <w:top w:val="single" w:sz="4" w:space="1" w:color="auto"/>
          <w:left w:val="single" w:sz="4" w:space="4" w:color="auto"/>
          <w:bottom w:val="single" w:sz="4" w:space="1" w:color="auto"/>
          <w:right w:val="single" w:sz="4" w:space="4" w:color="auto"/>
        </w:pBdr>
        <w:rPr>
          <w:noProof/>
        </w:rPr>
      </w:pPr>
      <w:r w:rsidRPr="009D258A">
        <w:rPr>
          <w:noProof/>
        </w:rPr>
        <w:t xml:space="preserve">2. Helpotetaan innovatiivisten tekoälyjärjestelmien kehittämistä ja testaamista EU-tasolla tiukassa viranomaisvalvonnassa ennen järjestelmien markkinoilletuontia tai muuta käyttöä. </w:t>
      </w:r>
    </w:p>
    <w:p w14:paraId="168902B1" w14:textId="77777777" w:rsidR="009C3EE2" w:rsidRPr="009D258A" w:rsidRDefault="009C3EE2" w:rsidP="0002735A">
      <w:pPr>
        <w:pStyle w:val="ManualHeading3"/>
        <w:rPr>
          <w:noProof/>
        </w:rPr>
      </w:pPr>
      <w:r w:rsidRPr="009D258A">
        <w:rPr>
          <w:noProof/>
        </w:rPr>
        <w:t>1.3.2.</w:t>
      </w:r>
      <w:r w:rsidRPr="009D258A">
        <w:rPr>
          <w:noProof/>
        </w:rPr>
        <w:tab/>
        <w:t>Erityistavoite (Erityistavoitteet)</w:t>
      </w:r>
    </w:p>
    <w:p w14:paraId="213909A8" w14:textId="77777777" w:rsidR="00C90C9C" w:rsidRPr="009D258A" w:rsidRDefault="00C90C9C" w:rsidP="00C90C9C">
      <w:pPr>
        <w:pStyle w:val="Text1"/>
        <w:pBdr>
          <w:top w:val="single" w:sz="4" w:space="1" w:color="auto"/>
          <w:left w:val="single" w:sz="4" w:space="4" w:color="auto"/>
          <w:bottom w:val="single" w:sz="4" w:space="1" w:color="auto"/>
          <w:right w:val="single" w:sz="4" w:space="4" w:color="auto"/>
        </w:pBdr>
        <w:rPr>
          <w:noProof/>
          <w:u w:val="single"/>
        </w:rPr>
      </w:pPr>
      <w:r w:rsidRPr="009D258A">
        <w:rPr>
          <w:noProof/>
          <w:u w:val="single"/>
        </w:rPr>
        <w:t>Erityistavoite 1:</w:t>
      </w:r>
    </w:p>
    <w:p w14:paraId="24344534" w14:textId="77777777" w:rsidR="00C90C9C" w:rsidRPr="009D258A" w:rsidRDefault="00C90C9C" w:rsidP="00C90C9C">
      <w:pPr>
        <w:pStyle w:val="Text1"/>
        <w:pBdr>
          <w:top w:val="single" w:sz="4" w:space="1" w:color="auto"/>
          <w:left w:val="single" w:sz="4" w:space="4" w:color="auto"/>
          <w:bottom w:val="single" w:sz="4" w:space="1" w:color="auto"/>
          <w:right w:val="single" w:sz="4" w:space="4" w:color="auto"/>
        </w:pBdr>
        <w:rPr>
          <w:noProof/>
        </w:rPr>
      </w:pPr>
      <w:r w:rsidRPr="009D258A">
        <w:rPr>
          <w:noProof/>
        </w:rPr>
        <w:t xml:space="preserve">Parannetaan tekoälyjärjestelmiin liittyvien tekoälysäädöksen sääntöjen hallinnointia ja käytännön täytäntöönpanoa vahvistamalla tarvittavia toimivaltuuksia ja menettelyjä sekä järjestämällä uusia resursseja täytäntöönpanosta vastaavalle tekoälytoimistolle. </w:t>
      </w:r>
    </w:p>
    <w:p w14:paraId="044FA733" w14:textId="77777777" w:rsidR="00C90C9C" w:rsidRPr="009D258A" w:rsidRDefault="00C90C9C" w:rsidP="00C90C9C">
      <w:pPr>
        <w:pStyle w:val="Text1"/>
        <w:pBdr>
          <w:top w:val="single" w:sz="4" w:space="1" w:color="auto"/>
          <w:left w:val="single" w:sz="4" w:space="4" w:color="auto"/>
          <w:bottom w:val="single" w:sz="4" w:space="1" w:color="auto"/>
          <w:right w:val="single" w:sz="4" w:space="4" w:color="auto"/>
        </w:pBdr>
        <w:rPr>
          <w:noProof/>
          <w:u w:val="single"/>
        </w:rPr>
      </w:pPr>
      <w:r w:rsidRPr="009D258A">
        <w:rPr>
          <w:noProof/>
          <w:u w:val="single"/>
        </w:rPr>
        <w:t>Erityistavoite 2:</w:t>
      </w:r>
    </w:p>
    <w:p w14:paraId="7ECDF1B1" w14:textId="77777777" w:rsidR="00C90C9C" w:rsidRPr="009D258A" w:rsidRDefault="00C90C9C" w:rsidP="4574C7F4">
      <w:pPr>
        <w:pStyle w:val="Text1"/>
        <w:pBdr>
          <w:top w:val="single" w:sz="4" w:space="1" w:color="auto"/>
          <w:left w:val="single" w:sz="4" w:space="4" w:color="auto"/>
          <w:bottom w:val="single" w:sz="4" w:space="1" w:color="auto"/>
          <w:right w:val="single" w:sz="4" w:space="4" w:color="auto"/>
        </w:pBdr>
        <w:rPr>
          <w:noProof/>
        </w:rPr>
      </w:pPr>
      <w:r w:rsidRPr="009D258A">
        <w:rPr>
          <w:noProof/>
        </w:rPr>
        <w:t>Perustetaan EU-tason testiympäristö, joka mahdollistaa rajat ylittävän toiminnan ja testauksen.</w:t>
      </w:r>
    </w:p>
    <w:p w14:paraId="3DBE0CE9" w14:textId="77777777" w:rsidR="009C3EE2" w:rsidRPr="009D258A" w:rsidRDefault="009C3EE2" w:rsidP="0002735A">
      <w:pPr>
        <w:pStyle w:val="ManualHeading3"/>
        <w:rPr>
          <w:noProof/>
        </w:rPr>
      </w:pPr>
      <w:r w:rsidRPr="009D258A">
        <w:rPr>
          <w:noProof/>
        </w:rPr>
        <w:t>1.3.3.</w:t>
      </w:r>
      <w:r w:rsidRPr="009D258A">
        <w:rPr>
          <w:noProof/>
        </w:rPr>
        <w:tab/>
        <w:t>Odotettavissa olevat tulokset ja vaikutukset</w:t>
      </w:r>
    </w:p>
    <w:p w14:paraId="3F0218FE" w14:textId="77777777" w:rsidR="009C3EE2" w:rsidRPr="009D258A" w:rsidRDefault="009C3EE2" w:rsidP="0002735A">
      <w:pPr>
        <w:pStyle w:val="Text1"/>
        <w:rPr>
          <w:i/>
          <w:noProof/>
          <w:sz w:val="20"/>
        </w:rPr>
      </w:pPr>
      <w:r w:rsidRPr="009D258A">
        <w:rPr>
          <w:i/>
          <w:noProof/>
          <w:sz w:val="20"/>
        </w:rPr>
        <w:t>Selvitys siitä, miten ehdotuksella/aloitteella on tarkoitus vaikuttaa edunsaajien/kohderyhmän tilanteeseen.</w:t>
      </w:r>
    </w:p>
    <w:p w14:paraId="4E8593A7" w14:textId="176B15EF" w:rsidR="00C90C9C" w:rsidRPr="009D258A" w:rsidRDefault="00C90C9C" w:rsidP="00F22A3E">
      <w:pPr>
        <w:pStyle w:val="Text1"/>
        <w:pBdr>
          <w:top w:val="single" w:sz="4" w:space="1" w:color="auto"/>
          <w:left w:val="single" w:sz="4" w:space="4" w:color="auto"/>
          <w:bottom w:val="single" w:sz="4" w:space="1" w:color="auto"/>
          <w:right w:val="single" w:sz="4" w:space="4" w:color="auto"/>
        </w:pBdr>
        <w:rPr>
          <w:noProof/>
        </w:rPr>
      </w:pPr>
      <w:r w:rsidRPr="009D258A">
        <w:rPr>
          <w:noProof/>
        </w:rPr>
        <w:t>Tekoälyjärjestelmien tarjoajat hyötynevät tekoälyjärjestelmien tiettyjen luokkien osalta hallinnoinnin keskittämisestä ja EU:n tason testiympäristön käyttömahdollisuudesta. Näin vältytään päällekkäisiltä menettelyiltä ja kustannuksilta.</w:t>
      </w:r>
    </w:p>
    <w:p w14:paraId="757E3D2A" w14:textId="77777777" w:rsidR="009C3EE2" w:rsidRPr="009D258A" w:rsidRDefault="009C3EE2" w:rsidP="0002735A">
      <w:pPr>
        <w:pStyle w:val="ManualHeading3"/>
        <w:rPr>
          <w:noProof/>
        </w:rPr>
      </w:pPr>
      <w:r w:rsidRPr="009D258A">
        <w:rPr>
          <w:noProof/>
        </w:rPr>
        <w:t>1.3.4.</w:t>
      </w:r>
      <w:r w:rsidRPr="009D258A">
        <w:rPr>
          <w:noProof/>
        </w:rPr>
        <w:tab/>
        <w:t>Tulosindikaattorit</w:t>
      </w:r>
    </w:p>
    <w:p w14:paraId="06FD69C0" w14:textId="77777777" w:rsidR="009C3EE2" w:rsidRPr="009D258A" w:rsidRDefault="009C3EE2" w:rsidP="0002735A">
      <w:pPr>
        <w:pStyle w:val="Text1"/>
        <w:rPr>
          <w:i/>
          <w:noProof/>
          <w:sz w:val="20"/>
        </w:rPr>
      </w:pPr>
      <w:r w:rsidRPr="009D258A">
        <w:rPr>
          <w:i/>
          <w:noProof/>
          <w:sz w:val="20"/>
        </w:rPr>
        <w:t>Selvitys siitä, millaisin indikaattorein ehdotuksen/aloitteen etenemistä ja tuloksia seurataan.</w:t>
      </w:r>
    </w:p>
    <w:p w14:paraId="42CE9708" w14:textId="77777777" w:rsidR="00C90C9C" w:rsidRPr="009D258A" w:rsidRDefault="00C90C9C" w:rsidP="00C90C9C">
      <w:pPr>
        <w:pStyle w:val="Text1"/>
        <w:pBdr>
          <w:top w:val="single" w:sz="4" w:space="1" w:color="auto"/>
          <w:left w:val="single" w:sz="4" w:space="4" w:color="auto"/>
          <w:bottom w:val="single" w:sz="4" w:space="1" w:color="auto"/>
          <w:right w:val="single" w:sz="4" w:space="4" w:color="auto"/>
        </w:pBdr>
        <w:rPr>
          <w:noProof/>
          <w:u w:val="single"/>
        </w:rPr>
      </w:pPr>
      <w:r w:rsidRPr="009D258A">
        <w:rPr>
          <w:noProof/>
          <w:u w:val="single"/>
        </w:rPr>
        <w:t>Indikaattori 1</w:t>
      </w:r>
    </w:p>
    <w:p w14:paraId="0A84F529" w14:textId="77777777" w:rsidR="00C90C9C" w:rsidRPr="009D258A" w:rsidRDefault="00C90C9C" w:rsidP="00C90C9C">
      <w:pPr>
        <w:pStyle w:val="Text1"/>
        <w:pBdr>
          <w:top w:val="single" w:sz="4" w:space="1" w:color="auto"/>
          <w:left w:val="single" w:sz="4" w:space="4" w:color="auto"/>
          <w:bottom w:val="single" w:sz="4" w:space="1" w:color="auto"/>
          <w:right w:val="single" w:sz="4" w:space="4" w:color="auto"/>
        </w:pBdr>
        <w:rPr>
          <w:noProof/>
        </w:rPr>
      </w:pPr>
      <w:r w:rsidRPr="009D258A">
        <w:rPr>
          <w:noProof/>
        </w:rPr>
        <w:t>Tekoälytoimistolle osoitettavien seuranta- ja valvontatehtävien piiriin tulevien tekoälyjärjestelmien lukumäärä.</w:t>
      </w:r>
    </w:p>
    <w:p w14:paraId="29BDE4E9" w14:textId="77777777" w:rsidR="00C90C9C" w:rsidRPr="009D258A" w:rsidRDefault="00C90C9C" w:rsidP="00C90C9C">
      <w:pPr>
        <w:pStyle w:val="Text1"/>
        <w:pBdr>
          <w:top w:val="single" w:sz="4" w:space="1" w:color="auto"/>
          <w:left w:val="single" w:sz="4" w:space="4" w:color="auto"/>
          <w:bottom w:val="single" w:sz="4" w:space="1" w:color="auto"/>
          <w:right w:val="single" w:sz="4" w:space="4" w:color="auto"/>
        </w:pBdr>
        <w:rPr>
          <w:noProof/>
          <w:u w:val="single"/>
        </w:rPr>
      </w:pPr>
      <w:r w:rsidRPr="009D258A">
        <w:rPr>
          <w:noProof/>
          <w:u w:val="single"/>
        </w:rPr>
        <w:t>Indikaattori 2</w:t>
      </w:r>
    </w:p>
    <w:p w14:paraId="75038F44" w14:textId="77777777" w:rsidR="00C90C9C" w:rsidRPr="009D258A" w:rsidRDefault="00C90C9C" w:rsidP="4574C7F4">
      <w:pPr>
        <w:pStyle w:val="Text1"/>
        <w:pBdr>
          <w:top w:val="single" w:sz="4" w:space="1" w:color="auto"/>
          <w:left w:val="single" w:sz="4" w:space="4" w:color="auto"/>
          <w:bottom w:val="single" w:sz="4" w:space="1" w:color="auto"/>
          <w:right w:val="single" w:sz="4" w:space="4" w:color="auto"/>
        </w:pBdr>
        <w:rPr>
          <w:noProof/>
        </w:rPr>
      </w:pPr>
      <w:r w:rsidRPr="009D258A">
        <w:rPr>
          <w:noProof/>
        </w:rPr>
        <w:t>EU-tason testiympäristön käyttömahdollisuutta pyytävien tarjoajien ja potentiaalisten tarjoajien lukumäärä.</w:t>
      </w:r>
    </w:p>
    <w:p w14:paraId="249C0EA1" w14:textId="77777777" w:rsidR="009C3EE2" w:rsidRPr="009D258A" w:rsidRDefault="009C3EE2" w:rsidP="0002735A">
      <w:pPr>
        <w:pStyle w:val="ManualHeading2"/>
        <w:rPr>
          <w:noProof/>
        </w:rPr>
      </w:pPr>
      <w:r w:rsidRPr="009D258A">
        <w:rPr>
          <w:noProof/>
        </w:rPr>
        <w:t>1.4.</w:t>
      </w:r>
      <w:r w:rsidRPr="009D258A">
        <w:rPr>
          <w:noProof/>
        </w:rPr>
        <w:tab/>
        <w:t xml:space="preserve">Ehdotus/aloite liittyy </w:t>
      </w:r>
    </w:p>
    <w:p w14:paraId="11E9F1C2" w14:textId="77777777" w:rsidR="009C3EE2" w:rsidRPr="009D258A" w:rsidRDefault="009C3EE2" w:rsidP="0002735A">
      <w:pPr>
        <w:pStyle w:val="Text1"/>
        <w:rPr>
          <w:noProof/>
          <w:sz w:val="22"/>
        </w:rPr>
      </w:pPr>
      <w:r w:rsidRPr="009D258A">
        <w:rPr>
          <w:rFonts w:ascii="Wingdings" w:hAnsi="Wingdings"/>
          <w:noProof/>
          <w:sz w:val="22"/>
        </w:rPr>
        <w:t></w:t>
      </w:r>
      <w:r w:rsidRPr="009D258A">
        <w:rPr>
          <w:i/>
          <w:noProof/>
          <w:sz w:val="22"/>
        </w:rPr>
        <w:t xml:space="preserve"> </w:t>
      </w:r>
      <w:r w:rsidRPr="009D258A">
        <w:rPr>
          <w:noProof/>
        </w:rPr>
        <w:t>uuteen toimeen</w:t>
      </w:r>
      <w:r w:rsidRPr="009D258A">
        <w:rPr>
          <w:noProof/>
          <w:sz w:val="22"/>
        </w:rPr>
        <w:t xml:space="preserve"> </w:t>
      </w:r>
    </w:p>
    <w:p w14:paraId="56EC6CF4" w14:textId="77777777" w:rsidR="009C3EE2" w:rsidRPr="009D258A" w:rsidRDefault="009C3EE2" w:rsidP="0002735A">
      <w:pPr>
        <w:pStyle w:val="Text1"/>
        <w:rPr>
          <w:noProof/>
          <w:sz w:val="22"/>
        </w:rPr>
      </w:pPr>
      <w:r w:rsidRPr="009D258A">
        <w:rPr>
          <w:rFonts w:ascii="Wingdings" w:hAnsi="Wingdings"/>
          <w:noProof/>
          <w:sz w:val="22"/>
        </w:rPr>
        <w:t></w:t>
      </w:r>
      <w:r w:rsidRPr="009D258A">
        <w:rPr>
          <w:i/>
          <w:noProof/>
          <w:sz w:val="22"/>
        </w:rPr>
        <w:t xml:space="preserve"> </w:t>
      </w:r>
      <w:r w:rsidRPr="009D258A">
        <w:rPr>
          <w:noProof/>
        </w:rPr>
        <w:t>uuteen toimeen, joka perustuu pilottihankkeeseen tai valmistelutoimeen</w:t>
      </w:r>
      <w:r w:rsidRPr="009D258A">
        <w:rPr>
          <w:rStyle w:val="FootnoteReference"/>
          <w:noProof/>
        </w:rPr>
        <w:footnoteReference w:id="27"/>
      </w:r>
      <w:r w:rsidRPr="009D258A">
        <w:rPr>
          <w:noProof/>
          <w:sz w:val="22"/>
        </w:rPr>
        <w:t xml:space="preserve"> </w:t>
      </w:r>
    </w:p>
    <w:p w14:paraId="471C9F70" w14:textId="77777777" w:rsidR="009C3EE2" w:rsidRPr="009D258A" w:rsidRDefault="00C90C9C" w:rsidP="0002735A">
      <w:pPr>
        <w:pStyle w:val="Text1"/>
        <w:rPr>
          <w:noProof/>
          <w:sz w:val="22"/>
        </w:rPr>
      </w:pPr>
      <w:r w:rsidRPr="009D258A">
        <w:rPr>
          <w:rFonts w:ascii="Wingdings" w:hAnsi="Wingdings"/>
          <w:noProof/>
          <w:sz w:val="22"/>
        </w:rPr>
        <w:t></w:t>
      </w:r>
      <w:r w:rsidRPr="009D258A">
        <w:rPr>
          <w:i/>
          <w:noProof/>
          <w:sz w:val="22"/>
        </w:rPr>
        <w:t xml:space="preserve"> </w:t>
      </w:r>
      <w:r w:rsidRPr="009D258A">
        <w:rPr>
          <w:noProof/>
        </w:rPr>
        <w:t>käynnissä olevan toimen jatkamiseen</w:t>
      </w:r>
      <w:r w:rsidRPr="009D258A">
        <w:rPr>
          <w:noProof/>
          <w:sz w:val="22"/>
        </w:rPr>
        <w:t xml:space="preserve"> </w:t>
      </w:r>
    </w:p>
    <w:p w14:paraId="301D5A83" w14:textId="77777777" w:rsidR="009C3EE2" w:rsidRPr="009D258A" w:rsidRDefault="009C3EE2" w:rsidP="0002735A">
      <w:pPr>
        <w:pStyle w:val="Text1"/>
        <w:rPr>
          <w:noProof/>
        </w:rPr>
      </w:pPr>
      <w:r w:rsidRPr="009D258A">
        <w:rPr>
          <w:rFonts w:ascii="Wingdings" w:hAnsi="Wingdings"/>
          <w:noProof/>
          <w:sz w:val="22"/>
        </w:rPr>
        <w:t></w:t>
      </w:r>
      <w:r w:rsidRPr="009D258A">
        <w:rPr>
          <w:i/>
          <w:noProof/>
          <w:sz w:val="22"/>
        </w:rPr>
        <w:t xml:space="preserve"> </w:t>
      </w:r>
      <w:r w:rsidRPr="009D258A">
        <w:rPr>
          <w:noProof/>
        </w:rPr>
        <w:t>yhden tai useamman toimen sulauttamiseen tai uudelleen suuntaamiseen johonkin toiseen/uuteen toimeen</w:t>
      </w:r>
    </w:p>
    <w:p w14:paraId="712630B9" w14:textId="77777777" w:rsidR="009C3EE2" w:rsidRPr="009D258A" w:rsidRDefault="009C3EE2" w:rsidP="0002735A">
      <w:pPr>
        <w:pStyle w:val="ManualHeading2"/>
        <w:rPr>
          <w:bCs/>
          <w:noProof/>
          <w:szCs w:val="24"/>
        </w:rPr>
      </w:pPr>
      <w:r w:rsidRPr="009D258A">
        <w:rPr>
          <w:noProof/>
        </w:rPr>
        <w:t>1.5.</w:t>
      </w:r>
      <w:r w:rsidRPr="009D258A">
        <w:rPr>
          <w:noProof/>
        </w:rPr>
        <w:tab/>
        <w:t xml:space="preserve">Ehdotuksen/aloitteen perustelut </w:t>
      </w:r>
    </w:p>
    <w:p w14:paraId="612820F1" w14:textId="77777777" w:rsidR="009C3EE2" w:rsidRPr="009D258A" w:rsidRDefault="009C3EE2" w:rsidP="0002735A">
      <w:pPr>
        <w:pStyle w:val="ManualHeading3"/>
        <w:rPr>
          <w:noProof/>
        </w:rPr>
      </w:pPr>
      <w:r w:rsidRPr="009D258A">
        <w:rPr>
          <w:noProof/>
        </w:rPr>
        <w:t>1.5.1.</w:t>
      </w:r>
      <w:r w:rsidRPr="009D258A">
        <w:rPr>
          <w:noProof/>
        </w:rPr>
        <w:tab/>
        <w:t>Tarpeet, joihin ehdotuksella/aloitteella vastataan lyhyellä tai pitkällä aikavälillä, sekä aloitteen yksityiskohtainen toteutusaikataulu</w:t>
      </w:r>
    </w:p>
    <w:p w14:paraId="5B84A194" w14:textId="550ECF37" w:rsidR="00C90C9C" w:rsidRPr="009D258A" w:rsidRDefault="00C90C9C" w:rsidP="00C90C9C">
      <w:pPr>
        <w:pStyle w:val="Text1"/>
        <w:pBdr>
          <w:top w:val="single" w:sz="4" w:space="1" w:color="auto"/>
          <w:left w:val="single" w:sz="4" w:space="4" w:color="auto"/>
          <w:bottom w:val="single" w:sz="4" w:space="1" w:color="auto"/>
          <w:right w:val="single" w:sz="4" w:space="4" w:color="auto"/>
        </w:pBdr>
        <w:rPr>
          <w:noProof/>
        </w:rPr>
      </w:pPr>
      <w:r w:rsidRPr="009D258A">
        <w:rPr>
          <w:noProof/>
        </w:rPr>
        <w:t>Tekoälytoimiston hallintorakenteen kehittämisen kannalta merkityksellisten lisäelementtien olisi oltava valmiina ennen kuin tekoälyjärjestelmiä koskeva säännöksiä aletaan soveltaa.</w:t>
      </w:r>
    </w:p>
    <w:p w14:paraId="0A37976A" w14:textId="7CD94419" w:rsidR="00C90C9C" w:rsidRPr="009D258A" w:rsidRDefault="00C90C9C" w:rsidP="00C90C9C">
      <w:pPr>
        <w:pStyle w:val="Text1"/>
        <w:pBdr>
          <w:top w:val="single" w:sz="4" w:space="1" w:color="auto"/>
          <w:left w:val="single" w:sz="4" w:space="4" w:color="auto"/>
          <w:bottom w:val="single" w:sz="4" w:space="1" w:color="auto"/>
          <w:right w:val="single" w:sz="4" w:space="4" w:color="auto"/>
        </w:pBdr>
        <w:rPr>
          <w:noProof/>
        </w:rPr>
      </w:pPr>
      <w:r w:rsidRPr="009D258A">
        <w:rPr>
          <w:noProof/>
        </w:rPr>
        <w:t>Ensimmäisen EU-tason testiympäristön odotetaan olevan toiminnassa vuonna 2028, mutta jotkin testiympäristöjen toimintaa sääntelevät yksityiskohdat olisi lyötävä lukkoon jo etukäteen.</w:t>
      </w:r>
    </w:p>
    <w:p w14:paraId="11B87F86" w14:textId="77777777" w:rsidR="009C3EE2" w:rsidRPr="009D258A" w:rsidRDefault="009C3EE2" w:rsidP="0002735A">
      <w:pPr>
        <w:pStyle w:val="ManualHeading3"/>
        <w:rPr>
          <w:bCs/>
          <w:noProof/>
          <w:szCs w:val="24"/>
        </w:rPr>
      </w:pPr>
      <w:r w:rsidRPr="009D258A">
        <w:rPr>
          <w:noProof/>
        </w:rPr>
        <w:t>1.5.2.</w:t>
      </w:r>
      <w:r w:rsidRPr="009D258A">
        <w:rPr>
          <w:noProof/>
        </w:rPr>
        <w:tab/>
        <w:t>EU:n osallistumisesta saatava lisäarvo (joka voi olla seurausta eri tekijöistä, kuten koordinoinnin paranemisesta, oikeusvarmuudesta tai toiminnan vaikuttavuuden tai täydentävyyden paranemisesta). EU:n osallistumisesta saatavalla lisäarvolla tarkoitetaan tässä kohdassa arvoa, jonka EU:n osallistuminen tuottaa sen arvon lisäksi, joka olisi saatu aikaan pelkillä jäsenvaltioiden toimilla.</w:t>
      </w:r>
    </w:p>
    <w:p w14:paraId="6E00EC21" w14:textId="6637792A" w:rsidR="00C90C9C" w:rsidRPr="009D258A" w:rsidRDefault="00C90C9C" w:rsidP="00C90C9C">
      <w:pPr>
        <w:pStyle w:val="Text1"/>
        <w:pBdr>
          <w:top w:val="single" w:sz="4" w:space="1" w:color="auto"/>
          <w:left w:val="single" w:sz="4" w:space="4" w:color="auto"/>
          <w:bottom w:val="single" w:sz="4" w:space="1" w:color="auto"/>
          <w:right w:val="single" w:sz="4" w:space="4" w:color="auto"/>
        </w:pBdr>
        <w:rPr>
          <w:noProof/>
        </w:rPr>
      </w:pPr>
      <w:r w:rsidRPr="009D258A">
        <w:rPr>
          <w:noProof/>
        </w:rPr>
        <w:t>Tekoälytoimistolla tulee olemaan valtuudet seurata ja valvoa kaikkien yleiskäyttöisiin tekoälymalleihin perustuvien tekoälyjärjestelmien vaatimustenmukaisuutta, jos mallin ja järjestelmän on kehittänyt sama toimija, sekä kaikkien erittäin suuriin verkkoalustoihin tai hakukoneisiin sulautettujen tai sellaisen muodostavien tekoälyjärjestelmien vaatimustenmukaisuutta, vaikka järjestelmän tarjoaja ja yleiskäyttöisen tekoälymallin tarjoaja olisivatkin eri toimijoita. Tehtäviä, jotka tekoälytoimiston olisi hoidettava näiden hyvin monenlaisten tekoälyjärjestelmien osalta, ovat muun muassa pyynnöt saada rajoituksessa tutustua dokumentaatioon, koulutus-/validointi-/testausdatajoukkoihin ja tarvittaessa suuririskisten tekoälyjärjestelmien lähdekoodiin, todellisissa olosuhteissa tapahtuvan testauksen valvonta, riskien tunnistaminen ja arviointi, vakavien vaaratilanteiden käsittely, ehkäisevien ja korjaavien toimenpiteiden toteuttaminen varmistaen samalla yhteistyö kansallisten markkinavalvontaviranomaisten kanssa, sellaisten tekoälyjärjestelmien käsittely, jotka tarjoaja on luokitellut muiksi kuin suuririskisiksi, väitettyjä sääntöjenvastaisuuksia koskevien valitusten käsittely ja seuraamusten määrääminen. Lisäksi markkinoille pääsyn mahdollistamiseksi sellaisille tämän säädöksen soveltamisalaan kuuluville tekoälyjärjestelmille, joille on tehtävä tekoälysäädöksen nojalla myös markkinoille saattamista edeltävä kolmannen osapuolen toteuttama vaatimustenmukaisuuden arviointi, tekoälytoimistosta tulee kyseisten vaatimustenmukaisuuden arviointien suorittamisesta vastuussa oleva taho. Kaikki tämä edellyttää resursseja ja tiettyjen täytäntöönpanomenettelyjen laatimista ja toteuttamista sekä asianmukaista teknistä tukea järjestelmien arvioimiseksi.</w:t>
      </w:r>
    </w:p>
    <w:p w14:paraId="346F8D86" w14:textId="77777777" w:rsidR="00C90C9C" w:rsidRPr="009D258A" w:rsidRDefault="00C90C9C" w:rsidP="00C90C9C">
      <w:pPr>
        <w:pStyle w:val="Text1"/>
        <w:pBdr>
          <w:top w:val="single" w:sz="4" w:space="1" w:color="auto"/>
          <w:left w:val="single" w:sz="4" w:space="4" w:color="auto"/>
          <w:bottom w:val="single" w:sz="4" w:space="1" w:color="auto"/>
          <w:right w:val="single" w:sz="4" w:space="4" w:color="auto"/>
        </w:pBdr>
        <w:rPr>
          <w:noProof/>
        </w:rPr>
      </w:pPr>
      <w:r w:rsidRPr="009D258A">
        <w:rPr>
          <w:noProof/>
        </w:rPr>
        <w:t xml:space="preserve">Tekoälytoimiston rooli vaatimusten noudattamisen varmistamisessa edellyttäisi myös synergioiden varmistamista yleiskäyttöisten tekoälymallien arvioinnin kanssa, mikä vahvistaisi kokonaisarviointia sellaisten mallien ja järjestelmien osalta, joiden taustalla on sama toimija. Näin tekoälyjärjestelmistä ja niihin liittyvistä riskeistä saataisiin kattavampi kuva, mikä taas mahdollistaisi tuloksellisemman seurannan ja valvonnan. Tekoälytoimiston on myös otettava huomioon agenttisen tekoälyn aiheuttamat omanlaisensa haasteet, koska agenttinen tekoäly voi toimia itsenäisesti ja tehdä päätöksiä, joilla saattaa olla merkittäviä seurauksia, ja kehitettävä näitä riskejä varten strategioita, jotka ovat linjassa komission toimintapolitiikkojen kanssa. </w:t>
      </w:r>
    </w:p>
    <w:p w14:paraId="369517EF" w14:textId="77777777" w:rsidR="00C90C9C" w:rsidRPr="009D258A" w:rsidRDefault="00C90C9C" w:rsidP="00C90C9C">
      <w:pPr>
        <w:pStyle w:val="Text1"/>
        <w:pBdr>
          <w:top w:val="single" w:sz="4" w:space="1" w:color="auto"/>
          <w:left w:val="single" w:sz="4" w:space="4" w:color="auto"/>
          <w:bottom w:val="single" w:sz="4" w:space="1" w:color="auto"/>
          <w:right w:val="single" w:sz="4" w:space="4" w:color="auto"/>
        </w:pBdr>
        <w:rPr>
          <w:noProof/>
        </w:rPr>
      </w:pPr>
      <w:r w:rsidRPr="009D258A">
        <w:rPr>
          <w:noProof/>
        </w:rPr>
        <w:t>Tekoälytoimiston rakenteen vahvistaminen loisi tekoälyjärjestelmien sääntelyn kannalta EU:ssa lukuisia hyötyjä. Yksi tärkeimmistä hyödyistä on johdonmukaisuus ja yhtenäisyys, jota tämä toisi tekoälysäädöksen soveltamiseen EU:ssa. Kun tekoälysäädöksen noudattamista valvoisi tekoälyjärjestelmien tiettyjen luokkien osalta yksi ja sama viranomainen, ristiriitaisten tulkintojen ja päätösten riski pienenisi merkittävästi. Tämä taas selkeyttäisi ja vakauttaisi toimintaympäristöä EU:ssa toimivien yritysten kannalta.</w:t>
      </w:r>
    </w:p>
    <w:p w14:paraId="10C405E4" w14:textId="77777777" w:rsidR="00C90C9C" w:rsidRPr="009D258A" w:rsidRDefault="00C90C9C" w:rsidP="00C90C9C">
      <w:pPr>
        <w:pStyle w:val="Text1"/>
        <w:pBdr>
          <w:top w:val="single" w:sz="4" w:space="1" w:color="auto"/>
          <w:left w:val="single" w:sz="4" w:space="4" w:color="auto"/>
          <w:bottom w:val="single" w:sz="4" w:space="1" w:color="auto"/>
          <w:right w:val="single" w:sz="4" w:space="4" w:color="auto"/>
        </w:pBdr>
        <w:rPr>
          <w:noProof/>
        </w:rPr>
      </w:pPr>
      <w:r w:rsidRPr="009D258A">
        <w:rPr>
          <w:noProof/>
        </w:rPr>
        <w:t>Lisäksi tämä yksinkertaistaisi yritysten sääntely-ympäristöä, koska niiden tarvitsisi asioida vain yhden sääntelyviranomaisen kanssa useiden kansallisten viranomaisten sijaan. Näin vähennettäisiin monimutkaisuutta ja hallinnollista taakkaa, jota aiheutuu tarpeesta täyttää erilaisten sääntelykehysten vaatimukset, ja annettaisiin yrityksille mahdollisuus keskittyä innovointiin ja kasvuun. Keskitetty lähestymistapa mahdollistaisi myös tekoälyjärjestelmiin ja yleiskäyttöisiin tekoälymalleihin liittyvän erityisasiantuntemuksen kehittymisen komission sisälle, mikä taas mahdollistaisi tekoälysäädöksen tuloksellisemman seurannan ja valvonnan.</w:t>
      </w:r>
    </w:p>
    <w:p w14:paraId="2FAA4095" w14:textId="166E47FA" w:rsidR="3D1C7454" w:rsidRPr="009D258A" w:rsidRDefault="3D1C7454" w:rsidP="008E297A">
      <w:pPr>
        <w:pStyle w:val="Text1"/>
        <w:pBdr>
          <w:top w:val="single" w:sz="4" w:space="1" w:color="auto"/>
          <w:left w:val="single" w:sz="4" w:space="4" w:color="auto"/>
          <w:bottom w:val="single" w:sz="4" w:space="1" w:color="auto"/>
          <w:right w:val="single" w:sz="4" w:space="4" w:color="auto"/>
        </w:pBdr>
        <w:rPr>
          <w:rFonts w:eastAsia="Calibri"/>
          <w:noProof/>
        </w:rPr>
      </w:pPr>
      <w:r w:rsidRPr="009D258A">
        <w:rPr>
          <w:noProof/>
        </w:rPr>
        <w:t>Tällä lähestymistavalla vältettäisiin kyseisiä tekoälyjärjestelmiä koskevat toisistaan poikkeavat kansalliset toimintatavat, jotka voivat johtaa sisämarkkinoiden pirstoutumiseen ja heikentää oikeusvarmuutta alan toimijoiden näkökulmasta. Näin puututtaisiin myös haasteisiin, joita jäsenvaltiot kohtaisivat pyrkiessään turvaamaan erityisosaamista omaavat henkilöstöresurssit tekoälysäädöksen täytäntöönpanosta ja tekoälyjärjestelmien valvonnasta alueellaan vastaaville viranomaisilleen. Keskittämällä markkinavalvontaviranomaisten valtuudet tekoälytoimistoon tämä skenaario antaisi tekoälytoimistolle mahdollisuuden ottaa vastuu tekoälymallin kehittäjän itsensä tarjoamien monimutkaisten tekoälyjärjestelmien sekä alustoihin sulautettujen tai sellaisen muodostavien tekoälyjärjestelmien arvioinnista ja seurannasta, mikä keventäisi kansallisten viranomaisten taakkaa. Näin vivutettaisiin tekoälytoimiston nykyistä asiantuntemusta yleiskäyttöisten tekoälymallien arvioinnissa ja niiden vaatimustenmukaisuuden seurannassa ja luotaisiin ainutlaatuinen erikoisosaamisen ja -valmiuksien keskittymä. Tuloksena syntyisi tekoälytoimisto, jolla olisi hyvät edellytykset harjoittaa johdonmukaista ja tuloksellista valvontaa ja tukea samalla jäsenvaltioita niiden pyrkimyksissä panna tekoälysäädös täytäntöön ja varmistaa yhdenmukainen sääntely-ympäristö koko EU:ssa. Kun tekoälytoimisto hoitaisi nämä lisätehtävät, kansalliset viranomaiset voisivat keskittyä enemmän tekoälysäädöksen mukaisiin täytäntöönpanotoimiinsa, mikä mahdollistaisi resurssien tehokkaamman kohdentamisen ja tekoälysäädöksen tuloksellisemman täytäntöönpanon kaikkialla EU:ssa.</w:t>
      </w:r>
    </w:p>
    <w:p w14:paraId="4B22BC0B" w14:textId="77777777" w:rsidR="009C3EE2" w:rsidRPr="009D258A" w:rsidRDefault="009C3EE2" w:rsidP="0002735A">
      <w:pPr>
        <w:pStyle w:val="ManualHeading3"/>
        <w:rPr>
          <w:noProof/>
        </w:rPr>
      </w:pPr>
      <w:r w:rsidRPr="009D258A">
        <w:rPr>
          <w:noProof/>
        </w:rPr>
        <w:t>1.5.3.</w:t>
      </w:r>
      <w:r w:rsidRPr="009D258A">
        <w:rPr>
          <w:noProof/>
        </w:rPr>
        <w:tab/>
        <w:t>Vastaavista toimista saadut kokemukset</w:t>
      </w:r>
    </w:p>
    <w:p w14:paraId="0E94BF07" w14:textId="77777777" w:rsidR="00C90C9C" w:rsidRPr="009D258A" w:rsidRDefault="00C90C9C" w:rsidP="00C90C9C">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9D258A">
        <w:rPr>
          <w:noProof/>
        </w:rPr>
        <w:t>Euroopan komission kokemukset digipalvelusäädöksen täytäntöönpanosta tarjoavat hyödyllisiä oppeja, joita voidaan soveltaa tekoälysäädöksen täytäntöönpanoon. Tässä yhteydessä merkityksellisiä tekijöitä ovat erityisesti vankka ja läpinäkyvä täytäntöönpanokehys, jossa on selkeät menettelyt digipalvelusäädöksen rikkomisten tutkintaa ja käsittelyä varten, sekä tiivis yhteistyö kansallisten viranomaisten kanssa, jotta valvontatoimet ovat koordinoituja ja tuloksellisia.</w:t>
      </w:r>
    </w:p>
    <w:p w14:paraId="7B711887" w14:textId="77777777" w:rsidR="00C90C9C" w:rsidRPr="009D258A" w:rsidRDefault="00C90C9C" w:rsidP="00C90C9C">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9D258A">
        <w:rPr>
          <w:noProof/>
        </w:rPr>
        <w:t>Komission kokemukset digipalvelusäädöksen täytäntöönpanosta ovat osoittaneet, että tämä lähestymistapa voi tuottaa tulosta pyrittäessä edistämään sääntöjen noudattamista ja suojaamaan käyttäjien oikeuksia. Komissio on esimerkiksi jo ryhtynyt toimiin useita verkkoalustoja vastaan digipalvelusäädöksen rikkomisen vuoksi ja tehnyt yhteistyötä kansallisten viranomaisten kanssa ohjeiden laatimiseksi ja parhaiden käytäntöjen määrittelemiseksi digipalvelusäädöksen noudattamista varten.</w:t>
      </w:r>
    </w:p>
    <w:p w14:paraId="3CC6DA98" w14:textId="77777777" w:rsidR="00C90C9C" w:rsidRPr="009D258A" w:rsidRDefault="00C90C9C" w:rsidP="00C90C9C">
      <w:pPr>
        <w:pStyle w:val="Text1"/>
        <w:pBdr>
          <w:top w:val="single" w:sz="8" w:space="1" w:color="000000"/>
          <w:left w:val="single" w:sz="8" w:space="4" w:color="000000"/>
          <w:bottom w:val="single" w:sz="8" w:space="1" w:color="000000"/>
          <w:right w:val="single" w:sz="8" w:space="4" w:color="000000"/>
        </w:pBdr>
        <w:rPr>
          <w:rFonts w:eastAsia="Times New Roman"/>
          <w:noProof/>
        </w:rPr>
      </w:pPr>
      <w:r w:rsidRPr="009D258A">
        <w:rPr>
          <w:noProof/>
        </w:rPr>
        <w:t>Komissio voi digipalvelusäädöksen noudattamisen valvonnasta saatujen kokemusten pohjalta kehittää tekoälysäädökselle tehokkaan valvontakehyksen, jolla edistetään sääntöjen noudattamista ja tuetaan luotettavan ja innovatiivisen tekoälyekosysteemin kehittymistä EU:hun. Tähän sisältyy tekoälytoimiston täytäntöönpanoroolin vahvistaminen, jotta voidaan asianmukaisesti seurata ja valvoa tiettyjä tekoälyjärjestelmien luokkia, ja tiivis yhteistyö kansallisten viranomaisten kanssa sen varmistamiseksi, että tekoälysäädöksen noudattamista valvotaan johdonmukaisesti ja tuloksellisesti.</w:t>
      </w:r>
    </w:p>
    <w:p w14:paraId="33BCD442" w14:textId="77777777" w:rsidR="00C90C9C" w:rsidRPr="009D258A" w:rsidRDefault="00C90C9C" w:rsidP="4574C7F4">
      <w:pPr>
        <w:pStyle w:val="Text1"/>
        <w:pBdr>
          <w:top w:val="single" w:sz="8" w:space="1" w:color="000000"/>
          <w:left w:val="single" w:sz="8" w:space="4" w:color="000000"/>
          <w:bottom w:val="single" w:sz="8" w:space="1" w:color="000000"/>
          <w:right w:val="single" w:sz="8" w:space="4" w:color="000000"/>
        </w:pBdr>
        <w:rPr>
          <w:rFonts w:eastAsia="Times New Roman"/>
          <w:noProof/>
        </w:rPr>
      </w:pPr>
      <w:r w:rsidRPr="009D258A">
        <w:rPr>
          <w:noProof/>
        </w:rPr>
        <w:t>Mahdollisuuden tarjota EU-tason testiympäristö olisi katsottava täydentävän kansallisella tasolla perustettuja testiympäristöjä, ja se olisi toteutettava tavalla, jolla helpotetaan kansallisten toimivaltaisten viranomaisten välistä rajat ylittävää yhteistyötä. </w:t>
      </w:r>
    </w:p>
    <w:p w14:paraId="6E27B60D" w14:textId="77777777" w:rsidR="009C3EE2" w:rsidRPr="009D258A" w:rsidRDefault="009C3EE2" w:rsidP="0002735A">
      <w:pPr>
        <w:pStyle w:val="ManualHeading3"/>
        <w:rPr>
          <w:noProof/>
        </w:rPr>
      </w:pPr>
      <w:r w:rsidRPr="009D258A">
        <w:rPr>
          <w:noProof/>
        </w:rPr>
        <w:t>1.5.4.</w:t>
      </w:r>
      <w:r w:rsidRPr="009D258A">
        <w:rPr>
          <w:noProof/>
        </w:rPr>
        <w:tab/>
        <w:t>Yhteensopivuus monivuotisen rahoituskehyksen kanssa ja mahdolliset synergiaedut suhteessa muihin kyseeseen tuleviin välineisiin</w:t>
      </w:r>
    </w:p>
    <w:p w14:paraId="047FF4E8" w14:textId="1FCBF8F8" w:rsidR="00C90C9C" w:rsidRPr="009D258A" w:rsidRDefault="00C90C9C" w:rsidP="00C90C9C">
      <w:pPr>
        <w:pStyle w:val="Text1"/>
        <w:pBdr>
          <w:top w:val="single" w:sz="8" w:space="1" w:color="000000"/>
          <w:left w:val="single" w:sz="8" w:space="4" w:color="000000"/>
          <w:bottom w:val="single" w:sz="8" w:space="1" w:color="000000"/>
          <w:right w:val="single" w:sz="8" w:space="4" w:color="000000"/>
        </w:pBdr>
        <w:rPr>
          <w:noProof/>
        </w:rPr>
      </w:pPr>
      <w:r w:rsidRPr="009D258A">
        <w:rPr>
          <w:noProof/>
        </w:rPr>
        <w:t>Tässä aloitteessa tekoälysäädökseen ehdotetut muutokset lisäisivät merkittävästi tekoälytoimiston seurannan ja valvonnan piiriin kuuluvien tekoälyjärjestelmien määrää ja vastaavasti niiden järjestelmien määrää, joilla olisi mahdollisuus hyödyntää EU-tason testiympäristöä. Jotta tämän laajentuminen voidaan hoitaa tuloksellisesti, on olennaisen tärkeää vahvistaa EU:n tason sääntely- ja koordinointitehtävää, kuten tässä aloitteessa ehdotetaan. Tällainen vahvistaminen antaisi tekoälytoimistolle mahdollisuudet valvoa tuloksellisesti kasvavaa määrää tekoälyjärjestelmiä, varmistaa sääntelykehyksen noudattaminen ja tarjota innovointia ja testausta tukeva ympäristö EU-tason testiympäristön kautta.</w:t>
      </w:r>
    </w:p>
    <w:p w14:paraId="3BE31636" w14:textId="77777777" w:rsidR="009C3EE2" w:rsidRPr="009D258A" w:rsidRDefault="009C3EE2" w:rsidP="0002735A">
      <w:pPr>
        <w:pStyle w:val="ManualHeading3"/>
        <w:rPr>
          <w:noProof/>
        </w:rPr>
      </w:pPr>
      <w:r w:rsidRPr="009D258A">
        <w:rPr>
          <w:noProof/>
        </w:rPr>
        <w:t>1.5.5.</w:t>
      </w:r>
      <w:r w:rsidRPr="009D258A">
        <w:rPr>
          <w:noProof/>
        </w:rPr>
        <w:tab/>
        <w:t>Arvio käytettävissä olevista rahoitusvaihtoehdoista, mukaan lukien mahdollisuudet määrärahojen uudelleenkohdentamiseen</w:t>
      </w:r>
    </w:p>
    <w:p w14:paraId="4ED1DAFA" w14:textId="327B4083" w:rsidR="00C90C9C" w:rsidRPr="009D258A" w:rsidRDefault="36EBDA1E" w:rsidP="008E297A">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9D258A">
        <w:rPr>
          <w:noProof/>
        </w:rPr>
        <w:t>Tekoälytoimisto pyrkii kohdentamaan osan henkilöstöstään uusiin tehtäviin, mutta se kykenee täyttämään tarpeen vain osittain (15 kokoaikaista työntekijää), koska henkilöstö on tällä hetkellä kokonaan osoitettu tehtäviin, jotka liittyvät suoraan tekoälysäädöksen oikea-aikaisen ja asianmukaisen täytäntöönpanon varmistamiseen. Uusia resursseja tarvitaan (arviolta 38 kokoaikaista työntekijää lisää), jotta uudet valvontatehtävät voidaan hoitaa tehokkaasti.</w:t>
      </w:r>
    </w:p>
    <w:p w14:paraId="1F118AE5" w14:textId="09D3EE5D" w:rsidR="00C90C9C" w:rsidRPr="009D258A" w:rsidRDefault="36EBDA1E" w:rsidP="31B4421B">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9D258A">
        <w:rPr>
          <w:noProof/>
        </w:rPr>
        <w:t xml:space="preserve">Tekoälytoimisto pyrkii löytämään erityisesti kollegoita, joilla on oikeudellista ja menettelyihin liittyvää asiantuntemusta ja jotka voivat ottaa hoitaakseen osan tulevista uusista valvontatehtävistä. Tässä vaiheessa arvioidaan, että noin viisi sopimussuhteista toimihenkilöä, joilla on tarvittava profiili, voidaan siirtää tähän tarkoitukseen. </w:t>
      </w:r>
    </w:p>
    <w:p w14:paraId="00FDEABB" w14:textId="25EB500C" w:rsidR="00C90C9C" w:rsidRPr="009D258A" w:rsidRDefault="36EBDA1E" w:rsidP="008E297A">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9D258A">
        <w:rPr>
          <w:noProof/>
        </w:rPr>
        <w:t>Lisäksi tekoälytoimisto pyrkii siirtämään uusiin tehtäviin viisi virkahenkilöä.</w:t>
      </w:r>
    </w:p>
    <w:p w14:paraId="68E8D4F3" w14:textId="143EE55D" w:rsidR="00C90C9C" w:rsidRPr="009D258A" w:rsidRDefault="36EBDA1E" w:rsidP="31B4421B">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9D258A">
        <w:rPr>
          <w:noProof/>
        </w:rPr>
        <w:t>Tekoälytoimisto aikoo saada sen seurannan piiriin kuuluvien tekoälyjärjestelmien EU-tason testiympäristön täysin toimintakykyiseksi vuonna 2028, mikä mahdollistaa testiympäristön perustamista ja toimintaa varten tarvituista sopimussuhteisista toimihenkilöistä kolmen uudelleensijoittamisen uusiin tehtäviin. Tämän vaiheittaisen lähestymistavan avulla voitaisiin varmistaa testiympäristön täysi toimintavalmius vuoteen 2028 mennessä ja erityisesti antaa tekoälytoimistolle aikaa löytää tehtävään parhaiten soveltuva henkilöstö ja varmistaa asianmukainen projektinhallinta innovatiivisten tekoälyjärjestelmien kehittämisen, koulutuksen, testauksen ja validoinnin helpottamiseksi.</w:t>
      </w:r>
    </w:p>
    <w:p w14:paraId="24E25AAF" w14:textId="68C44042" w:rsidR="00C90C9C" w:rsidRPr="009D258A" w:rsidRDefault="36EBDA1E" w:rsidP="31B4421B">
      <w:pPr>
        <w:pStyle w:val="Text1"/>
        <w:pBdr>
          <w:top w:val="single" w:sz="8" w:space="1" w:color="000000"/>
          <w:left w:val="single" w:sz="8" w:space="4" w:color="000000"/>
          <w:bottom w:val="single" w:sz="8" w:space="1" w:color="000000"/>
          <w:right w:val="single" w:sz="8" w:space="4" w:color="000000"/>
        </w:pBdr>
        <w:rPr>
          <w:rFonts w:eastAsia="Times New Roman"/>
          <w:noProof/>
          <w:szCs w:val="24"/>
        </w:rPr>
      </w:pPr>
      <w:r w:rsidRPr="009D258A">
        <w:rPr>
          <w:noProof/>
        </w:rPr>
        <w:t xml:space="preserve">Lisäksi tekoälytoimisto selvittää mahdollisuuksia laajentaa tekoälysäädöstä tukevia tietoteknisiä välineitä (jotka ovat tällä hetkellä enimmäkseen kehitys- tai testausvaiheessa) kattamaan myös tarvittavat uudet valvontatoimet (esim. tapausten käsittely, tekoälyjärjestelmien rekisteri, seuranta ja raportointi, tiedonvaihto viranomaisten kanssa). Näiden tietoteknisten välineiden ylläpitoon siirretään kaksi kokoaikaista työntekijää, joilla on tietotekniikka- ja hallintoprofiili. Tämä auttaisi kattamaan osittain uusiin tehtäviin liittyvät hallinnolliset tarpeet. </w:t>
      </w:r>
    </w:p>
    <w:p w14:paraId="39CFE1CE" w14:textId="28088260" w:rsidR="00C90C9C" w:rsidRPr="009D258A" w:rsidRDefault="36EBDA1E" w:rsidP="008E297A">
      <w:pPr>
        <w:pStyle w:val="Text1"/>
        <w:pBdr>
          <w:top w:val="single" w:sz="8" w:space="1" w:color="000000"/>
          <w:left w:val="single" w:sz="8" w:space="4" w:color="000000"/>
          <w:bottom w:val="single" w:sz="8" w:space="1" w:color="000000"/>
          <w:right w:val="single" w:sz="8" w:space="4" w:color="000000"/>
        </w:pBdr>
        <w:rPr>
          <w:rFonts w:eastAsia="Times New Roman"/>
          <w:noProof/>
        </w:rPr>
      </w:pPr>
      <w:r w:rsidRPr="009D258A">
        <w:rPr>
          <w:noProof/>
        </w:rPr>
        <w:t xml:space="preserve">Kaiken kaikkiaan nämä uudelleenkohdentamiset ja synergiat auttavat vastaamaan joihinkin uusien valvontatehtävien aiheuttamiin henkilöstötarpeisiin, mutta tekoälysäädöksen tuloksellisen täytäntöönpanon varmistamiseksi tarvitaan lisäresursseja. </w:t>
      </w:r>
    </w:p>
    <w:p w14:paraId="11D7FCB9" w14:textId="5B13F973" w:rsidR="00C90C9C" w:rsidRPr="009D258A" w:rsidRDefault="00C90C9C" w:rsidP="00C90C9C">
      <w:pPr>
        <w:pStyle w:val="Text1"/>
        <w:pBdr>
          <w:top w:val="single" w:sz="8" w:space="1" w:color="000000"/>
          <w:left w:val="single" w:sz="8" w:space="4" w:color="000000"/>
          <w:bottom w:val="single" w:sz="8" w:space="1" w:color="000000"/>
          <w:right w:val="single" w:sz="8" w:space="4" w:color="000000"/>
        </w:pBdr>
        <w:rPr>
          <w:noProof/>
        </w:rPr>
      </w:pPr>
      <w:r w:rsidRPr="009D258A">
        <w:rPr>
          <w:noProof/>
        </w:rPr>
        <w:t>Lisähenkilöstö rahoitetaan Digitaalinen Eurooppa -ohjelman tukimenoista, koska ehdotettujen muutosten tavoitteet edistävät suoraan yhtä Digitaalinen Eurooppa -ohjelman keskeistä tavoitetta eli tekoälyn kehittämisen ja käyttöönoton nopeuttamista Euroopassa.</w:t>
      </w:r>
    </w:p>
    <w:p w14:paraId="2606F649" w14:textId="77777777" w:rsidR="009C3EE2" w:rsidRPr="009D258A" w:rsidRDefault="009C3EE2" w:rsidP="0002735A">
      <w:pPr>
        <w:pStyle w:val="ManualHeading2"/>
        <w:rPr>
          <w:bCs/>
          <w:noProof/>
          <w:szCs w:val="24"/>
        </w:rPr>
      </w:pPr>
      <w:r w:rsidRPr="009D258A">
        <w:rPr>
          <w:noProof/>
        </w:rPr>
        <w:br w:type="page"/>
        <w:t>1.6.</w:t>
      </w:r>
      <w:r w:rsidRPr="009D258A">
        <w:rPr>
          <w:noProof/>
        </w:rPr>
        <w:tab/>
        <w:t>Ehdotetun toimen/aloitteen ja sen rahoitusvaikutusten kesto</w:t>
      </w:r>
    </w:p>
    <w:p w14:paraId="74232762" w14:textId="77777777" w:rsidR="009C3EE2" w:rsidRPr="009D258A" w:rsidRDefault="009C3EE2" w:rsidP="0002735A">
      <w:pPr>
        <w:pStyle w:val="Text1"/>
        <w:rPr>
          <w:noProof/>
        </w:rPr>
      </w:pPr>
      <w:r w:rsidRPr="009D258A">
        <w:rPr>
          <w:rFonts w:ascii="Wingdings" w:hAnsi="Wingdings"/>
          <w:noProof/>
        </w:rPr>
        <w:t></w:t>
      </w:r>
      <w:r w:rsidRPr="009D258A">
        <w:rPr>
          <w:b/>
          <w:i/>
          <w:noProof/>
        </w:rPr>
        <w:t xml:space="preserve"> </w:t>
      </w:r>
      <w:r w:rsidRPr="009D258A">
        <w:rPr>
          <w:b/>
          <w:noProof/>
        </w:rPr>
        <w:t xml:space="preserve">kesto on rajattu </w:t>
      </w:r>
    </w:p>
    <w:p w14:paraId="03AAC4C7" w14:textId="77777777" w:rsidR="009C3EE2" w:rsidRPr="009D258A" w:rsidRDefault="009C3EE2" w:rsidP="0002735A">
      <w:pPr>
        <w:pStyle w:val="ListDash2"/>
        <w:rPr>
          <w:noProof/>
        </w:rPr>
      </w:pPr>
      <w:r w:rsidRPr="009D258A">
        <w:rPr>
          <w:rFonts w:ascii="Wingdings" w:hAnsi="Wingdings"/>
          <w:noProof/>
        </w:rPr>
        <w:t></w:t>
      </w:r>
      <w:r w:rsidRPr="009D258A">
        <w:rPr>
          <w:noProof/>
        </w:rPr>
        <w:tab/>
        <w:t xml:space="preserve">Toiminta alkaa [PP/KK]VVVV ja päättyy [PP/KK]VVVV. </w:t>
      </w:r>
    </w:p>
    <w:p w14:paraId="494BC89B" w14:textId="77777777" w:rsidR="009C3EE2" w:rsidRPr="009D258A" w:rsidRDefault="009C3EE2" w:rsidP="0002735A">
      <w:pPr>
        <w:pStyle w:val="ListDash2"/>
        <w:rPr>
          <w:noProof/>
        </w:rPr>
      </w:pPr>
      <w:r w:rsidRPr="009D258A">
        <w:rPr>
          <w:rFonts w:ascii="Wingdings" w:hAnsi="Wingdings"/>
          <w:noProof/>
        </w:rPr>
        <w:t></w:t>
      </w:r>
      <w:r w:rsidRPr="009D258A">
        <w:rPr>
          <w:noProof/>
        </w:rPr>
        <w:tab/>
        <w:t xml:space="preserve">Maksusitoumusmäärärahoihin kohdistuvat rahoitusvaikutukset koskevat vuosia VVVV–VVVV ja maksumäärärahoihin kohdistuvat rahoitusvaikutukset vuosia VVVV–VVVV. </w:t>
      </w:r>
    </w:p>
    <w:p w14:paraId="7B5BB2A1" w14:textId="77777777" w:rsidR="00C90C9C" w:rsidRPr="009D258A" w:rsidRDefault="00C90C9C" w:rsidP="00C90C9C">
      <w:pPr>
        <w:pStyle w:val="Text1"/>
        <w:rPr>
          <w:noProof/>
        </w:rPr>
      </w:pPr>
      <w:r w:rsidRPr="009D258A">
        <w:rPr>
          <w:rFonts w:ascii="Wingdings" w:hAnsi="Wingdings"/>
          <w:noProof/>
        </w:rPr>
        <w:t></w:t>
      </w:r>
      <w:r w:rsidRPr="009D258A">
        <w:rPr>
          <w:b/>
          <w:i/>
          <w:noProof/>
        </w:rPr>
        <w:t xml:space="preserve"> </w:t>
      </w:r>
      <w:r w:rsidRPr="009D258A">
        <w:rPr>
          <w:b/>
          <w:noProof/>
        </w:rPr>
        <w:t>kestoa ei ole rajattu</w:t>
      </w:r>
    </w:p>
    <w:p w14:paraId="07E0BFE8" w14:textId="77777777" w:rsidR="00C90C9C" w:rsidRPr="009D258A" w:rsidRDefault="00C90C9C" w:rsidP="00C90C9C">
      <w:pPr>
        <w:pStyle w:val="ListDash1"/>
        <w:rPr>
          <w:noProof/>
        </w:rPr>
      </w:pPr>
      <w:r w:rsidRPr="009D258A">
        <w:rPr>
          <w:noProof/>
        </w:rPr>
        <w:t>Käynnistysvaihe alkaa vuonna 2026 ja päättyy vuonna 2027,</w:t>
      </w:r>
    </w:p>
    <w:p w14:paraId="542ECCAB" w14:textId="77777777" w:rsidR="009C3EE2" w:rsidRPr="009D258A" w:rsidRDefault="009C3EE2" w:rsidP="0002735A">
      <w:pPr>
        <w:pStyle w:val="ListDash1"/>
        <w:rPr>
          <w:noProof/>
        </w:rPr>
      </w:pPr>
      <w:r w:rsidRPr="009D258A">
        <w:rPr>
          <w:noProof/>
        </w:rPr>
        <w:t>minkä jälkeen toteutus täydessä laajuudessa.</w:t>
      </w:r>
    </w:p>
    <w:p w14:paraId="226EAE77" w14:textId="77777777" w:rsidR="00C90C9C" w:rsidRPr="009D258A" w:rsidRDefault="00C90C9C" w:rsidP="00C90C9C">
      <w:pPr>
        <w:pStyle w:val="ManualHeading2"/>
        <w:rPr>
          <w:b w:val="0"/>
          <w:noProof/>
        </w:rPr>
      </w:pPr>
      <w:r w:rsidRPr="009D258A">
        <w:rPr>
          <w:noProof/>
        </w:rPr>
        <w:t>1.7.</w:t>
      </w:r>
      <w:r w:rsidRPr="009D258A">
        <w:rPr>
          <w:noProof/>
        </w:rPr>
        <w:tab/>
        <w:t xml:space="preserve">Suunniteltu talousarvion toteuttamistapa / Suunnitellut talousarvion toteuttamistavat </w:t>
      </w:r>
    </w:p>
    <w:p w14:paraId="0B27C5C1" w14:textId="77777777" w:rsidR="009C3EE2" w:rsidRPr="009D258A" w:rsidRDefault="00C90C9C" w:rsidP="0002735A">
      <w:pPr>
        <w:pStyle w:val="Text1"/>
        <w:rPr>
          <w:noProof/>
        </w:rPr>
      </w:pPr>
      <w:r w:rsidRPr="009D258A">
        <w:rPr>
          <w:rFonts w:ascii="Wingdings" w:hAnsi="Wingdings"/>
          <w:noProof/>
        </w:rPr>
        <w:t></w:t>
      </w:r>
      <w:r w:rsidRPr="009D258A">
        <w:rPr>
          <w:i/>
          <w:noProof/>
        </w:rPr>
        <w:t xml:space="preserve"> </w:t>
      </w:r>
      <w:r w:rsidRPr="009D258A">
        <w:rPr>
          <w:b/>
          <w:noProof/>
        </w:rPr>
        <w:t>Suora hallinnointi</w:t>
      </w:r>
      <w:r w:rsidRPr="009D258A">
        <w:rPr>
          <w:noProof/>
        </w:rPr>
        <w:t>, jonka komissio toteuttaa käyttämällä</w:t>
      </w:r>
    </w:p>
    <w:p w14:paraId="0FDA2B46" w14:textId="77777777" w:rsidR="009C3EE2" w:rsidRPr="009D258A" w:rsidRDefault="009C3EE2" w:rsidP="0002735A">
      <w:pPr>
        <w:pStyle w:val="ListDash2"/>
        <w:rPr>
          <w:rFonts w:cs="EUAlbertina"/>
          <w:noProof/>
        </w:rPr>
      </w:pPr>
      <w:r w:rsidRPr="009D258A">
        <w:rPr>
          <w:rFonts w:ascii="Wingdings" w:hAnsi="Wingdings"/>
          <w:noProof/>
        </w:rPr>
        <w:t></w:t>
      </w:r>
      <w:r w:rsidRPr="009D258A">
        <w:rPr>
          <w:noProof/>
        </w:rPr>
        <w:t xml:space="preserve"> yksiköitään, myös unionin edustustoissa olevaa henkilöstöään </w:t>
      </w:r>
    </w:p>
    <w:p w14:paraId="3FBACBB6" w14:textId="77777777" w:rsidR="009C3EE2" w:rsidRPr="009D258A" w:rsidRDefault="009C3EE2" w:rsidP="0002735A">
      <w:pPr>
        <w:pStyle w:val="ListDash2"/>
        <w:rPr>
          <w:noProof/>
        </w:rPr>
      </w:pPr>
      <w:r w:rsidRPr="009D258A">
        <w:rPr>
          <w:rFonts w:ascii="Wingdings" w:hAnsi="Wingdings"/>
          <w:noProof/>
        </w:rPr>
        <w:t></w:t>
      </w:r>
      <w:r w:rsidRPr="009D258A">
        <w:rPr>
          <w:noProof/>
        </w:rPr>
        <w:t xml:space="preserve"> toimeenpanovirastoja </w:t>
      </w:r>
    </w:p>
    <w:p w14:paraId="7C25D031" w14:textId="77777777" w:rsidR="009C3EE2" w:rsidRPr="009D258A" w:rsidRDefault="009C3EE2" w:rsidP="0002735A">
      <w:pPr>
        <w:pStyle w:val="Text1"/>
        <w:rPr>
          <w:noProof/>
        </w:rPr>
      </w:pPr>
      <w:r w:rsidRPr="009D258A">
        <w:rPr>
          <w:rFonts w:ascii="Wingdings" w:hAnsi="Wingdings"/>
          <w:noProof/>
        </w:rPr>
        <w:t></w:t>
      </w:r>
      <w:r w:rsidRPr="009D258A">
        <w:rPr>
          <w:b/>
          <w:i/>
          <w:noProof/>
        </w:rPr>
        <w:t xml:space="preserve"> </w:t>
      </w:r>
      <w:r w:rsidRPr="009D258A">
        <w:rPr>
          <w:b/>
          <w:noProof/>
        </w:rPr>
        <w:t>Hallinnointi yhteistyössä</w:t>
      </w:r>
      <w:r w:rsidRPr="009D258A">
        <w:rPr>
          <w:noProof/>
        </w:rPr>
        <w:t xml:space="preserve"> jäsenvaltioiden kanssa </w:t>
      </w:r>
    </w:p>
    <w:p w14:paraId="51B0E827" w14:textId="77777777" w:rsidR="009C3EE2" w:rsidRPr="009D258A" w:rsidRDefault="009C3EE2" w:rsidP="0002735A">
      <w:pPr>
        <w:pStyle w:val="Text1"/>
        <w:rPr>
          <w:noProof/>
        </w:rPr>
      </w:pPr>
      <w:r w:rsidRPr="009D258A">
        <w:rPr>
          <w:rFonts w:ascii="Wingdings" w:hAnsi="Wingdings"/>
          <w:noProof/>
        </w:rPr>
        <w:t></w:t>
      </w:r>
      <w:r w:rsidRPr="009D258A">
        <w:rPr>
          <w:i/>
          <w:noProof/>
        </w:rPr>
        <w:t xml:space="preserve"> </w:t>
      </w:r>
      <w:r w:rsidRPr="009D258A">
        <w:rPr>
          <w:b/>
          <w:noProof/>
        </w:rPr>
        <w:t>Välillinen hallinnointi</w:t>
      </w:r>
      <w:r w:rsidRPr="009D258A">
        <w:rPr>
          <w:noProof/>
        </w:rPr>
        <w:t>, jossa täytäntöönpanotehtäviä on siirretty</w:t>
      </w:r>
    </w:p>
    <w:p w14:paraId="0AC6FFDB" w14:textId="77777777" w:rsidR="009C3EE2" w:rsidRPr="009D258A" w:rsidRDefault="009C3EE2" w:rsidP="0002735A">
      <w:pPr>
        <w:pStyle w:val="ListDash2"/>
        <w:rPr>
          <w:noProof/>
        </w:rPr>
      </w:pPr>
      <w:r w:rsidRPr="009D258A">
        <w:rPr>
          <w:rFonts w:ascii="Wingdings" w:hAnsi="Wingdings"/>
          <w:noProof/>
        </w:rPr>
        <w:t></w:t>
      </w:r>
      <w:r w:rsidRPr="009D258A">
        <w:rPr>
          <w:noProof/>
        </w:rPr>
        <w:t xml:space="preserve"> kolmansille maille tai niiden nimeämille elimille</w:t>
      </w:r>
    </w:p>
    <w:p w14:paraId="0F522650" w14:textId="77777777" w:rsidR="009C3EE2" w:rsidRPr="009D258A" w:rsidRDefault="009C3EE2" w:rsidP="0002735A">
      <w:pPr>
        <w:pStyle w:val="ListDash2"/>
        <w:rPr>
          <w:noProof/>
        </w:rPr>
      </w:pPr>
      <w:r w:rsidRPr="009D258A">
        <w:rPr>
          <w:rFonts w:ascii="Wingdings" w:hAnsi="Wingdings"/>
          <w:noProof/>
        </w:rPr>
        <w:t></w:t>
      </w:r>
      <w:r w:rsidRPr="009D258A">
        <w:rPr>
          <w:noProof/>
        </w:rPr>
        <w:t xml:space="preserve"> kansainvälisille järjestöille ja niiden erityisjärjestöille (tarkennettava)</w:t>
      </w:r>
    </w:p>
    <w:p w14:paraId="5D9495EA" w14:textId="77777777" w:rsidR="009C3EE2" w:rsidRPr="009D258A" w:rsidRDefault="009C3EE2" w:rsidP="0002735A">
      <w:pPr>
        <w:pStyle w:val="ListDash2"/>
        <w:rPr>
          <w:noProof/>
        </w:rPr>
      </w:pPr>
      <w:r w:rsidRPr="009D258A">
        <w:rPr>
          <w:rFonts w:ascii="Wingdings" w:hAnsi="Wingdings"/>
          <w:noProof/>
        </w:rPr>
        <w:t></w:t>
      </w:r>
      <w:r w:rsidRPr="009D258A">
        <w:rPr>
          <w:noProof/>
        </w:rPr>
        <w:t xml:space="preserve"> Euroopan investointipankille ja Euroopan investointirahastolle</w:t>
      </w:r>
    </w:p>
    <w:p w14:paraId="28481D75" w14:textId="77777777" w:rsidR="009C3EE2" w:rsidRPr="009D258A" w:rsidRDefault="009C3EE2" w:rsidP="0002735A">
      <w:pPr>
        <w:pStyle w:val="ListDash2"/>
        <w:rPr>
          <w:noProof/>
        </w:rPr>
      </w:pPr>
      <w:r w:rsidRPr="009D258A">
        <w:rPr>
          <w:rFonts w:ascii="Wingdings" w:hAnsi="Wingdings"/>
          <w:noProof/>
        </w:rPr>
        <w:t></w:t>
      </w:r>
      <w:r w:rsidRPr="009D258A">
        <w:rPr>
          <w:noProof/>
        </w:rPr>
        <w:t xml:space="preserve"> varainhoitoasetuksen 70 ja 71 artiklassa tarkoitetuille elimille</w:t>
      </w:r>
    </w:p>
    <w:p w14:paraId="719ED71C" w14:textId="77777777" w:rsidR="009C3EE2" w:rsidRPr="009D258A" w:rsidRDefault="009C3EE2" w:rsidP="0002735A">
      <w:pPr>
        <w:pStyle w:val="ListDash2"/>
        <w:rPr>
          <w:noProof/>
        </w:rPr>
      </w:pPr>
      <w:r w:rsidRPr="009D258A">
        <w:rPr>
          <w:rFonts w:ascii="Wingdings" w:hAnsi="Wingdings"/>
          <w:noProof/>
        </w:rPr>
        <w:t></w:t>
      </w:r>
      <w:r w:rsidRPr="009D258A">
        <w:rPr>
          <w:noProof/>
        </w:rPr>
        <w:t xml:space="preserve"> julkisoikeudellisille yhteisöille</w:t>
      </w:r>
    </w:p>
    <w:p w14:paraId="75AF438E" w14:textId="77777777" w:rsidR="009C3EE2" w:rsidRPr="009D258A" w:rsidRDefault="009C3EE2" w:rsidP="0002735A">
      <w:pPr>
        <w:pStyle w:val="ListDash2"/>
        <w:rPr>
          <w:noProof/>
        </w:rPr>
      </w:pPr>
      <w:r w:rsidRPr="009D258A">
        <w:rPr>
          <w:rFonts w:ascii="Wingdings" w:hAnsi="Wingdings"/>
          <w:noProof/>
        </w:rPr>
        <w:t></w:t>
      </w:r>
      <w:r w:rsidRPr="009D258A">
        <w:rPr>
          <w:noProof/>
        </w:rPr>
        <w:t xml:space="preserve"> sellaisille julkisen palvelun tehtäviä hoitaville yksityisoikeudellisille elimille, joille annetaan riittävät rahoitustakuut</w:t>
      </w:r>
    </w:p>
    <w:p w14:paraId="5FBF9E7D" w14:textId="77777777" w:rsidR="009C3EE2" w:rsidRPr="009D258A" w:rsidRDefault="009C3EE2" w:rsidP="0002735A">
      <w:pPr>
        <w:pStyle w:val="ListDash2"/>
        <w:rPr>
          <w:noProof/>
        </w:rPr>
      </w:pPr>
      <w:r w:rsidRPr="009D258A">
        <w:rPr>
          <w:rFonts w:ascii="Wingdings" w:hAnsi="Wingdings"/>
          <w:noProof/>
        </w:rPr>
        <w:t></w:t>
      </w:r>
      <w:r w:rsidRPr="009D258A">
        <w:rPr>
          <w:noProof/>
        </w:rPr>
        <w:t xml:space="preserve"> sellaisille jäsenvaltion yksityisoikeuden mukaisille elimille, joille on annettu tehtäväksi julkisen ja yksityisen sektorin kumppanuuden täytäntöönpano ja joille annetaan riittävät rahoitustakuut</w:t>
      </w:r>
    </w:p>
    <w:p w14:paraId="552FFDA5" w14:textId="77777777" w:rsidR="009C3EE2" w:rsidRPr="009D258A" w:rsidRDefault="009C3EE2" w:rsidP="0002735A">
      <w:pPr>
        <w:pStyle w:val="ListDash2"/>
        <w:rPr>
          <w:noProof/>
        </w:rPr>
      </w:pPr>
      <w:r w:rsidRPr="009D258A">
        <w:rPr>
          <w:rFonts w:ascii="Wingdings" w:hAnsi="Wingdings"/>
          <w:noProof/>
        </w:rPr>
        <w:t></w:t>
      </w:r>
      <w:r w:rsidRPr="009D258A">
        <w:rPr>
          <w:noProof/>
        </w:rPr>
        <w:t xml:space="preserve"> sellaisille elimille tai henkilöille, joille on annettu tehtäväksi toteuttaa Euroopan unionista tehdyn sopimuksen V osaston mukaisia yhteisen ulko- ja turvallisuuspolitiikan erityistoimia ja jotka nimetään asiaa koskevassa perussäädöksessä</w:t>
      </w:r>
    </w:p>
    <w:p w14:paraId="2D2293C9" w14:textId="77777777" w:rsidR="009C3EE2" w:rsidRPr="009D258A" w:rsidRDefault="009C3EE2" w:rsidP="0002735A">
      <w:pPr>
        <w:pStyle w:val="ListDash2"/>
        <w:rPr>
          <w:noProof/>
        </w:rPr>
      </w:pPr>
      <w:r w:rsidRPr="009D258A">
        <w:rPr>
          <w:rFonts w:ascii="Wingdings" w:hAnsi="Wingdings"/>
          <w:noProof/>
        </w:rPr>
        <w:t></w:t>
      </w:r>
      <w:r w:rsidRPr="009D258A">
        <w:rPr>
          <w:noProof/>
        </w:rPr>
        <w:t xml:space="preserve"> jäsenvaltioon sijoittautuneille jäsenvaltion yksityisoikeuden tai unionin oikeuden mukaisille elimille, joille voidaan alakohtaisten sääntöjen mukaisesti antaa tehtäväksi unionin varojen tai talousarviotakuiden hoitaminen, siltä osin kuin tällaiset elimet ovat julkisoikeudellisten elinten tai julkisen palvelun tehtäviä hoitavien yksityisoikeudellisten elinten määräysvallassa ja niillä on asianomaisten määräysvaltaa käyttävien elinten yhteisvastuullisten vakuuksien muodossa antamat riittävät rahoitustakuut tai vastaavat rahoitustakuut, jotka voidaan kunkin toimen osalta rajoittaa unionin tuen enimmäismäärään.</w:t>
      </w:r>
    </w:p>
    <w:p w14:paraId="228C4EA1" w14:textId="77777777" w:rsidR="009C3EE2" w:rsidRPr="009D258A" w:rsidRDefault="009C3EE2" w:rsidP="0002735A">
      <w:pPr>
        <w:rPr>
          <w:noProof/>
        </w:rPr>
        <w:sectPr w:rsidR="009C3EE2" w:rsidRPr="009D258A" w:rsidSect="0053045F">
          <w:pgSz w:w="11907" w:h="16840" w:code="9"/>
          <w:pgMar w:top="1134" w:right="1418" w:bottom="1134" w:left="1418" w:header="709" w:footer="709" w:gutter="0"/>
          <w:cols w:space="708"/>
          <w:docGrid w:linePitch="360"/>
        </w:sectPr>
      </w:pPr>
    </w:p>
    <w:p w14:paraId="7BB12A56" w14:textId="77777777" w:rsidR="009C3EE2" w:rsidRPr="009D258A" w:rsidRDefault="009C3EE2" w:rsidP="0002735A">
      <w:pPr>
        <w:pStyle w:val="ManualHeading1"/>
        <w:rPr>
          <w:bCs/>
          <w:noProof/>
          <w:szCs w:val="24"/>
        </w:rPr>
      </w:pPr>
      <w:r w:rsidRPr="009D258A">
        <w:rPr>
          <w:noProof/>
        </w:rPr>
        <w:t>2.</w:t>
      </w:r>
      <w:r w:rsidRPr="009D258A">
        <w:rPr>
          <w:noProof/>
        </w:rPr>
        <w:tab/>
        <w:t xml:space="preserve">HALLINNOINTI </w:t>
      </w:r>
    </w:p>
    <w:p w14:paraId="56B219C1" w14:textId="77777777" w:rsidR="009C3EE2" w:rsidRPr="009D258A" w:rsidRDefault="009C3EE2" w:rsidP="0002735A">
      <w:pPr>
        <w:pStyle w:val="ManualHeading2"/>
        <w:rPr>
          <w:noProof/>
        </w:rPr>
      </w:pPr>
      <w:r w:rsidRPr="009D258A">
        <w:rPr>
          <w:noProof/>
        </w:rPr>
        <w:t>2.1.</w:t>
      </w:r>
      <w:r w:rsidRPr="009D258A">
        <w:rPr>
          <w:noProof/>
        </w:rPr>
        <w:tab/>
        <w:t xml:space="preserve">Seuranta- ja raportointisäännöt </w:t>
      </w:r>
    </w:p>
    <w:p w14:paraId="0992EC57" w14:textId="77777777" w:rsidR="009C3EE2" w:rsidRPr="009D258A" w:rsidRDefault="009C3EE2" w:rsidP="0002735A">
      <w:pPr>
        <w:pStyle w:val="Text1"/>
        <w:rPr>
          <w:noProof/>
        </w:rPr>
      </w:pPr>
      <w:r w:rsidRPr="009D258A">
        <w:rPr>
          <w:noProof/>
        </w:rPr>
        <w:t>Ilmoitetaan sovellettavat aikavälit ja edellytykset.</w:t>
      </w:r>
    </w:p>
    <w:p w14:paraId="6481764F" w14:textId="77777777" w:rsidR="00C90C9C" w:rsidRPr="009D258A" w:rsidRDefault="00C90C9C" w:rsidP="00C90C9C">
      <w:pPr>
        <w:pStyle w:val="Text1"/>
        <w:pBdr>
          <w:top w:val="single" w:sz="8" w:space="1" w:color="000000"/>
          <w:left w:val="single" w:sz="8" w:space="4" w:color="000000"/>
          <w:bottom w:val="single" w:sz="8" w:space="1" w:color="000000"/>
          <w:right w:val="single" w:sz="8" w:space="4" w:color="000000"/>
        </w:pBdr>
        <w:rPr>
          <w:noProof/>
        </w:rPr>
      </w:pPr>
      <w:r w:rsidRPr="009D258A">
        <w:rPr>
          <w:noProof/>
        </w:rPr>
        <w:t>Vahvistettuja säännöksiä tarkastellaan uudelleen ja arvioidaan koko tekoälysäädöksen arvioinnin yhteydessä elokuussa 2029. Komissio raportoi arvioinnin tuloksista Euroopan parlamentille, neuvostolle ja Euroopan talous- ja sosiaalikomitealle.</w:t>
      </w:r>
    </w:p>
    <w:p w14:paraId="55A49116" w14:textId="77777777" w:rsidR="009C3EE2" w:rsidRPr="009D258A" w:rsidRDefault="009C3EE2" w:rsidP="0002735A">
      <w:pPr>
        <w:pStyle w:val="ManualHeading2"/>
        <w:rPr>
          <w:bCs/>
          <w:noProof/>
          <w:szCs w:val="24"/>
        </w:rPr>
      </w:pPr>
      <w:r w:rsidRPr="009D258A">
        <w:rPr>
          <w:noProof/>
        </w:rPr>
        <w:t>2.2.</w:t>
      </w:r>
      <w:r w:rsidRPr="009D258A">
        <w:rPr>
          <w:noProof/>
        </w:rPr>
        <w:tab/>
        <w:t xml:space="preserve">Hallinnointi- ja valvontajärjestelmä(t) </w:t>
      </w:r>
    </w:p>
    <w:p w14:paraId="255ED169" w14:textId="77777777" w:rsidR="009C3EE2" w:rsidRPr="009D258A" w:rsidRDefault="009C3EE2" w:rsidP="0002735A">
      <w:pPr>
        <w:pStyle w:val="ManualHeading3"/>
        <w:rPr>
          <w:noProof/>
        </w:rPr>
      </w:pPr>
      <w:r w:rsidRPr="009D258A">
        <w:rPr>
          <w:noProof/>
        </w:rPr>
        <w:t>2.2.1.</w:t>
      </w:r>
      <w:r w:rsidRPr="009D258A">
        <w:rPr>
          <w:noProof/>
        </w:rPr>
        <w:tab/>
        <w:t>Perustelut ehdotetu(i)lle talousarvion toteuttamistavalle(/-tavoille), rahoituksen toteutusmekanismille(/-mekanismeille), maksujärjestelyille sekä valvontastrategialle</w:t>
      </w:r>
    </w:p>
    <w:p w14:paraId="41946982" w14:textId="77777777" w:rsidR="00C90C9C" w:rsidRPr="009D258A" w:rsidRDefault="00C90C9C" w:rsidP="00C90C9C">
      <w:pPr>
        <w:pStyle w:val="Text1"/>
        <w:pBdr>
          <w:top w:val="single" w:sz="8" w:space="1" w:color="000000"/>
          <w:left w:val="single" w:sz="8" w:space="4" w:color="000000"/>
          <w:bottom w:val="single" w:sz="8" w:space="1" w:color="000000"/>
          <w:right w:val="single" w:sz="8" w:space="4" w:color="000000"/>
        </w:pBdr>
        <w:rPr>
          <w:noProof/>
        </w:rPr>
      </w:pPr>
      <w:r w:rsidRPr="009D258A">
        <w:rPr>
          <w:noProof/>
        </w:rPr>
        <w:t>Asetuksella vahvistetaan EU-tason politiikkaa tekoälyjärjestelmien tarjoamista sisämarkkinoilla koskevien yhdenmukaistettujen sääntöjen osalta ja varmistetaan samalla turvallisuus ja perusoikeuksien kunnioittaminen. Yksinkertaistetulla keskitetyllä valvonnalla varmistetaan johdonmukaisuus tämän asetuksen mukaisten velvoitteiden soveltamisessa rajojen yli.</w:t>
      </w:r>
    </w:p>
    <w:p w14:paraId="75A07B30" w14:textId="77777777" w:rsidR="00C90C9C" w:rsidRPr="009D258A" w:rsidRDefault="00C90C9C" w:rsidP="00C90C9C">
      <w:pPr>
        <w:pBdr>
          <w:top w:val="single" w:sz="8" w:space="1" w:color="000000"/>
          <w:left w:val="single" w:sz="8" w:space="4" w:color="000000"/>
          <w:bottom w:val="single" w:sz="8" w:space="1" w:color="000000"/>
          <w:right w:val="single" w:sz="8" w:space="4" w:color="000000"/>
        </w:pBdr>
        <w:ind w:left="850"/>
        <w:rPr>
          <w:rFonts w:eastAsia="Times New Roman"/>
          <w:noProof/>
        </w:rPr>
      </w:pPr>
      <w:r w:rsidRPr="009D258A">
        <w:rPr>
          <w:noProof/>
        </w:rPr>
        <w:t>Näiden uusien tehtävien hoitamiseksi komission yksiköille pitää antaa tarvittavat resurssit. Uuden asetuksen täytäntöönpanon arvioidaan edellyttävän 53 kokoaikaista työntekijää.</w:t>
      </w:r>
    </w:p>
    <w:p w14:paraId="28A2CDE9" w14:textId="77777777" w:rsidR="009C3EE2" w:rsidRPr="009D258A" w:rsidRDefault="009C3EE2" w:rsidP="0002735A">
      <w:pPr>
        <w:pStyle w:val="ManualHeading3"/>
        <w:rPr>
          <w:bCs/>
          <w:noProof/>
          <w:szCs w:val="24"/>
        </w:rPr>
      </w:pPr>
      <w:r w:rsidRPr="009D258A">
        <w:rPr>
          <w:noProof/>
        </w:rPr>
        <w:t>2.2.2.</w:t>
      </w:r>
      <w:r w:rsidRPr="009D258A">
        <w:rPr>
          <w:noProof/>
        </w:rPr>
        <w:tab/>
        <w:t>Tiedot todetuista riskeistä ja niiden vähentämiseksi käyttöön otetuista sisäisistä valvontajärjestelmistä</w:t>
      </w:r>
    </w:p>
    <w:p w14:paraId="08C225A9" w14:textId="77777777" w:rsidR="00C90C9C" w:rsidRPr="009D258A" w:rsidRDefault="00C90C9C" w:rsidP="00C90C9C">
      <w:pPr>
        <w:pBdr>
          <w:top w:val="single" w:sz="8" w:space="1" w:color="000000"/>
          <w:left w:val="single" w:sz="8" w:space="4" w:color="000000"/>
          <w:bottom w:val="single" w:sz="8" w:space="1" w:color="000000"/>
          <w:right w:val="single" w:sz="8" w:space="4" w:color="000000"/>
        </w:pBdr>
        <w:ind w:left="850"/>
        <w:rPr>
          <w:rFonts w:eastAsia="Times New Roman"/>
          <w:noProof/>
        </w:rPr>
      </w:pPr>
      <w:r w:rsidRPr="009D258A">
        <w:rPr>
          <w:noProof/>
        </w:rPr>
        <w:t>Riskit vastaavat komission toimien tavanomaisia riskejä, ja ne katetaan asianmukaisesti nykyisillä vakiomuotoisilla riskinminimointimenettelyillä.</w:t>
      </w:r>
    </w:p>
    <w:p w14:paraId="1B2B78D9" w14:textId="77777777" w:rsidR="009C3EE2" w:rsidRPr="009D258A" w:rsidRDefault="009C3EE2" w:rsidP="0002735A">
      <w:pPr>
        <w:pStyle w:val="ManualHeading3"/>
        <w:rPr>
          <w:noProof/>
        </w:rPr>
      </w:pPr>
      <w:r w:rsidRPr="009D258A">
        <w:rPr>
          <w:noProof/>
        </w:rPr>
        <w:t>2.2.3.</w:t>
      </w:r>
      <w:r w:rsidRPr="009D258A">
        <w:rPr>
          <w:noProof/>
        </w:rPr>
        <w:tab/>
        <w:t xml:space="preserve">Valvonnan kustannustehokkuutta (valvontakustannusten suhde hallinnoitujen varojen arvoon) koskevat arviot ja perustelut sekä arviot maksujen suoritusajankohdan ja toimen päättämisajankohdan odotetuista virheriskitasoista </w:t>
      </w:r>
    </w:p>
    <w:p w14:paraId="6DC7D600" w14:textId="77777777" w:rsidR="00C90C9C" w:rsidRPr="009D258A" w:rsidRDefault="00C90C9C" w:rsidP="00C90C9C">
      <w:pPr>
        <w:pBdr>
          <w:top w:val="single" w:sz="8" w:space="1" w:color="000000"/>
          <w:left w:val="single" w:sz="8" w:space="4" w:color="000000"/>
          <w:bottom w:val="single" w:sz="8" w:space="0" w:color="000000"/>
          <w:right w:val="single" w:sz="8" w:space="4" w:color="000000"/>
        </w:pBdr>
        <w:ind w:left="850"/>
        <w:rPr>
          <w:noProof/>
        </w:rPr>
      </w:pPr>
      <w:r w:rsidRPr="009D258A">
        <w:rPr>
          <w:noProof/>
        </w:rPr>
        <w:t xml:space="preserve">Kun otetaan huomioon kokouskulujen alhainen arvo tapahtumaa kohden (esim. kokousedustajan matkakulujen korvaaminen), tavanomaiset valvontamenettelyt vaikuttavat riittäviltä. </w:t>
      </w:r>
    </w:p>
    <w:p w14:paraId="2669AE8B" w14:textId="77777777" w:rsidR="009C3EE2" w:rsidRPr="009D258A" w:rsidRDefault="009C3EE2" w:rsidP="0002735A">
      <w:pPr>
        <w:pStyle w:val="ManualHeading2"/>
        <w:rPr>
          <w:bCs/>
          <w:noProof/>
          <w:szCs w:val="24"/>
        </w:rPr>
      </w:pPr>
      <w:r w:rsidRPr="009D258A">
        <w:rPr>
          <w:noProof/>
        </w:rPr>
        <w:t>2.3.</w:t>
      </w:r>
      <w:r w:rsidRPr="009D258A">
        <w:rPr>
          <w:noProof/>
        </w:rPr>
        <w:tab/>
        <w:t xml:space="preserve">Toimenpiteet petosten ja sääntöjenvastaisuuksien ehkäisemiseksi </w:t>
      </w:r>
    </w:p>
    <w:p w14:paraId="3F59DDBE" w14:textId="77777777" w:rsidR="009C3EE2" w:rsidRPr="009D258A" w:rsidRDefault="009C3EE2" w:rsidP="0002735A">
      <w:pPr>
        <w:pStyle w:val="Text1"/>
        <w:rPr>
          <w:noProof/>
        </w:rPr>
      </w:pPr>
      <w:r w:rsidRPr="009D258A">
        <w:rPr>
          <w:noProof/>
        </w:rPr>
        <w:t>Ilmoitetaan käytössä olevat ja suunnitellut ehkäisy- ja suojatoimenpiteet, esimerkiksi petostentorjuntastrategian pohjalta.</w:t>
      </w:r>
    </w:p>
    <w:p w14:paraId="759C944B" w14:textId="77777777" w:rsidR="00C90C9C" w:rsidRPr="009D258A" w:rsidRDefault="00C90C9C" w:rsidP="00C90C9C">
      <w:pPr>
        <w:pStyle w:val="Text1"/>
        <w:pBdr>
          <w:top w:val="single" w:sz="8" w:space="1" w:color="000000"/>
          <w:left w:val="single" w:sz="8" w:space="4" w:color="000000"/>
          <w:bottom w:val="single" w:sz="8" w:space="1" w:color="000000"/>
          <w:right w:val="single" w:sz="8" w:space="4" w:color="000000"/>
        </w:pBdr>
        <w:rPr>
          <w:noProof/>
        </w:rPr>
      </w:pPr>
      <w:r w:rsidRPr="009D258A">
        <w:rPr>
          <w:noProof/>
        </w:rPr>
        <w:t>Komissioon nykyisin sovellettavat petostentorjunnan toimenpiteet kattavat tämän asetuksen soveltamiseksi tarvittavat lisämäärärahat.</w:t>
      </w:r>
    </w:p>
    <w:p w14:paraId="12F1EC06" w14:textId="77777777" w:rsidR="009C3EE2" w:rsidRPr="009D258A" w:rsidRDefault="009C3EE2" w:rsidP="0002735A">
      <w:pPr>
        <w:rPr>
          <w:noProof/>
        </w:rPr>
        <w:sectPr w:rsidR="009C3EE2" w:rsidRPr="009D258A" w:rsidSect="0053045F">
          <w:pgSz w:w="11907" w:h="16840" w:code="9"/>
          <w:pgMar w:top="1134" w:right="1418" w:bottom="1134" w:left="1418" w:header="709" w:footer="709" w:gutter="0"/>
          <w:cols w:space="708"/>
          <w:docGrid w:linePitch="360"/>
        </w:sectPr>
      </w:pPr>
    </w:p>
    <w:p w14:paraId="65F84F82" w14:textId="77777777" w:rsidR="009C3EE2" w:rsidRPr="009D258A" w:rsidRDefault="009C3EE2" w:rsidP="0002735A">
      <w:pPr>
        <w:pStyle w:val="ManualHeading1"/>
        <w:rPr>
          <w:bCs/>
          <w:noProof/>
          <w:szCs w:val="24"/>
        </w:rPr>
      </w:pPr>
      <w:r w:rsidRPr="009D258A">
        <w:rPr>
          <w:noProof/>
        </w:rPr>
        <w:t>3.</w:t>
      </w:r>
      <w:r w:rsidRPr="009D258A">
        <w:rPr>
          <w:noProof/>
        </w:rPr>
        <w:tab/>
        <w:t xml:space="preserve">EHDOTUKSEN/ALOITTEEN ARVIOIDUT RAHOITUSVAIKUTUKSET </w:t>
      </w:r>
    </w:p>
    <w:p w14:paraId="020F2A50" w14:textId="77777777" w:rsidR="009C3EE2" w:rsidRPr="009D258A" w:rsidRDefault="009C3EE2" w:rsidP="0002735A">
      <w:pPr>
        <w:pStyle w:val="ManualHeading2"/>
        <w:rPr>
          <w:noProof/>
        </w:rPr>
      </w:pPr>
      <w:r w:rsidRPr="009D258A">
        <w:rPr>
          <w:noProof/>
        </w:rPr>
        <w:t>3.1.</w:t>
      </w:r>
      <w:r w:rsidRPr="009D258A">
        <w:rPr>
          <w:noProof/>
        </w:rPr>
        <w:tab/>
        <w:t xml:space="preserve">Kyseeseen tulevat monivuotisen rahoituskehyksen otsakkeet ja menopuolen budjettikohdat </w:t>
      </w:r>
    </w:p>
    <w:p w14:paraId="1AD6EAC0" w14:textId="77777777" w:rsidR="009C3EE2" w:rsidRPr="009D258A" w:rsidRDefault="009C3EE2" w:rsidP="0002735A">
      <w:pPr>
        <w:pStyle w:val="ListBullet1"/>
        <w:rPr>
          <w:noProof/>
        </w:rPr>
      </w:pPr>
      <w:r w:rsidRPr="009D258A">
        <w:rPr>
          <w:noProof/>
        </w:rPr>
        <w:t xml:space="preserve">Talousarviossa jo olevat budjettikohdat </w:t>
      </w:r>
    </w:p>
    <w:p w14:paraId="41F87742" w14:textId="77777777" w:rsidR="009C3EE2" w:rsidRPr="009D258A" w:rsidRDefault="009C3EE2" w:rsidP="0002735A">
      <w:pPr>
        <w:pStyle w:val="Text1"/>
        <w:rPr>
          <w:i/>
          <w:noProof/>
        </w:rPr>
      </w:pPr>
      <w:r w:rsidRPr="009D258A">
        <w:rPr>
          <w:i/>
          <w:noProof/>
        </w:rPr>
        <w:t xml:space="preserve">Monivuotisen rahoituskehyksen otsakkeiden ja budjettikohtien mukaisessa </w:t>
      </w:r>
      <w:r w:rsidRPr="009D258A">
        <w:rPr>
          <w:i/>
          <w:noProof/>
          <w:u w:val="single"/>
        </w:rPr>
        <w:t>järjestyksessä</w:t>
      </w:r>
      <w:r w:rsidRPr="009D258A">
        <w:rPr>
          <w:i/>
          <w:noProof/>
        </w:rPr>
        <w:t>.</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C90C9C" w:rsidRPr="009D258A" w14:paraId="4A4D77D5" w14:textId="77777777" w:rsidTr="00DE5C0D">
        <w:trPr>
          <w:jc w:val="center"/>
        </w:trPr>
        <w:tc>
          <w:tcPr>
            <w:tcW w:w="1092" w:type="dxa"/>
            <w:vMerge w:val="restart"/>
            <w:vAlign w:val="center"/>
          </w:tcPr>
          <w:p w14:paraId="7403EF99" w14:textId="77777777" w:rsidR="00C90C9C" w:rsidRPr="009D258A" w:rsidRDefault="00C90C9C" w:rsidP="00DE5C0D">
            <w:pPr>
              <w:spacing w:before="60" w:after="60"/>
              <w:jc w:val="center"/>
              <w:rPr>
                <w:noProof/>
              </w:rPr>
            </w:pPr>
            <w:r w:rsidRPr="009D258A">
              <w:rPr>
                <w:noProof/>
                <w:sz w:val="18"/>
              </w:rPr>
              <w:t>Monivuotisen rahoituskehyksen otsake</w:t>
            </w:r>
          </w:p>
        </w:tc>
        <w:tc>
          <w:tcPr>
            <w:tcW w:w="4002" w:type="dxa"/>
            <w:vAlign w:val="center"/>
          </w:tcPr>
          <w:p w14:paraId="560BAB81" w14:textId="77777777" w:rsidR="00C90C9C" w:rsidRPr="009D258A" w:rsidRDefault="00C90C9C" w:rsidP="00DE5C0D">
            <w:pPr>
              <w:spacing w:before="60" w:after="60"/>
              <w:jc w:val="center"/>
              <w:rPr>
                <w:noProof/>
              </w:rPr>
            </w:pPr>
            <w:r w:rsidRPr="009D258A">
              <w:rPr>
                <w:noProof/>
                <w:sz w:val="20"/>
              </w:rPr>
              <w:t>Budjettikohta</w:t>
            </w:r>
          </w:p>
        </w:tc>
        <w:tc>
          <w:tcPr>
            <w:tcW w:w="1092" w:type="dxa"/>
            <w:vAlign w:val="center"/>
          </w:tcPr>
          <w:p w14:paraId="18BF557F" w14:textId="77777777" w:rsidR="00C90C9C" w:rsidRPr="009D258A" w:rsidRDefault="00C90C9C" w:rsidP="00DE5C0D">
            <w:pPr>
              <w:spacing w:before="60" w:after="60"/>
              <w:jc w:val="center"/>
              <w:rPr>
                <w:noProof/>
              </w:rPr>
            </w:pPr>
            <w:r w:rsidRPr="009D258A">
              <w:rPr>
                <w:noProof/>
                <w:sz w:val="18"/>
              </w:rPr>
              <w:t>Menolaji</w:t>
            </w:r>
          </w:p>
        </w:tc>
        <w:tc>
          <w:tcPr>
            <w:tcW w:w="4487" w:type="dxa"/>
            <w:gridSpan w:val="4"/>
            <w:vAlign w:val="center"/>
          </w:tcPr>
          <w:p w14:paraId="7F3FB69C" w14:textId="77777777" w:rsidR="00C90C9C" w:rsidRPr="009D258A" w:rsidRDefault="00C90C9C" w:rsidP="00DE5C0D">
            <w:pPr>
              <w:spacing w:before="60" w:after="60"/>
              <w:jc w:val="center"/>
              <w:rPr>
                <w:noProof/>
              </w:rPr>
            </w:pPr>
            <w:r w:rsidRPr="009D258A">
              <w:rPr>
                <w:noProof/>
                <w:sz w:val="20"/>
              </w:rPr>
              <w:t xml:space="preserve">Rahoitusosuudet </w:t>
            </w:r>
          </w:p>
        </w:tc>
      </w:tr>
      <w:tr w:rsidR="00C90C9C" w:rsidRPr="009D258A" w14:paraId="2748B299" w14:textId="77777777" w:rsidTr="00DE5C0D">
        <w:trPr>
          <w:cantSplit/>
          <w:jc w:val="center"/>
        </w:trPr>
        <w:tc>
          <w:tcPr>
            <w:tcW w:w="1092" w:type="dxa"/>
            <w:vMerge/>
            <w:vAlign w:val="center"/>
          </w:tcPr>
          <w:p w14:paraId="18FAF548" w14:textId="77777777" w:rsidR="00C90C9C" w:rsidRPr="009D258A" w:rsidRDefault="00C90C9C" w:rsidP="00DE5C0D">
            <w:pPr>
              <w:jc w:val="center"/>
              <w:rPr>
                <w:noProof/>
              </w:rPr>
            </w:pPr>
          </w:p>
        </w:tc>
        <w:tc>
          <w:tcPr>
            <w:tcW w:w="4002" w:type="dxa"/>
            <w:vAlign w:val="center"/>
          </w:tcPr>
          <w:p w14:paraId="6EA088E5" w14:textId="77777777" w:rsidR="00C90C9C" w:rsidRPr="009D258A" w:rsidRDefault="00C90C9C" w:rsidP="00DE5C0D">
            <w:pPr>
              <w:rPr>
                <w:noProof/>
              </w:rPr>
            </w:pPr>
            <w:r w:rsidRPr="009D258A">
              <w:rPr>
                <w:noProof/>
                <w:sz w:val="20"/>
              </w:rPr>
              <w:t xml:space="preserve">Numero </w:t>
            </w:r>
            <w:r w:rsidRPr="009D258A">
              <w:rPr>
                <w:noProof/>
              </w:rPr>
              <w:t xml:space="preserve"> </w:t>
            </w:r>
            <w:r w:rsidRPr="009D258A">
              <w:rPr>
                <w:noProof/>
              </w:rPr>
              <w:br/>
            </w:r>
          </w:p>
        </w:tc>
        <w:tc>
          <w:tcPr>
            <w:tcW w:w="1092" w:type="dxa"/>
            <w:vAlign w:val="center"/>
          </w:tcPr>
          <w:p w14:paraId="1FB0ACCF" w14:textId="77777777" w:rsidR="00C90C9C" w:rsidRPr="009D258A" w:rsidRDefault="00C90C9C" w:rsidP="00DE5C0D">
            <w:pPr>
              <w:jc w:val="center"/>
              <w:rPr>
                <w:noProof/>
              </w:rPr>
            </w:pPr>
            <w:r w:rsidRPr="009D258A">
              <w:rPr>
                <w:noProof/>
                <w:sz w:val="18"/>
              </w:rPr>
              <w:t>JM/EI-JM</w:t>
            </w:r>
            <w:r w:rsidRPr="009D258A">
              <w:rPr>
                <w:rStyle w:val="FootnoteReference"/>
                <w:noProof/>
                <w:sz w:val="18"/>
              </w:rPr>
              <w:footnoteReference w:id="28"/>
            </w:r>
          </w:p>
        </w:tc>
        <w:tc>
          <w:tcPr>
            <w:tcW w:w="966" w:type="dxa"/>
            <w:vAlign w:val="center"/>
          </w:tcPr>
          <w:p w14:paraId="57E23F2A" w14:textId="77777777" w:rsidR="00C90C9C" w:rsidRPr="009D258A" w:rsidRDefault="00C90C9C" w:rsidP="00DE5C0D">
            <w:pPr>
              <w:jc w:val="center"/>
              <w:rPr>
                <w:b/>
                <w:noProof/>
                <w:sz w:val="18"/>
              </w:rPr>
            </w:pPr>
            <w:r w:rsidRPr="009D258A">
              <w:rPr>
                <w:noProof/>
                <w:sz w:val="18"/>
              </w:rPr>
              <w:t>EFTA-mailta</w:t>
            </w:r>
            <w:r w:rsidRPr="009D258A">
              <w:rPr>
                <w:rStyle w:val="FootnoteReference"/>
                <w:noProof/>
                <w:sz w:val="18"/>
              </w:rPr>
              <w:footnoteReference w:id="29"/>
            </w:r>
          </w:p>
        </w:tc>
        <w:tc>
          <w:tcPr>
            <w:tcW w:w="1092" w:type="dxa"/>
            <w:vAlign w:val="center"/>
          </w:tcPr>
          <w:p w14:paraId="1D9E106B" w14:textId="77777777" w:rsidR="00C90C9C" w:rsidRPr="009D258A" w:rsidRDefault="00C90C9C" w:rsidP="00DE5C0D">
            <w:pPr>
              <w:jc w:val="center"/>
              <w:rPr>
                <w:noProof/>
                <w:sz w:val="18"/>
              </w:rPr>
            </w:pPr>
            <w:r w:rsidRPr="009D258A">
              <w:rPr>
                <w:noProof/>
                <w:sz w:val="18"/>
              </w:rPr>
              <w:t>ehdokasmailta ja mahdollisilta ehdokasmailta</w:t>
            </w:r>
            <w:r w:rsidRPr="009D258A">
              <w:rPr>
                <w:rStyle w:val="FootnoteReference"/>
                <w:noProof/>
                <w:sz w:val="18"/>
              </w:rPr>
              <w:footnoteReference w:id="30"/>
            </w:r>
          </w:p>
        </w:tc>
        <w:tc>
          <w:tcPr>
            <w:tcW w:w="966" w:type="dxa"/>
            <w:vAlign w:val="center"/>
          </w:tcPr>
          <w:p w14:paraId="53E88A66" w14:textId="77777777" w:rsidR="00C90C9C" w:rsidRPr="009D258A" w:rsidRDefault="00C90C9C" w:rsidP="00DE5C0D">
            <w:pPr>
              <w:jc w:val="center"/>
              <w:rPr>
                <w:noProof/>
                <w:sz w:val="18"/>
              </w:rPr>
            </w:pPr>
            <w:r w:rsidRPr="009D258A">
              <w:rPr>
                <w:noProof/>
                <w:sz w:val="18"/>
              </w:rPr>
              <w:t>muilta kolmansilta mailta</w:t>
            </w:r>
          </w:p>
        </w:tc>
        <w:tc>
          <w:tcPr>
            <w:tcW w:w="1463" w:type="dxa"/>
            <w:vAlign w:val="center"/>
          </w:tcPr>
          <w:p w14:paraId="1B12475E" w14:textId="77777777" w:rsidR="00C90C9C" w:rsidRPr="009D258A" w:rsidRDefault="00C90C9C" w:rsidP="00DE5C0D">
            <w:pPr>
              <w:jc w:val="center"/>
              <w:rPr>
                <w:noProof/>
              </w:rPr>
            </w:pPr>
            <w:r w:rsidRPr="009D258A">
              <w:rPr>
                <w:noProof/>
                <w:sz w:val="18"/>
              </w:rPr>
              <w:t>muut käyttötarkoitukseensa sidotut tulot</w:t>
            </w:r>
          </w:p>
        </w:tc>
      </w:tr>
      <w:tr w:rsidR="00C90C9C" w:rsidRPr="009D258A" w14:paraId="002A9C64" w14:textId="77777777" w:rsidTr="00DE5C0D">
        <w:trPr>
          <w:jc w:val="center"/>
        </w:trPr>
        <w:tc>
          <w:tcPr>
            <w:tcW w:w="1092" w:type="dxa"/>
            <w:vAlign w:val="center"/>
          </w:tcPr>
          <w:p w14:paraId="2AF85C11" w14:textId="77777777" w:rsidR="00C90C9C" w:rsidRPr="009D258A" w:rsidRDefault="00C90C9C" w:rsidP="00DE5C0D">
            <w:pPr>
              <w:jc w:val="center"/>
              <w:rPr>
                <w:noProof/>
              </w:rPr>
            </w:pPr>
            <w:r w:rsidRPr="009D258A">
              <w:rPr>
                <w:noProof/>
                <w:color w:val="0000FF"/>
              </w:rPr>
              <w:t>7</w:t>
            </w:r>
          </w:p>
        </w:tc>
        <w:tc>
          <w:tcPr>
            <w:tcW w:w="4002" w:type="dxa"/>
            <w:vAlign w:val="center"/>
          </w:tcPr>
          <w:p w14:paraId="14F0D2C4" w14:textId="77777777" w:rsidR="00C90C9C" w:rsidRPr="009D258A" w:rsidRDefault="00C90C9C" w:rsidP="00DE5C0D">
            <w:pPr>
              <w:spacing w:before="60"/>
              <w:rPr>
                <w:noProof/>
              </w:rPr>
            </w:pPr>
            <w:r w:rsidRPr="009D258A">
              <w:rPr>
                <w:noProof/>
              </w:rPr>
              <w:t xml:space="preserve">20 02 06 </w:t>
            </w:r>
            <w:r w:rsidRPr="009D258A">
              <w:rPr>
                <w:noProof/>
                <w:sz w:val="22"/>
              </w:rPr>
              <w:t>Hallintokulut</w:t>
            </w:r>
          </w:p>
        </w:tc>
        <w:tc>
          <w:tcPr>
            <w:tcW w:w="1092" w:type="dxa"/>
            <w:vAlign w:val="center"/>
          </w:tcPr>
          <w:p w14:paraId="75D273D4" w14:textId="77777777" w:rsidR="00C90C9C" w:rsidRPr="009D258A" w:rsidRDefault="00C90C9C" w:rsidP="00DE5C0D">
            <w:pPr>
              <w:jc w:val="center"/>
              <w:rPr>
                <w:noProof/>
              </w:rPr>
            </w:pPr>
            <w:r w:rsidRPr="009D258A">
              <w:rPr>
                <w:noProof/>
                <w:sz w:val="22"/>
              </w:rPr>
              <w:t>Ei-JM</w:t>
            </w:r>
          </w:p>
        </w:tc>
        <w:tc>
          <w:tcPr>
            <w:tcW w:w="966" w:type="dxa"/>
            <w:vAlign w:val="center"/>
          </w:tcPr>
          <w:p w14:paraId="25B288EC" w14:textId="77777777" w:rsidR="00C90C9C" w:rsidRPr="009D258A" w:rsidRDefault="00C90C9C" w:rsidP="00DE5C0D">
            <w:pPr>
              <w:jc w:val="center"/>
              <w:rPr>
                <w:noProof/>
              </w:rPr>
            </w:pPr>
            <w:r w:rsidRPr="009D258A">
              <w:rPr>
                <w:noProof/>
                <w:sz w:val="20"/>
              </w:rPr>
              <w:t>Ei</w:t>
            </w:r>
          </w:p>
        </w:tc>
        <w:tc>
          <w:tcPr>
            <w:tcW w:w="1092" w:type="dxa"/>
            <w:vAlign w:val="center"/>
          </w:tcPr>
          <w:p w14:paraId="4D3B97C8" w14:textId="77777777" w:rsidR="00C90C9C" w:rsidRPr="009D258A" w:rsidRDefault="00C90C9C" w:rsidP="00DE5C0D">
            <w:pPr>
              <w:jc w:val="center"/>
              <w:rPr>
                <w:noProof/>
                <w:sz w:val="20"/>
                <w:szCs w:val="20"/>
              </w:rPr>
            </w:pPr>
          </w:p>
        </w:tc>
        <w:tc>
          <w:tcPr>
            <w:tcW w:w="966" w:type="dxa"/>
            <w:vAlign w:val="center"/>
          </w:tcPr>
          <w:p w14:paraId="023AA987" w14:textId="77777777" w:rsidR="00C90C9C" w:rsidRPr="009D258A" w:rsidRDefault="00C90C9C" w:rsidP="00DE5C0D">
            <w:pPr>
              <w:jc w:val="center"/>
              <w:rPr>
                <w:noProof/>
                <w:sz w:val="20"/>
                <w:szCs w:val="20"/>
              </w:rPr>
            </w:pPr>
          </w:p>
        </w:tc>
        <w:tc>
          <w:tcPr>
            <w:tcW w:w="1463" w:type="dxa"/>
            <w:vAlign w:val="center"/>
          </w:tcPr>
          <w:p w14:paraId="1F8659AA" w14:textId="77777777" w:rsidR="00C90C9C" w:rsidRPr="009D258A" w:rsidRDefault="00C90C9C" w:rsidP="00DE5C0D">
            <w:pPr>
              <w:jc w:val="center"/>
              <w:rPr>
                <w:noProof/>
                <w:sz w:val="20"/>
                <w:szCs w:val="20"/>
              </w:rPr>
            </w:pPr>
          </w:p>
        </w:tc>
      </w:tr>
      <w:tr w:rsidR="00C90C9C" w:rsidRPr="009D258A" w14:paraId="410F63F0" w14:textId="77777777" w:rsidTr="00DE5C0D">
        <w:trPr>
          <w:jc w:val="center"/>
        </w:trPr>
        <w:tc>
          <w:tcPr>
            <w:tcW w:w="1092" w:type="dxa"/>
            <w:vAlign w:val="center"/>
          </w:tcPr>
          <w:p w14:paraId="7DBE5355" w14:textId="77777777" w:rsidR="00C90C9C" w:rsidRPr="009D258A" w:rsidRDefault="00C90C9C" w:rsidP="00DE5C0D">
            <w:pPr>
              <w:jc w:val="center"/>
              <w:rPr>
                <w:noProof/>
              </w:rPr>
            </w:pPr>
            <w:r w:rsidRPr="009D258A">
              <w:rPr>
                <w:noProof/>
                <w:color w:val="0000FF"/>
              </w:rPr>
              <w:t>1</w:t>
            </w:r>
          </w:p>
        </w:tc>
        <w:tc>
          <w:tcPr>
            <w:tcW w:w="4002" w:type="dxa"/>
            <w:vAlign w:val="center"/>
          </w:tcPr>
          <w:p w14:paraId="098FEE20" w14:textId="77777777" w:rsidR="00C90C9C" w:rsidRPr="009D258A" w:rsidRDefault="00C90C9C" w:rsidP="00DE5C0D">
            <w:pPr>
              <w:spacing w:after="60"/>
              <w:rPr>
                <w:noProof/>
              </w:rPr>
            </w:pPr>
            <w:r w:rsidRPr="009D258A">
              <w:rPr>
                <w:noProof/>
                <w:sz w:val="22"/>
              </w:rPr>
              <w:t>02 04 03 Digitaalinen Eurooppa -ohjelma, tekoäly</w:t>
            </w:r>
          </w:p>
        </w:tc>
        <w:tc>
          <w:tcPr>
            <w:tcW w:w="1092" w:type="dxa"/>
            <w:vAlign w:val="center"/>
          </w:tcPr>
          <w:p w14:paraId="71AF086E" w14:textId="77777777" w:rsidR="00C90C9C" w:rsidRPr="009D258A" w:rsidRDefault="00C90C9C" w:rsidP="00DE5C0D">
            <w:pPr>
              <w:jc w:val="center"/>
              <w:rPr>
                <w:noProof/>
              </w:rPr>
            </w:pPr>
            <w:r w:rsidRPr="009D258A">
              <w:rPr>
                <w:noProof/>
                <w:sz w:val="22"/>
              </w:rPr>
              <w:t>JM</w:t>
            </w:r>
          </w:p>
        </w:tc>
        <w:tc>
          <w:tcPr>
            <w:tcW w:w="966" w:type="dxa"/>
            <w:vAlign w:val="center"/>
          </w:tcPr>
          <w:p w14:paraId="62E356C0" w14:textId="77777777" w:rsidR="00C90C9C" w:rsidRPr="009D258A" w:rsidRDefault="00C90C9C" w:rsidP="00DE5C0D">
            <w:pPr>
              <w:jc w:val="center"/>
              <w:rPr>
                <w:noProof/>
              </w:rPr>
            </w:pPr>
            <w:r w:rsidRPr="009D258A">
              <w:rPr>
                <w:noProof/>
                <w:sz w:val="20"/>
              </w:rPr>
              <w:t>KYLLÄ</w:t>
            </w:r>
          </w:p>
        </w:tc>
        <w:tc>
          <w:tcPr>
            <w:tcW w:w="1092" w:type="dxa"/>
            <w:vAlign w:val="center"/>
          </w:tcPr>
          <w:p w14:paraId="4683E814" w14:textId="77777777" w:rsidR="00C90C9C" w:rsidRPr="009D258A" w:rsidRDefault="00C90C9C" w:rsidP="00DE5C0D">
            <w:pPr>
              <w:jc w:val="center"/>
              <w:rPr>
                <w:noProof/>
              </w:rPr>
            </w:pPr>
            <w:r w:rsidRPr="009D258A">
              <w:rPr>
                <w:noProof/>
                <w:sz w:val="20"/>
              </w:rPr>
              <w:t>EI</w:t>
            </w:r>
          </w:p>
        </w:tc>
        <w:tc>
          <w:tcPr>
            <w:tcW w:w="966" w:type="dxa"/>
            <w:vAlign w:val="center"/>
          </w:tcPr>
          <w:p w14:paraId="4D6B296C" w14:textId="77777777" w:rsidR="00C90C9C" w:rsidRPr="009D258A" w:rsidRDefault="00C90C9C" w:rsidP="00DE5C0D">
            <w:pPr>
              <w:jc w:val="center"/>
              <w:rPr>
                <w:noProof/>
              </w:rPr>
            </w:pPr>
            <w:r w:rsidRPr="009D258A">
              <w:rPr>
                <w:noProof/>
                <w:sz w:val="20"/>
              </w:rPr>
              <w:t>kyllä</w:t>
            </w:r>
          </w:p>
        </w:tc>
        <w:tc>
          <w:tcPr>
            <w:tcW w:w="1463" w:type="dxa"/>
            <w:vAlign w:val="center"/>
          </w:tcPr>
          <w:p w14:paraId="2320EC21" w14:textId="77777777" w:rsidR="00C90C9C" w:rsidRPr="009D258A" w:rsidRDefault="00C90C9C" w:rsidP="00DE5C0D">
            <w:pPr>
              <w:jc w:val="center"/>
              <w:rPr>
                <w:noProof/>
              </w:rPr>
            </w:pPr>
            <w:r w:rsidRPr="009D258A">
              <w:rPr>
                <w:noProof/>
                <w:sz w:val="20"/>
              </w:rPr>
              <w:t>EI</w:t>
            </w:r>
          </w:p>
        </w:tc>
      </w:tr>
      <w:tr w:rsidR="00C90C9C" w:rsidRPr="009D258A" w14:paraId="424C1798" w14:textId="77777777" w:rsidTr="00DE5C0D">
        <w:trPr>
          <w:jc w:val="center"/>
        </w:trPr>
        <w:tc>
          <w:tcPr>
            <w:tcW w:w="1092" w:type="dxa"/>
            <w:vAlign w:val="center"/>
          </w:tcPr>
          <w:p w14:paraId="0679BFA3" w14:textId="77777777" w:rsidR="00C90C9C" w:rsidRPr="009D258A" w:rsidRDefault="00C90C9C" w:rsidP="00DE5C0D">
            <w:pPr>
              <w:jc w:val="center"/>
              <w:rPr>
                <w:noProof/>
              </w:rPr>
            </w:pPr>
            <w:r w:rsidRPr="009D258A">
              <w:rPr>
                <w:noProof/>
                <w:color w:val="0000FF"/>
              </w:rPr>
              <w:t>1</w:t>
            </w:r>
          </w:p>
        </w:tc>
        <w:tc>
          <w:tcPr>
            <w:tcW w:w="4002" w:type="dxa"/>
            <w:vAlign w:val="center"/>
          </w:tcPr>
          <w:p w14:paraId="07B994B4" w14:textId="77777777" w:rsidR="00C90C9C" w:rsidRPr="009D258A" w:rsidRDefault="00C90C9C" w:rsidP="00DE5C0D">
            <w:pPr>
              <w:spacing w:after="60"/>
              <w:rPr>
                <w:noProof/>
              </w:rPr>
            </w:pPr>
            <w:r w:rsidRPr="009D258A">
              <w:rPr>
                <w:noProof/>
                <w:sz w:val="22"/>
              </w:rPr>
              <w:t>02 01 30 01 Digitaalinen Eurooppa -ohjelman tukimenot</w:t>
            </w:r>
          </w:p>
        </w:tc>
        <w:tc>
          <w:tcPr>
            <w:tcW w:w="1092" w:type="dxa"/>
            <w:vAlign w:val="center"/>
          </w:tcPr>
          <w:p w14:paraId="758A719D" w14:textId="77777777" w:rsidR="00C90C9C" w:rsidRPr="009D258A" w:rsidRDefault="00C90C9C" w:rsidP="00DE5C0D">
            <w:pPr>
              <w:jc w:val="center"/>
              <w:rPr>
                <w:noProof/>
              </w:rPr>
            </w:pPr>
            <w:r w:rsidRPr="009D258A">
              <w:rPr>
                <w:noProof/>
                <w:sz w:val="22"/>
              </w:rPr>
              <w:t>Ei-JM</w:t>
            </w:r>
          </w:p>
        </w:tc>
        <w:tc>
          <w:tcPr>
            <w:tcW w:w="966" w:type="dxa"/>
            <w:vAlign w:val="center"/>
          </w:tcPr>
          <w:p w14:paraId="5B358507" w14:textId="77777777" w:rsidR="00C90C9C" w:rsidRPr="009D258A" w:rsidRDefault="00C90C9C" w:rsidP="00DE5C0D">
            <w:pPr>
              <w:jc w:val="center"/>
              <w:rPr>
                <w:noProof/>
              </w:rPr>
            </w:pPr>
            <w:r w:rsidRPr="009D258A">
              <w:rPr>
                <w:noProof/>
                <w:sz w:val="20"/>
              </w:rPr>
              <w:t>kyllä</w:t>
            </w:r>
          </w:p>
        </w:tc>
        <w:tc>
          <w:tcPr>
            <w:tcW w:w="1092" w:type="dxa"/>
            <w:vAlign w:val="center"/>
          </w:tcPr>
          <w:p w14:paraId="2F3D3416" w14:textId="77777777" w:rsidR="00C90C9C" w:rsidRPr="009D258A" w:rsidRDefault="00C90C9C" w:rsidP="00DE5C0D">
            <w:pPr>
              <w:jc w:val="center"/>
              <w:rPr>
                <w:noProof/>
              </w:rPr>
            </w:pPr>
            <w:r w:rsidRPr="009D258A">
              <w:rPr>
                <w:noProof/>
                <w:sz w:val="20"/>
              </w:rPr>
              <w:t xml:space="preserve"> </w:t>
            </w:r>
          </w:p>
        </w:tc>
        <w:tc>
          <w:tcPr>
            <w:tcW w:w="966" w:type="dxa"/>
            <w:vAlign w:val="center"/>
          </w:tcPr>
          <w:p w14:paraId="5A0401F6" w14:textId="77777777" w:rsidR="00C90C9C" w:rsidRPr="009D258A" w:rsidRDefault="00C90C9C" w:rsidP="00DE5C0D">
            <w:pPr>
              <w:jc w:val="center"/>
              <w:rPr>
                <w:noProof/>
              </w:rPr>
            </w:pPr>
            <w:r w:rsidRPr="009D258A">
              <w:rPr>
                <w:noProof/>
                <w:sz w:val="20"/>
              </w:rPr>
              <w:t>kyllä</w:t>
            </w:r>
          </w:p>
        </w:tc>
        <w:tc>
          <w:tcPr>
            <w:tcW w:w="1463" w:type="dxa"/>
            <w:vAlign w:val="center"/>
          </w:tcPr>
          <w:p w14:paraId="66CC2FA1" w14:textId="77777777" w:rsidR="00C90C9C" w:rsidRPr="009D258A" w:rsidRDefault="00C90C9C" w:rsidP="00DE5C0D">
            <w:pPr>
              <w:jc w:val="center"/>
              <w:rPr>
                <w:rFonts w:eastAsia="Times New Roman"/>
                <w:noProof/>
                <w:sz w:val="20"/>
                <w:szCs w:val="20"/>
              </w:rPr>
            </w:pPr>
          </w:p>
        </w:tc>
      </w:tr>
    </w:tbl>
    <w:p w14:paraId="7C31EF77" w14:textId="77777777" w:rsidR="00C90C9C" w:rsidRPr="009D258A" w:rsidRDefault="00C90C9C" w:rsidP="00C90C9C">
      <w:pPr>
        <w:rPr>
          <w:noProof/>
        </w:rPr>
      </w:pPr>
    </w:p>
    <w:p w14:paraId="22BCB2DA" w14:textId="77777777" w:rsidR="005061E6" w:rsidRPr="009D258A" w:rsidRDefault="005061E6" w:rsidP="005061E6">
      <w:pPr>
        <w:rPr>
          <w:noProof/>
        </w:rPr>
        <w:sectPr w:rsidR="005061E6" w:rsidRPr="009D258A" w:rsidSect="0053045F">
          <w:pgSz w:w="11907" w:h="16840" w:code="1"/>
          <w:pgMar w:top="1134" w:right="1418" w:bottom="1134" w:left="1418" w:header="709" w:footer="709" w:gutter="0"/>
          <w:cols w:space="708"/>
          <w:docGrid w:linePitch="360"/>
        </w:sectPr>
      </w:pPr>
    </w:p>
    <w:p w14:paraId="3C260A2C" w14:textId="77777777" w:rsidR="005061E6" w:rsidRPr="009D258A" w:rsidRDefault="005061E6" w:rsidP="005061E6">
      <w:pPr>
        <w:pStyle w:val="ManualHeading2"/>
        <w:rPr>
          <w:bCs/>
          <w:noProof/>
          <w:szCs w:val="24"/>
        </w:rPr>
      </w:pPr>
      <w:bookmarkStart w:id="4" w:name="_Toc514938052"/>
      <w:bookmarkStart w:id="5" w:name="_Toc520485051"/>
      <w:bookmarkStart w:id="6" w:name="_Toc160804593"/>
      <w:bookmarkStart w:id="7" w:name="_Toc167220285"/>
      <w:bookmarkStart w:id="8" w:name="_Toc177549018"/>
      <w:r w:rsidRPr="009D258A">
        <w:rPr>
          <w:noProof/>
        </w:rPr>
        <w:t>3.2.</w:t>
      </w:r>
      <w:r w:rsidRPr="009D258A">
        <w:rPr>
          <w:noProof/>
        </w:rPr>
        <w:tab/>
        <w:t>Arvioidut vaikutukset määrärahoihin</w:t>
      </w:r>
      <w:bookmarkEnd w:id="4"/>
      <w:bookmarkEnd w:id="5"/>
      <w:bookmarkEnd w:id="6"/>
      <w:bookmarkEnd w:id="7"/>
      <w:bookmarkEnd w:id="8"/>
      <w:r w:rsidRPr="009D258A">
        <w:rPr>
          <w:noProof/>
        </w:rPr>
        <w:t xml:space="preserve"> </w:t>
      </w:r>
    </w:p>
    <w:p w14:paraId="1A60FD93" w14:textId="77777777" w:rsidR="005061E6" w:rsidRPr="009D258A" w:rsidRDefault="005061E6" w:rsidP="005061E6">
      <w:pPr>
        <w:pStyle w:val="ManualHeading3"/>
        <w:rPr>
          <w:noProof/>
        </w:rPr>
      </w:pPr>
      <w:bookmarkStart w:id="9" w:name="_Toc514938053"/>
      <w:bookmarkStart w:id="10" w:name="_Toc520485052"/>
      <w:bookmarkStart w:id="11" w:name="_Toc160804594"/>
      <w:bookmarkStart w:id="12" w:name="_Toc167220286"/>
      <w:bookmarkStart w:id="13" w:name="_Toc177549019"/>
      <w:r w:rsidRPr="009D258A">
        <w:rPr>
          <w:noProof/>
        </w:rPr>
        <w:t>3.2.1.</w:t>
      </w:r>
      <w:r w:rsidRPr="009D258A">
        <w:rPr>
          <w:noProof/>
        </w:rPr>
        <w:tab/>
        <w:t>Yhteenveto arvioiduista vaikutuksista toimintamäärärahoihin</w:t>
      </w:r>
      <w:bookmarkEnd w:id="9"/>
      <w:bookmarkEnd w:id="10"/>
      <w:bookmarkEnd w:id="11"/>
      <w:bookmarkEnd w:id="12"/>
      <w:bookmarkEnd w:id="13"/>
      <w:r w:rsidRPr="009D258A">
        <w:rPr>
          <w:noProof/>
        </w:rPr>
        <w:t xml:space="preserve"> </w:t>
      </w:r>
    </w:p>
    <w:p w14:paraId="15EC9DBD" w14:textId="77777777" w:rsidR="005061E6" w:rsidRPr="009D258A" w:rsidRDefault="005061E6" w:rsidP="005061E6">
      <w:pPr>
        <w:pStyle w:val="ListDash1"/>
        <w:rPr>
          <w:noProof/>
        </w:rPr>
      </w:pPr>
      <w:r w:rsidRPr="009D258A">
        <w:rPr>
          <w:rFonts w:ascii="Wingdings" w:hAnsi="Wingdings"/>
          <w:noProof/>
        </w:rPr>
        <w:t></w:t>
      </w:r>
      <w:r w:rsidRPr="009D258A">
        <w:rPr>
          <w:noProof/>
        </w:rPr>
        <w:tab/>
        <w:t xml:space="preserve">Ehdotus/aloite ei edellytä toimintamäärärahoja. </w:t>
      </w:r>
    </w:p>
    <w:p w14:paraId="316C0B04" w14:textId="77777777" w:rsidR="005061E6" w:rsidRPr="009D258A" w:rsidRDefault="005061E6" w:rsidP="005061E6">
      <w:pPr>
        <w:pStyle w:val="ListDash1"/>
        <w:rPr>
          <w:noProof/>
        </w:rPr>
      </w:pPr>
      <w:r w:rsidRPr="009D258A">
        <w:rPr>
          <w:rFonts w:ascii="Wingdings" w:hAnsi="Wingdings"/>
          <w:noProof/>
        </w:rPr>
        <w:t></w:t>
      </w:r>
      <w:r w:rsidRPr="009D258A">
        <w:rPr>
          <w:noProof/>
        </w:rPr>
        <w:tab/>
        <w:t>Ehdotus/aloite edellyttää toimintamäärärahoja seuraavasti:</w:t>
      </w:r>
    </w:p>
    <w:p w14:paraId="18EF6A81" w14:textId="77777777" w:rsidR="005061E6" w:rsidRPr="009D258A" w:rsidRDefault="005061E6" w:rsidP="005061E6">
      <w:pPr>
        <w:pStyle w:val="ManualHeading3"/>
        <w:rPr>
          <w:noProof/>
        </w:rPr>
      </w:pPr>
      <w:bookmarkStart w:id="14" w:name="_Toc160804595"/>
      <w:bookmarkStart w:id="15" w:name="_Toc167220287"/>
      <w:bookmarkStart w:id="16" w:name="_Toc177549020"/>
      <w:r w:rsidRPr="009D258A">
        <w:rPr>
          <w:noProof/>
        </w:rPr>
        <w:t>3.2.1.1.</w:t>
      </w:r>
      <w:r w:rsidRPr="009D258A">
        <w:rPr>
          <w:noProof/>
        </w:rPr>
        <w:tab/>
        <w:t>Hyväksytystä talousarviosta peräisin olevat määrärahat</w:t>
      </w:r>
      <w:bookmarkEnd w:id="14"/>
      <w:bookmarkEnd w:id="15"/>
      <w:bookmarkEnd w:id="16"/>
    </w:p>
    <w:p w14:paraId="33D5865E" w14:textId="77777777" w:rsidR="003F3A5E" w:rsidRPr="009D258A" w:rsidRDefault="003F3A5E" w:rsidP="003F3A5E">
      <w:pPr>
        <w:pStyle w:val="Text1"/>
        <w:rPr>
          <w:noProof/>
        </w:rPr>
      </w:pPr>
      <w:r w:rsidRPr="009D258A">
        <w:rPr>
          <w:noProof/>
        </w:rPr>
        <w:t>[</w:t>
      </w:r>
    </w:p>
    <w:p w14:paraId="2190A422" w14:textId="77777777" w:rsidR="005061E6" w:rsidRPr="009D258A" w:rsidRDefault="005061E6" w:rsidP="005061E6">
      <w:pPr>
        <w:jc w:val="right"/>
        <w:rPr>
          <w:noProof/>
          <w:sz w:val="18"/>
          <w:szCs w:val="18"/>
        </w:rPr>
      </w:pPr>
      <w:r w:rsidRPr="009D258A">
        <w:rPr>
          <w:noProof/>
          <w:sz w:val="18"/>
        </w:rPr>
        <w:t>milj. euroa (kolmen desimaalin tarkkuudella)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5061E6" w:rsidRPr="009D258A" w14:paraId="4C9B1181" w14:textId="77777777">
        <w:tc>
          <w:tcPr>
            <w:tcW w:w="1739" w:type="pct"/>
            <w:vAlign w:val="center"/>
          </w:tcPr>
          <w:p w14:paraId="44F579FA" w14:textId="77777777" w:rsidR="005061E6" w:rsidRPr="009D258A" w:rsidRDefault="005061E6">
            <w:pPr>
              <w:spacing w:before="60" w:after="60"/>
              <w:jc w:val="center"/>
              <w:rPr>
                <w:b/>
                <w:noProof/>
              </w:rPr>
            </w:pPr>
            <w:r w:rsidRPr="009D258A">
              <w:rPr>
                <w:b/>
                <w:noProof/>
                <w:sz w:val="22"/>
              </w:rPr>
              <w:t xml:space="preserve">Monivuotisen rahoituskehyksen otsake </w:t>
            </w:r>
          </w:p>
        </w:tc>
        <w:tc>
          <w:tcPr>
            <w:tcW w:w="396" w:type="pct"/>
            <w:vAlign w:val="center"/>
          </w:tcPr>
          <w:p w14:paraId="18554C8E" w14:textId="77777777" w:rsidR="005061E6" w:rsidRPr="009D258A" w:rsidRDefault="005061E6">
            <w:pPr>
              <w:spacing w:before="60" w:after="60"/>
              <w:jc w:val="center"/>
              <w:rPr>
                <w:noProof/>
              </w:rPr>
            </w:pPr>
            <w:r w:rsidRPr="009D258A">
              <w:rPr>
                <w:noProof/>
                <w:sz w:val="22"/>
              </w:rPr>
              <w:t>1</w:t>
            </w:r>
          </w:p>
        </w:tc>
        <w:tc>
          <w:tcPr>
            <w:tcW w:w="2865" w:type="pct"/>
            <w:vAlign w:val="center"/>
          </w:tcPr>
          <w:p w14:paraId="1B66AA2C" w14:textId="77777777" w:rsidR="005061E6" w:rsidRPr="009D258A" w:rsidRDefault="005061E6">
            <w:pPr>
              <w:spacing w:before="60" w:after="60"/>
              <w:rPr>
                <w:noProof/>
              </w:rPr>
            </w:pPr>
          </w:p>
        </w:tc>
      </w:tr>
    </w:tbl>
    <w:p w14:paraId="73FB728D" w14:textId="77777777" w:rsidR="005061E6" w:rsidRPr="009D258A" w:rsidRDefault="005061E6" w:rsidP="005061E6">
      <w:pPr>
        <w:rPr>
          <w:noProof/>
          <w:sz w:val="16"/>
        </w:rPr>
      </w:pPr>
    </w:p>
    <w:tbl>
      <w:tblPr>
        <w:tblW w:w="14220" w:type="dxa"/>
        <w:tblLook w:val="04A0" w:firstRow="1" w:lastRow="0" w:firstColumn="1" w:lastColumn="0" w:noHBand="0" w:noVBand="1"/>
      </w:tblPr>
      <w:tblGrid>
        <w:gridCol w:w="3556"/>
        <w:gridCol w:w="1386"/>
        <w:gridCol w:w="1306"/>
        <w:gridCol w:w="1305"/>
        <w:gridCol w:w="1305"/>
        <w:gridCol w:w="1305"/>
        <w:gridCol w:w="1261"/>
        <w:gridCol w:w="1261"/>
        <w:gridCol w:w="1535"/>
      </w:tblGrid>
      <w:tr w:rsidR="005061E6" w:rsidRPr="009D258A" w14:paraId="15689337" w14:textId="77777777">
        <w:trPr>
          <w:trHeight w:val="420"/>
        </w:trPr>
        <w:tc>
          <w:tcPr>
            <w:tcW w:w="6248" w:type="dxa"/>
            <w:gridSpan w:val="3"/>
            <w:vMerge w:val="restart"/>
            <w:tcBorders>
              <w:top w:val="single" w:sz="8" w:space="0" w:color="auto"/>
              <w:left w:val="single" w:sz="8" w:space="0" w:color="auto"/>
              <w:bottom w:val="single" w:sz="8" w:space="0" w:color="auto"/>
              <w:right w:val="single" w:sz="8" w:space="0" w:color="auto"/>
            </w:tcBorders>
            <w:vAlign w:val="center"/>
            <w:hideMark/>
          </w:tcPr>
          <w:p w14:paraId="1066929F" w14:textId="77777777" w:rsidR="005061E6" w:rsidRPr="009D258A" w:rsidRDefault="005061E6">
            <w:pPr>
              <w:spacing w:before="0" w:after="0"/>
              <w:jc w:val="center"/>
              <w:rPr>
                <w:noProof/>
                <w:color w:val="000000"/>
                <w:sz w:val="22"/>
              </w:rPr>
            </w:pPr>
            <w:r w:rsidRPr="009D258A">
              <w:rPr>
                <w:noProof/>
                <w:color w:val="000000" w:themeColor="text1"/>
                <w:sz w:val="22"/>
              </w:rPr>
              <w:t>Pääosasto: CNECT</w:t>
            </w:r>
          </w:p>
        </w:tc>
        <w:tc>
          <w:tcPr>
            <w:tcW w:w="1305" w:type="dxa"/>
            <w:tcBorders>
              <w:top w:val="single" w:sz="8" w:space="0" w:color="auto"/>
              <w:left w:val="nil"/>
              <w:bottom w:val="single" w:sz="8" w:space="0" w:color="auto"/>
              <w:right w:val="single" w:sz="8" w:space="0" w:color="auto"/>
            </w:tcBorders>
            <w:vAlign w:val="center"/>
            <w:hideMark/>
          </w:tcPr>
          <w:p w14:paraId="4A1399EE" w14:textId="77777777" w:rsidR="005061E6" w:rsidRPr="009D258A" w:rsidRDefault="005061E6">
            <w:pPr>
              <w:spacing w:before="0" w:after="0"/>
              <w:jc w:val="center"/>
              <w:rPr>
                <w:noProof/>
                <w:color w:val="000000"/>
                <w:sz w:val="20"/>
                <w:szCs w:val="20"/>
              </w:rPr>
            </w:pPr>
            <w:r w:rsidRPr="009D258A">
              <w:rPr>
                <w:noProof/>
                <w:color w:val="000000"/>
                <w:sz w:val="20"/>
              </w:rPr>
              <w:t>Vuosi</w:t>
            </w:r>
          </w:p>
        </w:tc>
        <w:tc>
          <w:tcPr>
            <w:tcW w:w="1305" w:type="dxa"/>
            <w:tcBorders>
              <w:top w:val="single" w:sz="8" w:space="0" w:color="auto"/>
              <w:left w:val="nil"/>
              <w:bottom w:val="single" w:sz="8" w:space="0" w:color="auto"/>
              <w:right w:val="single" w:sz="8" w:space="0" w:color="auto"/>
            </w:tcBorders>
            <w:vAlign w:val="center"/>
            <w:hideMark/>
          </w:tcPr>
          <w:p w14:paraId="6D0513D4" w14:textId="77777777" w:rsidR="005061E6" w:rsidRPr="009D258A" w:rsidRDefault="005061E6">
            <w:pPr>
              <w:spacing w:before="0" w:after="0"/>
              <w:jc w:val="center"/>
              <w:rPr>
                <w:noProof/>
                <w:color w:val="000000"/>
                <w:sz w:val="20"/>
                <w:szCs w:val="20"/>
              </w:rPr>
            </w:pPr>
            <w:r w:rsidRPr="009D258A">
              <w:rPr>
                <w:noProof/>
                <w:color w:val="000000"/>
                <w:sz w:val="20"/>
              </w:rPr>
              <w:t>Vuosi</w:t>
            </w:r>
          </w:p>
        </w:tc>
        <w:tc>
          <w:tcPr>
            <w:tcW w:w="1305" w:type="dxa"/>
            <w:tcBorders>
              <w:top w:val="single" w:sz="8" w:space="0" w:color="auto"/>
              <w:left w:val="nil"/>
              <w:bottom w:val="single" w:sz="8" w:space="0" w:color="auto"/>
              <w:right w:val="single" w:sz="8" w:space="0" w:color="auto"/>
            </w:tcBorders>
            <w:vAlign w:val="center"/>
            <w:hideMark/>
          </w:tcPr>
          <w:p w14:paraId="76D69A15" w14:textId="77777777" w:rsidR="005061E6" w:rsidRPr="009D258A" w:rsidRDefault="005061E6">
            <w:pPr>
              <w:spacing w:before="0" w:after="0"/>
              <w:jc w:val="center"/>
              <w:rPr>
                <w:noProof/>
                <w:color w:val="000000"/>
                <w:sz w:val="20"/>
                <w:szCs w:val="20"/>
              </w:rPr>
            </w:pPr>
            <w:r w:rsidRPr="009D258A">
              <w:rPr>
                <w:noProof/>
                <w:color w:val="000000"/>
                <w:sz w:val="20"/>
              </w:rPr>
              <w:t>Vuosi</w:t>
            </w:r>
          </w:p>
        </w:tc>
        <w:tc>
          <w:tcPr>
            <w:tcW w:w="1261" w:type="dxa"/>
            <w:tcBorders>
              <w:top w:val="single" w:sz="8" w:space="0" w:color="auto"/>
              <w:left w:val="nil"/>
              <w:bottom w:val="single" w:sz="8" w:space="0" w:color="auto"/>
              <w:right w:val="single" w:sz="8" w:space="0" w:color="auto"/>
            </w:tcBorders>
            <w:vAlign w:val="center"/>
            <w:hideMark/>
          </w:tcPr>
          <w:p w14:paraId="21E21164" w14:textId="77777777" w:rsidR="005061E6" w:rsidRPr="009D258A" w:rsidRDefault="005061E6">
            <w:pPr>
              <w:spacing w:before="0" w:after="0"/>
              <w:jc w:val="center"/>
              <w:rPr>
                <w:noProof/>
                <w:color w:val="000000"/>
                <w:sz w:val="20"/>
                <w:szCs w:val="20"/>
              </w:rPr>
            </w:pPr>
            <w:r w:rsidRPr="009D258A">
              <w:rPr>
                <w:noProof/>
                <w:color w:val="000000"/>
                <w:sz w:val="20"/>
              </w:rPr>
              <w:t>Vuosi</w:t>
            </w:r>
          </w:p>
        </w:tc>
        <w:tc>
          <w:tcPr>
            <w:tcW w:w="1261" w:type="dxa"/>
            <w:tcBorders>
              <w:top w:val="single" w:sz="8" w:space="0" w:color="auto"/>
              <w:left w:val="nil"/>
              <w:bottom w:val="single" w:sz="8" w:space="0" w:color="auto"/>
              <w:right w:val="single" w:sz="8" w:space="0" w:color="auto"/>
            </w:tcBorders>
            <w:vAlign w:val="center"/>
          </w:tcPr>
          <w:p w14:paraId="78C1E33F" w14:textId="77777777" w:rsidR="005061E6" w:rsidRPr="009D258A" w:rsidRDefault="005061E6">
            <w:pPr>
              <w:jc w:val="center"/>
              <w:rPr>
                <w:noProof/>
                <w:color w:val="000000" w:themeColor="text1"/>
                <w:sz w:val="20"/>
                <w:szCs w:val="20"/>
              </w:rPr>
            </w:pPr>
            <w:r w:rsidRPr="009D258A">
              <w:rPr>
                <w:noProof/>
                <w:color w:val="000000" w:themeColor="text1"/>
                <w:sz w:val="20"/>
              </w:rPr>
              <w:t>Vuoden 2027 jälkeen</w:t>
            </w:r>
          </w:p>
        </w:tc>
        <w:tc>
          <w:tcPr>
            <w:tcW w:w="1535" w:type="dxa"/>
            <w:vMerge w:val="restart"/>
            <w:tcBorders>
              <w:top w:val="single" w:sz="8" w:space="0" w:color="auto"/>
              <w:left w:val="single" w:sz="8" w:space="0" w:color="auto"/>
              <w:bottom w:val="single" w:sz="8" w:space="0" w:color="auto"/>
              <w:right w:val="single" w:sz="8" w:space="0" w:color="auto"/>
            </w:tcBorders>
            <w:vAlign w:val="center"/>
            <w:hideMark/>
          </w:tcPr>
          <w:p w14:paraId="4137D163" w14:textId="77777777" w:rsidR="005061E6" w:rsidRPr="009D258A" w:rsidRDefault="005061E6">
            <w:pPr>
              <w:spacing w:before="0" w:after="0"/>
              <w:jc w:val="center"/>
              <w:rPr>
                <w:b/>
                <w:bCs/>
                <w:noProof/>
                <w:color w:val="000000"/>
                <w:sz w:val="20"/>
                <w:szCs w:val="20"/>
              </w:rPr>
            </w:pPr>
            <w:r w:rsidRPr="009D258A">
              <w:rPr>
                <w:b/>
                <w:noProof/>
                <w:color w:val="000000"/>
                <w:sz w:val="20"/>
              </w:rPr>
              <w:t>MRK 2021–2027 YHTEENSÄ</w:t>
            </w:r>
          </w:p>
        </w:tc>
      </w:tr>
      <w:tr w:rsidR="005061E6" w:rsidRPr="009D258A" w14:paraId="704E4BDB" w14:textId="77777777">
        <w:trPr>
          <w:trHeight w:val="288"/>
        </w:trPr>
        <w:tc>
          <w:tcPr>
            <w:tcW w:w="6248" w:type="dxa"/>
            <w:gridSpan w:val="3"/>
            <w:vMerge/>
            <w:vAlign w:val="center"/>
            <w:hideMark/>
          </w:tcPr>
          <w:p w14:paraId="67E46D0F" w14:textId="77777777" w:rsidR="005061E6" w:rsidRPr="009D258A" w:rsidRDefault="005061E6">
            <w:pPr>
              <w:spacing w:before="0" w:after="0"/>
              <w:jc w:val="left"/>
              <w:rPr>
                <w:noProof/>
                <w:color w:val="000000"/>
                <w:sz w:val="22"/>
                <w:lang w:eastAsia="en-IE"/>
              </w:rPr>
            </w:pPr>
          </w:p>
        </w:tc>
        <w:tc>
          <w:tcPr>
            <w:tcW w:w="1305" w:type="dxa"/>
            <w:tcBorders>
              <w:top w:val="nil"/>
              <w:left w:val="nil"/>
              <w:bottom w:val="single" w:sz="8" w:space="0" w:color="auto"/>
              <w:right w:val="single" w:sz="8" w:space="0" w:color="auto"/>
            </w:tcBorders>
            <w:vAlign w:val="center"/>
            <w:hideMark/>
          </w:tcPr>
          <w:p w14:paraId="4138CE9D" w14:textId="77777777" w:rsidR="005061E6" w:rsidRPr="009D258A" w:rsidRDefault="005061E6">
            <w:pPr>
              <w:spacing w:before="0" w:after="0"/>
              <w:jc w:val="center"/>
              <w:rPr>
                <w:b/>
                <w:bCs/>
                <w:noProof/>
                <w:color w:val="000000"/>
                <w:sz w:val="20"/>
                <w:szCs w:val="20"/>
              </w:rPr>
            </w:pPr>
            <w:r w:rsidRPr="009D258A">
              <w:rPr>
                <w:b/>
                <w:noProof/>
                <w:color w:val="000000"/>
                <w:sz w:val="20"/>
              </w:rPr>
              <w:t>2024</w:t>
            </w:r>
          </w:p>
        </w:tc>
        <w:tc>
          <w:tcPr>
            <w:tcW w:w="1305" w:type="dxa"/>
            <w:tcBorders>
              <w:top w:val="nil"/>
              <w:left w:val="nil"/>
              <w:bottom w:val="single" w:sz="8" w:space="0" w:color="auto"/>
              <w:right w:val="single" w:sz="8" w:space="0" w:color="auto"/>
            </w:tcBorders>
            <w:vAlign w:val="center"/>
            <w:hideMark/>
          </w:tcPr>
          <w:p w14:paraId="3B5B21AC" w14:textId="77777777" w:rsidR="005061E6" w:rsidRPr="009D258A" w:rsidRDefault="005061E6">
            <w:pPr>
              <w:spacing w:before="0" w:after="0"/>
              <w:jc w:val="center"/>
              <w:rPr>
                <w:b/>
                <w:bCs/>
                <w:noProof/>
                <w:color w:val="000000"/>
                <w:sz w:val="20"/>
                <w:szCs w:val="20"/>
              </w:rPr>
            </w:pPr>
            <w:r w:rsidRPr="009D258A">
              <w:rPr>
                <w:b/>
                <w:noProof/>
                <w:color w:val="000000"/>
                <w:sz w:val="20"/>
              </w:rPr>
              <w:t>2025</w:t>
            </w:r>
          </w:p>
        </w:tc>
        <w:tc>
          <w:tcPr>
            <w:tcW w:w="1305" w:type="dxa"/>
            <w:tcBorders>
              <w:top w:val="nil"/>
              <w:left w:val="nil"/>
              <w:bottom w:val="single" w:sz="8" w:space="0" w:color="auto"/>
              <w:right w:val="single" w:sz="8" w:space="0" w:color="auto"/>
            </w:tcBorders>
            <w:vAlign w:val="center"/>
            <w:hideMark/>
          </w:tcPr>
          <w:p w14:paraId="322785A6" w14:textId="77777777" w:rsidR="005061E6" w:rsidRPr="009D258A" w:rsidRDefault="005061E6">
            <w:pPr>
              <w:spacing w:before="0" w:after="0"/>
              <w:jc w:val="center"/>
              <w:rPr>
                <w:b/>
                <w:bCs/>
                <w:noProof/>
                <w:color w:val="000000"/>
                <w:sz w:val="20"/>
                <w:szCs w:val="20"/>
              </w:rPr>
            </w:pPr>
            <w:r w:rsidRPr="009D258A">
              <w:rPr>
                <w:b/>
                <w:noProof/>
                <w:color w:val="000000"/>
                <w:sz w:val="20"/>
              </w:rPr>
              <w:t>2026</w:t>
            </w:r>
          </w:p>
        </w:tc>
        <w:tc>
          <w:tcPr>
            <w:tcW w:w="1261" w:type="dxa"/>
            <w:tcBorders>
              <w:top w:val="nil"/>
              <w:left w:val="nil"/>
              <w:bottom w:val="single" w:sz="8" w:space="0" w:color="auto"/>
              <w:right w:val="single" w:sz="8" w:space="0" w:color="auto"/>
            </w:tcBorders>
            <w:vAlign w:val="center"/>
            <w:hideMark/>
          </w:tcPr>
          <w:p w14:paraId="313EF3B1" w14:textId="77777777" w:rsidR="005061E6" w:rsidRPr="009D258A" w:rsidRDefault="005061E6">
            <w:pPr>
              <w:spacing w:before="0" w:after="0"/>
              <w:jc w:val="center"/>
              <w:rPr>
                <w:b/>
                <w:bCs/>
                <w:noProof/>
                <w:color w:val="000000"/>
                <w:sz w:val="20"/>
                <w:szCs w:val="20"/>
              </w:rPr>
            </w:pPr>
            <w:r w:rsidRPr="009D258A">
              <w:rPr>
                <w:b/>
                <w:noProof/>
                <w:color w:val="000000"/>
                <w:sz w:val="20"/>
              </w:rPr>
              <w:t>2027</w:t>
            </w:r>
          </w:p>
        </w:tc>
        <w:tc>
          <w:tcPr>
            <w:tcW w:w="1261" w:type="dxa"/>
            <w:tcBorders>
              <w:top w:val="nil"/>
              <w:left w:val="nil"/>
              <w:bottom w:val="single" w:sz="8" w:space="0" w:color="auto"/>
              <w:right w:val="single" w:sz="8" w:space="0" w:color="auto"/>
            </w:tcBorders>
            <w:vAlign w:val="center"/>
          </w:tcPr>
          <w:p w14:paraId="5717A497" w14:textId="77777777" w:rsidR="005061E6" w:rsidRPr="009D258A" w:rsidRDefault="005061E6">
            <w:pPr>
              <w:jc w:val="center"/>
              <w:rPr>
                <w:b/>
                <w:bCs/>
                <w:noProof/>
                <w:color w:val="000000" w:themeColor="text1"/>
                <w:sz w:val="20"/>
                <w:szCs w:val="20"/>
              </w:rPr>
            </w:pPr>
            <w:r w:rsidRPr="009D258A">
              <w:rPr>
                <w:b/>
                <w:noProof/>
                <w:color w:val="000000" w:themeColor="text1"/>
                <w:sz w:val="20"/>
              </w:rPr>
              <w:t>Vuoden 2027 jälkeen</w:t>
            </w:r>
          </w:p>
        </w:tc>
        <w:tc>
          <w:tcPr>
            <w:tcW w:w="1535" w:type="dxa"/>
            <w:vMerge/>
            <w:vAlign w:val="center"/>
            <w:hideMark/>
          </w:tcPr>
          <w:p w14:paraId="41122626" w14:textId="77777777" w:rsidR="005061E6" w:rsidRPr="009D258A" w:rsidRDefault="005061E6">
            <w:pPr>
              <w:spacing w:before="0" w:after="0"/>
              <w:jc w:val="left"/>
              <w:rPr>
                <w:b/>
                <w:bCs/>
                <w:noProof/>
                <w:color w:val="000000"/>
                <w:sz w:val="20"/>
                <w:szCs w:val="20"/>
                <w:lang w:eastAsia="en-IE"/>
              </w:rPr>
            </w:pPr>
          </w:p>
        </w:tc>
      </w:tr>
      <w:tr w:rsidR="005061E6" w:rsidRPr="009D258A" w14:paraId="3406A4B2" w14:textId="77777777">
        <w:trPr>
          <w:trHeight w:val="300"/>
        </w:trPr>
        <w:tc>
          <w:tcPr>
            <w:tcW w:w="14220" w:type="dxa"/>
            <w:gridSpan w:val="9"/>
            <w:tcBorders>
              <w:top w:val="single" w:sz="8" w:space="0" w:color="auto"/>
              <w:left w:val="single" w:sz="8" w:space="0" w:color="auto"/>
              <w:bottom w:val="single" w:sz="8" w:space="0" w:color="auto"/>
              <w:right w:val="single" w:sz="8" w:space="0" w:color="auto"/>
            </w:tcBorders>
            <w:vAlign w:val="center"/>
          </w:tcPr>
          <w:p w14:paraId="06C0F86A" w14:textId="77777777" w:rsidR="005061E6" w:rsidRPr="009D258A" w:rsidRDefault="005061E6">
            <w:pPr>
              <w:rPr>
                <w:noProof/>
              </w:rPr>
            </w:pPr>
          </w:p>
        </w:tc>
      </w:tr>
      <w:tr w:rsidR="005061E6" w:rsidRPr="009D258A" w14:paraId="456C2B83" w14:textId="77777777">
        <w:trPr>
          <w:trHeight w:val="420"/>
        </w:trPr>
        <w:tc>
          <w:tcPr>
            <w:tcW w:w="3556" w:type="dxa"/>
            <w:vMerge w:val="restart"/>
            <w:tcBorders>
              <w:top w:val="nil"/>
              <w:left w:val="single" w:sz="8" w:space="0" w:color="auto"/>
              <w:bottom w:val="single" w:sz="8" w:space="0" w:color="auto"/>
              <w:right w:val="single" w:sz="8" w:space="0" w:color="auto"/>
            </w:tcBorders>
            <w:noWrap/>
            <w:vAlign w:val="center"/>
            <w:hideMark/>
          </w:tcPr>
          <w:p w14:paraId="7DE8FE40" w14:textId="77777777" w:rsidR="005061E6" w:rsidRPr="009D258A" w:rsidRDefault="005061E6">
            <w:pPr>
              <w:spacing w:before="0" w:after="0"/>
              <w:jc w:val="left"/>
              <w:rPr>
                <w:noProof/>
                <w:color w:val="000000"/>
                <w:sz w:val="22"/>
              </w:rPr>
            </w:pPr>
            <w:r w:rsidRPr="009D258A">
              <w:rPr>
                <w:noProof/>
                <w:color w:val="000000" w:themeColor="text1"/>
                <w:sz w:val="22"/>
              </w:rPr>
              <w:t>Budjettikohta 02 04 03</w:t>
            </w:r>
          </w:p>
        </w:tc>
        <w:tc>
          <w:tcPr>
            <w:tcW w:w="1386" w:type="dxa"/>
            <w:tcBorders>
              <w:top w:val="nil"/>
              <w:left w:val="nil"/>
              <w:bottom w:val="single" w:sz="8" w:space="0" w:color="auto"/>
              <w:right w:val="single" w:sz="8" w:space="0" w:color="auto"/>
            </w:tcBorders>
            <w:vAlign w:val="center"/>
            <w:hideMark/>
          </w:tcPr>
          <w:p w14:paraId="6E6EE94A" w14:textId="77777777" w:rsidR="005061E6" w:rsidRPr="009D258A" w:rsidRDefault="005061E6">
            <w:pPr>
              <w:spacing w:before="0" w:after="0"/>
              <w:rPr>
                <w:noProof/>
                <w:color w:val="000000"/>
                <w:sz w:val="18"/>
                <w:szCs w:val="18"/>
              </w:rPr>
            </w:pPr>
            <w:r w:rsidRPr="009D258A">
              <w:rPr>
                <w:noProof/>
                <w:color w:val="000000"/>
                <w:sz w:val="18"/>
              </w:rPr>
              <w:t>Sitoumukset</w:t>
            </w:r>
          </w:p>
        </w:tc>
        <w:tc>
          <w:tcPr>
            <w:tcW w:w="1306" w:type="dxa"/>
            <w:tcBorders>
              <w:top w:val="single" w:sz="8" w:space="0" w:color="auto"/>
              <w:left w:val="nil"/>
              <w:bottom w:val="single" w:sz="8" w:space="0" w:color="auto"/>
              <w:right w:val="single" w:sz="8" w:space="0" w:color="auto"/>
            </w:tcBorders>
            <w:vAlign w:val="center"/>
            <w:hideMark/>
          </w:tcPr>
          <w:p w14:paraId="2FF8A875" w14:textId="77777777" w:rsidR="005061E6" w:rsidRPr="009D258A" w:rsidRDefault="005061E6">
            <w:pPr>
              <w:spacing w:before="0" w:after="0"/>
              <w:jc w:val="center"/>
              <w:rPr>
                <w:noProof/>
                <w:color w:val="000000"/>
                <w:sz w:val="14"/>
                <w:szCs w:val="14"/>
              </w:rPr>
            </w:pPr>
            <w:r w:rsidRPr="009D258A">
              <w:rPr>
                <w:noProof/>
                <w:color w:val="000000"/>
                <w:sz w:val="14"/>
              </w:rPr>
              <w:t>(1a)</w:t>
            </w:r>
          </w:p>
        </w:tc>
        <w:tc>
          <w:tcPr>
            <w:tcW w:w="1305" w:type="dxa"/>
            <w:tcBorders>
              <w:top w:val="nil"/>
              <w:left w:val="nil"/>
              <w:bottom w:val="single" w:sz="8" w:space="0" w:color="auto"/>
              <w:right w:val="single" w:sz="8" w:space="0" w:color="auto"/>
            </w:tcBorders>
            <w:vAlign w:val="center"/>
            <w:hideMark/>
          </w:tcPr>
          <w:p w14:paraId="71634B9F" w14:textId="77777777" w:rsidR="005061E6" w:rsidRPr="009D258A" w:rsidRDefault="005061E6">
            <w:pPr>
              <w:spacing w:before="0" w:after="0"/>
              <w:jc w:val="right"/>
              <w:rPr>
                <w:noProof/>
                <w:color w:val="000000"/>
                <w:sz w:val="20"/>
                <w:szCs w:val="20"/>
              </w:rPr>
            </w:pPr>
            <w:r w:rsidRPr="009D258A">
              <w:rPr>
                <w:noProof/>
                <w:color w:val="000000"/>
                <w:sz w:val="20"/>
              </w:rPr>
              <w:t xml:space="preserve"> </w:t>
            </w:r>
          </w:p>
        </w:tc>
        <w:tc>
          <w:tcPr>
            <w:tcW w:w="1305" w:type="dxa"/>
            <w:tcBorders>
              <w:top w:val="nil"/>
              <w:left w:val="nil"/>
              <w:bottom w:val="single" w:sz="8" w:space="0" w:color="auto"/>
              <w:right w:val="single" w:sz="8" w:space="0" w:color="auto"/>
            </w:tcBorders>
            <w:vAlign w:val="center"/>
            <w:hideMark/>
          </w:tcPr>
          <w:p w14:paraId="0958F8AB" w14:textId="77777777" w:rsidR="005061E6" w:rsidRPr="009D258A" w:rsidRDefault="005061E6">
            <w:pPr>
              <w:spacing w:before="0" w:after="0"/>
              <w:jc w:val="right"/>
              <w:rPr>
                <w:noProof/>
                <w:color w:val="000000"/>
                <w:sz w:val="20"/>
                <w:szCs w:val="20"/>
              </w:rPr>
            </w:pPr>
            <w:r w:rsidRPr="009D258A">
              <w:rPr>
                <w:noProof/>
                <w:color w:val="000000"/>
                <w:sz w:val="20"/>
              </w:rPr>
              <w:t xml:space="preserve"> </w:t>
            </w:r>
          </w:p>
        </w:tc>
        <w:tc>
          <w:tcPr>
            <w:tcW w:w="1305" w:type="dxa"/>
            <w:tcBorders>
              <w:top w:val="nil"/>
              <w:left w:val="nil"/>
              <w:bottom w:val="single" w:sz="8" w:space="0" w:color="auto"/>
              <w:right w:val="single" w:sz="8" w:space="0" w:color="auto"/>
            </w:tcBorders>
            <w:vAlign w:val="center"/>
            <w:hideMark/>
          </w:tcPr>
          <w:p w14:paraId="35486CCC" w14:textId="77777777" w:rsidR="005061E6" w:rsidRPr="009D258A" w:rsidRDefault="005061E6">
            <w:pPr>
              <w:spacing w:before="0" w:after="0"/>
              <w:jc w:val="right"/>
              <w:rPr>
                <w:noProof/>
                <w:color w:val="000000"/>
                <w:sz w:val="20"/>
                <w:szCs w:val="20"/>
              </w:rPr>
            </w:pPr>
            <w:r w:rsidRPr="009D258A">
              <w:rPr>
                <w:noProof/>
                <w:color w:val="000000" w:themeColor="text1"/>
                <w:sz w:val="20"/>
              </w:rPr>
              <w:t>0,500</w:t>
            </w:r>
            <w:r w:rsidRPr="009D258A">
              <w:rPr>
                <w:rStyle w:val="FootnoteReference"/>
                <w:noProof/>
                <w:color w:val="000000" w:themeColor="text1"/>
                <w:sz w:val="20"/>
                <w:szCs w:val="20"/>
                <w:lang w:eastAsia="en-IE"/>
              </w:rPr>
              <w:footnoteReference w:id="31"/>
            </w:r>
            <w:r w:rsidRPr="009D258A">
              <w:rPr>
                <w:noProof/>
                <w:color w:val="000000" w:themeColor="text1"/>
                <w:sz w:val="20"/>
              </w:rPr>
              <w:t xml:space="preserve"> </w:t>
            </w:r>
          </w:p>
        </w:tc>
        <w:tc>
          <w:tcPr>
            <w:tcW w:w="1261" w:type="dxa"/>
            <w:tcBorders>
              <w:top w:val="nil"/>
              <w:left w:val="nil"/>
              <w:bottom w:val="single" w:sz="8" w:space="0" w:color="auto"/>
              <w:right w:val="single" w:sz="8" w:space="0" w:color="auto"/>
            </w:tcBorders>
            <w:vAlign w:val="center"/>
            <w:hideMark/>
          </w:tcPr>
          <w:p w14:paraId="36829C30" w14:textId="77777777" w:rsidR="005061E6" w:rsidRPr="009D258A" w:rsidRDefault="005061E6">
            <w:pPr>
              <w:spacing w:before="0" w:after="0"/>
              <w:jc w:val="right"/>
              <w:rPr>
                <w:noProof/>
                <w:color w:val="000000"/>
                <w:sz w:val="20"/>
                <w:szCs w:val="20"/>
              </w:rPr>
            </w:pPr>
            <w:r w:rsidRPr="009D258A">
              <w:rPr>
                <w:noProof/>
                <w:color w:val="000000" w:themeColor="text1"/>
                <w:sz w:val="20"/>
              </w:rPr>
              <w:t>0,500</w:t>
            </w:r>
            <w:r w:rsidRPr="009D258A">
              <w:rPr>
                <w:rStyle w:val="FootnoteReference"/>
                <w:noProof/>
                <w:color w:val="000000" w:themeColor="text1"/>
                <w:sz w:val="20"/>
                <w:szCs w:val="20"/>
                <w:lang w:eastAsia="en-IE"/>
              </w:rPr>
              <w:footnoteReference w:id="32"/>
            </w:r>
            <w:r w:rsidRPr="009D258A">
              <w:rPr>
                <w:noProof/>
                <w:color w:val="000000" w:themeColor="text1"/>
                <w:sz w:val="20"/>
              </w:rPr>
              <w:t xml:space="preserve"> </w:t>
            </w:r>
          </w:p>
        </w:tc>
        <w:tc>
          <w:tcPr>
            <w:tcW w:w="1261" w:type="dxa"/>
            <w:tcBorders>
              <w:top w:val="nil"/>
              <w:left w:val="nil"/>
              <w:bottom w:val="single" w:sz="8" w:space="0" w:color="auto"/>
              <w:right w:val="single" w:sz="8" w:space="0" w:color="auto"/>
            </w:tcBorders>
            <w:vAlign w:val="center"/>
          </w:tcPr>
          <w:p w14:paraId="4BAE9B41" w14:textId="77777777" w:rsidR="005061E6" w:rsidRPr="009D258A" w:rsidRDefault="005061E6">
            <w:pPr>
              <w:jc w:val="right"/>
              <w:rPr>
                <w:noProof/>
                <w:color w:val="000000" w:themeColor="text1"/>
                <w:sz w:val="20"/>
                <w:szCs w:val="20"/>
                <w:lang w:eastAsia="en-IE"/>
              </w:rPr>
            </w:pPr>
          </w:p>
        </w:tc>
        <w:tc>
          <w:tcPr>
            <w:tcW w:w="1535" w:type="dxa"/>
            <w:tcBorders>
              <w:top w:val="nil"/>
              <w:left w:val="nil"/>
              <w:bottom w:val="single" w:sz="8" w:space="0" w:color="auto"/>
              <w:right w:val="single" w:sz="8" w:space="0" w:color="auto"/>
            </w:tcBorders>
            <w:shd w:val="clear" w:color="auto" w:fill="D9D9D9" w:themeFill="background1" w:themeFillShade="D9"/>
            <w:vAlign w:val="center"/>
            <w:hideMark/>
          </w:tcPr>
          <w:p w14:paraId="0486E0D6" w14:textId="77777777" w:rsidR="005061E6" w:rsidRPr="009D258A" w:rsidRDefault="005061E6">
            <w:pPr>
              <w:spacing w:before="0" w:after="0"/>
              <w:jc w:val="right"/>
              <w:rPr>
                <w:b/>
                <w:bCs/>
                <w:noProof/>
                <w:color w:val="000000"/>
                <w:sz w:val="20"/>
                <w:szCs w:val="20"/>
              </w:rPr>
            </w:pPr>
            <w:r w:rsidRPr="009D258A">
              <w:rPr>
                <w:b/>
                <w:noProof/>
                <w:color w:val="000000" w:themeColor="text1"/>
                <w:sz w:val="20"/>
              </w:rPr>
              <w:t xml:space="preserve">   1,000</w:t>
            </w:r>
          </w:p>
        </w:tc>
      </w:tr>
      <w:tr w:rsidR="005061E6" w:rsidRPr="009D258A" w14:paraId="74A81240" w14:textId="77777777">
        <w:trPr>
          <w:trHeight w:val="315"/>
        </w:trPr>
        <w:tc>
          <w:tcPr>
            <w:tcW w:w="3556" w:type="dxa"/>
            <w:vMerge/>
            <w:vAlign w:val="center"/>
            <w:hideMark/>
          </w:tcPr>
          <w:p w14:paraId="61CE1C27" w14:textId="77777777" w:rsidR="005061E6" w:rsidRPr="009D258A" w:rsidRDefault="005061E6">
            <w:pPr>
              <w:spacing w:before="0" w:after="0"/>
              <w:jc w:val="left"/>
              <w:rPr>
                <w:noProof/>
                <w:color w:val="000000"/>
                <w:sz w:val="22"/>
                <w:lang w:eastAsia="en-IE"/>
              </w:rPr>
            </w:pPr>
          </w:p>
        </w:tc>
        <w:tc>
          <w:tcPr>
            <w:tcW w:w="1386" w:type="dxa"/>
            <w:tcBorders>
              <w:top w:val="nil"/>
              <w:left w:val="nil"/>
              <w:bottom w:val="single" w:sz="8" w:space="0" w:color="auto"/>
              <w:right w:val="single" w:sz="8" w:space="0" w:color="auto"/>
            </w:tcBorders>
            <w:vAlign w:val="center"/>
            <w:hideMark/>
          </w:tcPr>
          <w:p w14:paraId="3B1ADCA9" w14:textId="77777777" w:rsidR="005061E6" w:rsidRPr="009D258A" w:rsidRDefault="005061E6">
            <w:pPr>
              <w:spacing w:before="0" w:after="0"/>
              <w:rPr>
                <w:noProof/>
                <w:color w:val="000000"/>
                <w:sz w:val="18"/>
                <w:szCs w:val="18"/>
              </w:rPr>
            </w:pPr>
            <w:r w:rsidRPr="009D258A">
              <w:rPr>
                <w:noProof/>
                <w:color w:val="000000"/>
                <w:sz w:val="18"/>
              </w:rPr>
              <w:t>Maksut</w:t>
            </w:r>
          </w:p>
        </w:tc>
        <w:tc>
          <w:tcPr>
            <w:tcW w:w="1306" w:type="dxa"/>
            <w:tcBorders>
              <w:top w:val="single" w:sz="8" w:space="0" w:color="auto"/>
              <w:left w:val="nil"/>
              <w:bottom w:val="single" w:sz="8" w:space="0" w:color="auto"/>
              <w:right w:val="single" w:sz="8" w:space="0" w:color="auto"/>
            </w:tcBorders>
            <w:vAlign w:val="center"/>
            <w:hideMark/>
          </w:tcPr>
          <w:p w14:paraId="109006BB" w14:textId="77777777" w:rsidR="005061E6" w:rsidRPr="009D258A" w:rsidRDefault="005061E6">
            <w:pPr>
              <w:spacing w:before="0" w:after="0"/>
              <w:jc w:val="center"/>
              <w:rPr>
                <w:noProof/>
                <w:color w:val="000000"/>
                <w:sz w:val="14"/>
                <w:szCs w:val="14"/>
              </w:rPr>
            </w:pPr>
            <w:r w:rsidRPr="009D258A">
              <w:rPr>
                <w:noProof/>
                <w:color w:val="000000"/>
                <w:sz w:val="14"/>
              </w:rPr>
              <w:t>(2a)</w:t>
            </w:r>
          </w:p>
        </w:tc>
        <w:tc>
          <w:tcPr>
            <w:tcW w:w="1305" w:type="dxa"/>
            <w:tcBorders>
              <w:top w:val="nil"/>
              <w:left w:val="nil"/>
              <w:bottom w:val="single" w:sz="8" w:space="0" w:color="auto"/>
              <w:right w:val="single" w:sz="8" w:space="0" w:color="auto"/>
            </w:tcBorders>
            <w:vAlign w:val="center"/>
            <w:hideMark/>
          </w:tcPr>
          <w:p w14:paraId="005EE46B" w14:textId="77777777" w:rsidR="005061E6" w:rsidRPr="009D258A" w:rsidRDefault="005061E6">
            <w:pPr>
              <w:spacing w:before="0" w:after="0"/>
              <w:jc w:val="right"/>
              <w:rPr>
                <w:noProof/>
                <w:color w:val="000000"/>
                <w:sz w:val="20"/>
                <w:szCs w:val="20"/>
              </w:rPr>
            </w:pPr>
            <w:r w:rsidRPr="009D258A">
              <w:rPr>
                <w:noProof/>
                <w:color w:val="000000"/>
                <w:sz w:val="20"/>
              </w:rPr>
              <w:t xml:space="preserve"> </w:t>
            </w:r>
          </w:p>
        </w:tc>
        <w:tc>
          <w:tcPr>
            <w:tcW w:w="1305" w:type="dxa"/>
            <w:tcBorders>
              <w:top w:val="nil"/>
              <w:left w:val="nil"/>
              <w:bottom w:val="single" w:sz="8" w:space="0" w:color="auto"/>
              <w:right w:val="single" w:sz="8" w:space="0" w:color="auto"/>
            </w:tcBorders>
            <w:vAlign w:val="center"/>
            <w:hideMark/>
          </w:tcPr>
          <w:p w14:paraId="536D7DFD" w14:textId="77777777" w:rsidR="005061E6" w:rsidRPr="009D258A" w:rsidRDefault="005061E6">
            <w:pPr>
              <w:spacing w:before="0" w:after="0"/>
              <w:jc w:val="right"/>
              <w:rPr>
                <w:noProof/>
                <w:color w:val="000000"/>
                <w:sz w:val="20"/>
                <w:szCs w:val="20"/>
              </w:rPr>
            </w:pPr>
            <w:r w:rsidRPr="009D258A">
              <w:rPr>
                <w:noProof/>
                <w:color w:val="000000"/>
                <w:sz w:val="20"/>
              </w:rPr>
              <w:t xml:space="preserve"> </w:t>
            </w:r>
          </w:p>
        </w:tc>
        <w:tc>
          <w:tcPr>
            <w:tcW w:w="1305" w:type="dxa"/>
            <w:tcBorders>
              <w:top w:val="nil"/>
              <w:left w:val="nil"/>
              <w:bottom w:val="single" w:sz="8" w:space="0" w:color="auto"/>
              <w:right w:val="single" w:sz="8" w:space="0" w:color="auto"/>
            </w:tcBorders>
            <w:vAlign w:val="center"/>
            <w:hideMark/>
          </w:tcPr>
          <w:p w14:paraId="2A8737B1" w14:textId="77777777" w:rsidR="005061E6" w:rsidRPr="009D258A" w:rsidRDefault="005061E6">
            <w:pPr>
              <w:spacing w:before="0" w:after="0"/>
              <w:jc w:val="right"/>
              <w:rPr>
                <w:noProof/>
                <w:color w:val="000000"/>
                <w:sz w:val="20"/>
                <w:szCs w:val="20"/>
                <w:lang w:eastAsia="en-IE"/>
              </w:rPr>
            </w:pPr>
          </w:p>
        </w:tc>
        <w:tc>
          <w:tcPr>
            <w:tcW w:w="1261" w:type="dxa"/>
            <w:tcBorders>
              <w:top w:val="nil"/>
              <w:left w:val="nil"/>
              <w:bottom w:val="single" w:sz="8" w:space="0" w:color="auto"/>
              <w:right w:val="single" w:sz="8" w:space="0" w:color="auto"/>
            </w:tcBorders>
            <w:vAlign w:val="center"/>
            <w:hideMark/>
          </w:tcPr>
          <w:p w14:paraId="20704EEE" w14:textId="77777777" w:rsidR="005061E6" w:rsidRPr="009D258A" w:rsidRDefault="005061E6">
            <w:pPr>
              <w:spacing w:before="0" w:after="0"/>
              <w:jc w:val="right"/>
              <w:rPr>
                <w:noProof/>
                <w:color w:val="000000"/>
                <w:sz w:val="20"/>
                <w:szCs w:val="20"/>
              </w:rPr>
            </w:pPr>
            <w:r w:rsidRPr="009D258A">
              <w:rPr>
                <w:noProof/>
                <w:color w:val="000000" w:themeColor="text1"/>
                <w:sz w:val="20"/>
              </w:rPr>
              <w:t>0,500 </w:t>
            </w:r>
          </w:p>
        </w:tc>
        <w:tc>
          <w:tcPr>
            <w:tcW w:w="1261" w:type="dxa"/>
            <w:tcBorders>
              <w:top w:val="nil"/>
              <w:left w:val="nil"/>
              <w:bottom w:val="single" w:sz="8" w:space="0" w:color="auto"/>
              <w:right w:val="single" w:sz="8" w:space="0" w:color="auto"/>
            </w:tcBorders>
            <w:vAlign w:val="center"/>
          </w:tcPr>
          <w:p w14:paraId="0F90BAD5" w14:textId="77777777" w:rsidR="005061E6" w:rsidRPr="009D258A" w:rsidRDefault="005061E6">
            <w:pPr>
              <w:jc w:val="right"/>
              <w:rPr>
                <w:noProof/>
                <w:color w:val="000000" w:themeColor="text1"/>
                <w:sz w:val="20"/>
                <w:szCs w:val="20"/>
              </w:rPr>
            </w:pPr>
            <w:r w:rsidRPr="009D258A">
              <w:rPr>
                <w:noProof/>
                <w:color w:val="000000" w:themeColor="text1"/>
                <w:sz w:val="20"/>
              </w:rPr>
              <w:t>0,500</w:t>
            </w:r>
          </w:p>
        </w:tc>
        <w:tc>
          <w:tcPr>
            <w:tcW w:w="1535" w:type="dxa"/>
            <w:tcBorders>
              <w:top w:val="nil"/>
              <w:left w:val="nil"/>
              <w:bottom w:val="single" w:sz="8" w:space="0" w:color="auto"/>
              <w:right w:val="single" w:sz="8" w:space="0" w:color="auto"/>
            </w:tcBorders>
            <w:shd w:val="clear" w:color="auto" w:fill="D9D9D9" w:themeFill="background1" w:themeFillShade="D9"/>
            <w:vAlign w:val="center"/>
            <w:hideMark/>
          </w:tcPr>
          <w:p w14:paraId="3E5C43F6" w14:textId="77777777" w:rsidR="005061E6" w:rsidRPr="009D258A" w:rsidRDefault="005061E6">
            <w:pPr>
              <w:spacing w:before="0" w:after="0"/>
              <w:jc w:val="right"/>
              <w:rPr>
                <w:b/>
                <w:bCs/>
                <w:noProof/>
                <w:color w:val="000000"/>
                <w:sz w:val="20"/>
                <w:szCs w:val="20"/>
              </w:rPr>
            </w:pPr>
            <w:r w:rsidRPr="009D258A">
              <w:rPr>
                <w:b/>
                <w:noProof/>
                <w:color w:val="000000" w:themeColor="text1"/>
                <w:sz w:val="20"/>
              </w:rPr>
              <w:t>1,000</w:t>
            </w:r>
          </w:p>
        </w:tc>
      </w:tr>
      <w:tr w:rsidR="005061E6" w:rsidRPr="009D258A" w14:paraId="65AA2B95" w14:textId="77777777">
        <w:trPr>
          <w:trHeight w:val="288"/>
        </w:trPr>
        <w:tc>
          <w:tcPr>
            <w:tcW w:w="14220" w:type="dxa"/>
            <w:gridSpan w:val="9"/>
            <w:tcBorders>
              <w:top w:val="single" w:sz="8" w:space="0" w:color="auto"/>
              <w:left w:val="single" w:sz="8" w:space="0" w:color="auto"/>
              <w:bottom w:val="single" w:sz="8" w:space="0" w:color="auto"/>
              <w:right w:val="single" w:sz="8" w:space="0" w:color="auto"/>
            </w:tcBorders>
            <w:vAlign w:val="bottom"/>
          </w:tcPr>
          <w:p w14:paraId="6ED111F1" w14:textId="77777777" w:rsidR="005061E6" w:rsidRPr="009D258A" w:rsidRDefault="005061E6">
            <w:pPr>
              <w:spacing w:before="0" w:after="0"/>
              <w:jc w:val="left"/>
              <w:rPr>
                <w:noProof/>
                <w:color w:val="000000" w:themeColor="text1"/>
                <w:sz w:val="22"/>
              </w:rPr>
            </w:pPr>
            <w:r w:rsidRPr="009D258A">
              <w:rPr>
                <w:noProof/>
                <w:color w:val="000000" w:themeColor="text1"/>
                <w:sz w:val="22"/>
              </w:rPr>
              <w:t>Tiettyjen ohjelmien määrärahoista katettavat hallintomäärärahat</w:t>
            </w:r>
          </w:p>
        </w:tc>
      </w:tr>
      <w:tr w:rsidR="005061E6" w:rsidRPr="009D258A" w14:paraId="4F511945" w14:textId="77777777">
        <w:trPr>
          <w:trHeight w:val="288"/>
        </w:trPr>
        <w:tc>
          <w:tcPr>
            <w:tcW w:w="3556" w:type="dxa"/>
            <w:tcBorders>
              <w:top w:val="nil"/>
              <w:left w:val="single" w:sz="8" w:space="0" w:color="auto"/>
              <w:bottom w:val="single" w:sz="8" w:space="0" w:color="auto"/>
              <w:right w:val="single" w:sz="8" w:space="0" w:color="auto"/>
            </w:tcBorders>
            <w:vAlign w:val="center"/>
            <w:hideMark/>
          </w:tcPr>
          <w:p w14:paraId="4C56D5A9" w14:textId="77777777" w:rsidR="005061E6" w:rsidRPr="009D258A" w:rsidRDefault="005061E6">
            <w:pPr>
              <w:spacing w:before="0" w:after="0"/>
              <w:rPr>
                <w:noProof/>
                <w:color w:val="000000"/>
                <w:sz w:val="20"/>
                <w:szCs w:val="20"/>
              </w:rPr>
            </w:pPr>
            <w:r w:rsidRPr="009D258A">
              <w:rPr>
                <w:noProof/>
                <w:color w:val="000000" w:themeColor="text1"/>
                <w:sz w:val="20"/>
              </w:rPr>
              <w:t>Budjettikohta 02 01 30 01</w:t>
            </w:r>
          </w:p>
        </w:tc>
        <w:tc>
          <w:tcPr>
            <w:tcW w:w="1386" w:type="dxa"/>
            <w:tcBorders>
              <w:top w:val="nil"/>
              <w:left w:val="nil"/>
              <w:bottom w:val="single" w:sz="8" w:space="0" w:color="auto"/>
              <w:right w:val="single" w:sz="8" w:space="0" w:color="auto"/>
            </w:tcBorders>
            <w:vAlign w:val="center"/>
            <w:hideMark/>
          </w:tcPr>
          <w:p w14:paraId="3A4F88C4" w14:textId="77777777" w:rsidR="005061E6" w:rsidRPr="009D258A" w:rsidRDefault="005061E6">
            <w:pPr>
              <w:spacing w:before="0" w:after="0"/>
              <w:jc w:val="right"/>
              <w:rPr>
                <w:noProof/>
                <w:color w:val="000000"/>
                <w:sz w:val="18"/>
                <w:szCs w:val="18"/>
              </w:rPr>
            </w:pPr>
            <w:r w:rsidRPr="009D258A">
              <w:rPr>
                <w:noProof/>
                <w:color w:val="000000"/>
                <w:sz w:val="18"/>
              </w:rPr>
              <w:t xml:space="preserve"> </w:t>
            </w:r>
          </w:p>
        </w:tc>
        <w:tc>
          <w:tcPr>
            <w:tcW w:w="1306" w:type="dxa"/>
            <w:tcBorders>
              <w:top w:val="single" w:sz="8" w:space="0" w:color="auto"/>
              <w:left w:val="nil"/>
              <w:bottom w:val="single" w:sz="8" w:space="0" w:color="auto"/>
              <w:right w:val="single" w:sz="8" w:space="0" w:color="auto"/>
            </w:tcBorders>
            <w:vAlign w:val="center"/>
            <w:hideMark/>
          </w:tcPr>
          <w:p w14:paraId="183E8EEA" w14:textId="77777777" w:rsidR="005061E6" w:rsidRPr="009D258A" w:rsidRDefault="005061E6">
            <w:pPr>
              <w:spacing w:before="0" w:after="0"/>
              <w:jc w:val="center"/>
              <w:rPr>
                <w:noProof/>
                <w:color w:val="000000"/>
                <w:sz w:val="14"/>
                <w:szCs w:val="14"/>
              </w:rPr>
            </w:pPr>
            <w:r w:rsidRPr="009D258A">
              <w:rPr>
                <w:noProof/>
                <w:color w:val="000000"/>
                <w:sz w:val="14"/>
              </w:rPr>
              <w:t>(3)</w:t>
            </w:r>
          </w:p>
        </w:tc>
        <w:tc>
          <w:tcPr>
            <w:tcW w:w="1305" w:type="dxa"/>
            <w:tcBorders>
              <w:top w:val="nil"/>
              <w:left w:val="nil"/>
              <w:bottom w:val="single" w:sz="8" w:space="0" w:color="auto"/>
              <w:right w:val="single" w:sz="8" w:space="0" w:color="auto"/>
            </w:tcBorders>
            <w:vAlign w:val="center"/>
            <w:hideMark/>
          </w:tcPr>
          <w:p w14:paraId="32FD53F7" w14:textId="77777777" w:rsidR="005061E6" w:rsidRPr="009D258A" w:rsidRDefault="005061E6">
            <w:pPr>
              <w:spacing w:before="0" w:after="0"/>
              <w:jc w:val="right"/>
              <w:rPr>
                <w:b/>
                <w:bCs/>
                <w:noProof/>
                <w:color w:val="000000"/>
                <w:sz w:val="20"/>
                <w:szCs w:val="20"/>
              </w:rPr>
            </w:pPr>
            <w:r w:rsidRPr="009D258A">
              <w:rPr>
                <w:b/>
                <w:noProof/>
                <w:color w:val="000000"/>
                <w:sz w:val="20"/>
              </w:rPr>
              <w:t xml:space="preserve"> </w:t>
            </w:r>
          </w:p>
        </w:tc>
        <w:tc>
          <w:tcPr>
            <w:tcW w:w="1305" w:type="dxa"/>
            <w:tcBorders>
              <w:top w:val="nil"/>
              <w:left w:val="nil"/>
              <w:bottom w:val="single" w:sz="8" w:space="0" w:color="auto"/>
              <w:right w:val="single" w:sz="8" w:space="0" w:color="auto"/>
            </w:tcBorders>
            <w:vAlign w:val="center"/>
            <w:hideMark/>
          </w:tcPr>
          <w:p w14:paraId="3B8B03F8" w14:textId="77777777" w:rsidR="005061E6" w:rsidRPr="009D258A" w:rsidRDefault="005061E6">
            <w:pPr>
              <w:spacing w:before="0" w:after="0"/>
              <w:jc w:val="right"/>
              <w:rPr>
                <w:b/>
                <w:bCs/>
                <w:noProof/>
                <w:color w:val="000000"/>
                <w:sz w:val="20"/>
                <w:szCs w:val="20"/>
              </w:rPr>
            </w:pPr>
            <w:r w:rsidRPr="009D258A">
              <w:rPr>
                <w:b/>
                <w:noProof/>
                <w:color w:val="000000"/>
                <w:sz w:val="20"/>
              </w:rPr>
              <w:t xml:space="preserve"> </w:t>
            </w:r>
          </w:p>
        </w:tc>
        <w:tc>
          <w:tcPr>
            <w:tcW w:w="1305" w:type="dxa"/>
            <w:tcBorders>
              <w:top w:val="nil"/>
              <w:left w:val="nil"/>
              <w:bottom w:val="single" w:sz="8" w:space="0" w:color="auto"/>
              <w:right w:val="single" w:sz="8" w:space="0" w:color="auto"/>
            </w:tcBorders>
            <w:vAlign w:val="center"/>
            <w:hideMark/>
          </w:tcPr>
          <w:p w14:paraId="5F2427BE" w14:textId="77777777" w:rsidR="005061E6" w:rsidRPr="009D258A" w:rsidRDefault="005061E6">
            <w:pPr>
              <w:spacing w:before="0" w:after="0"/>
              <w:jc w:val="right"/>
              <w:rPr>
                <w:b/>
                <w:bCs/>
                <w:noProof/>
                <w:color w:val="000000"/>
                <w:sz w:val="20"/>
                <w:szCs w:val="20"/>
              </w:rPr>
            </w:pPr>
            <w:r w:rsidRPr="009D258A">
              <w:rPr>
                <w:b/>
                <w:noProof/>
                <w:color w:val="000000" w:themeColor="text1"/>
                <w:sz w:val="20"/>
              </w:rPr>
              <w:t>2,642</w:t>
            </w:r>
            <w:r w:rsidRPr="009D258A">
              <w:rPr>
                <w:rStyle w:val="FootnoteReference"/>
                <w:b/>
                <w:bCs/>
                <w:noProof/>
                <w:color w:val="000000" w:themeColor="text1"/>
                <w:sz w:val="20"/>
                <w:szCs w:val="20"/>
                <w:lang w:eastAsia="en-IE"/>
              </w:rPr>
              <w:footnoteReference w:id="33"/>
            </w:r>
          </w:p>
        </w:tc>
        <w:tc>
          <w:tcPr>
            <w:tcW w:w="1261" w:type="dxa"/>
            <w:tcBorders>
              <w:top w:val="nil"/>
              <w:left w:val="nil"/>
              <w:bottom w:val="single" w:sz="8" w:space="0" w:color="auto"/>
              <w:right w:val="single" w:sz="8" w:space="0" w:color="auto"/>
            </w:tcBorders>
            <w:vAlign w:val="center"/>
            <w:hideMark/>
          </w:tcPr>
          <w:p w14:paraId="09159E63" w14:textId="77777777" w:rsidR="005061E6" w:rsidRPr="009D258A" w:rsidRDefault="005061E6">
            <w:pPr>
              <w:spacing w:before="0" w:after="0"/>
              <w:jc w:val="right"/>
              <w:rPr>
                <w:b/>
                <w:bCs/>
                <w:noProof/>
                <w:color w:val="000000"/>
                <w:sz w:val="20"/>
                <w:szCs w:val="20"/>
              </w:rPr>
            </w:pPr>
            <w:r w:rsidRPr="009D258A">
              <w:rPr>
                <w:b/>
                <w:noProof/>
                <w:color w:val="000000" w:themeColor="text1"/>
                <w:sz w:val="20"/>
              </w:rPr>
              <w:t>6,283</w:t>
            </w:r>
            <w:r w:rsidRPr="009D258A">
              <w:rPr>
                <w:rStyle w:val="FootnoteReference"/>
                <w:b/>
                <w:bCs/>
                <w:noProof/>
                <w:color w:val="000000" w:themeColor="text1"/>
                <w:sz w:val="20"/>
                <w:szCs w:val="20"/>
                <w:lang w:eastAsia="en-IE"/>
              </w:rPr>
              <w:footnoteReference w:id="34"/>
            </w:r>
          </w:p>
        </w:tc>
        <w:tc>
          <w:tcPr>
            <w:tcW w:w="1261" w:type="dxa"/>
            <w:tcBorders>
              <w:top w:val="nil"/>
              <w:left w:val="nil"/>
              <w:bottom w:val="single" w:sz="8" w:space="0" w:color="auto"/>
              <w:right w:val="single" w:sz="8" w:space="0" w:color="auto"/>
            </w:tcBorders>
            <w:vAlign w:val="center"/>
          </w:tcPr>
          <w:p w14:paraId="1D69E0D5" w14:textId="77777777" w:rsidR="005061E6" w:rsidRPr="009D258A" w:rsidRDefault="005061E6">
            <w:pPr>
              <w:jc w:val="right"/>
              <w:rPr>
                <w:b/>
                <w:bCs/>
                <w:noProof/>
                <w:color w:val="000000" w:themeColor="text1"/>
                <w:sz w:val="20"/>
                <w:szCs w:val="20"/>
              </w:rPr>
            </w:pPr>
            <w:r w:rsidRPr="009D258A">
              <w:rPr>
                <w:b/>
                <w:noProof/>
                <w:color w:val="000000" w:themeColor="text1"/>
                <w:sz w:val="20"/>
              </w:rPr>
              <w:t>7,283</w:t>
            </w:r>
          </w:p>
          <w:p w14:paraId="01E30CF2" w14:textId="77777777" w:rsidR="005061E6" w:rsidRPr="009D258A" w:rsidRDefault="005061E6">
            <w:pPr>
              <w:jc w:val="right"/>
              <w:rPr>
                <w:b/>
                <w:bCs/>
                <w:noProof/>
                <w:color w:val="000000" w:themeColor="text1"/>
                <w:sz w:val="20"/>
                <w:szCs w:val="20"/>
                <w:lang w:eastAsia="en-IE"/>
              </w:rPr>
            </w:pPr>
          </w:p>
        </w:tc>
        <w:tc>
          <w:tcPr>
            <w:tcW w:w="1535" w:type="dxa"/>
            <w:tcBorders>
              <w:top w:val="nil"/>
              <w:left w:val="nil"/>
              <w:bottom w:val="single" w:sz="8" w:space="0" w:color="auto"/>
              <w:right w:val="single" w:sz="8" w:space="0" w:color="auto"/>
            </w:tcBorders>
            <w:shd w:val="clear" w:color="auto" w:fill="D9D9D9" w:themeFill="background1" w:themeFillShade="D9"/>
            <w:vAlign w:val="center"/>
            <w:hideMark/>
          </w:tcPr>
          <w:p w14:paraId="7E7450EA" w14:textId="77777777" w:rsidR="005061E6" w:rsidRPr="009D258A" w:rsidRDefault="005061E6">
            <w:pPr>
              <w:spacing w:before="0" w:after="0"/>
              <w:jc w:val="right"/>
              <w:rPr>
                <w:b/>
                <w:bCs/>
                <w:noProof/>
                <w:color w:val="000000"/>
                <w:sz w:val="20"/>
                <w:szCs w:val="20"/>
              </w:rPr>
            </w:pPr>
            <w:r w:rsidRPr="009D258A">
              <w:rPr>
                <w:b/>
                <w:noProof/>
                <w:color w:val="000000" w:themeColor="text1"/>
                <w:sz w:val="20"/>
              </w:rPr>
              <w:t>8,925</w:t>
            </w:r>
          </w:p>
        </w:tc>
      </w:tr>
      <w:tr w:rsidR="005061E6" w:rsidRPr="009D258A" w14:paraId="2CC8E847" w14:textId="77777777">
        <w:trPr>
          <w:trHeight w:val="288"/>
        </w:trPr>
        <w:tc>
          <w:tcPr>
            <w:tcW w:w="3556" w:type="dxa"/>
            <w:vMerge w:val="restart"/>
            <w:tcBorders>
              <w:top w:val="nil"/>
              <w:left w:val="single" w:sz="8" w:space="0" w:color="auto"/>
              <w:right w:val="single" w:sz="8" w:space="0" w:color="auto"/>
            </w:tcBorders>
            <w:vAlign w:val="center"/>
            <w:hideMark/>
          </w:tcPr>
          <w:p w14:paraId="75434AFF" w14:textId="77777777" w:rsidR="005061E6" w:rsidRPr="009D258A" w:rsidRDefault="005061E6">
            <w:pPr>
              <w:spacing w:before="0" w:after="0"/>
              <w:jc w:val="center"/>
              <w:rPr>
                <w:b/>
                <w:bCs/>
                <w:noProof/>
                <w:color w:val="000000"/>
                <w:sz w:val="22"/>
              </w:rPr>
            </w:pPr>
            <w:r w:rsidRPr="009D258A">
              <w:rPr>
                <w:b/>
                <w:noProof/>
                <w:color w:val="000000"/>
                <w:sz w:val="22"/>
              </w:rPr>
              <w:t>Pääosaston CNECT määrärahat YHTEENSÄ</w:t>
            </w:r>
          </w:p>
          <w:p w14:paraId="31A11E29" w14:textId="77777777" w:rsidR="005061E6" w:rsidRPr="009D258A" w:rsidRDefault="005061E6">
            <w:pPr>
              <w:spacing w:before="0" w:after="0"/>
              <w:jc w:val="center"/>
              <w:rPr>
                <w:noProof/>
                <w:color w:val="000000"/>
                <w:sz w:val="22"/>
              </w:rPr>
            </w:pPr>
          </w:p>
        </w:tc>
        <w:tc>
          <w:tcPr>
            <w:tcW w:w="1386" w:type="dxa"/>
            <w:tcBorders>
              <w:top w:val="nil"/>
              <w:left w:val="nil"/>
              <w:bottom w:val="single" w:sz="8" w:space="0" w:color="auto"/>
              <w:right w:val="single" w:sz="8" w:space="0" w:color="auto"/>
            </w:tcBorders>
            <w:vAlign w:val="center"/>
            <w:hideMark/>
          </w:tcPr>
          <w:p w14:paraId="0D0ED8C0" w14:textId="77777777" w:rsidR="005061E6" w:rsidRPr="009D258A" w:rsidRDefault="005061E6">
            <w:pPr>
              <w:spacing w:before="0" w:after="0"/>
              <w:rPr>
                <w:noProof/>
                <w:color w:val="000000"/>
                <w:sz w:val="18"/>
                <w:szCs w:val="18"/>
              </w:rPr>
            </w:pPr>
            <w:r w:rsidRPr="009D258A">
              <w:rPr>
                <w:noProof/>
                <w:color w:val="000000"/>
                <w:sz w:val="18"/>
              </w:rPr>
              <w:t>Sitoumukset</w:t>
            </w:r>
          </w:p>
        </w:tc>
        <w:tc>
          <w:tcPr>
            <w:tcW w:w="1306" w:type="dxa"/>
            <w:tcBorders>
              <w:top w:val="single" w:sz="8" w:space="0" w:color="auto"/>
              <w:left w:val="nil"/>
              <w:bottom w:val="single" w:sz="8" w:space="0" w:color="auto"/>
              <w:right w:val="single" w:sz="8" w:space="0" w:color="auto"/>
            </w:tcBorders>
            <w:vAlign w:val="center"/>
            <w:hideMark/>
          </w:tcPr>
          <w:p w14:paraId="0D9DE6AA" w14:textId="77777777" w:rsidR="005061E6" w:rsidRPr="009D258A" w:rsidRDefault="005061E6">
            <w:pPr>
              <w:spacing w:before="0" w:after="0"/>
              <w:jc w:val="center"/>
              <w:rPr>
                <w:noProof/>
                <w:color w:val="000000"/>
                <w:sz w:val="14"/>
                <w:szCs w:val="14"/>
              </w:rPr>
            </w:pPr>
            <w:r w:rsidRPr="009D258A">
              <w:rPr>
                <w:noProof/>
                <w:color w:val="000000"/>
                <w:sz w:val="14"/>
              </w:rPr>
              <w:t>= 1a + 1b + 3</w:t>
            </w:r>
          </w:p>
        </w:tc>
        <w:tc>
          <w:tcPr>
            <w:tcW w:w="1305" w:type="dxa"/>
            <w:tcBorders>
              <w:top w:val="nil"/>
              <w:left w:val="nil"/>
              <w:bottom w:val="single" w:sz="8" w:space="0" w:color="auto"/>
              <w:right w:val="single" w:sz="8" w:space="0" w:color="auto"/>
            </w:tcBorders>
            <w:shd w:val="clear" w:color="auto" w:fill="D9D9D9" w:themeFill="background1" w:themeFillShade="D9"/>
            <w:vAlign w:val="center"/>
            <w:hideMark/>
          </w:tcPr>
          <w:p w14:paraId="7DA6C1F9" w14:textId="77777777" w:rsidR="005061E6" w:rsidRPr="009D258A" w:rsidRDefault="005061E6">
            <w:pPr>
              <w:spacing w:before="0" w:after="0"/>
              <w:jc w:val="right"/>
              <w:rPr>
                <w:b/>
                <w:bCs/>
                <w:noProof/>
                <w:color w:val="000000"/>
                <w:sz w:val="20"/>
                <w:szCs w:val="20"/>
                <w:lang w:eastAsia="en-IE"/>
              </w:rPr>
            </w:pPr>
          </w:p>
        </w:tc>
        <w:tc>
          <w:tcPr>
            <w:tcW w:w="1305" w:type="dxa"/>
            <w:tcBorders>
              <w:top w:val="nil"/>
              <w:left w:val="nil"/>
              <w:bottom w:val="single" w:sz="8" w:space="0" w:color="auto"/>
              <w:right w:val="single" w:sz="8" w:space="0" w:color="auto"/>
            </w:tcBorders>
            <w:shd w:val="clear" w:color="auto" w:fill="D9D9D9" w:themeFill="background1" w:themeFillShade="D9"/>
            <w:vAlign w:val="center"/>
            <w:hideMark/>
          </w:tcPr>
          <w:p w14:paraId="016C72D5" w14:textId="77777777" w:rsidR="005061E6" w:rsidRPr="009D258A" w:rsidRDefault="005061E6">
            <w:pPr>
              <w:spacing w:before="0" w:after="0"/>
              <w:jc w:val="right"/>
              <w:rPr>
                <w:b/>
                <w:bCs/>
                <w:noProof/>
                <w:color w:val="000000"/>
                <w:sz w:val="20"/>
                <w:szCs w:val="20"/>
                <w:lang w:eastAsia="en-IE"/>
              </w:rPr>
            </w:pPr>
          </w:p>
        </w:tc>
        <w:tc>
          <w:tcPr>
            <w:tcW w:w="1305" w:type="dxa"/>
            <w:tcBorders>
              <w:top w:val="nil"/>
              <w:left w:val="nil"/>
              <w:bottom w:val="single" w:sz="8" w:space="0" w:color="auto"/>
              <w:right w:val="single" w:sz="8" w:space="0" w:color="auto"/>
            </w:tcBorders>
            <w:shd w:val="clear" w:color="auto" w:fill="D9D9D9" w:themeFill="background1" w:themeFillShade="D9"/>
            <w:vAlign w:val="center"/>
            <w:hideMark/>
          </w:tcPr>
          <w:p w14:paraId="387E1525" w14:textId="77777777" w:rsidR="005061E6" w:rsidRPr="009D258A" w:rsidRDefault="005061E6">
            <w:pPr>
              <w:spacing w:before="0" w:after="0"/>
              <w:jc w:val="right"/>
              <w:rPr>
                <w:b/>
                <w:bCs/>
                <w:noProof/>
                <w:color w:val="000000"/>
                <w:sz w:val="20"/>
                <w:szCs w:val="20"/>
              </w:rPr>
            </w:pPr>
            <w:r w:rsidRPr="009D258A">
              <w:rPr>
                <w:b/>
                <w:noProof/>
                <w:color w:val="000000" w:themeColor="text1"/>
                <w:sz w:val="20"/>
              </w:rPr>
              <w:t>3,142</w:t>
            </w:r>
          </w:p>
        </w:tc>
        <w:tc>
          <w:tcPr>
            <w:tcW w:w="1261" w:type="dxa"/>
            <w:tcBorders>
              <w:top w:val="nil"/>
              <w:left w:val="nil"/>
              <w:bottom w:val="single" w:sz="8" w:space="0" w:color="auto"/>
              <w:right w:val="single" w:sz="8" w:space="0" w:color="auto"/>
            </w:tcBorders>
            <w:shd w:val="clear" w:color="auto" w:fill="D9D9D9" w:themeFill="background1" w:themeFillShade="D9"/>
            <w:vAlign w:val="center"/>
            <w:hideMark/>
          </w:tcPr>
          <w:p w14:paraId="57FDF605" w14:textId="77777777" w:rsidR="005061E6" w:rsidRPr="009D258A" w:rsidRDefault="005061E6">
            <w:pPr>
              <w:spacing w:before="0" w:after="0"/>
              <w:jc w:val="right"/>
              <w:rPr>
                <w:b/>
                <w:bCs/>
                <w:noProof/>
                <w:color w:val="000000"/>
                <w:sz w:val="20"/>
                <w:szCs w:val="20"/>
              </w:rPr>
            </w:pPr>
            <w:r w:rsidRPr="009D258A">
              <w:rPr>
                <w:b/>
                <w:noProof/>
                <w:color w:val="000000" w:themeColor="text1"/>
                <w:sz w:val="20"/>
              </w:rPr>
              <w:t>6,783</w:t>
            </w:r>
          </w:p>
        </w:tc>
        <w:tc>
          <w:tcPr>
            <w:tcW w:w="1261" w:type="dxa"/>
            <w:tcBorders>
              <w:top w:val="nil"/>
              <w:left w:val="nil"/>
              <w:bottom w:val="single" w:sz="8" w:space="0" w:color="auto"/>
              <w:right w:val="single" w:sz="8" w:space="0" w:color="auto"/>
            </w:tcBorders>
            <w:shd w:val="clear" w:color="auto" w:fill="D9D9D9" w:themeFill="background1" w:themeFillShade="D9"/>
            <w:vAlign w:val="center"/>
          </w:tcPr>
          <w:p w14:paraId="44D4115B" w14:textId="77777777" w:rsidR="005061E6" w:rsidRPr="009D258A" w:rsidRDefault="005061E6">
            <w:pPr>
              <w:jc w:val="right"/>
              <w:rPr>
                <w:b/>
                <w:bCs/>
                <w:noProof/>
                <w:color w:val="000000" w:themeColor="text1"/>
                <w:sz w:val="20"/>
                <w:szCs w:val="20"/>
              </w:rPr>
            </w:pPr>
            <w:r w:rsidRPr="009D258A">
              <w:rPr>
                <w:b/>
                <w:noProof/>
                <w:color w:val="000000" w:themeColor="text1"/>
                <w:sz w:val="20"/>
              </w:rPr>
              <w:t>7,283</w:t>
            </w:r>
          </w:p>
        </w:tc>
        <w:tc>
          <w:tcPr>
            <w:tcW w:w="1535" w:type="dxa"/>
            <w:tcBorders>
              <w:top w:val="nil"/>
              <w:left w:val="nil"/>
              <w:bottom w:val="single" w:sz="8" w:space="0" w:color="auto"/>
              <w:right w:val="single" w:sz="8" w:space="0" w:color="auto"/>
            </w:tcBorders>
            <w:shd w:val="clear" w:color="auto" w:fill="D9D9D9" w:themeFill="background1" w:themeFillShade="D9"/>
            <w:vAlign w:val="center"/>
            <w:hideMark/>
          </w:tcPr>
          <w:p w14:paraId="16AAAD59" w14:textId="77777777" w:rsidR="005061E6" w:rsidRPr="009D258A" w:rsidRDefault="005061E6">
            <w:pPr>
              <w:spacing w:before="0" w:after="0"/>
              <w:jc w:val="right"/>
              <w:rPr>
                <w:b/>
                <w:bCs/>
                <w:noProof/>
                <w:color w:val="000000"/>
                <w:sz w:val="20"/>
                <w:szCs w:val="20"/>
              </w:rPr>
            </w:pPr>
            <w:r w:rsidRPr="009D258A">
              <w:rPr>
                <w:b/>
                <w:noProof/>
                <w:color w:val="000000" w:themeColor="text1"/>
                <w:sz w:val="20"/>
              </w:rPr>
              <w:t>9,925</w:t>
            </w:r>
          </w:p>
        </w:tc>
      </w:tr>
      <w:tr w:rsidR="005061E6" w:rsidRPr="009D258A" w14:paraId="7C4B585F" w14:textId="77777777">
        <w:trPr>
          <w:trHeight w:val="360"/>
        </w:trPr>
        <w:tc>
          <w:tcPr>
            <w:tcW w:w="3556" w:type="dxa"/>
            <w:vMerge/>
            <w:vAlign w:val="center"/>
            <w:hideMark/>
          </w:tcPr>
          <w:p w14:paraId="3283C76E" w14:textId="77777777" w:rsidR="005061E6" w:rsidRPr="009D258A" w:rsidRDefault="005061E6">
            <w:pPr>
              <w:spacing w:before="0" w:after="0"/>
              <w:jc w:val="center"/>
              <w:rPr>
                <w:b/>
                <w:bCs/>
                <w:noProof/>
                <w:color w:val="000000"/>
                <w:sz w:val="22"/>
                <w:lang w:eastAsia="en-IE"/>
              </w:rPr>
            </w:pPr>
          </w:p>
        </w:tc>
        <w:tc>
          <w:tcPr>
            <w:tcW w:w="1386" w:type="dxa"/>
            <w:tcBorders>
              <w:top w:val="nil"/>
              <w:left w:val="single" w:sz="8" w:space="0" w:color="auto"/>
              <w:bottom w:val="single" w:sz="8" w:space="0" w:color="auto"/>
              <w:right w:val="single" w:sz="8" w:space="0" w:color="auto"/>
            </w:tcBorders>
            <w:vAlign w:val="center"/>
            <w:hideMark/>
          </w:tcPr>
          <w:p w14:paraId="0486A66C" w14:textId="77777777" w:rsidR="005061E6" w:rsidRPr="009D258A" w:rsidRDefault="005061E6">
            <w:pPr>
              <w:spacing w:before="0" w:after="0"/>
              <w:rPr>
                <w:noProof/>
                <w:color w:val="000000"/>
                <w:sz w:val="18"/>
                <w:szCs w:val="18"/>
              </w:rPr>
            </w:pPr>
            <w:r w:rsidRPr="009D258A">
              <w:rPr>
                <w:noProof/>
                <w:color w:val="000000"/>
                <w:sz w:val="18"/>
              </w:rPr>
              <w:t>Maksut</w:t>
            </w:r>
          </w:p>
        </w:tc>
        <w:tc>
          <w:tcPr>
            <w:tcW w:w="1306" w:type="dxa"/>
            <w:tcBorders>
              <w:top w:val="single" w:sz="8" w:space="0" w:color="auto"/>
              <w:left w:val="nil"/>
              <w:bottom w:val="single" w:sz="8" w:space="0" w:color="auto"/>
              <w:right w:val="single" w:sz="8" w:space="0" w:color="auto"/>
            </w:tcBorders>
            <w:vAlign w:val="center"/>
            <w:hideMark/>
          </w:tcPr>
          <w:p w14:paraId="3CAB4072" w14:textId="77777777" w:rsidR="005061E6" w:rsidRPr="009D258A" w:rsidRDefault="005061E6">
            <w:pPr>
              <w:spacing w:before="0" w:after="0"/>
              <w:jc w:val="center"/>
              <w:rPr>
                <w:noProof/>
                <w:color w:val="000000"/>
                <w:sz w:val="14"/>
                <w:szCs w:val="14"/>
              </w:rPr>
            </w:pPr>
            <w:r w:rsidRPr="009D258A">
              <w:rPr>
                <w:noProof/>
                <w:color w:val="000000"/>
                <w:sz w:val="14"/>
              </w:rPr>
              <w:t>= 2a + 2b + 3</w:t>
            </w:r>
          </w:p>
        </w:tc>
        <w:tc>
          <w:tcPr>
            <w:tcW w:w="1305" w:type="dxa"/>
            <w:tcBorders>
              <w:top w:val="nil"/>
              <w:left w:val="nil"/>
              <w:bottom w:val="single" w:sz="8" w:space="0" w:color="auto"/>
              <w:right w:val="single" w:sz="8" w:space="0" w:color="auto"/>
            </w:tcBorders>
            <w:shd w:val="clear" w:color="auto" w:fill="D9D9D9" w:themeFill="background1" w:themeFillShade="D9"/>
            <w:vAlign w:val="center"/>
            <w:hideMark/>
          </w:tcPr>
          <w:p w14:paraId="10D42CA2" w14:textId="77777777" w:rsidR="005061E6" w:rsidRPr="009D258A" w:rsidRDefault="005061E6">
            <w:pPr>
              <w:spacing w:before="0" w:after="0"/>
              <w:jc w:val="right"/>
              <w:rPr>
                <w:b/>
                <w:bCs/>
                <w:noProof/>
                <w:color w:val="000000"/>
                <w:sz w:val="20"/>
                <w:szCs w:val="20"/>
                <w:lang w:eastAsia="en-IE"/>
              </w:rPr>
            </w:pPr>
          </w:p>
        </w:tc>
        <w:tc>
          <w:tcPr>
            <w:tcW w:w="1305" w:type="dxa"/>
            <w:tcBorders>
              <w:top w:val="nil"/>
              <w:left w:val="nil"/>
              <w:bottom w:val="single" w:sz="8" w:space="0" w:color="auto"/>
              <w:right w:val="single" w:sz="8" w:space="0" w:color="auto"/>
            </w:tcBorders>
            <w:shd w:val="clear" w:color="auto" w:fill="D9D9D9" w:themeFill="background1" w:themeFillShade="D9"/>
            <w:vAlign w:val="center"/>
            <w:hideMark/>
          </w:tcPr>
          <w:p w14:paraId="36C106D0" w14:textId="77777777" w:rsidR="005061E6" w:rsidRPr="009D258A" w:rsidRDefault="005061E6">
            <w:pPr>
              <w:spacing w:before="0" w:after="0"/>
              <w:jc w:val="right"/>
              <w:rPr>
                <w:b/>
                <w:bCs/>
                <w:noProof/>
                <w:color w:val="000000"/>
                <w:sz w:val="20"/>
                <w:szCs w:val="20"/>
                <w:lang w:eastAsia="en-IE"/>
              </w:rPr>
            </w:pPr>
          </w:p>
        </w:tc>
        <w:tc>
          <w:tcPr>
            <w:tcW w:w="1305" w:type="dxa"/>
            <w:tcBorders>
              <w:top w:val="nil"/>
              <w:left w:val="nil"/>
              <w:bottom w:val="single" w:sz="8" w:space="0" w:color="auto"/>
              <w:right w:val="single" w:sz="8" w:space="0" w:color="auto"/>
            </w:tcBorders>
            <w:shd w:val="clear" w:color="auto" w:fill="D9D9D9" w:themeFill="background1" w:themeFillShade="D9"/>
            <w:vAlign w:val="center"/>
            <w:hideMark/>
          </w:tcPr>
          <w:p w14:paraId="262F29BD" w14:textId="77777777" w:rsidR="005061E6" w:rsidRPr="009D258A" w:rsidRDefault="005061E6">
            <w:pPr>
              <w:spacing w:before="0" w:after="0"/>
              <w:jc w:val="right"/>
              <w:rPr>
                <w:b/>
                <w:bCs/>
                <w:noProof/>
                <w:color w:val="000000"/>
                <w:sz w:val="20"/>
                <w:szCs w:val="20"/>
              </w:rPr>
            </w:pPr>
            <w:r w:rsidRPr="009D258A">
              <w:rPr>
                <w:b/>
                <w:noProof/>
                <w:color w:val="000000" w:themeColor="text1"/>
                <w:sz w:val="20"/>
              </w:rPr>
              <w:t>2,642</w:t>
            </w:r>
          </w:p>
        </w:tc>
        <w:tc>
          <w:tcPr>
            <w:tcW w:w="1261" w:type="dxa"/>
            <w:tcBorders>
              <w:top w:val="nil"/>
              <w:left w:val="nil"/>
              <w:bottom w:val="single" w:sz="8" w:space="0" w:color="auto"/>
              <w:right w:val="single" w:sz="8" w:space="0" w:color="auto"/>
            </w:tcBorders>
            <w:shd w:val="clear" w:color="auto" w:fill="D9D9D9" w:themeFill="background1" w:themeFillShade="D9"/>
            <w:vAlign w:val="center"/>
            <w:hideMark/>
          </w:tcPr>
          <w:p w14:paraId="7A60F8C5" w14:textId="77777777" w:rsidR="005061E6" w:rsidRPr="009D258A" w:rsidRDefault="005061E6">
            <w:pPr>
              <w:spacing w:before="0" w:after="0"/>
              <w:jc w:val="right"/>
              <w:rPr>
                <w:b/>
                <w:bCs/>
                <w:noProof/>
                <w:color w:val="000000"/>
                <w:sz w:val="20"/>
                <w:szCs w:val="20"/>
              </w:rPr>
            </w:pPr>
            <w:r w:rsidRPr="009D258A">
              <w:rPr>
                <w:b/>
                <w:noProof/>
                <w:color w:val="000000" w:themeColor="text1"/>
                <w:sz w:val="20"/>
              </w:rPr>
              <w:t>6,783</w:t>
            </w:r>
          </w:p>
        </w:tc>
        <w:tc>
          <w:tcPr>
            <w:tcW w:w="1261" w:type="dxa"/>
            <w:tcBorders>
              <w:top w:val="nil"/>
              <w:left w:val="nil"/>
              <w:bottom w:val="single" w:sz="8" w:space="0" w:color="auto"/>
              <w:right w:val="single" w:sz="8" w:space="0" w:color="auto"/>
            </w:tcBorders>
            <w:shd w:val="clear" w:color="auto" w:fill="D9D9D9" w:themeFill="background1" w:themeFillShade="D9"/>
            <w:vAlign w:val="center"/>
          </w:tcPr>
          <w:p w14:paraId="753497D9" w14:textId="77777777" w:rsidR="005061E6" w:rsidRPr="009D258A" w:rsidRDefault="005061E6">
            <w:pPr>
              <w:jc w:val="right"/>
              <w:rPr>
                <w:b/>
                <w:bCs/>
                <w:noProof/>
                <w:color w:val="000000" w:themeColor="text1"/>
                <w:sz w:val="20"/>
                <w:szCs w:val="20"/>
              </w:rPr>
            </w:pPr>
            <w:r w:rsidRPr="009D258A">
              <w:rPr>
                <w:b/>
                <w:noProof/>
                <w:color w:val="000000" w:themeColor="text1"/>
                <w:sz w:val="20"/>
              </w:rPr>
              <w:t>7,783</w:t>
            </w:r>
          </w:p>
        </w:tc>
        <w:tc>
          <w:tcPr>
            <w:tcW w:w="1535" w:type="dxa"/>
            <w:tcBorders>
              <w:top w:val="nil"/>
              <w:left w:val="nil"/>
              <w:bottom w:val="single" w:sz="8" w:space="0" w:color="auto"/>
              <w:right w:val="single" w:sz="8" w:space="0" w:color="auto"/>
            </w:tcBorders>
            <w:shd w:val="clear" w:color="auto" w:fill="D9D9D9" w:themeFill="background1" w:themeFillShade="D9"/>
            <w:vAlign w:val="center"/>
            <w:hideMark/>
          </w:tcPr>
          <w:p w14:paraId="7DB24A74" w14:textId="77777777" w:rsidR="005061E6" w:rsidRPr="009D258A" w:rsidRDefault="005061E6">
            <w:pPr>
              <w:spacing w:before="0" w:after="0"/>
              <w:jc w:val="right"/>
              <w:rPr>
                <w:b/>
                <w:bCs/>
                <w:noProof/>
                <w:color w:val="000000" w:themeColor="text1"/>
                <w:sz w:val="20"/>
                <w:szCs w:val="20"/>
              </w:rPr>
            </w:pPr>
            <w:r w:rsidRPr="009D258A">
              <w:rPr>
                <w:b/>
                <w:noProof/>
                <w:color w:val="000000" w:themeColor="text1"/>
                <w:sz w:val="20"/>
              </w:rPr>
              <w:t>9,925</w:t>
            </w:r>
          </w:p>
          <w:p w14:paraId="3BDF3043" w14:textId="77777777" w:rsidR="005061E6" w:rsidRPr="009D258A" w:rsidRDefault="005061E6">
            <w:pPr>
              <w:spacing w:before="0" w:after="0"/>
              <w:jc w:val="right"/>
              <w:rPr>
                <w:b/>
                <w:bCs/>
                <w:noProof/>
                <w:color w:val="000000"/>
                <w:sz w:val="20"/>
                <w:szCs w:val="20"/>
                <w:lang w:eastAsia="en-IE"/>
              </w:rPr>
            </w:pPr>
          </w:p>
        </w:tc>
      </w:tr>
    </w:tbl>
    <w:p w14:paraId="25315A92" w14:textId="77777777" w:rsidR="005061E6" w:rsidRPr="009D258A" w:rsidRDefault="005061E6" w:rsidP="005061E6">
      <w:pPr>
        <w:rPr>
          <w:noProof/>
        </w:rPr>
      </w:pPr>
    </w:p>
    <w:tbl>
      <w:tblPr>
        <w:tblW w:w="0" w:type="auto"/>
        <w:tblLook w:val="04A0" w:firstRow="1" w:lastRow="0" w:firstColumn="1" w:lastColumn="0" w:noHBand="0" w:noVBand="1"/>
      </w:tblPr>
      <w:tblGrid>
        <w:gridCol w:w="3556"/>
        <w:gridCol w:w="1386"/>
        <w:gridCol w:w="1306"/>
        <w:gridCol w:w="1305"/>
        <w:gridCol w:w="1305"/>
        <w:gridCol w:w="1305"/>
        <w:gridCol w:w="1261"/>
        <w:gridCol w:w="1261"/>
        <w:gridCol w:w="1535"/>
      </w:tblGrid>
      <w:tr w:rsidR="005061E6" w:rsidRPr="009D258A" w14:paraId="6C663516" w14:textId="77777777">
        <w:trPr>
          <w:trHeight w:val="300"/>
        </w:trPr>
        <w:tc>
          <w:tcPr>
            <w:tcW w:w="6248" w:type="dxa"/>
            <w:gridSpan w:val="3"/>
            <w:vMerge w:val="restart"/>
            <w:tcBorders>
              <w:top w:val="single" w:sz="8" w:space="0" w:color="auto"/>
              <w:left w:val="single" w:sz="8" w:space="0" w:color="auto"/>
              <w:bottom w:val="single" w:sz="8" w:space="0" w:color="auto"/>
              <w:right w:val="single" w:sz="8" w:space="0" w:color="auto"/>
            </w:tcBorders>
            <w:vAlign w:val="center"/>
          </w:tcPr>
          <w:p w14:paraId="716C58A5" w14:textId="77777777" w:rsidR="005061E6" w:rsidRPr="009D258A" w:rsidRDefault="005061E6">
            <w:pPr>
              <w:spacing w:before="0" w:after="0"/>
              <w:jc w:val="center"/>
              <w:rPr>
                <w:noProof/>
                <w:color w:val="000000" w:themeColor="text1"/>
                <w:sz w:val="22"/>
              </w:rPr>
            </w:pPr>
            <w:r w:rsidRPr="009D258A">
              <w:rPr>
                <w:noProof/>
                <w:color w:val="000000" w:themeColor="text1"/>
                <w:sz w:val="22"/>
              </w:rPr>
              <w:t>YHTEENSÄ</w:t>
            </w:r>
          </w:p>
        </w:tc>
        <w:tc>
          <w:tcPr>
            <w:tcW w:w="1305" w:type="dxa"/>
            <w:tcBorders>
              <w:top w:val="single" w:sz="8" w:space="0" w:color="auto"/>
              <w:left w:val="nil"/>
              <w:bottom w:val="single" w:sz="8" w:space="0" w:color="auto"/>
              <w:right w:val="single" w:sz="8" w:space="0" w:color="auto"/>
            </w:tcBorders>
            <w:vAlign w:val="center"/>
          </w:tcPr>
          <w:p w14:paraId="6491A854" w14:textId="77777777" w:rsidR="005061E6" w:rsidRPr="009D258A" w:rsidRDefault="005061E6">
            <w:pPr>
              <w:spacing w:before="0" w:after="0"/>
              <w:jc w:val="center"/>
              <w:rPr>
                <w:noProof/>
                <w:color w:val="000000" w:themeColor="text1"/>
                <w:sz w:val="20"/>
                <w:szCs w:val="20"/>
              </w:rPr>
            </w:pPr>
            <w:r w:rsidRPr="009D258A">
              <w:rPr>
                <w:noProof/>
                <w:color w:val="000000" w:themeColor="text1"/>
                <w:sz w:val="20"/>
              </w:rPr>
              <w:t>Vuosi</w:t>
            </w:r>
          </w:p>
        </w:tc>
        <w:tc>
          <w:tcPr>
            <w:tcW w:w="1305" w:type="dxa"/>
            <w:tcBorders>
              <w:top w:val="single" w:sz="8" w:space="0" w:color="auto"/>
              <w:left w:val="nil"/>
              <w:bottom w:val="single" w:sz="8" w:space="0" w:color="auto"/>
              <w:right w:val="single" w:sz="8" w:space="0" w:color="auto"/>
            </w:tcBorders>
            <w:vAlign w:val="center"/>
          </w:tcPr>
          <w:p w14:paraId="42F3780E" w14:textId="77777777" w:rsidR="005061E6" w:rsidRPr="009D258A" w:rsidRDefault="005061E6">
            <w:pPr>
              <w:spacing w:before="0" w:after="0"/>
              <w:jc w:val="center"/>
              <w:rPr>
                <w:noProof/>
                <w:color w:val="000000" w:themeColor="text1"/>
                <w:sz w:val="20"/>
                <w:szCs w:val="20"/>
              </w:rPr>
            </w:pPr>
            <w:r w:rsidRPr="009D258A">
              <w:rPr>
                <w:noProof/>
                <w:color w:val="000000" w:themeColor="text1"/>
                <w:sz w:val="20"/>
              </w:rPr>
              <w:t>Vuosi</w:t>
            </w:r>
          </w:p>
        </w:tc>
        <w:tc>
          <w:tcPr>
            <w:tcW w:w="1305" w:type="dxa"/>
            <w:tcBorders>
              <w:top w:val="single" w:sz="8" w:space="0" w:color="auto"/>
              <w:left w:val="nil"/>
              <w:bottom w:val="single" w:sz="8" w:space="0" w:color="auto"/>
              <w:right w:val="single" w:sz="8" w:space="0" w:color="auto"/>
            </w:tcBorders>
            <w:vAlign w:val="center"/>
          </w:tcPr>
          <w:p w14:paraId="11518D40" w14:textId="77777777" w:rsidR="005061E6" w:rsidRPr="009D258A" w:rsidRDefault="005061E6">
            <w:pPr>
              <w:spacing w:before="0" w:after="0"/>
              <w:jc w:val="center"/>
              <w:rPr>
                <w:noProof/>
                <w:color w:val="000000" w:themeColor="text1"/>
                <w:sz w:val="20"/>
                <w:szCs w:val="20"/>
              </w:rPr>
            </w:pPr>
            <w:r w:rsidRPr="009D258A">
              <w:rPr>
                <w:noProof/>
                <w:color w:val="000000" w:themeColor="text1"/>
                <w:sz w:val="20"/>
              </w:rPr>
              <w:t>Vuosi</w:t>
            </w:r>
          </w:p>
        </w:tc>
        <w:tc>
          <w:tcPr>
            <w:tcW w:w="1261" w:type="dxa"/>
            <w:tcBorders>
              <w:top w:val="single" w:sz="8" w:space="0" w:color="auto"/>
              <w:left w:val="nil"/>
              <w:bottom w:val="single" w:sz="8" w:space="0" w:color="auto"/>
              <w:right w:val="single" w:sz="8" w:space="0" w:color="auto"/>
            </w:tcBorders>
            <w:vAlign w:val="center"/>
          </w:tcPr>
          <w:p w14:paraId="00A493C4" w14:textId="77777777" w:rsidR="005061E6" w:rsidRPr="009D258A" w:rsidRDefault="005061E6">
            <w:pPr>
              <w:spacing w:before="0" w:after="0"/>
              <w:jc w:val="center"/>
              <w:rPr>
                <w:noProof/>
                <w:color w:val="000000" w:themeColor="text1"/>
                <w:sz w:val="20"/>
                <w:szCs w:val="20"/>
              </w:rPr>
            </w:pPr>
            <w:r w:rsidRPr="009D258A">
              <w:rPr>
                <w:noProof/>
                <w:color w:val="000000" w:themeColor="text1"/>
                <w:sz w:val="20"/>
              </w:rPr>
              <w:t>Vuosi</w:t>
            </w:r>
          </w:p>
        </w:tc>
        <w:tc>
          <w:tcPr>
            <w:tcW w:w="1261" w:type="dxa"/>
            <w:tcBorders>
              <w:top w:val="single" w:sz="8" w:space="0" w:color="auto"/>
              <w:left w:val="nil"/>
              <w:bottom w:val="single" w:sz="8" w:space="0" w:color="auto"/>
              <w:right w:val="single" w:sz="8" w:space="0" w:color="auto"/>
            </w:tcBorders>
            <w:vAlign w:val="center"/>
          </w:tcPr>
          <w:p w14:paraId="44C56C91" w14:textId="77777777" w:rsidR="005061E6" w:rsidRPr="009D258A" w:rsidRDefault="005061E6">
            <w:pPr>
              <w:jc w:val="center"/>
              <w:rPr>
                <w:noProof/>
                <w:color w:val="000000" w:themeColor="text1"/>
                <w:sz w:val="20"/>
                <w:szCs w:val="20"/>
              </w:rPr>
            </w:pPr>
            <w:r w:rsidRPr="009D258A">
              <w:rPr>
                <w:noProof/>
                <w:color w:val="000000" w:themeColor="text1"/>
                <w:sz w:val="20"/>
              </w:rPr>
              <w:t>Vuoden 2027 jälkeen</w:t>
            </w:r>
          </w:p>
        </w:tc>
        <w:tc>
          <w:tcPr>
            <w:tcW w:w="1535" w:type="dxa"/>
            <w:vMerge w:val="restart"/>
            <w:tcBorders>
              <w:top w:val="single" w:sz="8" w:space="0" w:color="auto"/>
              <w:left w:val="single" w:sz="8" w:space="0" w:color="auto"/>
              <w:bottom w:val="single" w:sz="8" w:space="0" w:color="auto"/>
              <w:right w:val="single" w:sz="8" w:space="0" w:color="auto"/>
            </w:tcBorders>
            <w:vAlign w:val="center"/>
          </w:tcPr>
          <w:p w14:paraId="64E2D084" w14:textId="77777777" w:rsidR="005061E6" w:rsidRPr="009D258A" w:rsidRDefault="005061E6">
            <w:pPr>
              <w:spacing w:before="0" w:after="0"/>
              <w:jc w:val="center"/>
              <w:rPr>
                <w:b/>
                <w:bCs/>
                <w:noProof/>
                <w:color w:val="000000" w:themeColor="text1"/>
                <w:sz w:val="20"/>
                <w:szCs w:val="20"/>
              </w:rPr>
            </w:pPr>
            <w:r w:rsidRPr="009D258A">
              <w:rPr>
                <w:b/>
                <w:noProof/>
                <w:color w:val="000000" w:themeColor="text1"/>
                <w:sz w:val="20"/>
              </w:rPr>
              <w:t>MRK 2021–2027 YHTEENSÄ</w:t>
            </w:r>
          </w:p>
        </w:tc>
      </w:tr>
      <w:tr w:rsidR="005061E6" w:rsidRPr="009D258A" w14:paraId="6C490B3E" w14:textId="77777777">
        <w:trPr>
          <w:trHeight w:val="300"/>
        </w:trPr>
        <w:tc>
          <w:tcPr>
            <w:tcW w:w="6248" w:type="dxa"/>
            <w:gridSpan w:val="3"/>
            <w:vMerge/>
          </w:tcPr>
          <w:p w14:paraId="280F84BB" w14:textId="77777777" w:rsidR="005061E6" w:rsidRPr="009D258A" w:rsidRDefault="005061E6">
            <w:pPr>
              <w:rPr>
                <w:noProof/>
              </w:rPr>
            </w:pPr>
          </w:p>
        </w:tc>
        <w:tc>
          <w:tcPr>
            <w:tcW w:w="1305" w:type="dxa"/>
            <w:tcBorders>
              <w:top w:val="nil"/>
              <w:left w:val="nil"/>
              <w:bottom w:val="single" w:sz="8" w:space="0" w:color="auto"/>
              <w:right w:val="single" w:sz="8" w:space="0" w:color="auto"/>
            </w:tcBorders>
            <w:vAlign w:val="center"/>
          </w:tcPr>
          <w:p w14:paraId="7663B799" w14:textId="77777777" w:rsidR="005061E6" w:rsidRPr="009D258A" w:rsidRDefault="005061E6">
            <w:pPr>
              <w:spacing w:before="0" w:after="0"/>
              <w:jc w:val="center"/>
              <w:rPr>
                <w:b/>
                <w:bCs/>
                <w:noProof/>
                <w:color w:val="000000" w:themeColor="text1"/>
                <w:sz w:val="20"/>
                <w:szCs w:val="20"/>
              </w:rPr>
            </w:pPr>
            <w:r w:rsidRPr="009D258A">
              <w:rPr>
                <w:b/>
                <w:noProof/>
                <w:color w:val="000000" w:themeColor="text1"/>
                <w:sz w:val="20"/>
              </w:rPr>
              <w:t>2024</w:t>
            </w:r>
          </w:p>
        </w:tc>
        <w:tc>
          <w:tcPr>
            <w:tcW w:w="1305" w:type="dxa"/>
            <w:tcBorders>
              <w:top w:val="nil"/>
              <w:left w:val="nil"/>
              <w:bottom w:val="single" w:sz="8" w:space="0" w:color="auto"/>
              <w:right w:val="single" w:sz="8" w:space="0" w:color="auto"/>
            </w:tcBorders>
            <w:vAlign w:val="center"/>
          </w:tcPr>
          <w:p w14:paraId="6A87553A" w14:textId="77777777" w:rsidR="005061E6" w:rsidRPr="009D258A" w:rsidRDefault="005061E6">
            <w:pPr>
              <w:spacing w:before="0" w:after="0"/>
              <w:jc w:val="center"/>
              <w:rPr>
                <w:b/>
                <w:bCs/>
                <w:noProof/>
                <w:color w:val="000000" w:themeColor="text1"/>
                <w:sz w:val="20"/>
                <w:szCs w:val="20"/>
              </w:rPr>
            </w:pPr>
            <w:r w:rsidRPr="009D258A">
              <w:rPr>
                <w:b/>
                <w:noProof/>
                <w:color w:val="000000" w:themeColor="text1"/>
                <w:sz w:val="20"/>
              </w:rPr>
              <w:t>2025</w:t>
            </w:r>
          </w:p>
        </w:tc>
        <w:tc>
          <w:tcPr>
            <w:tcW w:w="1305" w:type="dxa"/>
            <w:tcBorders>
              <w:top w:val="nil"/>
              <w:left w:val="nil"/>
              <w:bottom w:val="single" w:sz="8" w:space="0" w:color="auto"/>
              <w:right w:val="single" w:sz="8" w:space="0" w:color="auto"/>
            </w:tcBorders>
            <w:vAlign w:val="center"/>
          </w:tcPr>
          <w:p w14:paraId="64DD7A98" w14:textId="77777777" w:rsidR="005061E6" w:rsidRPr="009D258A" w:rsidRDefault="005061E6">
            <w:pPr>
              <w:spacing w:before="0" w:after="0"/>
              <w:jc w:val="center"/>
              <w:rPr>
                <w:b/>
                <w:bCs/>
                <w:noProof/>
                <w:color w:val="000000" w:themeColor="text1"/>
                <w:sz w:val="20"/>
                <w:szCs w:val="20"/>
              </w:rPr>
            </w:pPr>
            <w:r w:rsidRPr="009D258A">
              <w:rPr>
                <w:b/>
                <w:noProof/>
                <w:color w:val="000000" w:themeColor="text1"/>
                <w:sz w:val="20"/>
              </w:rPr>
              <w:t>2026</w:t>
            </w:r>
          </w:p>
        </w:tc>
        <w:tc>
          <w:tcPr>
            <w:tcW w:w="1261" w:type="dxa"/>
            <w:tcBorders>
              <w:top w:val="nil"/>
              <w:left w:val="nil"/>
              <w:bottom w:val="single" w:sz="8" w:space="0" w:color="auto"/>
              <w:right w:val="single" w:sz="8" w:space="0" w:color="auto"/>
            </w:tcBorders>
            <w:vAlign w:val="center"/>
          </w:tcPr>
          <w:p w14:paraId="1FB501F9" w14:textId="77777777" w:rsidR="005061E6" w:rsidRPr="009D258A" w:rsidRDefault="005061E6">
            <w:pPr>
              <w:spacing w:before="0" w:after="0"/>
              <w:jc w:val="center"/>
              <w:rPr>
                <w:b/>
                <w:bCs/>
                <w:noProof/>
                <w:color w:val="000000" w:themeColor="text1"/>
                <w:sz w:val="20"/>
                <w:szCs w:val="20"/>
              </w:rPr>
            </w:pPr>
            <w:r w:rsidRPr="009D258A">
              <w:rPr>
                <w:b/>
                <w:noProof/>
                <w:color w:val="000000" w:themeColor="text1"/>
                <w:sz w:val="20"/>
              </w:rPr>
              <w:t>2027</w:t>
            </w:r>
          </w:p>
        </w:tc>
        <w:tc>
          <w:tcPr>
            <w:tcW w:w="1261" w:type="dxa"/>
            <w:tcBorders>
              <w:top w:val="nil"/>
              <w:left w:val="nil"/>
              <w:bottom w:val="single" w:sz="8" w:space="0" w:color="auto"/>
              <w:right w:val="single" w:sz="8" w:space="0" w:color="auto"/>
            </w:tcBorders>
            <w:vAlign w:val="center"/>
          </w:tcPr>
          <w:p w14:paraId="7E195E62" w14:textId="77777777" w:rsidR="005061E6" w:rsidRPr="009D258A" w:rsidRDefault="005061E6">
            <w:pPr>
              <w:jc w:val="center"/>
              <w:rPr>
                <w:b/>
                <w:bCs/>
                <w:noProof/>
                <w:color w:val="000000" w:themeColor="text1"/>
                <w:sz w:val="20"/>
                <w:szCs w:val="20"/>
              </w:rPr>
            </w:pPr>
            <w:r w:rsidRPr="009D258A">
              <w:rPr>
                <w:b/>
                <w:noProof/>
                <w:color w:val="000000" w:themeColor="text1"/>
                <w:sz w:val="20"/>
              </w:rPr>
              <w:t>Vuoden 2027 jälkeen</w:t>
            </w:r>
          </w:p>
        </w:tc>
        <w:tc>
          <w:tcPr>
            <w:tcW w:w="1535" w:type="dxa"/>
            <w:vMerge/>
          </w:tcPr>
          <w:p w14:paraId="2E46C6E5" w14:textId="77777777" w:rsidR="005061E6" w:rsidRPr="009D258A" w:rsidRDefault="005061E6">
            <w:pPr>
              <w:rPr>
                <w:noProof/>
              </w:rPr>
            </w:pPr>
          </w:p>
        </w:tc>
      </w:tr>
      <w:tr w:rsidR="005061E6" w:rsidRPr="009D258A" w14:paraId="6510006C" w14:textId="77777777">
        <w:trPr>
          <w:trHeight w:val="300"/>
        </w:trPr>
        <w:tc>
          <w:tcPr>
            <w:tcW w:w="14220" w:type="dxa"/>
            <w:gridSpan w:val="9"/>
            <w:tcBorders>
              <w:top w:val="single" w:sz="8" w:space="0" w:color="auto"/>
              <w:left w:val="single" w:sz="8" w:space="0" w:color="auto"/>
              <w:bottom w:val="single" w:sz="8" w:space="0" w:color="auto"/>
              <w:right w:val="single" w:sz="8" w:space="0" w:color="auto"/>
            </w:tcBorders>
            <w:vAlign w:val="center"/>
          </w:tcPr>
          <w:p w14:paraId="49413160" w14:textId="77777777" w:rsidR="005061E6" w:rsidRPr="009D258A" w:rsidRDefault="005061E6">
            <w:pPr>
              <w:rPr>
                <w:noProof/>
              </w:rPr>
            </w:pPr>
          </w:p>
        </w:tc>
      </w:tr>
      <w:tr w:rsidR="005061E6" w:rsidRPr="009D258A" w14:paraId="2238DF23" w14:textId="77777777">
        <w:trPr>
          <w:trHeight w:val="300"/>
        </w:trPr>
        <w:tc>
          <w:tcPr>
            <w:tcW w:w="3556" w:type="dxa"/>
            <w:vMerge w:val="restart"/>
            <w:tcBorders>
              <w:top w:val="nil"/>
              <w:left w:val="single" w:sz="8" w:space="0" w:color="auto"/>
              <w:bottom w:val="single" w:sz="8" w:space="0" w:color="auto"/>
              <w:right w:val="single" w:sz="8" w:space="0" w:color="auto"/>
            </w:tcBorders>
            <w:vAlign w:val="center"/>
          </w:tcPr>
          <w:p w14:paraId="31ED1331" w14:textId="77777777" w:rsidR="005061E6" w:rsidRPr="009D258A" w:rsidRDefault="005061E6">
            <w:pPr>
              <w:spacing w:before="0" w:after="0"/>
              <w:jc w:val="left"/>
              <w:rPr>
                <w:noProof/>
                <w:color w:val="000000" w:themeColor="text1"/>
                <w:sz w:val="22"/>
              </w:rPr>
            </w:pPr>
            <w:r w:rsidRPr="009D258A">
              <w:rPr>
                <w:noProof/>
                <w:color w:val="000000" w:themeColor="text1"/>
                <w:sz w:val="22"/>
              </w:rPr>
              <w:t>Budjettikohta 02 04 03</w:t>
            </w:r>
          </w:p>
        </w:tc>
        <w:tc>
          <w:tcPr>
            <w:tcW w:w="1386" w:type="dxa"/>
            <w:tcBorders>
              <w:top w:val="nil"/>
              <w:left w:val="nil"/>
              <w:bottom w:val="single" w:sz="8" w:space="0" w:color="auto"/>
              <w:right w:val="single" w:sz="8" w:space="0" w:color="auto"/>
            </w:tcBorders>
            <w:vAlign w:val="center"/>
          </w:tcPr>
          <w:p w14:paraId="6F05FE1D" w14:textId="77777777" w:rsidR="005061E6" w:rsidRPr="009D258A" w:rsidRDefault="005061E6">
            <w:pPr>
              <w:spacing w:before="0" w:after="0"/>
              <w:rPr>
                <w:noProof/>
                <w:color w:val="000000" w:themeColor="text1"/>
                <w:sz w:val="18"/>
                <w:szCs w:val="18"/>
              </w:rPr>
            </w:pPr>
            <w:r w:rsidRPr="009D258A">
              <w:rPr>
                <w:noProof/>
                <w:color w:val="000000" w:themeColor="text1"/>
                <w:sz w:val="18"/>
              </w:rPr>
              <w:t>Sitoumukset</w:t>
            </w:r>
          </w:p>
        </w:tc>
        <w:tc>
          <w:tcPr>
            <w:tcW w:w="1306" w:type="dxa"/>
            <w:tcBorders>
              <w:top w:val="single" w:sz="8" w:space="0" w:color="auto"/>
              <w:left w:val="nil"/>
              <w:bottom w:val="single" w:sz="8" w:space="0" w:color="auto"/>
              <w:right w:val="single" w:sz="8" w:space="0" w:color="auto"/>
            </w:tcBorders>
            <w:vAlign w:val="center"/>
          </w:tcPr>
          <w:p w14:paraId="53F28B08" w14:textId="77777777" w:rsidR="005061E6" w:rsidRPr="009D258A" w:rsidRDefault="005061E6">
            <w:pPr>
              <w:spacing w:before="0" w:after="0"/>
              <w:jc w:val="center"/>
              <w:rPr>
                <w:noProof/>
                <w:color w:val="000000" w:themeColor="text1"/>
                <w:sz w:val="14"/>
                <w:szCs w:val="14"/>
              </w:rPr>
            </w:pPr>
            <w:r w:rsidRPr="009D258A">
              <w:rPr>
                <w:noProof/>
                <w:color w:val="000000" w:themeColor="text1"/>
                <w:sz w:val="14"/>
              </w:rPr>
              <w:t>(1a)</w:t>
            </w:r>
          </w:p>
        </w:tc>
        <w:tc>
          <w:tcPr>
            <w:tcW w:w="1305" w:type="dxa"/>
            <w:tcBorders>
              <w:top w:val="nil"/>
              <w:left w:val="nil"/>
              <w:bottom w:val="single" w:sz="8" w:space="0" w:color="auto"/>
              <w:right w:val="single" w:sz="8" w:space="0" w:color="auto"/>
            </w:tcBorders>
            <w:vAlign w:val="center"/>
          </w:tcPr>
          <w:p w14:paraId="1ACC8C59" w14:textId="77777777" w:rsidR="005061E6" w:rsidRPr="009D258A" w:rsidRDefault="005061E6">
            <w:pPr>
              <w:spacing w:before="0" w:after="0"/>
              <w:jc w:val="right"/>
              <w:rPr>
                <w:noProof/>
                <w:color w:val="000000" w:themeColor="text1"/>
                <w:sz w:val="20"/>
                <w:szCs w:val="20"/>
              </w:rPr>
            </w:pPr>
            <w:r w:rsidRPr="009D258A">
              <w:rPr>
                <w:noProof/>
                <w:color w:val="000000" w:themeColor="text1"/>
                <w:sz w:val="20"/>
              </w:rPr>
              <w:t xml:space="preserve"> </w:t>
            </w:r>
          </w:p>
        </w:tc>
        <w:tc>
          <w:tcPr>
            <w:tcW w:w="1305" w:type="dxa"/>
            <w:tcBorders>
              <w:top w:val="nil"/>
              <w:left w:val="nil"/>
              <w:bottom w:val="single" w:sz="8" w:space="0" w:color="auto"/>
              <w:right w:val="single" w:sz="8" w:space="0" w:color="auto"/>
            </w:tcBorders>
            <w:vAlign w:val="center"/>
          </w:tcPr>
          <w:p w14:paraId="3430EF06" w14:textId="77777777" w:rsidR="005061E6" w:rsidRPr="009D258A" w:rsidRDefault="005061E6">
            <w:pPr>
              <w:spacing w:before="0" w:after="0"/>
              <w:jc w:val="right"/>
              <w:rPr>
                <w:noProof/>
                <w:color w:val="000000" w:themeColor="text1"/>
                <w:sz w:val="20"/>
                <w:szCs w:val="20"/>
              </w:rPr>
            </w:pPr>
            <w:r w:rsidRPr="009D258A">
              <w:rPr>
                <w:noProof/>
                <w:color w:val="000000" w:themeColor="text1"/>
                <w:sz w:val="20"/>
              </w:rPr>
              <w:t xml:space="preserve"> </w:t>
            </w:r>
          </w:p>
        </w:tc>
        <w:tc>
          <w:tcPr>
            <w:tcW w:w="1305" w:type="dxa"/>
            <w:tcBorders>
              <w:top w:val="nil"/>
              <w:left w:val="nil"/>
              <w:bottom w:val="single" w:sz="8" w:space="0" w:color="auto"/>
              <w:right w:val="single" w:sz="8" w:space="0" w:color="auto"/>
            </w:tcBorders>
            <w:vAlign w:val="center"/>
          </w:tcPr>
          <w:p w14:paraId="544E97F7" w14:textId="77777777" w:rsidR="005061E6" w:rsidRPr="009D258A" w:rsidRDefault="005061E6">
            <w:pPr>
              <w:spacing w:before="0" w:after="0"/>
              <w:jc w:val="right"/>
              <w:rPr>
                <w:noProof/>
                <w:color w:val="000000" w:themeColor="text1"/>
                <w:sz w:val="20"/>
                <w:szCs w:val="20"/>
              </w:rPr>
            </w:pPr>
            <w:r w:rsidRPr="009D258A">
              <w:rPr>
                <w:noProof/>
                <w:color w:val="000000" w:themeColor="text1"/>
                <w:sz w:val="20"/>
              </w:rPr>
              <w:t>0,500</w:t>
            </w:r>
            <w:r w:rsidRPr="009D258A">
              <w:rPr>
                <w:rStyle w:val="FootnoteReference"/>
                <w:noProof/>
                <w:color w:val="000000" w:themeColor="text1"/>
                <w:sz w:val="20"/>
                <w:szCs w:val="20"/>
                <w:lang w:eastAsia="en-IE"/>
              </w:rPr>
              <w:footnoteReference w:id="35"/>
            </w:r>
            <w:r w:rsidRPr="009D258A">
              <w:rPr>
                <w:noProof/>
                <w:color w:val="000000" w:themeColor="text1"/>
                <w:sz w:val="20"/>
              </w:rPr>
              <w:t xml:space="preserve"> </w:t>
            </w:r>
          </w:p>
        </w:tc>
        <w:tc>
          <w:tcPr>
            <w:tcW w:w="1261" w:type="dxa"/>
            <w:tcBorders>
              <w:top w:val="nil"/>
              <w:left w:val="nil"/>
              <w:bottom w:val="single" w:sz="8" w:space="0" w:color="auto"/>
              <w:right w:val="single" w:sz="8" w:space="0" w:color="auto"/>
            </w:tcBorders>
            <w:vAlign w:val="center"/>
          </w:tcPr>
          <w:p w14:paraId="6628AFF3" w14:textId="77777777" w:rsidR="005061E6" w:rsidRPr="009D258A" w:rsidRDefault="005061E6">
            <w:pPr>
              <w:spacing w:before="0" w:after="0"/>
              <w:jc w:val="right"/>
              <w:rPr>
                <w:noProof/>
                <w:color w:val="000000" w:themeColor="text1"/>
                <w:sz w:val="20"/>
                <w:szCs w:val="20"/>
              </w:rPr>
            </w:pPr>
            <w:r w:rsidRPr="009D258A">
              <w:rPr>
                <w:noProof/>
                <w:color w:val="000000" w:themeColor="text1"/>
                <w:sz w:val="20"/>
              </w:rPr>
              <w:t>0,500</w:t>
            </w:r>
            <w:r w:rsidRPr="009D258A">
              <w:rPr>
                <w:rStyle w:val="FootnoteReference"/>
                <w:noProof/>
                <w:color w:val="000000" w:themeColor="text1"/>
                <w:sz w:val="20"/>
                <w:szCs w:val="20"/>
                <w:lang w:eastAsia="en-IE"/>
              </w:rPr>
              <w:footnoteReference w:id="36"/>
            </w:r>
            <w:r w:rsidRPr="009D258A">
              <w:rPr>
                <w:noProof/>
                <w:color w:val="000000" w:themeColor="text1"/>
                <w:sz w:val="20"/>
              </w:rPr>
              <w:t xml:space="preserve"> </w:t>
            </w:r>
          </w:p>
        </w:tc>
        <w:tc>
          <w:tcPr>
            <w:tcW w:w="1261" w:type="dxa"/>
            <w:tcBorders>
              <w:top w:val="nil"/>
              <w:left w:val="nil"/>
              <w:bottom w:val="single" w:sz="8" w:space="0" w:color="auto"/>
              <w:right w:val="single" w:sz="8" w:space="0" w:color="auto"/>
            </w:tcBorders>
            <w:vAlign w:val="center"/>
          </w:tcPr>
          <w:p w14:paraId="41F2F995" w14:textId="77777777" w:rsidR="005061E6" w:rsidRPr="009D258A" w:rsidRDefault="005061E6">
            <w:pPr>
              <w:jc w:val="right"/>
              <w:rPr>
                <w:noProof/>
                <w:color w:val="000000" w:themeColor="text1"/>
                <w:sz w:val="20"/>
                <w:szCs w:val="20"/>
                <w:lang w:eastAsia="en-IE"/>
              </w:rPr>
            </w:pPr>
          </w:p>
        </w:tc>
        <w:tc>
          <w:tcPr>
            <w:tcW w:w="1535" w:type="dxa"/>
            <w:tcBorders>
              <w:top w:val="nil"/>
              <w:left w:val="nil"/>
              <w:bottom w:val="single" w:sz="8" w:space="0" w:color="auto"/>
              <w:right w:val="single" w:sz="8" w:space="0" w:color="auto"/>
            </w:tcBorders>
            <w:shd w:val="clear" w:color="auto" w:fill="D9D9D9" w:themeFill="background1" w:themeFillShade="D9"/>
            <w:vAlign w:val="center"/>
          </w:tcPr>
          <w:p w14:paraId="215DB015" w14:textId="77777777" w:rsidR="005061E6" w:rsidRPr="009D258A" w:rsidRDefault="005061E6">
            <w:pPr>
              <w:spacing w:before="0" w:after="0"/>
              <w:jc w:val="right"/>
              <w:rPr>
                <w:b/>
                <w:bCs/>
                <w:noProof/>
                <w:color w:val="000000" w:themeColor="text1"/>
                <w:sz w:val="20"/>
                <w:szCs w:val="20"/>
              </w:rPr>
            </w:pPr>
            <w:r w:rsidRPr="009D258A">
              <w:rPr>
                <w:b/>
                <w:noProof/>
                <w:color w:val="000000" w:themeColor="text1"/>
                <w:sz w:val="20"/>
              </w:rPr>
              <w:t xml:space="preserve">   1,000</w:t>
            </w:r>
          </w:p>
        </w:tc>
      </w:tr>
      <w:tr w:rsidR="005061E6" w:rsidRPr="009D258A" w14:paraId="5554C4EF" w14:textId="77777777">
        <w:trPr>
          <w:trHeight w:val="300"/>
        </w:trPr>
        <w:tc>
          <w:tcPr>
            <w:tcW w:w="3556" w:type="dxa"/>
            <w:vMerge/>
          </w:tcPr>
          <w:p w14:paraId="7AD4FC75" w14:textId="77777777" w:rsidR="005061E6" w:rsidRPr="009D258A" w:rsidRDefault="005061E6">
            <w:pPr>
              <w:rPr>
                <w:noProof/>
              </w:rPr>
            </w:pPr>
          </w:p>
        </w:tc>
        <w:tc>
          <w:tcPr>
            <w:tcW w:w="1386" w:type="dxa"/>
            <w:tcBorders>
              <w:top w:val="nil"/>
              <w:left w:val="nil"/>
              <w:bottom w:val="single" w:sz="8" w:space="0" w:color="auto"/>
              <w:right w:val="single" w:sz="8" w:space="0" w:color="auto"/>
            </w:tcBorders>
            <w:vAlign w:val="center"/>
          </w:tcPr>
          <w:p w14:paraId="57E5FDED" w14:textId="77777777" w:rsidR="005061E6" w:rsidRPr="009D258A" w:rsidRDefault="005061E6">
            <w:pPr>
              <w:spacing w:before="0" w:after="0"/>
              <w:rPr>
                <w:noProof/>
                <w:color w:val="000000" w:themeColor="text1"/>
                <w:sz w:val="18"/>
                <w:szCs w:val="18"/>
              </w:rPr>
            </w:pPr>
            <w:r w:rsidRPr="009D258A">
              <w:rPr>
                <w:noProof/>
                <w:color w:val="000000" w:themeColor="text1"/>
                <w:sz w:val="18"/>
              </w:rPr>
              <w:t>Maksut</w:t>
            </w:r>
          </w:p>
        </w:tc>
        <w:tc>
          <w:tcPr>
            <w:tcW w:w="1306" w:type="dxa"/>
            <w:tcBorders>
              <w:top w:val="single" w:sz="8" w:space="0" w:color="auto"/>
              <w:left w:val="nil"/>
              <w:bottom w:val="single" w:sz="8" w:space="0" w:color="auto"/>
              <w:right w:val="single" w:sz="8" w:space="0" w:color="auto"/>
            </w:tcBorders>
            <w:vAlign w:val="center"/>
          </w:tcPr>
          <w:p w14:paraId="2D4B5CD1" w14:textId="77777777" w:rsidR="005061E6" w:rsidRPr="009D258A" w:rsidRDefault="005061E6">
            <w:pPr>
              <w:spacing w:before="0" w:after="0"/>
              <w:jc w:val="center"/>
              <w:rPr>
                <w:noProof/>
                <w:color w:val="000000" w:themeColor="text1"/>
                <w:sz w:val="14"/>
                <w:szCs w:val="14"/>
              </w:rPr>
            </w:pPr>
            <w:r w:rsidRPr="009D258A">
              <w:rPr>
                <w:noProof/>
                <w:color w:val="000000" w:themeColor="text1"/>
                <w:sz w:val="14"/>
              </w:rPr>
              <w:t>(2a)</w:t>
            </w:r>
          </w:p>
        </w:tc>
        <w:tc>
          <w:tcPr>
            <w:tcW w:w="1305" w:type="dxa"/>
            <w:tcBorders>
              <w:top w:val="nil"/>
              <w:left w:val="nil"/>
              <w:bottom w:val="single" w:sz="8" w:space="0" w:color="auto"/>
              <w:right w:val="single" w:sz="8" w:space="0" w:color="auto"/>
            </w:tcBorders>
            <w:vAlign w:val="center"/>
          </w:tcPr>
          <w:p w14:paraId="3F349119" w14:textId="77777777" w:rsidR="005061E6" w:rsidRPr="009D258A" w:rsidRDefault="005061E6">
            <w:pPr>
              <w:spacing w:before="0" w:after="0"/>
              <w:jc w:val="right"/>
              <w:rPr>
                <w:noProof/>
                <w:color w:val="000000" w:themeColor="text1"/>
                <w:sz w:val="20"/>
                <w:szCs w:val="20"/>
              </w:rPr>
            </w:pPr>
            <w:r w:rsidRPr="009D258A">
              <w:rPr>
                <w:noProof/>
                <w:color w:val="000000" w:themeColor="text1"/>
                <w:sz w:val="20"/>
              </w:rPr>
              <w:t xml:space="preserve"> </w:t>
            </w:r>
          </w:p>
        </w:tc>
        <w:tc>
          <w:tcPr>
            <w:tcW w:w="1305" w:type="dxa"/>
            <w:tcBorders>
              <w:top w:val="nil"/>
              <w:left w:val="nil"/>
              <w:bottom w:val="single" w:sz="8" w:space="0" w:color="auto"/>
              <w:right w:val="single" w:sz="8" w:space="0" w:color="auto"/>
            </w:tcBorders>
            <w:vAlign w:val="center"/>
          </w:tcPr>
          <w:p w14:paraId="5EAF3762" w14:textId="77777777" w:rsidR="005061E6" w:rsidRPr="009D258A" w:rsidRDefault="005061E6">
            <w:pPr>
              <w:spacing w:before="0" w:after="0"/>
              <w:jc w:val="right"/>
              <w:rPr>
                <w:noProof/>
                <w:color w:val="000000" w:themeColor="text1"/>
                <w:sz w:val="20"/>
                <w:szCs w:val="20"/>
              </w:rPr>
            </w:pPr>
            <w:r w:rsidRPr="009D258A">
              <w:rPr>
                <w:noProof/>
                <w:color w:val="000000" w:themeColor="text1"/>
                <w:sz w:val="20"/>
              </w:rPr>
              <w:t xml:space="preserve"> </w:t>
            </w:r>
          </w:p>
        </w:tc>
        <w:tc>
          <w:tcPr>
            <w:tcW w:w="1305" w:type="dxa"/>
            <w:tcBorders>
              <w:top w:val="nil"/>
              <w:left w:val="nil"/>
              <w:bottom w:val="single" w:sz="8" w:space="0" w:color="auto"/>
              <w:right w:val="single" w:sz="8" w:space="0" w:color="auto"/>
            </w:tcBorders>
            <w:vAlign w:val="center"/>
          </w:tcPr>
          <w:p w14:paraId="02EC9980" w14:textId="77777777" w:rsidR="005061E6" w:rsidRPr="009D258A" w:rsidRDefault="005061E6">
            <w:pPr>
              <w:spacing w:before="0" w:after="0"/>
              <w:jc w:val="right"/>
              <w:rPr>
                <w:noProof/>
                <w:color w:val="000000" w:themeColor="text1"/>
                <w:sz w:val="20"/>
                <w:szCs w:val="20"/>
                <w:lang w:eastAsia="en-IE"/>
              </w:rPr>
            </w:pPr>
          </w:p>
        </w:tc>
        <w:tc>
          <w:tcPr>
            <w:tcW w:w="1261" w:type="dxa"/>
            <w:tcBorders>
              <w:top w:val="nil"/>
              <w:left w:val="nil"/>
              <w:bottom w:val="single" w:sz="8" w:space="0" w:color="auto"/>
              <w:right w:val="single" w:sz="8" w:space="0" w:color="auto"/>
            </w:tcBorders>
            <w:vAlign w:val="center"/>
          </w:tcPr>
          <w:p w14:paraId="49C97062" w14:textId="77777777" w:rsidR="005061E6" w:rsidRPr="009D258A" w:rsidRDefault="005061E6">
            <w:pPr>
              <w:spacing w:before="0" w:after="0"/>
              <w:jc w:val="right"/>
              <w:rPr>
                <w:noProof/>
                <w:color w:val="000000" w:themeColor="text1"/>
                <w:sz w:val="20"/>
                <w:szCs w:val="20"/>
              </w:rPr>
            </w:pPr>
            <w:r w:rsidRPr="009D258A">
              <w:rPr>
                <w:noProof/>
                <w:color w:val="000000" w:themeColor="text1"/>
                <w:sz w:val="20"/>
              </w:rPr>
              <w:t>0,500 </w:t>
            </w:r>
          </w:p>
        </w:tc>
        <w:tc>
          <w:tcPr>
            <w:tcW w:w="1261" w:type="dxa"/>
            <w:tcBorders>
              <w:top w:val="nil"/>
              <w:left w:val="nil"/>
              <w:bottom w:val="single" w:sz="8" w:space="0" w:color="auto"/>
              <w:right w:val="single" w:sz="8" w:space="0" w:color="auto"/>
            </w:tcBorders>
            <w:vAlign w:val="center"/>
          </w:tcPr>
          <w:p w14:paraId="4FE931E0" w14:textId="77777777" w:rsidR="005061E6" w:rsidRPr="009D258A" w:rsidRDefault="005061E6">
            <w:pPr>
              <w:jc w:val="right"/>
              <w:rPr>
                <w:noProof/>
                <w:color w:val="000000" w:themeColor="text1"/>
                <w:sz w:val="20"/>
                <w:szCs w:val="20"/>
              </w:rPr>
            </w:pPr>
            <w:r w:rsidRPr="009D258A">
              <w:rPr>
                <w:noProof/>
                <w:color w:val="000000" w:themeColor="text1"/>
                <w:sz w:val="20"/>
              </w:rPr>
              <w:t>0,500</w:t>
            </w:r>
          </w:p>
        </w:tc>
        <w:tc>
          <w:tcPr>
            <w:tcW w:w="1535" w:type="dxa"/>
            <w:tcBorders>
              <w:top w:val="nil"/>
              <w:left w:val="nil"/>
              <w:bottom w:val="single" w:sz="8" w:space="0" w:color="auto"/>
              <w:right w:val="single" w:sz="8" w:space="0" w:color="auto"/>
            </w:tcBorders>
            <w:shd w:val="clear" w:color="auto" w:fill="D9D9D9" w:themeFill="background1" w:themeFillShade="D9"/>
            <w:vAlign w:val="center"/>
          </w:tcPr>
          <w:p w14:paraId="402B39CA" w14:textId="77777777" w:rsidR="005061E6" w:rsidRPr="009D258A" w:rsidRDefault="005061E6">
            <w:pPr>
              <w:spacing w:before="0" w:after="0"/>
              <w:jc w:val="right"/>
              <w:rPr>
                <w:b/>
                <w:bCs/>
                <w:noProof/>
                <w:color w:val="000000" w:themeColor="text1"/>
                <w:sz w:val="20"/>
                <w:szCs w:val="20"/>
              </w:rPr>
            </w:pPr>
            <w:r w:rsidRPr="009D258A">
              <w:rPr>
                <w:b/>
                <w:noProof/>
                <w:color w:val="000000" w:themeColor="text1"/>
                <w:sz w:val="20"/>
              </w:rPr>
              <w:t>1,000</w:t>
            </w:r>
          </w:p>
        </w:tc>
      </w:tr>
      <w:tr w:rsidR="005061E6" w:rsidRPr="009D258A" w14:paraId="0987E0F0" w14:textId="77777777">
        <w:trPr>
          <w:trHeight w:val="300"/>
        </w:trPr>
        <w:tc>
          <w:tcPr>
            <w:tcW w:w="14220" w:type="dxa"/>
            <w:gridSpan w:val="9"/>
            <w:tcBorders>
              <w:top w:val="single" w:sz="8" w:space="0" w:color="auto"/>
              <w:left w:val="single" w:sz="8" w:space="0" w:color="auto"/>
              <w:bottom w:val="single" w:sz="8" w:space="0" w:color="auto"/>
              <w:right w:val="single" w:sz="8" w:space="0" w:color="auto"/>
            </w:tcBorders>
            <w:vAlign w:val="bottom"/>
          </w:tcPr>
          <w:p w14:paraId="3013FAC3" w14:textId="77777777" w:rsidR="005061E6" w:rsidRPr="009D258A" w:rsidRDefault="005061E6">
            <w:pPr>
              <w:spacing w:before="0" w:after="0"/>
              <w:jc w:val="left"/>
              <w:rPr>
                <w:noProof/>
                <w:color w:val="000000" w:themeColor="text1"/>
                <w:sz w:val="22"/>
              </w:rPr>
            </w:pPr>
            <w:r w:rsidRPr="009D258A">
              <w:rPr>
                <w:noProof/>
                <w:color w:val="000000" w:themeColor="text1"/>
                <w:sz w:val="22"/>
              </w:rPr>
              <w:t>Tiettyjen ohjelmien määrärahoista katettavat hallintomäärärahat</w:t>
            </w:r>
          </w:p>
        </w:tc>
      </w:tr>
      <w:tr w:rsidR="005061E6" w:rsidRPr="009D258A" w14:paraId="336FB035" w14:textId="77777777">
        <w:trPr>
          <w:trHeight w:val="300"/>
        </w:trPr>
        <w:tc>
          <w:tcPr>
            <w:tcW w:w="3556" w:type="dxa"/>
            <w:tcBorders>
              <w:top w:val="nil"/>
              <w:left w:val="single" w:sz="8" w:space="0" w:color="auto"/>
              <w:bottom w:val="single" w:sz="8" w:space="0" w:color="auto"/>
              <w:right w:val="single" w:sz="8" w:space="0" w:color="auto"/>
            </w:tcBorders>
            <w:vAlign w:val="center"/>
          </w:tcPr>
          <w:p w14:paraId="3CCCFF59" w14:textId="77777777" w:rsidR="005061E6" w:rsidRPr="009D258A" w:rsidRDefault="005061E6">
            <w:pPr>
              <w:spacing w:before="0" w:after="0"/>
              <w:rPr>
                <w:noProof/>
                <w:color w:val="000000" w:themeColor="text1"/>
                <w:sz w:val="20"/>
                <w:szCs w:val="20"/>
              </w:rPr>
            </w:pPr>
            <w:r w:rsidRPr="009D258A">
              <w:rPr>
                <w:noProof/>
                <w:color w:val="000000" w:themeColor="text1"/>
                <w:sz w:val="20"/>
              </w:rPr>
              <w:t>Budjettikohta 02 01 30 01</w:t>
            </w:r>
          </w:p>
        </w:tc>
        <w:tc>
          <w:tcPr>
            <w:tcW w:w="1386" w:type="dxa"/>
            <w:tcBorders>
              <w:top w:val="nil"/>
              <w:left w:val="nil"/>
              <w:bottom w:val="single" w:sz="8" w:space="0" w:color="auto"/>
              <w:right w:val="single" w:sz="8" w:space="0" w:color="auto"/>
            </w:tcBorders>
            <w:vAlign w:val="center"/>
          </w:tcPr>
          <w:p w14:paraId="1F6CE0F6" w14:textId="77777777" w:rsidR="005061E6" w:rsidRPr="009D258A" w:rsidRDefault="005061E6">
            <w:pPr>
              <w:spacing w:before="0" w:after="0"/>
              <w:jc w:val="right"/>
              <w:rPr>
                <w:noProof/>
                <w:color w:val="000000" w:themeColor="text1"/>
                <w:sz w:val="18"/>
                <w:szCs w:val="18"/>
              </w:rPr>
            </w:pPr>
            <w:r w:rsidRPr="009D258A">
              <w:rPr>
                <w:noProof/>
                <w:color w:val="000000" w:themeColor="text1"/>
                <w:sz w:val="18"/>
              </w:rPr>
              <w:t xml:space="preserve"> </w:t>
            </w:r>
          </w:p>
        </w:tc>
        <w:tc>
          <w:tcPr>
            <w:tcW w:w="1306" w:type="dxa"/>
            <w:tcBorders>
              <w:top w:val="single" w:sz="8" w:space="0" w:color="auto"/>
              <w:left w:val="nil"/>
              <w:bottom w:val="single" w:sz="8" w:space="0" w:color="auto"/>
              <w:right w:val="single" w:sz="8" w:space="0" w:color="auto"/>
            </w:tcBorders>
            <w:vAlign w:val="center"/>
          </w:tcPr>
          <w:p w14:paraId="2EFEF8DD" w14:textId="77777777" w:rsidR="005061E6" w:rsidRPr="009D258A" w:rsidRDefault="005061E6">
            <w:pPr>
              <w:spacing w:before="0" w:after="0"/>
              <w:jc w:val="center"/>
              <w:rPr>
                <w:noProof/>
                <w:color w:val="000000" w:themeColor="text1"/>
                <w:sz w:val="14"/>
                <w:szCs w:val="14"/>
              </w:rPr>
            </w:pPr>
            <w:r w:rsidRPr="009D258A">
              <w:rPr>
                <w:noProof/>
                <w:color w:val="000000" w:themeColor="text1"/>
                <w:sz w:val="14"/>
              </w:rPr>
              <w:t>(3)</w:t>
            </w:r>
          </w:p>
        </w:tc>
        <w:tc>
          <w:tcPr>
            <w:tcW w:w="1305" w:type="dxa"/>
            <w:tcBorders>
              <w:top w:val="nil"/>
              <w:left w:val="nil"/>
              <w:bottom w:val="single" w:sz="8" w:space="0" w:color="auto"/>
              <w:right w:val="single" w:sz="8" w:space="0" w:color="auto"/>
            </w:tcBorders>
            <w:vAlign w:val="center"/>
          </w:tcPr>
          <w:p w14:paraId="069DF24E" w14:textId="77777777" w:rsidR="005061E6" w:rsidRPr="009D258A" w:rsidRDefault="005061E6">
            <w:pPr>
              <w:spacing w:before="0" w:after="0"/>
              <w:jc w:val="right"/>
              <w:rPr>
                <w:b/>
                <w:bCs/>
                <w:noProof/>
                <w:color w:val="000000" w:themeColor="text1"/>
                <w:sz w:val="20"/>
                <w:szCs w:val="20"/>
              </w:rPr>
            </w:pPr>
            <w:r w:rsidRPr="009D258A">
              <w:rPr>
                <w:b/>
                <w:noProof/>
                <w:color w:val="000000" w:themeColor="text1"/>
                <w:sz w:val="20"/>
              </w:rPr>
              <w:t xml:space="preserve"> </w:t>
            </w:r>
          </w:p>
        </w:tc>
        <w:tc>
          <w:tcPr>
            <w:tcW w:w="1305" w:type="dxa"/>
            <w:tcBorders>
              <w:top w:val="nil"/>
              <w:left w:val="nil"/>
              <w:bottom w:val="single" w:sz="8" w:space="0" w:color="auto"/>
              <w:right w:val="single" w:sz="8" w:space="0" w:color="auto"/>
            </w:tcBorders>
            <w:vAlign w:val="center"/>
          </w:tcPr>
          <w:p w14:paraId="746560C4" w14:textId="77777777" w:rsidR="005061E6" w:rsidRPr="009D258A" w:rsidRDefault="005061E6">
            <w:pPr>
              <w:spacing w:before="0" w:after="0"/>
              <w:jc w:val="right"/>
              <w:rPr>
                <w:b/>
                <w:bCs/>
                <w:noProof/>
                <w:color w:val="000000" w:themeColor="text1"/>
                <w:sz w:val="20"/>
                <w:szCs w:val="20"/>
              </w:rPr>
            </w:pPr>
            <w:r w:rsidRPr="009D258A">
              <w:rPr>
                <w:b/>
                <w:noProof/>
                <w:color w:val="000000" w:themeColor="text1"/>
                <w:sz w:val="20"/>
              </w:rPr>
              <w:t xml:space="preserve"> </w:t>
            </w:r>
          </w:p>
        </w:tc>
        <w:tc>
          <w:tcPr>
            <w:tcW w:w="1305" w:type="dxa"/>
            <w:tcBorders>
              <w:top w:val="nil"/>
              <w:left w:val="nil"/>
              <w:bottom w:val="single" w:sz="8" w:space="0" w:color="auto"/>
              <w:right w:val="single" w:sz="8" w:space="0" w:color="auto"/>
            </w:tcBorders>
            <w:vAlign w:val="center"/>
          </w:tcPr>
          <w:p w14:paraId="703E3583" w14:textId="77777777" w:rsidR="005061E6" w:rsidRPr="009D258A" w:rsidRDefault="005061E6">
            <w:pPr>
              <w:spacing w:before="0" w:after="0"/>
              <w:jc w:val="right"/>
              <w:rPr>
                <w:b/>
                <w:bCs/>
                <w:noProof/>
                <w:color w:val="000000" w:themeColor="text1"/>
                <w:sz w:val="20"/>
                <w:szCs w:val="20"/>
              </w:rPr>
            </w:pPr>
            <w:r w:rsidRPr="009D258A">
              <w:rPr>
                <w:b/>
                <w:noProof/>
                <w:color w:val="000000" w:themeColor="text1"/>
                <w:sz w:val="20"/>
              </w:rPr>
              <w:t>2,642</w:t>
            </w:r>
            <w:r w:rsidRPr="009D258A">
              <w:rPr>
                <w:rStyle w:val="FootnoteReference"/>
                <w:b/>
                <w:bCs/>
                <w:noProof/>
                <w:color w:val="000000" w:themeColor="text1"/>
                <w:sz w:val="20"/>
                <w:szCs w:val="20"/>
                <w:lang w:eastAsia="en-IE"/>
              </w:rPr>
              <w:footnoteReference w:id="37"/>
            </w:r>
          </w:p>
        </w:tc>
        <w:tc>
          <w:tcPr>
            <w:tcW w:w="1261" w:type="dxa"/>
            <w:tcBorders>
              <w:top w:val="nil"/>
              <w:left w:val="nil"/>
              <w:bottom w:val="single" w:sz="8" w:space="0" w:color="auto"/>
              <w:right w:val="single" w:sz="8" w:space="0" w:color="auto"/>
            </w:tcBorders>
            <w:vAlign w:val="center"/>
          </w:tcPr>
          <w:p w14:paraId="1D97DB9A" w14:textId="77777777" w:rsidR="005061E6" w:rsidRPr="009D258A" w:rsidRDefault="005061E6">
            <w:pPr>
              <w:spacing w:before="0" w:after="0"/>
              <w:jc w:val="right"/>
              <w:rPr>
                <w:b/>
                <w:bCs/>
                <w:noProof/>
                <w:color w:val="000000" w:themeColor="text1"/>
                <w:sz w:val="20"/>
                <w:szCs w:val="20"/>
              </w:rPr>
            </w:pPr>
            <w:r w:rsidRPr="009D258A">
              <w:rPr>
                <w:b/>
                <w:noProof/>
                <w:color w:val="000000" w:themeColor="text1"/>
                <w:sz w:val="20"/>
              </w:rPr>
              <w:t>6,283</w:t>
            </w:r>
            <w:r w:rsidRPr="009D258A">
              <w:rPr>
                <w:rStyle w:val="FootnoteReference"/>
                <w:b/>
                <w:bCs/>
                <w:noProof/>
                <w:color w:val="000000" w:themeColor="text1"/>
                <w:sz w:val="20"/>
                <w:szCs w:val="20"/>
                <w:lang w:eastAsia="en-IE"/>
              </w:rPr>
              <w:footnoteReference w:id="38"/>
            </w:r>
          </w:p>
        </w:tc>
        <w:tc>
          <w:tcPr>
            <w:tcW w:w="1261" w:type="dxa"/>
            <w:tcBorders>
              <w:top w:val="nil"/>
              <w:left w:val="nil"/>
              <w:bottom w:val="single" w:sz="8" w:space="0" w:color="auto"/>
              <w:right w:val="single" w:sz="8" w:space="0" w:color="auto"/>
            </w:tcBorders>
            <w:vAlign w:val="center"/>
          </w:tcPr>
          <w:p w14:paraId="65D063E8" w14:textId="77777777" w:rsidR="005061E6" w:rsidRPr="009D258A" w:rsidRDefault="005061E6">
            <w:pPr>
              <w:jc w:val="right"/>
              <w:rPr>
                <w:b/>
                <w:bCs/>
                <w:noProof/>
                <w:color w:val="000000" w:themeColor="text1"/>
                <w:sz w:val="20"/>
                <w:szCs w:val="20"/>
              </w:rPr>
            </w:pPr>
            <w:r w:rsidRPr="009D258A">
              <w:rPr>
                <w:b/>
                <w:noProof/>
                <w:color w:val="000000" w:themeColor="text1"/>
                <w:sz w:val="20"/>
              </w:rPr>
              <w:t>7,283</w:t>
            </w:r>
          </w:p>
          <w:p w14:paraId="0695A7A2" w14:textId="77777777" w:rsidR="005061E6" w:rsidRPr="009D258A" w:rsidRDefault="005061E6">
            <w:pPr>
              <w:jc w:val="right"/>
              <w:rPr>
                <w:b/>
                <w:bCs/>
                <w:noProof/>
                <w:color w:val="000000" w:themeColor="text1"/>
                <w:sz w:val="20"/>
                <w:szCs w:val="20"/>
                <w:lang w:eastAsia="en-IE"/>
              </w:rPr>
            </w:pPr>
          </w:p>
        </w:tc>
        <w:tc>
          <w:tcPr>
            <w:tcW w:w="1535" w:type="dxa"/>
            <w:tcBorders>
              <w:top w:val="nil"/>
              <w:left w:val="nil"/>
              <w:bottom w:val="single" w:sz="8" w:space="0" w:color="auto"/>
              <w:right w:val="single" w:sz="8" w:space="0" w:color="auto"/>
            </w:tcBorders>
            <w:shd w:val="clear" w:color="auto" w:fill="D9D9D9" w:themeFill="background1" w:themeFillShade="D9"/>
            <w:vAlign w:val="center"/>
          </w:tcPr>
          <w:p w14:paraId="364C97FE" w14:textId="77777777" w:rsidR="005061E6" w:rsidRPr="009D258A" w:rsidRDefault="005061E6">
            <w:pPr>
              <w:spacing w:before="0" w:after="0"/>
              <w:jc w:val="right"/>
              <w:rPr>
                <w:b/>
                <w:bCs/>
                <w:noProof/>
                <w:color w:val="000000" w:themeColor="text1"/>
                <w:sz w:val="20"/>
                <w:szCs w:val="20"/>
              </w:rPr>
            </w:pPr>
            <w:r w:rsidRPr="009D258A">
              <w:rPr>
                <w:b/>
                <w:noProof/>
                <w:color w:val="000000" w:themeColor="text1"/>
                <w:sz w:val="20"/>
              </w:rPr>
              <w:t>8,925</w:t>
            </w:r>
          </w:p>
        </w:tc>
      </w:tr>
      <w:tr w:rsidR="005061E6" w:rsidRPr="009D258A" w14:paraId="0E70CA8C" w14:textId="77777777">
        <w:trPr>
          <w:trHeight w:val="300"/>
        </w:trPr>
        <w:tc>
          <w:tcPr>
            <w:tcW w:w="3556" w:type="dxa"/>
            <w:vMerge w:val="restart"/>
            <w:tcBorders>
              <w:top w:val="nil"/>
              <w:left w:val="single" w:sz="8" w:space="0" w:color="auto"/>
              <w:right w:val="single" w:sz="8" w:space="0" w:color="auto"/>
            </w:tcBorders>
            <w:vAlign w:val="center"/>
          </w:tcPr>
          <w:p w14:paraId="5EC7BF4A" w14:textId="77777777" w:rsidR="005061E6" w:rsidRPr="009D258A" w:rsidRDefault="005061E6">
            <w:pPr>
              <w:spacing w:before="0" w:after="0"/>
              <w:jc w:val="center"/>
              <w:rPr>
                <w:b/>
                <w:bCs/>
                <w:noProof/>
                <w:color w:val="000000" w:themeColor="text1"/>
                <w:sz w:val="22"/>
              </w:rPr>
            </w:pPr>
            <w:r w:rsidRPr="009D258A">
              <w:rPr>
                <w:b/>
                <w:noProof/>
                <w:color w:val="000000" w:themeColor="text1"/>
                <w:sz w:val="22"/>
              </w:rPr>
              <w:t>Pääosaston CNECT määrärahat YHTEENSÄ</w:t>
            </w:r>
          </w:p>
          <w:p w14:paraId="30025226" w14:textId="77777777" w:rsidR="005061E6" w:rsidRPr="009D258A" w:rsidRDefault="005061E6">
            <w:pPr>
              <w:spacing w:before="0" w:after="0"/>
              <w:jc w:val="center"/>
              <w:rPr>
                <w:noProof/>
                <w:color w:val="000000" w:themeColor="text1"/>
                <w:sz w:val="22"/>
              </w:rPr>
            </w:pPr>
          </w:p>
        </w:tc>
        <w:tc>
          <w:tcPr>
            <w:tcW w:w="1386" w:type="dxa"/>
            <w:tcBorders>
              <w:top w:val="nil"/>
              <w:left w:val="nil"/>
              <w:bottom w:val="single" w:sz="8" w:space="0" w:color="auto"/>
              <w:right w:val="single" w:sz="8" w:space="0" w:color="auto"/>
            </w:tcBorders>
            <w:vAlign w:val="center"/>
          </w:tcPr>
          <w:p w14:paraId="64165498" w14:textId="77777777" w:rsidR="005061E6" w:rsidRPr="009D258A" w:rsidRDefault="005061E6">
            <w:pPr>
              <w:spacing w:before="0" w:after="0"/>
              <w:rPr>
                <w:noProof/>
                <w:color w:val="000000" w:themeColor="text1"/>
                <w:sz w:val="18"/>
                <w:szCs w:val="18"/>
              </w:rPr>
            </w:pPr>
            <w:r w:rsidRPr="009D258A">
              <w:rPr>
                <w:noProof/>
                <w:color w:val="000000" w:themeColor="text1"/>
                <w:sz w:val="18"/>
              </w:rPr>
              <w:t>Sitoumukset</w:t>
            </w:r>
          </w:p>
        </w:tc>
        <w:tc>
          <w:tcPr>
            <w:tcW w:w="1306" w:type="dxa"/>
            <w:tcBorders>
              <w:top w:val="single" w:sz="8" w:space="0" w:color="auto"/>
              <w:left w:val="nil"/>
              <w:bottom w:val="single" w:sz="8" w:space="0" w:color="auto"/>
              <w:right w:val="single" w:sz="8" w:space="0" w:color="auto"/>
            </w:tcBorders>
            <w:vAlign w:val="center"/>
          </w:tcPr>
          <w:p w14:paraId="47B82E6C" w14:textId="77777777" w:rsidR="005061E6" w:rsidRPr="009D258A" w:rsidRDefault="005061E6">
            <w:pPr>
              <w:spacing w:before="0" w:after="0"/>
              <w:jc w:val="center"/>
              <w:rPr>
                <w:noProof/>
                <w:color w:val="000000" w:themeColor="text1"/>
                <w:sz w:val="14"/>
                <w:szCs w:val="14"/>
              </w:rPr>
            </w:pPr>
            <w:r w:rsidRPr="009D258A">
              <w:rPr>
                <w:noProof/>
                <w:color w:val="000000" w:themeColor="text1"/>
                <w:sz w:val="14"/>
              </w:rPr>
              <w:t>= 1a + 1b + 3</w:t>
            </w:r>
          </w:p>
        </w:tc>
        <w:tc>
          <w:tcPr>
            <w:tcW w:w="1305" w:type="dxa"/>
            <w:tcBorders>
              <w:top w:val="nil"/>
              <w:left w:val="nil"/>
              <w:bottom w:val="single" w:sz="8" w:space="0" w:color="auto"/>
              <w:right w:val="single" w:sz="8" w:space="0" w:color="auto"/>
            </w:tcBorders>
            <w:shd w:val="clear" w:color="auto" w:fill="D9D9D9" w:themeFill="background1" w:themeFillShade="D9"/>
            <w:vAlign w:val="center"/>
          </w:tcPr>
          <w:p w14:paraId="7FD9D1F4" w14:textId="77777777" w:rsidR="005061E6" w:rsidRPr="009D258A" w:rsidRDefault="005061E6">
            <w:pPr>
              <w:spacing w:before="0" w:after="0"/>
              <w:jc w:val="right"/>
              <w:rPr>
                <w:b/>
                <w:bCs/>
                <w:noProof/>
                <w:color w:val="000000" w:themeColor="text1"/>
                <w:sz w:val="20"/>
                <w:szCs w:val="20"/>
                <w:lang w:eastAsia="en-IE"/>
              </w:rPr>
            </w:pPr>
          </w:p>
        </w:tc>
        <w:tc>
          <w:tcPr>
            <w:tcW w:w="1305" w:type="dxa"/>
            <w:tcBorders>
              <w:top w:val="nil"/>
              <w:left w:val="nil"/>
              <w:bottom w:val="single" w:sz="8" w:space="0" w:color="auto"/>
              <w:right w:val="single" w:sz="8" w:space="0" w:color="auto"/>
            </w:tcBorders>
            <w:shd w:val="clear" w:color="auto" w:fill="D9D9D9" w:themeFill="background1" w:themeFillShade="D9"/>
            <w:vAlign w:val="center"/>
          </w:tcPr>
          <w:p w14:paraId="62586CFB" w14:textId="77777777" w:rsidR="005061E6" w:rsidRPr="009D258A" w:rsidRDefault="005061E6">
            <w:pPr>
              <w:spacing w:before="0" w:after="0"/>
              <w:jc w:val="right"/>
              <w:rPr>
                <w:b/>
                <w:bCs/>
                <w:noProof/>
                <w:color w:val="000000" w:themeColor="text1"/>
                <w:sz w:val="20"/>
                <w:szCs w:val="20"/>
                <w:lang w:eastAsia="en-IE"/>
              </w:rPr>
            </w:pPr>
          </w:p>
        </w:tc>
        <w:tc>
          <w:tcPr>
            <w:tcW w:w="1305" w:type="dxa"/>
            <w:tcBorders>
              <w:top w:val="nil"/>
              <w:left w:val="nil"/>
              <w:bottom w:val="single" w:sz="8" w:space="0" w:color="auto"/>
              <w:right w:val="single" w:sz="8" w:space="0" w:color="auto"/>
            </w:tcBorders>
            <w:shd w:val="clear" w:color="auto" w:fill="D9D9D9" w:themeFill="background1" w:themeFillShade="D9"/>
            <w:vAlign w:val="center"/>
          </w:tcPr>
          <w:p w14:paraId="7559D663" w14:textId="77777777" w:rsidR="005061E6" w:rsidRPr="009D258A" w:rsidRDefault="005061E6">
            <w:pPr>
              <w:spacing w:before="0" w:after="0"/>
              <w:jc w:val="right"/>
              <w:rPr>
                <w:b/>
                <w:bCs/>
                <w:noProof/>
                <w:color w:val="000000" w:themeColor="text1"/>
                <w:sz w:val="20"/>
                <w:szCs w:val="20"/>
              </w:rPr>
            </w:pPr>
            <w:r w:rsidRPr="009D258A">
              <w:rPr>
                <w:b/>
                <w:noProof/>
                <w:color w:val="000000" w:themeColor="text1"/>
                <w:sz w:val="20"/>
              </w:rPr>
              <w:t>3,142</w:t>
            </w:r>
          </w:p>
        </w:tc>
        <w:tc>
          <w:tcPr>
            <w:tcW w:w="1261" w:type="dxa"/>
            <w:tcBorders>
              <w:top w:val="nil"/>
              <w:left w:val="nil"/>
              <w:bottom w:val="single" w:sz="8" w:space="0" w:color="auto"/>
              <w:right w:val="single" w:sz="8" w:space="0" w:color="auto"/>
            </w:tcBorders>
            <w:shd w:val="clear" w:color="auto" w:fill="D9D9D9" w:themeFill="background1" w:themeFillShade="D9"/>
            <w:vAlign w:val="center"/>
          </w:tcPr>
          <w:p w14:paraId="128281D0" w14:textId="77777777" w:rsidR="005061E6" w:rsidRPr="009D258A" w:rsidRDefault="005061E6">
            <w:pPr>
              <w:spacing w:before="0" w:after="0"/>
              <w:jc w:val="right"/>
              <w:rPr>
                <w:b/>
                <w:bCs/>
                <w:noProof/>
                <w:color w:val="000000" w:themeColor="text1"/>
                <w:sz w:val="20"/>
                <w:szCs w:val="20"/>
              </w:rPr>
            </w:pPr>
            <w:r w:rsidRPr="009D258A">
              <w:rPr>
                <w:b/>
                <w:noProof/>
                <w:color w:val="000000" w:themeColor="text1"/>
                <w:sz w:val="20"/>
              </w:rPr>
              <w:t>6,783</w:t>
            </w:r>
          </w:p>
        </w:tc>
        <w:tc>
          <w:tcPr>
            <w:tcW w:w="1261" w:type="dxa"/>
            <w:tcBorders>
              <w:top w:val="nil"/>
              <w:left w:val="nil"/>
              <w:bottom w:val="single" w:sz="8" w:space="0" w:color="auto"/>
              <w:right w:val="single" w:sz="8" w:space="0" w:color="auto"/>
            </w:tcBorders>
            <w:shd w:val="clear" w:color="auto" w:fill="D9D9D9" w:themeFill="background1" w:themeFillShade="D9"/>
            <w:vAlign w:val="center"/>
          </w:tcPr>
          <w:p w14:paraId="33BAC721" w14:textId="77777777" w:rsidR="005061E6" w:rsidRPr="009D258A" w:rsidRDefault="005061E6">
            <w:pPr>
              <w:jc w:val="right"/>
              <w:rPr>
                <w:b/>
                <w:bCs/>
                <w:noProof/>
                <w:color w:val="000000" w:themeColor="text1"/>
                <w:sz w:val="20"/>
                <w:szCs w:val="20"/>
              </w:rPr>
            </w:pPr>
            <w:r w:rsidRPr="009D258A">
              <w:rPr>
                <w:b/>
                <w:noProof/>
                <w:color w:val="000000" w:themeColor="text1"/>
                <w:sz w:val="20"/>
              </w:rPr>
              <w:t>7,283</w:t>
            </w:r>
          </w:p>
        </w:tc>
        <w:tc>
          <w:tcPr>
            <w:tcW w:w="1535" w:type="dxa"/>
            <w:tcBorders>
              <w:top w:val="nil"/>
              <w:left w:val="nil"/>
              <w:bottom w:val="single" w:sz="8" w:space="0" w:color="auto"/>
              <w:right w:val="single" w:sz="8" w:space="0" w:color="auto"/>
            </w:tcBorders>
            <w:shd w:val="clear" w:color="auto" w:fill="D9D9D9" w:themeFill="background1" w:themeFillShade="D9"/>
            <w:vAlign w:val="center"/>
          </w:tcPr>
          <w:p w14:paraId="1F760A2B" w14:textId="77777777" w:rsidR="005061E6" w:rsidRPr="009D258A" w:rsidRDefault="005061E6">
            <w:pPr>
              <w:spacing w:before="0" w:after="0"/>
              <w:jc w:val="right"/>
              <w:rPr>
                <w:b/>
                <w:bCs/>
                <w:noProof/>
                <w:color w:val="000000" w:themeColor="text1"/>
                <w:sz w:val="20"/>
                <w:szCs w:val="20"/>
              </w:rPr>
            </w:pPr>
            <w:r w:rsidRPr="009D258A">
              <w:rPr>
                <w:b/>
                <w:noProof/>
                <w:color w:val="000000" w:themeColor="text1"/>
                <w:sz w:val="20"/>
              </w:rPr>
              <w:t>9,925</w:t>
            </w:r>
          </w:p>
        </w:tc>
      </w:tr>
      <w:tr w:rsidR="005061E6" w:rsidRPr="009D258A" w14:paraId="7D4F018E" w14:textId="77777777">
        <w:trPr>
          <w:trHeight w:val="300"/>
        </w:trPr>
        <w:tc>
          <w:tcPr>
            <w:tcW w:w="3556" w:type="dxa"/>
            <w:vMerge/>
          </w:tcPr>
          <w:p w14:paraId="181715CF" w14:textId="77777777" w:rsidR="005061E6" w:rsidRPr="009D258A" w:rsidRDefault="005061E6">
            <w:pPr>
              <w:rPr>
                <w:noProof/>
              </w:rPr>
            </w:pPr>
          </w:p>
        </w:tc>
        <w:tc>
          <w:tcPr>
            <w:tcW w:w="1386" w:type="dxa"/>
            <w:tcBorders>
              <w:top w:val="nil"/>
              <w:left w:val="single" w:sz="8" w:space="0" w:color="auto"/>
              <w:bottom w:val="single" w:sz="8" w:space="0" w:color="auto"/>
              <w:right w:val="single" w:sz="8" w:space="0" w:color="auto"/>
            </w:tcBorders>
            <w:vAlign w:val="center"/>
          </w:tcPr>
          <w:p w14:paraId="48AC5B79" w14:textId="77777777" w:rsidR="005061E6" w:rsidRPr="009D258A" w:rsidRDefault="005061E6">
            <w:pPr>
              <w:spacing w:before="0" w:after="0"/>
              <w:rPr>
                <w:noProof/>
                <w:color w:val="000000" w:themeColor="text1"/>
                <w:sz w:val="18"/>
                <w:szCs w:val="18"/>
              </w:rPr>
            </w:pPr>
            <w:r w:rsidRPr="009D258A">
              <w:rPr>
                <w:noProof/>
                <w:color w:val="000000" w:themeColor="text1"/>
                <w:sz w:val="18"/>
              </w:rPr>
              <w:t>Maksut</w:t>
            </w:r>
          </w:p>
        </w:tc>
        <w:tc>
          <w:tcPr>
            <w:tcW w:w="1306" w:type="dxa"/>
            <w:tcBorders>
              <w:top w:val="single" w:sz="8" w:space="0" w:color="auto"/>
              <w:left w:val="nil"/>
              <w:bottom w:val="single" w:sz="8" w:space="0" w:color="auto"/>
              <w:right w:val="single" w:sz="8" w:space="0" w:color="auto"/>
            </w:tcBorders>
            <w:vAlign w:val="center"/>
          </w:tcPr>
          <w:p w14:paraId="173E106B" w14:textId="77777777" w:rsidR="005061E6" w:rsidRPr="009D258A" w:rsidRDefault="005061E6">
            <w:pPr>
              <w:spacing w:before="0" w:after="0"/>
              <w:jc w:val="center"/>
              <w:rPr>
                <w:noProof/>
                <w:color w:val="000000" w:themeColor="text1"/>
                <w:sz w:val="14"/>
                <w:szCs w:val="14"/>
              </w:rPr>
            </w:pPr>
            <w:r w:rsidRPr="009D258A">
              <w:rPr>
                <w:noProof/>
                <w:color w:val="000000" w:themeColor="text1"/>
                <w:sz w:val="14"/>
              </w:rPr>
              <w:t>= 2a + 2b + 3</w:t>
            </w:r>
          </w:p>
        </w:tc>
        <w:tc>
          <w:tcPr>
            <w:tcW w:w="1305" w:type="dxa"/>
            <w:tcBorders>
              <w:top w:val="nil"/>
              <w:left w:val="nil"/>
              <w:bottom w:val="single" w:sz="8" w:space="0" w:color="auto"/>
              <w:right w:val="single" w:sz="8" w:space="0" w:color="auto"/>
            </w:tcBorders>
            <w:shd w:val="clear" w:color="auto" w:fill="D9D9D9" w:themeFill="background1" w:themeFillShade="D9"/>
            <w:vAlign w:val="center"/>
          </w:tcPr>
          <w:p w14:paraId="43089C15" w14:textId="77777777" w:rsidR="005061E6" w:rsidRPr="009D258A" w:rsidRDefault="005061E6">
            <w:pPr>
              <w:spacing w:before="0" w:after="0"/>
              <w:jc w:val="right"/>
              <w:rPr>
                <w:b/>
                <w:bCs/>
                <w:noProof/>
                <w:color w:val="000000" w:themeColor="text1"/>
                <w:sz w:val="20"/>
                <w:szCs w:val="20"/>
                <w:lang w:eastAsia="en-IE"/>
              </w:rPr>
            </w:pPr>
          </w:p>
        </w:tc>
        <w:tc>
          <w:tcPr>
            <w:tcW w:w="1305" w:type="dxa"/>
            <w:tcBorders>
              <w:top w:val="nil"/>
              <w:left w:val="nil"/>
              <w:bottom w:val="single" w:sz="8" w:space="0" w:color="auto"/>
              <w:right w:val="single" w:sz="8" w:space="0" w:color="auto"/>
            </w:tcBorders>
            <w:shd w:val="clear" w:color="auto" w:fill="D9D9D9" w:themeFill="background1" w:themeFillShade="D9"/>
            <w:vAlign w:val="center"/>
          </w:tcPr>
          <w:p w14:paraId="3C58A8D9" w14:textId="77777777" w:rsidR="005061E6" w:rsidRPr="009D258A" w:rsidRDefault="005061E6">
            <w:pPr>
              <w:spacing w:before="0" w:after="0"/>
              <w:jc w:val="right"/>
              <w:rPr>
                <w:b/>
                <w:bCs/>
                <w:noProof/>
                <w:color w:val="000000" w:themeColor="text1"/>
                <w:sz w:val="20"/>
                <w:szCs w:val="20"/>
                <w:lang w:eastAsia="en-IE"/>
              </w:rPr>
            </w:pPr>
          </w:p>
        </w:tc>
        <w:tc>
          <w:tcPr>
            <w:tcW w:w="1305" w:type="dxa"/>
            <w:tcBorders>
              <w:top w:val="nil"/>
              <w:left w:val="nil"/>
              <w:bottom w:val="single" w:sz="8" w:space="0" w:color="auto"/>
              <w:right w:val="single" w:sz="8" w:space="0" w:color="auto"/>
            </w:tcBorders>
            <w:shd w:val="clear" w:color="auto" w:fill="D9D9D9" w:themeFill="background1" w:themeFillShade="D9"/>
            <w:vAlign w:val="center"/>
          </w:tcPr>
          <w:p w14:paraId="305250CB" w14:textId="77777777" w:rsidR="005061E6" w:rsidRPr="009D258A" w:rsidRDefault="005061E6">
            <w:pPr>
              <w:spacing w:before="0" w:after="0"/>
              <w:jc w:val="right"/>
              <w:rPr>
                <w:b/>
                <w:bCs/>
                <w:noProof/>
                <w:color w:val="000000" w:themeColor="text1"/>
                <w:sz w:val="20"/>
                <w:szCs w:val="20"/>
              </w:rPr>
            </w:pPr>
            <w:r w:rsidRPr="009D258A">
              <w:rPr>
                <w:b/>
                <w:noProof/>
                <w:color w:val="000000" w:themeColor="text1"/>
                <w:sz w:val="20"/>
              </w:rPr>
              <w:t>2,642</w:t>
            </w:r>
          </w:p>
        </w:tc>
        <w:tc>
          <w:tcPr>
            <w:tcW w:w="1261" w:type="dxa"/>
            <w:tcBorders>
              <w:top w:val="nil"/>
              <w:left w:val="nil"/>
              <w:bottom w:val="single" w:sz="8" w:space="0" w:color="auto"/>
              <w:right w:val="single" w:sz="8" w:space="0" w:color="auto"/>
            </w:tcBorders>
            <w:shd w:val="clear" w:color="auto" w:fill="D9D9D9" w:themeFill="background1" w:themeFillShade="D9"/>
            <w:vAlign w:val="center"/>
          </w:tcPr>
          <w:p w14:paraId="60F24BEB" w14:textId="77777777" w:rsidR="005061E6" w:rsidRPr="009D258A" w:rsidRDefault="005061E6">
            <w:pPr>
              <w:spacing w:before="0" w:after="0"/>
              <w:jc w:val="right"/>
              <w:rPr>
                <w:b/>
                <w:bCs/>
                <w:noProof/>
                <w:color w:val="000000" w:themeColor="text1"/>
                <w:sz w:val="20"/>
                <w:szCs w:val="20"/>
              </w:rPr>
            </w:pPr>
            <w:r w:rsidRPr="009D258A">
              <w:rPr>
                <w:b/>
                <w:noProof/>
                <w:color w:val="000000" w:themeColor="text1"/>
                <w:sz w:val="20"/>
              </w:rPr>
              <w:t>6,783</w:t>
            </w:r>
          </w:p>
        </w:tc>
        <w:tc>
          <w:tcPr>
            <w:tcW w:w="1261" w:type="dxa"/>
            <w:tcBorders>
              <w:top w:val="nil"/>
              <w:left w:val="nil"/>
              <w:bottom w:val="single" w:sz="8" w:space="0" w:color="auto"/>
              <w:right w:val="single" w:sz="8" w:space="0" w:color="auto"/>
            </w:tcBorders>
            <w:shd w:val="clear" w:color="auto" w:fill="D9D9D9" w:themeFill="background1" w:themeFillShade="D9"/>
            <w:vAlign w:val="center"/>
          </w:tcPr>
          <w:p w14:paraId="4A575DD9" w14:textId="77777777" w:rsidR="005061E6" w:rsidRPr="009D258A" w:rsidRDefault="005061E6">
            <w:pPr>
              <w:jc w:val="right"/>
              <w:rPr>
                <w:b/>
                <w:bCs/>
                <w:noProof/>
                <w:color w:val="000000" w:themeColor="text1"/>
                <w:sz w:val="20"/>
                <w:szCs w:val="20"/>
              </w:rPr>
            </w:pPr>
            <w:r w:rsidRPr="009D258A">
              <w:rPr>
                <w:b/>
                <w:noProof/>
                <w:color w:val="000000" w:themeColor="text1"/>
                <w:sz w:val="20"/>
              </w:rPr>
              <w:t>7,783</w:t>
            </w:r>
          </w:p>
        </w:tc>
        <w:tc>
          <w:tcPr>
            <w:tcW w:w="1535" w:type="dxa"/>
            <w:tcBorders>
              <w:top w:val="nil"/>
              <w:left w:val="nil"/>
              <w:bottom w:val="single" w:sz="8" w:space="0" w:color="auto"/>
              <w:right w:val="single" w:sz="8" w:space="0" w:color="auto"/>
            </w:tcBorders>
            <w:shd w:val="clear" w:color="auto" w:fill="D9D9D9" w:themeFill="background1" w:themeFillShade="D9"/>
            <w:vAlign w:val="center"/>
          </w:tcPr>
          <w:p w14:paraId="14B821C1" w14:textId="77777777" w:rsidR="005061E6" w:rsidRPr="009D258A" w:rsidRDefault="005061E6">
            <w:pPr>
              <w:spacing w:before="0" w:after="0"/>
              <w:jc w:val="right"/>
              <w:rPr>
                <w:b/>
                <w:bCs/>
                <w:noProof/>
                <w:color w:val="000000" w:themeColor="text1"/>
                <w:sz w:val="20"/>
                <w:szCs w:val="20"/>
              </w:rPr>
            </w:pPr>
            <w:r w:rsidRPr="009D258A">
              <w:rPr>
                <w:b/>
                <w:noProof/>
                <w:color w:val="000000" w:themeColor="text1"/>
                <w:sz w:val="20"/>
              </w:rPr>
              <w:t>9,925</w:t>
            </w:r>
          </w:p>
          <w:p w14:paraId="76F3AD5F" w14:textId="77777777" w:rsidR="005061E6" w:rsidRPr="009D258A" w:rsidRDefault="005061E6">
            <w:pPr>
              <w:spacing w:before="0" w:after="0"/>
              <w:jc w:val="right"/>
              <w:rPr>
                <w:b/>
                <w:bCs/>
                <w:noProof/>
                <w:color w:val="000000" w:themeColor="text1"/>
                <w:sz w:val="20"/>
                <w:szCs w:val="20"/>
                <w:lang w:eastAsia="en-IE"/>
              </w:rPr>
            </w:pPr>
          </w:p>
        </w:tc>
      </w:tr>
    </w:tbl>
    <w:p w14:paraId="5AFBA217" w14:textId="77777777" w:rsidR="005061E6" w:rsidRPr="009D258A" w:rsidRDefault="003F3A5E" w:rsidP="005061E6">
      <w:pPr>
        <w:rPr>
          <w:noProof/>
        </w:rPr>
      </w:pPr>
      <w:r w:rsidRPr="009D258A">
        <w:rPr>
          <w:noProof/>
        </w:rPr>
        <w:t>]</w:t>
      </w:r>
    </w:p>
    <w:p w14:paraId="02862FCA" w14:textId="77777777" w:rsidR="00763B74" w:rsidRPr="009D258A" w:rsidRDefault="00763B74" w:rsidP="005061E6">
      <w:pPr>
        <w:rPr>
          <w:noProof/>
        </w:rPr>
      </w:pPr>
    </w:p>
    <w:p w14:paraId="70E40D48" w14:textId="77777777" w:rsidR="003F3A5E" w:rsidRPr="009D258A" w:rsidRDefault="003F3A5E" w:rsidP="005061E6">
      <w:pPr>
        <w:rPr>
          <w:noProof/>
        </w:rPr>
      </w:pPr>
      <w:r w:rsidRPr="009D258A">
        <w:rPr>
          <w:noProof/>
        </w:rPr>
        <w:t>[</w:t>
      </w:r>
    </w:p>
    <w:p w14:paraId="77DE6623" w14:textId="77777777" w:rsidR="005061E6" w:rsidRPr="009D258A" w:rsidRDefault="005061E6" w:rsidP="005061E6">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5061E6" w:rsidRPr="009D258A" w14:paraId="071A0F0B" w14:textId="77777777">
        <w:trPr>
          <w:jc w:val="center"/>
        </w:trPr>
        <w:tc>
          <w:tcPr>
            <w:tcW w:w="1739" w:type="pct"/>
            <w:vAlign w:val="center"/>
          </w:tcPr>
          <w:p w14:paraId="2A013B89" w14:textId="77777777" w:rsidR="005061E6" w:rsidRPr="009D258A" w:rsidRDefault="005061E6">
            <w:pPr>
              <w:spacing w:before="60" w:after="60"/>
              <w:jc w:val="center"/>
              <w:rPr>
                <w:b/>
                <w:noProof/>
              </w:rPr>
            </w:pPr>
            <w:r w:rsidRPr="009D258A">
              <w:rPr>
                <w:noProof/>
              </w:rPr>
              <w:br w:type="page"/>
            </w:r>
            <w:r w:rsidRPr="009D258A">
              <w:rPr>
                <w:b/>
                <w:noProof/>
                <w:sz w:val="22"/>
              </w:rPr>
              <w:t xml:space="preserve">Monivuotisen rahoituskehyksen otsake </w:t>
            </w:r>
          </w:p>
        </w:tc>
        <w:tc>
          <w:tcPr>
            <w:tcW w:w="396" w:type="pct"/>
            <w:vAlign w:val="center"/>
          </w:tcPr>
          <w:p w14:paraId="0C55C320" w14:textId="77777777" w:rsidR="005061E6" w:rsidRPr="009D258A" w:rsidRDefault="005061E6">
            <w:pPr>
              <w:spacing w:before="60" w:after="60"/>
              <w:jc w:val="center"/>
              <w:rPr>
                <w:noProof/>
              </w:rPr>
            </w:pPr>
            <w:r w:rsidRPr="009D258A">
              <w:rPr>
                <w:b/>
                <w:noProof/>
                <w:sz w:val="22"/>
              </w:rPr>
              <w:t>7</w:t>
            </w:r>
          </w:p>
        </w:tc>
        <w:tc>
          <w:tcPr>
            <w:tcW w:w="2865" w:type="pct"/>
            <w:vAlign w:val="center"/>
          </w:tcPr>
          <w:p w14:paraId="512B599F" w14:textId="77777777" w:rsidR="005061E6" w:rsidRPr="009D258A" w:rsidRDefault="005061E6">
            <w:pPr>
              <w:spacing w:before="60" w:after="60"/>
              <w:rPr>
                <w:noProof/>
              </w:rPr>
            </w:pPr>
            <w:r w:rsidRPr="009D258A">
              <w:rPr>
                <w:noProof/>
                <w:sz w:val="22"/>
              </w:rPr>
              <w:t>”Hallintomenot”</w:t>
            </w:r>
            <w:r w:rsidRPr="009D258A">
              <w:rPr>
                <w:noProof/>
              </w:rPr>
              <w:t xml:space="preserve"> </w:t>
            </w:r>
          </w:p>
        </w:tc>
      </w:tr>
    </w:tbl>
    <w:tbl>
      <w:tblPr>
        <w:tblStyle w:val="TableGrid"/>
        <w:tblW w:w="5000" w:type="pct"/>
        <w:tblLook w:val="04A0" w:firstRow="1" w:lastRow="0" w:firstColumn="1" w:lastColumn="0" w:noHBand="0" w:noVBand="1"/>
      </w:tblPr>
      <w:tblGrid>
        <w:gridCol w:w="4702"/>
        <w:gridCol w:w="2645"/>
        <w:gridCol w:w="637"/>
        <w:gridCol w:w="640"/>
        <w:gridCol w:w="1069"/>
        <w:gridCol w:w="1069"/>
        <w:gridCol w:w="1069"/>
        <w:gridCol w:w="1069"/>
        <w:gridCol w:w="1320"/>
      </w:tblGrid>
      <w:tr w:rsidR="005061E6" w:rsidRPr="009D258A" w14:paraId="190A0B47" w14:textId="77777777">
        <w:trPr>
          <w:trHeight w:val="288"/>
        </w:trPr>
        <w:tc>
          <w:tcPr>
            <w:tcW w:w="3032" w:type="pct"/>
            <w:gridSpan w:val="4"/>
            <w:vMerge w:val="restart"/>
            <w:vAlign w:val="center"/>
            <w:hideMark/>
          </w:tcPr>
          <w:p w14:paraId="0DBFCA27" w14:textId="77777777" w:rsidR="005061E6" w:rsidRPr="009D258A" w:rsidRDefault="005061E6">
            <w:pPr>
              <w:spacing w:before="0" w:after="0"/>
              <w:jc w:val="center"/>
              <w:rPr>
                <w:noProof/>
                <w:color w:val="000000"/>
              </w:rPr>
            </w:pPr>
            <w:r w:rsidRPr="009D258A">
              <w:rPr>
                <w:noProof/>
                <w:color w:val="000000" w:themeColor="text1"/>
              </w:rPr>
              <w:t>Pääosasto: CNECT</w:t>
            </w:r>
          </w:p>
        </w:tc>
        <w:tc>
          <w:tcPr>
            <w:tcW w:w="376" w:type="pct"/>
            <w:vAlign w:val="center"/>
            <w:hideMark/>
          </w:tcPr>
          <w:p w14:paraId="11BAF3A4" w14:textId="77777777" w:rsidR="005061E6" w:rsidRPr="009D258A" w:rsidRDefault="005061E6">
            <w:pPr>
              <w:spacing w:before="0" w:after="0"/>
              <w:jc w:val="center"/>
              <w:rPr>
                <w:noProof/>
                <w:color w:val="000000"/>
                <w:sz w:val="20"/>
              </w:rPr>
            </w:pPr>
            <w:r w:rsidRPr="009D258A">
              <w:rPr>
                <w:noProof/>
                <w:color w:val="000000"/>
                <w:sz w:val="20"/>
              </w:rPr>
              <w:t>Vuosi</w:t>
            </w:r>
          </w:p>
        </w:tc>
        <w:tc>
          <w:tcPr>
            <w:tcW w:w="376" w:type="pct"/>
            <w:vAlign w:val="center"/>
            <w:hideMark/>
          </w:tcPr>
          <w:p w14:paraId="4C219A44" w14:textId="77777777" w:rsidR="005061E6" w:rsidRPr="009D258A" w:rsidRDefault="005061E6">
            <w:pPr>
              <w:spacing w:before="0" w:after="0"/>
              <w:jc w:val="center"/>
              <w:rPr>
                <w:noProof/>
                <w:color w:val="000000"/>
                <w:sz w:val="20"/>
              </w:rPr>
            </w:pPr>
            <w:r w:rsidRPr="009D258A">
              <w:rPr>
                <w:noProof/>
                <w:color w:val="000000"/>
                <w:sz w:val="20"/>
              </w:rPr>
              <w:t>Vuosi</w:t>
            </w:r>
          </w:p>
        </w:tc>
        <w:tc>
          <w:tcPr>
            <w:tcW w:w="376" w:type="pct"/>
            <w:vAlign w:val="center"/>
            <w:hideMark/>
          </w:tcPr>
          <w:p w14:paraId="40280BAE" w14:textId="77777777" w:rsidR="005061E6" w:rsidRPr="009D258A" w:rsidRDefault="005061E6">
            <w:pPr>
              <w:spacing w:before="0" w:after="0"/>
              <w:jc w:val="center"/>
              <w:rPr>
                <w:noProof/>
                <w:color w:val="000000"/>
                <w:sz w:val="20"/>
              </w:rPr>
            </w:pPr>
            <w:r w:rsidRPr="009D258A">
              <w:rPr>
                <w:noProof/>
                <w:color w:val="000000"/>
                <w:sz w:val="20"/>
              </w:rPr>
              <w:t>Vuosi</w:t>
            </w:r>
          </w:p>
        </w:tc>
        <w:tc>
          <w:tcPr>
            <w:tcW w:w="376" w:type="pct"/>
            <w:vAlign w:val="center"/>
            <w:hideMark/>
          </w:tcPr>
          <w:p w14:paraId="5B54D80B" w14:textId="77777777" w:rsidR="005061E6" w:rsidRPr="009D258A" w:rsidRDefault="005061E6">
            <w:pPr>
              <w:spacing w:before="0" w:after="0"/>
              <w:jc w:val="center"/>
              <w:rPr>
                <w:noProof/>
                <w:color w:val="000000"/>
                <w:sz w:val="20"/>
              </w:rPr>
            </w:pPr>
            <w:r w:rsidRPr="009D258A">
              <w:rPr>
                <w:noProof/>
                <w:color w:val="000000"/>
                <w:sz w:val="20"/>
              </w:rPr>
              <w:t>Vuosi</w:t>
            </w:r>
          </w:p>
        </w:tc>
        <w:tc>
          <w:tcPr>
            <w:tcW w:w="465" w:type="pct"/>
            <w:vMerge w:val="restart"/>
            <w:vAlign w:val="center"/>
            <w:hideMark/>
          </w:tcPr>
          <w:p w14:paraId="60F102EC" w14:textId="77777777" w:rsidR="005061E6" w:rsidRPr="009D258A" w:rsidRDefault="005061E6">
            <w:pPr>
              <w:spacing w:before="0" w:after="0"/>
              <w:jc w:val="center"/>
              <w:rPr>
                <w:b/>
                <w:bCs/>
                <w:noProof/>
                <w:color w:val="000000"/>
                <w:sz w:val="20"/>
              </w:rPr>
            </w:pPr>
            <w:r w:rsidRPr="009D258A">
              <w:rPr>
                <w:b/>
                <w:noProof/>
                <w:color w:val="000000"/>
                <w:sz w:val="20"/>
              </w:rPr>
              <w:t>MRK YHTEENSÄ 2021–2027</w:t>
            </w:r>
          </w:p>
        </w:tc>
      </w:tr>
      <w:tr w:rsidR="005061E6" w:rsidRPr="009D258A" w14:paraId="5FCE0C16" w14:textId="77777777">
        <w:trPr>
          <w:trHeight w:val="300"/>
        </w:trPr>
        <w:tc>
          <w:tcPr>
            <w:tcW w:w="3032" w:type="pct"/>
            <w:gridSpan w:val="4"/>
            <w:vMerge/>
            <w:vAlign w:val="center"/>
            <w:hideMark/>
          </w:tcPr>
          <w:p w14:paraId="315F59B7" w14:textId="77777777" w:rsidR="005061E6" w:rsidRPr="009D258A" w:rsidRDefault="005061E6">
            <w:pPr>
              <w:spacing w:before="0" w:after="0"/>
              <w:jc w:val="left"/>
              <w:rPr>
                <w:noProof/>
                <w:color w:val="000000"/>
                <w:szCs w:val="24"/>
              </w:rPr>
            </w:pPr>
          </w:p>
        </w:tc>
        <w:tc>
          <w:tcPr>
            <w:tcW w:w="376" w:type="pct"/>
            <w:vAlign w:val="center"/>
            <w:hideMark/>
          </w:tcPr>
          <w:p w14:paraId="3201A0CA" w14:textId="77777777" w:rsidR="005061E6" w:rsidRPr="009D258A" w:rsidRDefault="005061E6">
            <w:pPr>
              <w:spacing w:before="0" w:after="0"/>
              <w:jc w:val="center"/>
              <w:rPr>
                <w:b/>
                <w:bCs/>
                <w:noProof/>
                <w:color w:val="000000"/>
                <w:sz w:val="20"/>
              </w:rPr>
            </w:pPr>
            <w:r w:rsidRPr="009D258A">
              <w:rPr>
                <w:b/>
                <w:noProof/>
                <w:color w:val="000000"/>
                <w:sz w:val="20"/>
              </w:rPr>
              <w:t>2024</w:t>
            </w:r>
          </w:p>
        </w:tc>
        <w:tc>
          <w:tcPr>
            <w:tcW w:w="376" w:type="pct"/>
            <w:vAlign w:val="center"/>
            <w:hideMark/>
          </w:tcPr>
          <w:p w14:paraId="03824106" w14:textId="77777777" w:rsidR="005061E6" w:rsidRPr="009D258A" w:rsidRDefault="005061E6">
            <w:pPr>
              <w:spacing w:before="0" w:after="0"/>
              <w:jc w:val="center"/>
              <w:rPr>
                <w:b/>
                <w:bCs/>
                <w:noProof/>
                <w:color w:val="000000"/>
                <w:sz w:val="20"/>
              </w:rPr>
            </w:pPr>
            <w:r w:rsidRPr="009D258A">
              <w:rPr>
                <w:b/>
                <w:noProof/>
                <w:color w:val="000000"/>
                <w:sz w:val="20"/>
              </w:rPr>
              <w:t>2025</w:t>
            </w:r>
          </w:p>
        </w:tc>
        <w:tc>
          <w:tcPr>
            <w:tcW w:w="376" w:type="pct"/>
            <w:vAlign w:val="center"/>
            <w:hideMark/>
          </w:tcPr>
          <w:p w14:paraId="37053C47" w14:textId="77777777" w:rsidR="005061E6" w:rsidRPr="009D258A" w:rsidRDefault="005061E6">
            <w:pPr>
              <w:spacing w:before="0" w:after="0"/>
              <w:jc w:val="center"/>
              <w:rPr>
                <w:b/>
                <w:bCs/>
                <w:noProof/>
                <w:color w:val="000000"/>
                <w:sz w:val="20"/>
              </w:rPr>
            </w:pPr>
            <w:r w:rsidRPr="009D258A">
              <w:rPr>
                <w:b/>
                <w:noProof/>
                <w:color w:val="000000"/>
                <w:sz w:val="20"/>
              </w:rPr>
              <w:t>2026</w:t>
            </w:r>
          </w:p>
        </w:tc>
        <w:tc>
          <w:tcPr>
            <w:tcW w:w="376" w:type="pct"/>
            <w:vAlign w:val="center"/>
            <w:hideMark/>
          </w:tcPr>
          <w:p w14:paraId="5EE63301" w14:textId="77777777" w:rsidR="005061E6" w:rsidRPr="009D258A" w:rsidRDefault="005061E6">
            <w:pPr>
              <w:spacing w:before="0" w:after="0"/>
              <w:jc w:val="center"/>
              <w:rPr>
                <w:b/>
                <w:bCs/>
                <w:noProof/>
                <w:color w:val="000000"/>
                <w:sz w:val="20"/>
              </w:rPr>
            </w:pPr>
            <w:r w:rsidRPr="009D258A">
              <w:rPr>
                <w:b/>
                <w:noProof/>
                <w:color w:val="000000"/>
                <w:sz w:val="20"/>
              </w:rPr>
              <w:t>2027</w:t>
            </w:r>
          </w:p>
        </w:tc>
        <w:tc>
          <w:tcPr>
            <w:tcW w:w="465" w:type="pct"/>
            <w:vMerge/>
            <w:vAlign w:val="center"/>
            <w:hideMark/>
          </w:tcPr>
          <w:p w14:paraId="403F8495" w14:textId="77777777" w:rsidR="005061E6" w:rsidRPr="009D258A" w:rsidRDefault="005061E6">
            <w:pPr>
              <w:spacing w:before="0" w:after="0"/>
              <w:jc w:val="left"/>
              <w:rPr>
                <w:b/>
                <w:bCs/>
                <w:noProof/>
                <w:color w:val="000000"/>
                <w:sz w:val="20"/>
              </w:rPr>
            </w:pPr>
          </w:p>
        </w:tc>
      </w:tr>
      <w:tr w:rsidR="005061E6" w:rsidRPr="009D258A" w14:paraId="6F141892" w14:textId="77777777">
        <w:trPr>
          <w:trHeight w:val="300"/>
        </w:trPr>
        <w:tc>
          <w:tcPr>
            <w:tcW w:w="3032" w:type="pct"/>
            <w:gridSpan w:val="4"/>
            <w:vAlign w:val="center"/>
            <w:hideMark/>
          </w:tcPr>
          <w:p w14:paraId="7EB29E86" w14:textId="77777777" w:rsidR="005061E6" w:rsidRPr="009D258A" w:rsidRDefault="005061E6">
            <w:pPr>
              <w:spacing w:before="0" w:after="0"/>
              <w:jc w:val="left"/>
              <w:rPr>
                <w:rFonts w:ascii="Wingdings" w:hAnsi="Wingdings" w:cs="Calibri"/>
                <w:noProof/>
                <w:color w:val="000000"/>
                <w:sz w:val="22"/>
              </w:rPr>
            </w:pPr>
            <w:r w:rsidRPr="009D258A">
              <w:rPr>
                <w:rFonts w:ascii="Wingdings" w:hAnsi="Wingdings"/>
                <w:noProof/>
                <w:color w:val="000000"/>
                <w:sz w:val="22"/>
              </w:rPr>
              <w:t></w:t>
            </w:r>
            <w:r w:rsidRPr="009D258A">
              <w:rPr>
                <w:noProof/>
                <w:color w:val="000000"/>
                <w:sz w:val="22"/>
              </w:rPr>
              <w:t xml:space="preserve"> Henkilöresurssit </w:t>
            </w:r>
          </w:p>
        </w:tc>
        <w:tc>
          <w:tcPr>
            <w:tcW w:w="376" w:type="pct"/>
            <w:vAlign w:val="center"/>
            <w:hideMark/>
          </w:tcPr>
          <w:p w14:paraId="25788885" w14:textId="77777777" w:rsidR="005061E6" w:rsidRPr="009D258A" w:rsidRDefault="005061E6">
            <w:pPr>
              <w:spacing w:before="0" w:after="0"/>
              <w:jc w:val="right"/>
              <w:rPr>
                <w:noProof/>
                <w:color w:val="000000"/>
                <w:sz w:val="20"/>
              </w:rPr>
            </w:pPr>
          </w:p>
        </w:tc>
        <w:tc>
          <w:tcPr>
            <w:tcW w:w="376" w:type="pct"/>
            <w:vAlign w:val="center"/>
            <w:hideMark/>
          </w:tcPr>
          <w:p w14:paraId="1C1A2A50" w14:textId="77777777" w:rsidR="005061E6" w:rsidRPr="009D258A" w:rsidRDefault="005061E6">
            <w:pPr>
              <w:spacing w:before="0" w:after="0"/>
              <w:jc w:val="right"/>
              <w:rPr>
                <w:noProof/>
                <w:color w:val="000000"/>
                <w:sz w:val="20"/>
              </w:rPr>
            </w:pPr>
          </w:p>
        </w:tc>
        <w:tc>
          <w:tcPr>
            <w:tcW w:w="376" w:type="pct"/>
            <w:vAlign w:val="center"/>
            <w:hideMark/>
          </w:tcPr>
          <w:p w14:paraId="32D60A4B" w14:textId="77777777" w:rsidR="005061E6" w:rsidRPr="009D258A" w:rsidRDefault="005061E6">
            <w:pPr>
              <w:spacing w:before="0" w:after="0"/>
              <w:jc w:val="right"/>
              <w:rPr>
                <w:noProof/>
                <w:color w:val="000000"/>
                <w:sz w:val="20"/>
              </w:rPr>
            </w:pPr>
            <w:r w:rsidRPr="009D258A">
              <w:rPr>
                <w:noProof/>
                <w:color w:val="000000" w:themeColor="text1"/>
                <w:sz w:val="20"/>
              </w:rPr>
              <w:t>0,940</w:t>
            </w:r>
          </w:p>
        </w:tc>
        <w:tc>
          <w:tcPr>
            <w:tcW w:w="376" w:type="pct"/>
            <w:vAlign w:val="center"/>
            <w:hideMark/>
          </w:tcPr>
          <w:p w14:paraId="5855A0CF" w14:textId="77777777" w:rsidR="005061E6" w:rsidRPr="009D258A" w:rsidRDefault="005061E6">
            <w:pPr>
              <w:spacing w:before="0" w:after="0"/>
              <w:jc w:val="right"/>
              <w:rPr>
                <w:noProof/>
                <w:color w:val="000000"/>
                <w:sz w:val="20"/>
              </w:rPr>
            </w:pPr>
            <w:r w:rsidRPr="009D258A">
              <w:rPr>
                <w:noProof/>
                <w:color w:val="000000" w:themeColor="text1"/>
                <w:sz w:val="20"/>
              </w:rPr>
              <w:t>0,940</w:t>
            </w:r>
          </w:p>
        </w:tc>
        <w:tc>
          <w:tcPr>
            <w:tcW w:w="465" w:type="pct"/>
            <w:vAlign w:val="center"/>
            <w:hideMark/>
          </w:tcPr>
          <w:p w14:paraId="6806FC90" w14:textId="77777777" w:rsidR="005061E6" w:rsidRPr="009D258A" w:rsidRDefault="005061E6">
            <w:pPr>
              <w:spacing w:before="0" w:after="0"/>
              <w:jc w:val="right"/>
              <w:rPr>
                <w:b/>
                <w:bCs/>
                <w:noProof/>
                <w:color w:val="000000"/>
                <w:sz w:val="20"/>
              </w:rPr>
            </w:pPr>
            <w:r w:rsidRPr="009D258A">
              <w:rPr>
                <w:b/>
                <w:noProof/>
                <w:color w:val="000000" w:themeColor="text1"/>
                <w:sz w:val="20"/>
              </w:rPr>
              <w:t>1,880</w:t>
            </w:r>
          </w:p>
        </w:tc>
      </w:tr>
      <w:tr w:rsidR="005061E6" w:rsidRPr="009D258A" w14:paraId="04C2D1C2" w14:textId="77777777">
        <w:trPr>
          <w:trHeight w:val="300"/>
        </w:trPr>
        <w:tc>
          <w:tcPr>
            <w:tcW w:w="3032" w:type="pct"/>
            <w:gridSpan w:val="4"/>
            <w:vAlign w:val="center"/>
            <w:hideMark/>
          </w:tcPr>
          <w:p w14:paraId="70FF8755" w14:textId="77777777" w:rsidR="005061E6" w:rsidRPr="009D258A" w:rsidRDefault="005061E6">
            <w:pPr>
              <w:spacing w:before="0" w:after="0"/>
              <w:jc w:val="left"/>
              <w:rPr>
                <w:rFonts w:ascii="Wingdings" w:hAnsi="Wingdings" w:cs="Calibri"/>
                <w:noProof/>
                <w:color w:val="000000"/>
                <w:sz w:val="22"/>
              </w:rPr>
            </w:pPr>
            <w:r w:rsidRPr="009D258A">
              <w:rPr>
                <w:rFonts w:ascii="Wingdings" w:hAnsi="Wingdings"/>
                <w:noProof/>
                <w:color w:val="000000"/>
                <w:sz w:val="22"/>
              </w:rPr>
              <w:t></w:t>
            </w:r>
            <w:r w:rsidRPr="009D258A">
              <w:rPr>
                <w:noProof/>
                <w:color w:val="000000"/>
                <w:sz w:val="22"/>
              </w:rPr>
              <w:t xml:space="preserve"> Muut hallintomenot </w:t>
            </w:r>
          </w:p>
        </w:tc>
        <w:tc>
          <w:tcPr>
            <w:tcW w:w="376" w:type="pct"/>
            <w:vAlign w:val="center"/>
            <w:hideMark/>
          </w:tcPr>
          <w:p w14:paraId="15F7B01B" w14:textId="77777777" w:rsidR="005061E6" w:rsidRPr="009D258A" w:rsidRDefault="005061E6">
            <w:pPr>
              <w:spacing w:before="0" w:after="0"/>
              <w:jc w:val="right"/>
              <w:rPr>
                <w:noProof/>
                <w:color w:val="000000"/>
                <w:sz w:val="20"/>
              </w:rPr>
            </w:pPr>
          </w:p>
        </w:tc>
        <w:tc>
          <w:tcPr>
            <w:tcW w:w="376" w:type="pct"/>
            <w:vAlign w:val="center"/>
            <w:hideMark/>
          </w:tcPr>
          <w:p w14:paraId="5A2BC8C2" w14:textId="77777777" w:rsidR="005061E6" w:rsidRPr="009D258A" w:rsidRDefault="005061E6">
            <w:pPr>
              <w:spacing w:before="0" w:after="0"/>
              <w:jc w:val="right"/>
              <w:rPr>
                <w:noProof/>
                <w:color w:val="000000"/>
                <w:sz w:val="20"/>
              </w:rPr>
            </w:pPr>
          </w:p>
        </w:tc>
        <w:tc>
          <w:tcPr>
            <w:tcW w:w="376" w:type="pct"/>
            <w:vAlign w:val="center"/>
            <w:hideMark/>
          </w:tcPr>
          <w:p w14:paraId="5CC1A938" w14:textId="77777777" w:rsidR="005061E6" w:rsidRPr="009D258A" w:rsidRDefault="005061E6">
            <w:pPr>
              <w:spacing w:before="0" w:after="0"/>
              <w:jc w:val="right"/>
              <w:rPr>
                <w:noProof/>
                <w:color w:val="000000"/>
                <w:sz w:val="20"/>
              </w:rPr>
            </w:pPr>
            <w:r w:rsidRPr="009D258A">
              <w:rPr>
                <w:noProof/>
                <w:color w:val="000000" w:themeColor="text1"/>
                <w:sz w:val="20"/>
              </w:rPr>
              <w:t>0,025</w:t>
            </w:r>
          </w:p>
        </w:tc>
        <w:tc>
          <w:tcPr>
            <w:tcW w:w="376" w:type="pct"/>
            <w:vAlign w:val="center"/>
            <w:hideMark/>
          </w:tcPr>
          <w:p w14:paraId="0C85B505" w14:textId="77777777" w:rsidR="005061E6" w:rsidRPr="009D258A" w:rsidRDefault="005061E6">
            <w:pPr>
              <w:spacing w:before="0" w:after="0"/>
              <w:jc w:val="right"/>
              <w:rPr>
                <w:noProof/>
                <w:color w:val="000000"/>
                <w:sz w:val="20"/>
              </w:rPr>
            </w:pPr>
            <w:r w:rsidRPr="009D258A">
              <w:rPr>
                <w:noProof/>
                <w:color w:val="000000" w:themeColor="text1"/>
                <w:sz w:val="20"/>
              </w:rPr>
              <w:t>0,025</w:t>
            </w:r>
          </w:p>
        </w:tc>
        <w:tc>
          <w:tcPr>
            <w:tcW w:w="465" w:type="pct"/>
            <w:vAlign w:val="center"/>
            <w:hideMark/>
          </w:tcPr>
          <w:p w14:paraId="007E34F9" w14:textId="77777777" w:rsidR="005061E6" w:rsidRPr="009D258A" w:rsidRDefault="005061E6">
            <w:pPr>
              <w:spacing w:before="0" w:after="0"/>
              <w:jc w:val="right"/>
              <w:rPr>
                <w:b/>
                <w:bCs/>
                <w:noProof/>
                <w:color w:val="000000"/>
                <w:sz w:val="20"/>
              </w:rPr>
            </w:pPr>
            <w:r w:rsidRPr="009D258A">
              <w:rPr>
                <w:b/>
                <w:noProof/>
                <w:color w:val="000000" w:themeColor="text1"/>
                <w:sz w:val="20"/>
              </w:rPr>
              <w:t>0,050</w:t>
            </w:r>
          </w:p>
        </w:tc>
      </w:tr>
      <w:tr w:rsidR="005061E6" w:rsidRPr="009D258A" w14:paraId="13E05622" w14:textId="77777777">
        <w:trPr>
          <w:trHeight w:val="300"/>
        </w:trPr>
        <w:tc>
          <w:tcPr>
            <w:tcW w:w="1653" w:type="pct"/>
            <w:vAlign w:val="center"/>
            <w:hideMark/>
          </w:tcPr>
          <w:p w14:paraId="40F5B3C7" w14:textId="77777777" w:rsidR="005061E6" w:rsidRPr="009D258A" w:rsidRDefault="005061E6">
            <w:pPr>
              <w:spacing w:before="0" w:after="0"/>
              <w:jc w:val="center"/>
              <w:rPr>
                <w:noProof/>
                <w:color w:val="000000"/>
                <w:sz w:val="22"/>
                <w:szCs w:val="22"/>
              </w:rPr>
            </w:pPr>
            <w:r w:rsidRPr="009D258A">
              <w:rPr>
                <w:b/>
                <w:noProof/>
                <w:color w:val="000000" w:themeColor="text1"/>
                <w:sz w:val="22"/>
              </w:rPr>
              <w:t>Pääosasto CNECT YHTEENSÄ</w:t>
            </w:r>
          </w:p>
        </w:tc>
        <w:tc>
          <w:tcPr>
            <w:tcW w:w="1378" w:type="pct"/>
            <w:gridSpan w:val="3"/>
            <w:vAlign w:val="center"/>
            <w:hideMark/>
          </w:tcPr>
          <w:p w14:paraId="2CFEB663" w14:textId="77777777" w:rsidR="005061E6" w:rsidRPr="009D258A" w:rsidRDefault="005061E6">
            <w:pPr>
              <w:spacing w:before="0" w:after="0"/>
              <w:jc w:val="left"/>
              <w:rPr>
                <w:noProof/>
                <w:color w:val="000000"/>
                <w:sz w:val="18"/>
                <w:szCs w:val="18"/>
              </w:rPr>
            </w:pPr>
            <w:r w:rsidRPr="009D258A">
              <w:rPr>
                <w:noProof/>
                <w:color w:val="000000"/>
                <w:sz w:val="18"/>
              </w:rPr>
              <w:t xml:space="preserve">Määrärahat </w:t>
            </w:r>
          </w:p>
        </w:tc>
        <w:tc>
          <w:tcPr>
            <w:tcW w:w="376" w:type="pct"/>
            <w:vAlign w:val="center"/>
            <w:hideMark/>
          </w:tcPr>
          <w:p w14:paraId="42A7CD6E" w14:textId="77777777" w:rsidR="005061E6" w:rsidRPr="009D258A" w:rsidRDefault="005061E6">
            <w:pPr>
              <w:spacing w:before="0" w:after="0"/>
              <w:jc w:val="right"/>
              <w:rPr>
                <w:b/>
                <w:bCs/>
                <w:noProof/>
                <w:color w:val="000000"/>
                <w:sz w:val="20"/>
              </w:rPr>
            </w:pPr>
          </w:p>
        </w:tc>
        <w:tc>
          <w:tcPr>
            <w:tcW w:w="376" w:type="pct"/>
            <w:vAlign w:val="center"/>
            <w:hideMark/>
          </w:tcPr>
          <w:p w14:paraId="3A80CA28" w14:textId="77777777" w:rsidR="005061E6" w:rsidRPr="009D258A" w:rsidRDefault="005061E6">
            <w:pPr>
              <w:spacing w:before="0" w:after="0"/>
              <w:jc w:val="right"/>
              <w:rPr>
                <w:b/>
                <w:bCs/>
                <w:noProof/>
                <w:color w:val="000000"/>
                <w:sz w:val="20"/>
              </w:rPr>
            </w:pPr>
          </w:p>
        </w:tc>
        <w:tc>
          <w:tcPr>
            <w:tcW w:w="376" w:type="pct"/>
            <w:vAlign w:val="center"/>
            <w:hideMark/>
          </w:tcPr>
          <w:p w14:paraId="79D82829" w14:textId="77777777" w:rsidR="005061E6" w:rsidRPr="009D258A" w:rsidRDefault="005061E6">
            <w:pPr>
              <w:spacing w:before="0" w:after="0"/>
              <w:jc w:val="right"/>
              <w:rPr>
                <w:b/>
                <w:bCs/>
                <w:noProof/>
                <w:color w:val="000000"/>
                <w:sz w:val="20"/>
              </w:rPr>
            </w:pPr>
            <w:r w:rsidRPr="009D258A">
              <w:rPr>
                <w:b/>
                <w:noProof/>
                <w:color w:val="000000" w:themeColor="text1"/>
                <w:sz w:val="20"/>
              </w:rPr>
              <w:t>0,965</w:t>
            </w:r>
          </w:p>
        </w:tc>
        <w:tc>
          <w:tcPr>
            <w:tcW w:w="376" w:type="pct"/>
            <w:vAlign w:val="center"/>
            <w:hideMark/>
          </w:tcPr>
          <w:p w14:paraId="74899F9B" w14:textId="77777777" w:rsidR="005061E6" w:rsidRPr="009D258A" w:rsidRDefault="005061E6">
            <w:pPr>
              <w:spacing w:before="0" w:after="0"/>
              <w:jc w:val="right"/>
              <w:rPr>
                <w:b/>
                <w:bCs/>
                <w:noProof/>
                <w:color w:val="000000"/>
                <w:sz w:val="20"/>
              </w:rPr>
            </w:pPr>
            <w:r w:rsidRPr="009D258A">
              <w:rPr>
                <w:b/>
                <w:noProof/>
                <w:color w:val="000000" w:themeColor="text1"/>
                <w:sz w:val="20"/>
              </w:rPr>
              <w:t>0,965</w:t>
            </w:r>
          </w:p>
        </w:tc>
        <w:tc>
          <w:tcPr>
            <w:tcW w:w="465" w:type="pct"/>
            <w:vAlign w:val="center"/>
            <w:hideMark/>
          </w:tcPr>
          <w:p w14:paraId="5EBD011B" w14:textId="77777777" w:rsidR="005061E6" w:rsidRPr="009D258A" w:rsidRDefault="005061E6">
            <w:pPr>
              <w:spacing w:before="0" w:after="0"/>
              <w:jc w:val="right"/>
              <w:rPr>
                <w:b/>
                <w:bCs/>
                <w:noProof/>
                <w:color w:val="000000"/>
                <w:sz w:val="20"/>
              </w:rPr>
            </w:pPr>
            <w:r w:rsidRPr="009D258A">
              <w:rPr>
                <w:b/>
                <w:noProof/>
                <w:color w:val="000000" w:themeColor="text1"/>
                <w:sz w:val="20"/>
              </w:rPr>
              <w:t>1,930</w:t>
            </w:r>
          </w:p>
        </w:tc>
      </w:tr>
      <w:tr w:rsidR="005061E6" w:rsidRPr="009D258A" w14:paraId="3E977BD5" w14:textId="77777777">
        <w:trPr>
          <w:trHeight w:val="300"/>
        </w:trPr>
        <w:tc>
          <w:tcPr>
            <w:tcW w:w="1653" w:type="pct"/>
            <w:noWrap/>
            <w:vAlign w:val="bottom"/>
            <w:hideMark/>
          </w:tcPr>
          <w:p w14:paraId="20550A5B" w14:textId="77777777" w:rsidR="005061E6" w:rsidRPr="009D258A" w:rsidRDefault="005061E6">
            <w:pPr>
              <w:spacing w:before="0" w:after="0"/>
              <w:jc w:val="right"/>
              <w:rPr>
                <w:b/>
                <w:bCs/>
                <w:noProof/>
                <w:color w:val="000000"/>
                <w:sz w:val="20"/>
              </w:rPr>
            </w:pPr>
          </w:p>
        </w:tc>
        <w:tc>
          <w:tcPr>
            <w:tcW w:w="929" w:type="pct"/>
            <w:noWrap/>
            <w:vAlign w:val="bottom"/>
            <w:hideMark/>
          </w:tcPr>
          <w:p w14:paraId="797AFAC7" w14:textId="77777777" w:rsidR="005061E6" w:rsidRPr="009D258A" w:rsidRDefault="005061E6">
            <w:pPr>
              <w:spacing w:before="0" w:after="0"/>
              <w:jc w:val="left"/>
              <w:rPr>
                <w:noProof/>
                <w:sz w:val="20"/>
              </w:rPr>
            </w:pPr>
          </w:p>
        </w:tc>
        <w:tc>
          <w:tcPr>
            <w:tcW w:w="224" w:type="pct"/>
            <w:noWrap/>
            <w:vAlign w:val="bottom"/>
            <w:hideMark/>
          </w:tcPr>
          <w:p w14:paraId="7DF3AD8F" w14:textId="77777777" w:rsidR="005061E6" w:rsidRPr="009D258A" w:rsidRDefault="005061E6">
            <w:pPr>
              <w:spacing w:before="0" w:after="0"/>
              <w:jc w:val="left"/>
              <w:rPr>
                <w:noProof/>
                <w:sz w:val="20"/>
              </w:rPr>
            </w:pPr>
          </w:p>
        </w:tc>
        <w:tc>
          <w:tcPr>
            <w:tcW w:w="225" w:type="pct"/>
            <w:noWrap/>
            <w:vAlign w:val="bottom"/>
            <w:hideMark/>
          </w:tcPr>
          <w:p w14:paraId="08563E2A" w14:textId="77777777" w:rsidR="005061E6" w:rsidRPr="009D258A" w:rsidRDefault="005061E6">
            <w:pPr>
              <w:spacing w:before="0" w:after="0"/>
              <w:jc w:val="left"/>
              <w:rPr>
                <w:noProof/>
                <w:sz w:val="20"/>
              </w:rPr>
            </w:pPr>
          </w:p>
        </w:tc>
        <w:tc>
          <w:tcPr>
            <w:tcW w:w="376" w:type="pct"/>
            <w:noWrap/>
            <w:vAlign w:val="bottom"/>
            <w:hideMark/>
          </w:tcPr>
          <w:p w14:paraId="6F9B846E" w14:textId="77777777" w:rsidR="005061E6" w:rsidRPr="009D258A" w:rsidRDefault="005061E6">
            <w:pPr>
              <w:spacing w:before="0" w:after="0"/>
              <w:jc w:val="left"/>
              <w:rPr>
                <w:noProof/>
                <w:sz w:val="20"/>
              </w:rPr>
            </w:pPr>
          </w:p>
        </w:tc>
        <w:tc>
          <w:tcPr>
            <w:tcW w:w="376" w:type="pct"/>
            <w:noWrap/>
            <w:vAlign w:val="bottom"/>
            <w:hideMark/>
          </w:tcPr>
          <w:p w14:paraId="3C34727D" w14:textId="77777777" w:rsidR="005061E6" w:rsidRPr="009D258A" w:rsidRDefault="005061E6">
            <w:pPr>
              <w:spacing w:before="0" w:after="0"/>
              <w:jc w:val="left"/>
              <w:rPr>
                <w:noProof/>
                <w:sz w:val="20"/>
              </w:rPr>
            </w:pPr>
          </w:p>
        </w:tc>
        <w:tc>
          <w:tcPr>
            <w:tcW w:w="376" w:type="pct"/>
            <w:noWrap/>
            <w:vAlign w:val="bottom"/>
            <w:hideMark/>
          </w:tcPr>
          <w:p w14:paraId="4318E912" w14:textId="77777777" w:rsidR="005061E6" w:rsidRPr="009D258A" w:rsidRDefault="005061E6">
            <w:pPr>
              <w:spacing w:before="0" w:after="0"/>
              <w:jc w:val="left"/>
              <w:rPr>
                <w:noProof/>
                <w:sz w:val="20"/>
              </w:rPr>
            </w:pPr>
          </w:p>
        </w:tc>
        <w:tc>
          <w:tcPr>
            <w:tcW w:w="376" w:type="pct"/>
            <w:noWrap/>
            <w:vAlign w:val="bottom"/>
            <w:hideMark/>
          </w:tcPr>
          <w:p w14:paraId="2DB23234" w14:textId="77777777" w:rsidR="005061E6" w:rsidRPr="009D258A" w:rsidRDefault="005061E6">
            <w:pPr>
              <w:spacing w:before="0" w:after="0"/>
              <w:jc w:val="left"/>
              <w:rPr>
                <w:noProof/>
                <w:sz w:val="20"/>
              </w:rPr>
            </w:pPr>
          </w:p>
        </w:tc>
        <w:tc>
          <w:tcPr>
            <w:tcW w:w="465" w:type="pct"/>
            <w:noWrap/>
            <w:vAlign w:val="bottom"/>
            <w:hideMark/>
          </w:tcPr>
          <w:p w14:paraId="283CC67D" w14:textId="77777777" w:rsidR="005061E6" w:rsidRPr="009D258A" w:rsidRDefault="005061E6">
            <w:pPr>
              <w:spacing w:before="0" w:after="0"/>
              <w:jc w:val="left"/>
              <w:rPr>
                <w:noProof/>
                <w:sz w:val="20"/>
              </w:rPr>
            </w:pPr>
          </w:p>
        </w:tc>
      </w:tr>
      <w:tr w:rsidR="005061E6" w:rsidRPr="009D258A" w14:paraId="176571C4" w14:textId="77777777">
        <w:trPr>
          <w:trHeight w:val="900"/>
        </w:trPr>
        <w:tc>
          <w:tcPr>
            <w:tcW w:w="2583" w:type="pct"/>
            <w:gridSpan w:val="2"/>
            <w:vAlign w:val="center"/>
            <w:hideMark/>
          </w:tcPr>
          <w:p w14:paraId="54766CB9" w14:textId="77777777" w:rsidR="005061E6" w:rsidRPr="009D258A" w:rsidRDefault="005061E6">
            <w:pPr>
              <w:spacing w:before="0" w:after="0"/>
              <w:jc w:val="center"/>
              <w:rPr>
                <w:b/>
                <w:bCs/>
                <w:noProof/>
                <w:color w:val="000000"/>
                <w:sz w:val="22"/>
              </w:rPr>
            </w:pPr>
            <w:r w:rsidRPr="009D258A">
              <w:rPr>
                <w:b/>
                <w:noProof/>
                <w:color w:val="000000"/>
                <w:sz w:val="22"/>
              </w:rPr>
              <w:t xml:space="preserve">Monivuotisen rahoituskehyksen OTSAKKEESEEN 7 kuuluvat määrärahat YHTEENSÄ </w:t>
            </w:r>
          </w:p>
        </w:tc>
        <w:tc>
          <w:tcPr>
            <w:tcW w:w="449" w:type="pct"/>
            <w:gridSpan w:val="2"/>
            <w:vAlign w:val="center"/>
            <w:hideMark/>
          </w:tcPr>
          <w:p w14:paraId="5E35E6F2" w14:textId="77777777" w:rsidR="005061E6" w:rsidRPr="009D258A" w:rsidRDefault="005061E6">
            <w:pPr>
              <w:spacing w:before="0" w:after="0"/>
              <w:jc w:val="center"/>
              <w:rPr>
                <w:noProof/>
                <w:color w:val="000000"/>
                <w:sz w:val="18"/>
                <w:szCs w:val="18"/>
              </w:rPr>
            </w:pPr>
            <w:r w:rsidRPr="009D258A">
              <w:rPr>
                <w:noProof/>
                <w:color w:val="000000"/>
                <w:sz w:val="18"/>
              </w:rPr>
              <w:t>(Sitoumukset yhteensä = maksut yhteensä)</w:t>
            </w:r>
          </w:p>
        </w:tc>
        <w:tc>
          <w:tcPr>
            <w:tcW w:w="376" w:type="pct"/>
            <w:vAlign w:val="center"/>
          </w:tcPr>
          <w:p w14:paraId="54E9C7C6" w14:textId="77777777" w:rsidR="005061E6" w:rsidRPr="009D258A" w:rsidRDefault="005061E6">
            <w:pPr>
              <w:spacing w:before="0" w:after="0"/>
              <w:jc w:val="right"/>
              <w:rPr>
                <w:b/>
                <w:bCs/>
                <w:noProof/>
                <w:color w:val="000000"/>
                <w:sz w:val="20"/>
              </w:rPr>
            </w:pPr>
          </w:p>
        </w:tc>
        <w:tc>
          <w:tcPr>
            <w:tcW w:w="376" w:type="pct"/>
            <w:vAlign w:val="center"/>
          </w:tcPr>
          <w:p w14:paraId="27A1EC6B" w14:textId="77777777" w:rsidR="005061E6" w:rsidRPr="009D258A" w:rsidRDefault="005061E6">
            <w:pPr>
              <w:spacing w:before="0" w:after="0"/>
              <w:jc w:val="right"/>
              <w:rPr>
                <w:b/>
                <w:bCs/>
                <w:noProof/>
                <w:color w:val="000000"/>
                <w:sz w:val="20"/>
              </w:rPr>
            </w:pPr>
          </w:p>
        </w:tc>
        <w:tc>
          <w:tcPr>
            <w:tcW w:w="376" w:type="pct"/>
            <w:vAlign w:val="center"/>
            <w:hideMark/>
          </w:tcPr>
          <w:p w14:paraId="09F79785" w14:textId="77777777" w:rsidR="005061E6" w:rsidRPr="009D258A" w:rsidRDefault="005061E6">
            <w:pPr>
              <w:spacing w:before="0" w:after="0"/>
              <w:jc w:val="right"/>
              <w:rPr>
                <w:b/>
                <w:bCs/>
                <w:noProof/>
                <w:color w:val="000000"/>
                <w:sz w:val="20"/>
              </w:rPr>
            </w:pPr>
            <w:r w:rsidRPr="009D258A">
              <w:rPr>
                <w:b/>
                <w:noProof/>
                <w:color w:val="000000" w:themeColor="text1"/>
                <w:sz w:val="20"/>
              </w:rPr>
              <w:t>0,965</w:t>
            </w:r>
          </w:p>
        </w:tc>
        <w:tc>
          <w:tcPr>
            <w:tcW w:w="376" w:type="pct"/>
            <w:vAlign w:val="center"/>
            <w:hideMark/>
          </w:tcPr>
          <w:p w14:paraId="7A7C8A33" w14:textId="77777777" w:rsidR="005061E6" w:rsidRPr="009D258A" w:rsidRDefault="005061E6">
            <w:pPr>
              <w:spacing w:before="0" w:after="0"/>
              <w:jc w:val="right"/>
              <w:rPr>
                <w:b/>
                <w:bCs/>
                <w:noProof/>
                <w:color w:val="000000"/>
                <w:sz w:val="20"/>
              </w:rPr>
            </w:pPr>
            <w:r w:rsidRPr="009D258A">
              <w:rPr>
                <w:b/>
                <w:noProof/>
                <w:color w:val="000000" w:themeColor="text1"/>
                <w:sz w:val="20"/>
              </w:rPr>
              <w:t>0,965</w:t>
            </w:r>
          </w:p>
        </w:tc>
        <w:tc>
          <w:tcPr>
            <w:tcW w:w="465" w:type="pct"/>
            <w:vAlign w:val="center"/>
            <w:hideMark/>
          </w:tcPr>
          <w:p w14:paraId="16CED245" w14:textId="77777777" w:rsidR="005061E6" w:rsidRPr="009D258A" w:rsidRDefault="005061E6">
            <w:pPr>
              <w:spacing w:before="0" w:after="0"/>
              <w:jc w:val="right"/>
              <w:rPr>
                <w:b/>
                <w:bCs/>
                <w:noProof/>
                <w:color w:val="000000"/>
                <w:sz w:val="20"/>
              </w:rPr>
            </w:pPr>
            <w:r w:rsidRPr="009D258A">
              <w:rPr>
                <w:b/>
                <w:noProof/>
                <w:color w:val="000000" w:themeColor="text1"/>
                <w:sz w:val="20"/>
              </w:rPr>
              <w:t>1,930</w:t>
            </w:r>
          </w:p>
        </w:tc>
      </w:tr>
    </w:tbl>
    <w:p w14:paraId="29CA37BC" w14:textId="77777777" w:rsidR="005061E6" w:rsidRPr="009D258A" w:rsidRDefault="005061E6" w:rsidP="005061E6">
      <w:pPr>
        <w:jc w:val="right"/>
        <w:rPr>
          <w:noProof/>
          <w:sz w:val="20"/>
        </w:rPr>
      </w:pPr>
      <w:r w:rsidRPr="009D258A">
        <w:rPr>
          <w:noProof/>
          <w:sz w:val="20"/>
        </w:rPr>
        <w:t>milj. euroa (kolmen desimaalin tarkkuudella)</w:t>
      </w:r>
    </w:p>
    <w:tbl>
      <w:tblPr>
        <w:tblW w:w="14218" w:type="dxa"/>
        <w:tblLook w:val="04A0" w:firstRow="1" w:lastRow="0" w:firstColumn="1" w:lastColumn="0" w:noHBand="0" w:noVBand="1"/>
      </w:tblPr>
      <w:tblGrid>
        <w:gridCol w:w="5153"/>
        <w:gridCol w:w="1911"/>
        <w:gridCol w:w="1153"/>
        <w:gridCol w:w="1152"/>
        <w:gridCol w:w="1152"/>
        <w:gridCol w:w="1152"/>
        <w:gridCol w:w="1152"/>
        <w:gridCol w:w="1393"/>
      </w:tblGrid>
      <w:tr w:rsidR="005061E6" w:rsidRPr="009D258A" w14:paraId="5126EFCB" w14:textId="77777777">
        <w:trPr>
          <w:trHeight w:val="288"/>
        </w:trPr>
        <w:tc>
          <w:tcPr>
            <w:tcW w:w="7064" w:type="dxa"/>
            <w:gridSpan w:val="2"/>
            <w:vMerge w:val="restart"/>
            <w:tcBorders>
              <w:top w:val="single" w:sz="8" w:space="0" w:color="auto"/>
              <w:left w:val="single" w:sz="8" w:space="0" w:color="auto"/>
              <w:bottom w:val="single" w:sz="8" w:space="0" w:color="auto"/>
              <w:right w:val="single" w:sz="8" w:space="0" w:color="auto"/>
            </w:tcBorders>
            <w:vAlign w:val="center"/>
            <w:hideMark/>
          </w:tcPr>
          <w:p w14:paraId="4DC8DE5E" w14:textId="77777777" w:rsidR="005061E6" w:rsidRPr="009D258A" w:rsidRDefault="005061E6">
            <w:pPr>
              <w:spacing w:before="0" w:after="0"/>
              <w:jc w:val="center"/>
              <w:rPr>
                <w:noProof/>
                <w:color w:val="000000"/>
                <w:szCs w:val="24"/>
              </w:rPr>
            </w:pPr>
            <w:r w:rsidRPr="009D258A">
              <w:rPr>
                <w:noProof/>
                <w:color w:val="000000"/>
              </w:rPr>
              <w:t xml:space="preserve"> </w:t>
            </w:r>
          </w:p>
        </w:tc>
        <w:tc>
          <w:tcPr>
            <w:tcW w:w="1153" w:type="dxa"/>
            <w:tcBorders>
              <w:top w:val="single" w:sz="8" w:space="0" w:color="auto"/>
              <w:left w:val="nil"/>
              <w:bottom w:val="nil"/>
              <w:right w:val="single" w:sz="8" w:space="0" w:color="auto"/>
            </w:tcBorders>
            <w:vAlign w:val="center"/>
            <w:hideMark/>
          </w:tcPr>
          <w:p w14:paraId="2E07A965" w14:textId="77777777" w:rsidR="005061E6" w:rsidRPr="009D258A" w:rsidRDefault="005061E6">
            <w:pPr>
              <w:spacing w:before="0" w:after="0"/>
              <w:jc w:val="center"/>
              <w:rPr>
                <w:noProof/>
                <w:color w:val="000000"/>
                <w:sz w:val="20"/>
                <w:szCs w:val="20"/>
              </w:rPr>
            </w:pPr>
            <w:r w:rsidRPr="009D258A">
              <w:rPr>
                <w:noProof/>
                <w:color w:val="000000"/>
                <w:sz w:val="20"/>
              </w:rPr>
              <w:t>Vuosi</w:t>
            </w:r>
          </w:p>
        </w:tc>
        <w:tc>
          <w:tcPr>
            <w:tcW w:w="1152" w:type="dxa"/>
            <w:tcBorders>
              <w:top w:val="single" w:sz="8" w:space="0" w:color="auto"/>
              <w:left w:val="nil"/>
              <w:bottom w:val="nil"/>
              <w:right w:val="single" w:sz="8" w:space="0" w:color="auto"/>
            </w:tcBorders>
            <w:vAlign w:val="center"/>
            <w:hideMark/>
          </w:tcPr>
          <w:p w14:paraId="76FA5B15" w14:textId="77777777" w:rsidR="005061E6" w:rsidRPr="009D258A" w:rsidRDefault="005061E6">
            <w:pPr>
              <w:spacing w:before="0" w:after="0"/>
              <w:jc w:val="center"/>
              <w:rPr>
                <w:noProof/>
                <w:color w:val="000000"/>
                <w:sz w:val="20"/>
                <w:szCs w:val="20"/>
              </w:rPr>
            </w:pPr>
            <w:r w:rsidRPr="009D258A">
              <w:rPr>
                <w:noProof/>
                <w:color w:val="000000"/>
                <w:sz w:val="20"/>
              </w:rPr>
              <w:t>Vuosi</w:t>
            </w:r>
          </w:p>
        </w:tc>
        <w:tc>
          <w:tcPr>
            <w:tcW w:w="1152" w:type="dxa"/>
            <w:tcBorders>
              <w:top w:val="single" w:sz="8" w:space="0" w:color="auto"/>
              <w:left w:val="nil"/>
              <w:bottom w:val="nil"/>
              <w:right w:val="single" w:sz="8" w:space="0" w:color="auto"/>
            </w:tcBorders>
            <w:vAlign w:val="center"/>
            <w:hideMark/>
          </w:tcPr>
          <w:p w14:paraId="7D853B32" w14:textId="77777777" w:rsidR="005061E6" w:rsidRPr="009D258A" w:rsidRDefault="005061E6">
            <w:pPr>
              <w:spacing w:before="0" w:after="0"/>
              <w:jc w:val="center"/>
              <w:rPr>
                <w:noProof/>
                <w:color w:val="000000"/>
                <w:sz w:val="20"/>
                <w:szCs w:val="20"/>
              </w:rPr>
            </w:pPr>
            <w:r w:rsidRPr="009D258A">
              <w:rPr>
                <w:noProof/>
                <w:color w:val="000000"/>
                <w:sz w:val="20"/>
              </w:rPr>
              <w:t>Vuosi</w:t>
            </w:r>
          </w:p>
        </w:tc>
        <w:tc>
          <w:tcPr>
            <w:tcW w:w="1152" w:type="dxa"/>
            <w:tcBorders>
              <w:top w:val="single" w:sz="8" w:space="0" w:color="auto"/>
              <w:left w:val="nil"/>
              <w:bottom w:val="nil"/>
              <w:right w:val="single" w:sz="8" w:space="0" w:color="auto"/>
            </w:tcBorders>
            <w:vAlign w:val="center"/>
            <w:hideMark/>
          </w:tcPr>
          <w:p w14:paraId="7B3CF60E" w14:textId="77777777" w:rsidR="005061E6" w:rsidRPr="009D258A" w:rsidRDefault="005061E6">
            <w:pPr>
              <w:spacing w:before="0" w:after="0"/>
              <w:jc w:val="center"/>
              <w:rPr>
                <w:noProof/>
                <w:color w:val="000000"/>
                <w:sz w:val="20"/>
                <w:szCs w:val="20"/>
              </w:rPr>
            </w:pPr>
            <w:r w:rsidRPr="009D258A">
              <w:rPr>
                <w:noProof/>
                <w:color w:val="000000"/>
                <w:sz w:val="20"/>
              </w:rPr>
              <w:t>Vuosi</w:t>
            </w:r>
          </w:p>
        </w:tc>
        <w:tc>
          <w:tcPr>
            <w:tcW w:w="1152" w:type="dxa"/>
            <w:tcBorders>
              <w:top w:val="single" w:sz="8" w:space="0" w:color="auto"/>
              <w:left w:val="nil"/>
              <w:bottom w:val="nil"/>
              <w:right w:val="single" w:sz="8" w:space="0" w:color="auto"/>
            </w:tcBorders>
            <w:vAlign w:val="center"/>
          </w:tcPr>
          <w:p w14:paraId="6CB871E4" w14:textId="77777777" w:rsidR="005061E6" w:rsidRPr="009D258A" w:rsidRDefault="005061E6">
            <w:pPr>
              <w:jc w:val="center"/>
              <w:rPr>
                <w:noProof/>
                <w:color w:val="000000" w:themeColor="text1"/>
                <w:sz w:val="20"/>
                <w:szCs w:val="20"/>
              </w:rPr>
            </w:pPr>
            <w:r w:rsidRPr="009D258A">
              <w:rPr>
                <w:noProof/>
                <w:color w:val="000000" w:themeColor="text1"/>
                <w:sz w:val="20"/>
              </w:rPr>
              <w:t>Vuoden 2027 jälkeen</w:t>
            </w:r>
          </w:p>
        </w:tc>
        <w:tc>
          <w:tcPr>
            <w:tcW w:w="1393" w:type="dxa"/>
            <w:vMerge w:val="restart"/>
            <w:tcBorders>
              <w:top w:val="single" w:sz="8" w:space="0" w:color="auto"/>
              <w:left w:val="single" w:sz="8" w:space="0" w:color="auto"/>
              <w:bottom w:val="single" w:sz="8" w:space="0" w:color="000000" w:themeColor="text1"/>
              <w:right w:val="single" w:sz="8" w:space="0" w:color="auto"/>
            </w:tcBorders>
            <w:vAlign w:val="center"/>
            <w:hideMark/>
          </w:tcPr>
          <w:p w14:paraId="7AF62CF0" w14:textId="77777777" w:rsidR="005061E6" w:rsidRPr="009D258A" w:rsidRDefault="005061E6">
            <w:pPr>
              <w:spacing w:before="0" w:after="0"/>
              <w:jc w:val="center"/>
              <w:rPr>
                <w:b/>
                <w:bCs/>
                <w:noProof/>
                <w:color w:val="000000"/>
                <w:sz w:val="20"/>
                <w:szCs w:val="20"/>
              </w:rPr>
            </w:pPr>
            <w:r w:rsidRPr="009D258A">
              <w:rPr>
                <w:b/>
                <w:noProof/>
                <w:color w:val="000000"/>
                <w:sz w:val="20"/>
              </w:rPr>
              <w:t>MRK 2021–2027 YHTEENSÄ</w:t>
            </w:r>
          </w:p>
        </w:tc>
      </w:tr>
      <w:tr w:rsidR="005061E6" w:rsidRPr="009D258A" w14:paraId="484ECCF1" w14:textId="77777777">
        <w:trPr>
          <w:trHeight w:val="300"/>
        </w:trPr>
        <w:tc>
          <w:tcPr>
            <w:tcW w:w="7064" w:type="dxa"/>
            <w:gridSpan w:val="2"/>
            <w:vMerge/>
            <w:vAlign w:val="center"/>
            <w:hideMark/>
          </w:tcPr>
          <w:p w14:paraId="5DCA1B48" w14:textId="77777777" w:rsidR="005061E6" w:rsidRPr="009D258A" w:rsidRDefault="005061E6">
            <w:pPr>
              <w:spacing w:before="0" w:after="0"/>
              <w:jc w:val="left"/>
              <w:rPr>
                <w:noProof/>
                <w:color w:val="000000"/>
                <w:szCs w:val="24"/>
                <w:lang w:eastAsia="en-IE"/>
              </w:rPr>
            </w:pPr>
          </w:p>
        </w:tc>
        <w:tc>
          <w:tcPr>
            <w:tcW w:w="1153" w:type="dxa"/>
            <w:tcBorders>
              <w:top w:val="nil"/>
              <w:left w:val="nil"/>
              <w:bottom w:val="single" w:sz="8" w:space="0" w:color="auto"/>
              <w:right w:val="single" w:sz="8" w:space="0" w:color="auto"/>
            </w:tcBorders>
            <w:vAlign w:val="center"/>
            <w:hideMark/>
          </w:tcPr>
          <w:p w14:paraId="2D857F82" w14:textId="77777777" w:rsidR="005061E6" w:rsidRPr="009D258A" w:rsidRDefault="005061E6">
            <w:pPr>
              <w:spacing w:before="0" w:after="0"/>
              <w:jc w:val="center"/>
              <w:rPr>
                <w:b/>
                <w:bCs/>
                <w:noProof/>
                <w:color w:val="000000"/>
                <w:sz w:val="20"/>
                <w:szCs w:val="20"/>
              </w:rPr>
            </w:pPr>
            <w:r w:rsidRPr="009D258A">
              <w:rPr>
                <w:b/>
                <w:noProof/>
                <w:color w:val="000000"/>
                <w:sz w:val="20"/>
              </w:rPr>
              <w:t>2024</w:t>
            </w:r>
          </w:p>
        </w:tc>
        <w:tc>
          <w:tcPr>
            <w:tcW w:w="1152" w:type="dxa"/>
            <w:tcBorders>
              <w:top w:val="nil"/>
              <w:left w:val="nil"/>
              <w:bottom w:val="single" w:sz="8" w:space="0" w:color="auto"/>
              <w:right w:val="single" w:sz="8" w:space="0" w:color="auto"/>
            </w:tcBorders>
            <w:vAlign w:val="center"/>
            <w:hideMark/>
          </w:tcPr>
          <w:p w14:paraId="75797CB5" w14:textId="77777777" w:rsidR="005061E6" w:rsidRPr="009D258A" w:rsidRDefault="005061E6">
            <w:pPr>
              <w:spacing w:before="0" w:after="0"/>
              <w:jc w:val="center"/>
              <w:rPr>
                <w:b/>
                <w:bCs/>
                <w:noProof/>
                <w:color w:val="000000"/>
                <w:sz w:val="20"/>
                <w:szCs w:val="20"/>
              </w:rPr>
            </w:pPr>
            <w:r w:rsidRPr="009D258A">
              <w:rPr>
                <w:b/>
                <w:noProof/>
                <w:color w:val="000000"/>
                <w:sz w:val="20"/>
              </w:rPr>
              <w:t>2025</w:t>
            </w:r>
          </w:p>
        </w:tc>
        <w:tc>
          <w:tcPr>
            <w:tcW w:w="1152" w:type="dxa"/>
            <w:tcBorders>
              <w:top w:val="nil"/>
              <w:left w:val="nil"/>
              <w:bottom w:val="single" w:sz="8" w:space="0" w:color="auto"/>
              <w:right w:val="single" w:sz="8" w:space="0" w:color="auto"/>
            </w:tcBorders>
            <w:vAlign w:val="center"/>
            <w:hideMark/>
          </w:tcPr>
          <w:p w14:paraId="50B22DD4" w14:textId="77777777" w:rsidR="005061E6" w:rsidRPr="009D258A" w:rsidRDefault="005061E6">
            <w:pPr>
              <w:spacing w:before="0" w:after="0"/>
              <w:jc w:val="center"/>
              <w:rPr>
                <w:b/>
                <w:bCs/>
                <w:noProof/>
                <w:color w:val="000000"/>
                <w:sz w:val="20"/>
                <w:szCs w:val="20"/>
              </w:rPr>
            </w:pPr>
            <w:r w:rsidRPr="009D258A">
              <w:rPr>
                <w:b/>
                <w:noProof/>
                <w:color w:val="000000"/>
                <w:sz w:val="20"/>
              </w:rPr>
              <w:t>2026</w:t>
            </w:r>
          </w:p>
        </w:tc>
        <w:tc>
          <w:tcPr>
            <w:tcW w:w="1152" w:type="dxa"/>
            <w:tcBorders>
              <w:top w:val="nil"/>
              <w:left w:val="nil"/>
              <w:bottom w:val="single" w:sz="8" w:space="0" w:color="auto"/>
              <w:right w:val="single" w:sz="8" w:space="0" w:color="auto"/>
            </w:tcBorders>
            <w:vAlign w:val="center"/>
            <w:hideMark/>
          </w:tcPr>
          <w:p w14:paraId="5E950471" w14:textId="77777777" w:rsidR="005061E6" w:rsidRPr="009D258A" w:rsidRDefault="005061E6">
            <w:pPr>
              <w:spacing w:before="0" w:after="0"/>
              <w:jc w:val="center"/>
              <w:rPr>
                <w:b/>
                <w:bCs/>
                <w:noProof/>
                <w:color w:val="000000"/>
                <w:sz w:val="20"/>
                <w:szCs w:val="20"/>
              </w:rPr>
            </w:pPr>
            <w:r w:rsidRPr="009D258A">
              <w:rPr>
                <w:b/>
                <w:noProof/>
                <w:color w:val="000000"/>
                <w:sz w:val="20"/>
              </w:rPr>
              <w:t>2027</w:t>
            </w:r>
          </w:p>
        </w:tc>
        <w:tc>
          <w:tcPr>
            <w:tcW w:w="1152" w:type="dxa"/>
            <w:tcBorders>
              <w:top w:val="nil"/>
              <w:left w:val="nil"/>
              <w:bottom w:val="single" w:sz="8" w:space="0" w:color="auto"/>
              <w:right w:val="single" w:sz="8" w:space="0" w:color="auto"/>
            </w:tcBorders>
            <w:vAlign w:val="center"/>
          </w:tcPr>
          <w:p w14:paraId="15D84882" w14:textId="77777777" w:rsidR="005061E6" w:rsidRPr="009D258A" w:rsidRDefault="005061E6">
            <w:pPr>
              <w:jc w:val="center"/>
              <w:rPr>
                <w:b/>
                <w:bCs/>
                <w:noProof/>
                <w:color w:val="000000" w:themeColor="text1"/>
                <w:sz w:val="20"/>
                <w:szCs w:val="20"/>
                <w:lang w:eastAsia="en-IE"/>
              </w:rPr>
            </w:pPr>
          </w:p>
        </w:tc>
        <w:tc>
          <w:tcPr>
            <w:tcW w:w="1393" w:type="dxa"/>
            <w:vMerge/>
            <w:vAlign w:val="center"/>
            <w:hideMark/>
          </w:tcPr>
          <w:p w14:paraId="25625475" w14:textId="77777777" w:rsidR="005061E6" w:rsidRPr="009D258A" w:rsidRDefault="005061E6">
            <w:pPr>
              <w:spacing w:before="0" w:after="0"/>
              <w:jc w:val="left"/>
              <w:rPr>
                <w:b/>
                <w:bCs/>
                <w:noProof/>
                <w:color w:val="000000"/>
                <w:sz w:val="20"/>
                <w:szCs w:val="20"/>
                <w:lang w:eastAsia="en-IE"/>
              </w:rPr>
            </w:pPr>
          </w:p>
        </w:tc>
      </w:tr>
      <w:tr w:rsidR="005061E6" w:rsidRPr="009D258A" w14:paraId="125D6F6B" w14:textId="77777777">
        <w:trPr>
          <w:trHeight w:val="564"/>
        </w:trPr>
        <w:tc>
          <w:tcPr>
            <w:tcW w:w="5153" w:type="dxa"/>
            <w:tcBorders>
              <w:top w:val="single" w:sz="8" w:space="0" w:color="auto"/>
              <w:left w:val="single" w:sz="8" w:space="0" w:color="auto"/>
              <w:bottom w:val="single" w:sz="8" w:space="0" w:color="auto"/>
              <w:right w:val="single" w:sz="8" w:space="0" w:color="000000" w:themeColor="text1"/>
            </w:tcBorders>
            <w:shd w:val="clear" w:color="auto" w:fill="C0C0C0"/>
            <w:vAlign w:val="center"/>
            <w:hideMark/>
          </w:tcPr>
          <w:p w14:paraId="12191B7C" w14:textId="77777777" w:rsidR="005061E6" w:rsidRPr="009D258A" w:rsidRDefault="005061E6">
            <w:pPr>
              <w:spacing w:before="0" w:after="0"/>
              <w:jc w:val="center"/>
              <w:rPr>
                <w:b/>
                <w:bCs/>
                <w:noProof/>
                <w:color w:val="000000"/>
                <w:sz w:val="22"/>
              </w:rPr>
            </w:pPr>
            <w:r w:rsidRPr="009D258A">
              <w:rPr>
                <w:b/>
                <w:noProof/>
                <w:color w:val="000000"/>
                <w:sz w:val="22"/>
              </w:rPr>
              <w:t>OTSAKKEISIIN 1–7 kuuluvat määrärahat YHTEENSÄ</w:t>
            </w:r>
          </w:p>
        </w:tc>
        <w:tc>
          <w:tcPr>
            <w:tcW w:w="1911" w:type="dxa"/>
            <w:tcBorders>
              <w:top w:val="single" w:sz="8" w:space="0" w:color="auto"/>
              <w:left w:val="nil"/>
              <w:bottom w:val="single" w:sz="8" w:space="0" w:color="auto"/>
              <w:right w:val="single" w:sz="8" w:space="0" w:color="auto"/>
            </w:tcBorders>
            <w:vAlign w:val="center"/>
            <w:hideMark/>
          </w:tcPr>
          <w:p w14:paraId="68402708" w14:textId="77777777" w:rsidR="005061E6" w:rsidRPr="009D258A" w:rsidRDefault="005061E6">
            <w:pPr>
              <w:spacing w:before="0" w:after="0"/>
              <w:rPr>
                <w:noProof/>
                <w:color w:val="000000"/>
                <w:sz w:val="18"/>
                <w:szCs w:val="18"/>
              </w:rPr>
            </w:pPr>
            <w:r w:rsidRPr="009D258A">
              <w:rPr>
                <w:noProof/>
                <w:color w:val="000000"/>
                <w:sz w:val="18"/>
              </w:rPr>
              <w:t>Sitoumukset</w:t>
            </w:r>
          </w:p>
        </w:tc>
        <w:tc>
          <w:tcPr>
            <w:tcW w:w="1153" w:type="dxa"/>
            <w:tcBorders>
              <w:top w:val="nil"/>
              <w:left w:val="nil"/>
              <w:bottom w:val="single" w:sz="8" w:space="0" w:color="auto"/>
              <w:right w:val="single" w:sz="8" w:space="0" w:color="auto"/>
            </w:tcBorders>
            <w:shd w:val="clear" w:color="auto" w:fill="D9D9D9" w:themeFill="background1" w:themeFillShade="D9"/>
            <w:vAlign w:val="center"/>
          </w:tcPr>
          <w:p w14:paraId="00264696" w14:textId="77777777" w:rsidR="005061E6" w:rsidRPr="009D258A" w:rsidRDefault="005061E6">
            <w:pPr>
              <w:spacing w:before="0" w:after="0"/>
              <w:jc w:val="right"/>
              <w:rPr>
                <w:b/>
                <w:bCs/>
                <w:noProof/>
                <w:color w:val="000000"/>
                <w:szCs w:val="24"/>
                <w:lang w:eastAsia="en-IE"/>
              </w:rPr>
            </w:pPr>
          </w:p>
        </w:tc>
        <w:tc>
          <w:tcPr>
            <w:tcW w:w="1152" w:type="dxa"/>
            <w:tcBorders>
              <w:top w:val="nil"/>
              <w:left w:val="nil"/>
              <w:bottom w:val="single" w:sz="8" w:space="0" w:color="auto"/>
              <w:right w:val="single" w:sz="8" w:space="0" w:color="auto"/>
            </w:tcBorders>
            <w:shd w:val="clear" w:color="auto" w:fill="D9D9D9" w:themeFill="background1" w:themeFillShade="D9"/>
            <w:vAlign w:val="center"/>
          </w:tcPr>
          <w:p w14:paraId="576E9273" w14:textId="77777777" w:rsidR="005061E6" w:rsidRPr="009D258A" w:rsidRDefault="005061E6">
            <w:pPr>
              <w:spacing w:before="0" w:after="0"/>
              <w:jc w:val="right"/>
              <w:rPr>
                <w:b/>
                <w:bCs/>
                <w:noProof/>
                <w:color w:val="000000"/>
                <w:szCs w:val="24"/>
                <w:lang w:eastAsia="en-IE"/>
              </w:rPr>
            </w:pPr>
          </w:p>
        </w:tc>
        <w:tc>
          <w:tcPr>
            <w:tcW w:w="1152" w:type="dxa"/>
            <w:tcBorders>
              <w:top w:val="nil"/>
              <w:left w:val="nil"/>
              <w:bottom w:val="single" w:sz="8" w:space="0" w:color="auto"/>
              <w:right w:val="single" w:sz="8" w:space="0" w:color="auto"/>
            </w:tcBorders>
            <w:shd w:val="clear" w:color="auto" w:fill="D9D9D9" w:themeFill="background1" w:themeFillShade="D9"/>
            <w:vAlign w:val="center"/>
            <w:hideMark/>
          </w:tcPr>
          <w:p w14:paraId="47F53B31" w14:textId="77777777" w:rsidR="005061E6" w:rsidRPr="009D258A" w:rsidRDefault="005061E6">
            <w:pPr>
              <w:spacing w:before="0" w:after="0"/>
              <w:jc w:val="right"/>
              <w:rPr>
                <w:b/>
                <w:bCs/>
                <w:noProof/>
              </w:rPr>
            </w:pPr>
            <w:r w:rsidRPr="009D258A">
              <w:rPr>
                <w:b/>
                <w:noProof/>
              </w:rPr>
              <w:t>4,107</w:t>
            </w:r>
          </w:p>
        </w:tc>
        <w:tc>
          <w:tcPr>
            <w:tcW w:w="1152" w:type="dxa"/>
            <w:tcBorders>
              <w:top w:val="nil"/>
              <w:left w:val="nil"/>
              <w:bottom w:val="single" w:sz="8" w:space="0" w:color="auto"/>
              <w:right w:val="single" w:sz="8" w:space="0" w:color="auto"/>
            </w:tcBorders>
            <w:shd w:val="clear" w:color="auto" w:fill="D9D9D9" w:themeFill="background1" w:themeFillShade="D9"/>
            <w:vAlign w:val="center"/>
            <w:hideMark/>
          </w:tcPr>
          <w:p w14:paraId="25ECA0DE" w14:textId="77777777" w:rsidR="005061E6" w:rsidRPr="009D258A" w:rsidRDefault="005061E6">
            <w:pPr>
              <w:spacing w:before="0" w:after="0"/>
              <w:jc w:val="right"/>
              <w:rPr>
                <w:b/>
                <w:bCs/>
                <w:noProof/>
              </w:rPr>
            </w:pPr>
            <w:r w:rsidRPr="009D258A">
              <w:rPr>
                <w:b/>
                <w:noProof/>
              </w:rPr>
              <w:t>7,748</w:t>
            </w:r>
          </w:p>
        </w:tc>
        <w:tc>
          <w:tcPr>
            <w:tcW w:w="1152" w:type="dxa"/>
            <w:tcBorders>
              <w:top w:val="nil"/>
              <w:left w:val="nil"/>
              <w:bottom w:val="single" w:sz="8" w:space="0" w:color="auto"/>
              <w:right w:val="single" w:sz="8" w:space="0" w:color="auto"/>
            </w:tcBorders>
            <w:shd w:val="clear" w:color="auto" w:fill="D9D9D9" w:themeFill="background1" w:themeFillShade="D9"/>
            <w:vAlign w:val="center"/>
          </w:tcPr>
          <w:p w14:paraId="01E424DE" w14:textId="77777777" w:rsidR="005061E6" w:rsidRPr="009D258A" w:rsidRDefault="005061E6">
            <w:pPr>
              <w:jc w:val="right"/>
              <w:rPr>
                <w:b/>
                <w:bCs/>
                <w:noProof/>
              </w:rPr>
            </w:pPr>
            <w:r w:rsidRPr="009D258A">
              <w:rPr>
                <w:b/>
                <w:noProof/>
              </w:rPr>
              <w:t>8,248</w:t>
            </w:r>
          </w:p>
        </w:tc>
        <w:tc>
          <w:tcPr>
            <w:tcW w:w="1393" w:type="dxa"/>
            <w:tcBorders>
              <w:top w:val="nil"/>
              <w:left w:val="nil"/>
              <w:bottom w:val="single" w:sz="8" w:space="0" w:color="auto"/>
              <w:right w:val="single" w:sz="8" w:space="0" w:color="auto"/>
            </w:tcBorders>
            <w:shd w:val="clear" w:color="auto" w:fill="D9D9D9" w:themeFill="background1" w:themeFillShade="D9"/>
            <w:vAlign w:val="center"/>
            <w:hideMark/>
          </w:tcPr>
          <w:p w14:paraId="2866FF50" w14:textId="77777777" w:rsidR="005061E6" w:rsidRPr="009D258A" w:rsidRDefault="005061E6">
            <w:pPr>
              <w:spacing w:before="0" w:after="0"/>
              <w:jc w:val="right"/>
              <w:rPr>
                <w:b/>
                <w:bCs/>
                <w:noProof/>
              </w:rPr>
            </w:pPr>
            <w:r w:rsidRPr="009D258A">
              <w:rPr>
                <w:b/>
                <w:noProof/>
              </w:rPr>
              <w:t>11,855</w:t>
            </w:r>
          </w:p>
        </w:tc>
      </w:tr>
      <w:tr w:rsidR="005061E6" w:rsidRPr="009D258A" w14:paraId="298BDE1F" w14:textId="77777777">
        <w:trPr>
          <w:trHeight w:val="540"/>
        </w:trPr>
        <w:tc>
          <w:tcPr>
            <w:tcW w:w="5153" w:type="dxa"/>
            <w:tcBorders>
              <w:top w:val="single" w:sz="8" w:space="0" w:color="auto"/>
              <w:left w:val="single" w:sz="8" w:space="0" w:color="auto"/>
              <w:bottom w:val="single" w:sz="8" w:space="0" w:color="auto"/>
              <w:right w:val="single" w:sz="8" w:space="0" w:color="000000" w:themeColor="text1"/>
            </w:tcBorders>
            <w:shd w:val="clear" w:color="auto" w:fill="C0C0C0"/>
            <w:vAlign w:val="center"/>
            <w:hideMark/>
          </w:tcPr>
          <w:p w14:paraId="25880DB3" w14:textId="77777777" w:rsidR="005061E6" w:rsidRPr="009D258A" w:rsidRDefault="005061E6">
            <w:pPr>
              <w:spacing w:before="0" w:after="0"/>
              <w:jc w:val="center"/>
              <w:rPr>
                <w:noProof/>
                <w:color w:val="000000"/>
                <w:sz w:val="22"/>
              </w:rPr>
            </w:pPr>
            <w:r w:rsidRPr="009D258A">
              <w:rPr>
                <w:noProof/>
                <w:color w:val="000000"/>
                <w:sz w:val="22"/>
              </w:rPr>
              <w:t>monivuotisessa rahoituskehyksessä</w:t>
            </w:r>
            <w:r w:rsidRPr="009D258A">
              <w:rPr>
                <w:b/>
                <w:noProof/>
                <w:color w:val="000000"/>
                <w:sz w:val="22"/>
              </w:rPr>
              <w:t xml:space="preserve"> </w:t>
            </w:r>
          </w:p>
        </w:tc>
        <w:tc>
          <w:tcPr>
            <w:tcW w:w="1911" w:type="dxa"/>
            <w:tcBorders>
              <w:top w:val="single" w:sz="8" w:space="0" w:color="auto"/>
              <w:left w:val="nil"/>
              <w:bottom w:val="single" w:sz="8" w:space="0" w:color="auto"/>
              <w:right w:val="single" w:sz="8" w:space="0" w:color="auto"/>
            </w:tcBorders>
            <w:vAlign w:val="center"/>
            <w:hideMark/>
          </w:tcPr>
          <w:p w14:paraId="6F825DD9" w14:textId="77777777" w:rsidR="005061E6" w:rsidRPr="009D258A" w:rsidRDefault="005061E6">
            <w:pPr>
              <w:spacing w:before="0" w:after="0"/>
              <w:rPr>
                <w:noProof/>
                <w:color w:val="000000"/>
                <w:sz w:val="18"/>
                <w:szCs w:val="18"/>
              </w:rPr>
            </w:pPr>
            <w:r w:rsidRPr="009D258A">
              <w:rPr>
                <w:noProof/>
                <w:color w:val="000000"/>
                <w:sz w:val="18"/>
              </w:rPr>
              <w:t>Maksut</w:t>
            </w:r>
          </w:p>
        </w:tc>
        <w:tc>
          <w:tcPr>
            <w:tcW w:w="1153" w:type="dxa"/>
            <w:tcBorders>
              <w:top w:val="nil"/>
              <w:left w:val="nil"/>
              <w:bottom w:val="single" w:sz="8" w:space="0" w:color="auto"/>
              <w:right w:val="single" w:sz="8" w:space="0" w:color="auto"/>
            </w:tcBorders>
            <w:shd w:val="clear" w:color="auto" w:fill="D9D9D9" w:themeFill="background1" w:themeFillShade="D9"/>
            <w:vAlign w:val="center"/>
          </w:tcPr>
          <w:p w14:paraId="77573528" w14:textId="77777777" w:rsidR="005061E6" w:rsidRPr="009D258A" w:rsidRDefault="005061E6">
            <w:pPr>
              <w:spacing w:before="0" w:after="0"/>
              <w:jc w:val="right"/>
              <w:rPr>
                <w:b/>
                <w:bCs/>
                <w:noProof/>
                <w:color w:val="000000"/>
                <w:szCs w:val="24"/>
                <w:lang w:eastAsia="en-IE"/>
              </w:rPr>
            </w:pPr>
          </w:p>
        </w:tc>
        <w:tc>
          <w:tcPr>
            <w:tcW w:w="1152" w:type="dxa"/>
            <w:tcBorders>
              <w:top w:val="nil"/>
              <w:left w:val="nil"/>
              <w:bottom w:val="single" w:sz="8" w:space="0" w:color="auto"/>
              <w:right w:val="single" w:sz="8" w:space="0" w:color="auto"/>
            </w:tcBorders>
            <w:shd w:val="clear" w:color="auto" w:fill="D9D9D9" w:themeFill="background1" w:themeFillShade="D9"/>
            <w:vAlign w:val="center"/>
          </w:tcPr>
          <w:p w14:paraId="679F2BF3" w14:textId="77777777" w:rsidR="005061E6" w:rsidRPr="009D258A" w:rsidRDefault="005061E6">
            <w:pPr>
              <w:spacing w:before="0" w:after="0"/>
              <w:jc w:val="right"/>
              <w:rPr>
                <w:b/>
                <w:bCs/>
                <w:noProof/>
                <w:color w:val="000000"/>
                <w:szCs w:val="24"/>
                <w:lang w:eastAsia="en-IE"/>
              </w:rPr>
            </w:pPr>
          </w:p>
        </w:tc>
        <w:tc>
          <w:tcPr>
            <w:tcW w:w="1152" w:type="dxa"/>
            <w:tcBorders>
              <w:top w:val="nil"/>
              <w:left w:val="nil"/>
              <w:bottom w:val="single" w:sz="8" w:space="0" w:color="auto"/>
              <w:right w:val="single" w:sz="8" w:space="0" w:color="auto"/>
            </w:tcBorders>
            <w:shd w:val="clear" w:color="auto" w:fill="D9D9D9" w:themeFill="background1" w:themeFillShade="D9"/>
            <w:vAlign w:val="center"/>
            <w:hideMark/>
          </w:tcPr>
          <w:p w14:paraId="6066032F" w14:textId="77777777" w:rsidR="005061E6" w:rsidRPr="009D258A" w:rsidRDefault="005061E6">
            <w:pPr>
              <w:spacing w:before="0" w:after="0"/>
              <w:jc w:val="right"/>
              <w:rPr>
                <w:b/>
                <w:bCs/>
                <w:noProof/>
              </w:rPr>
            </w:pPr>
            <w:r w:rsidRPr="009D258A">
              <w:rPr>
                <w:b/>
                <w:noProof/>
              </w:rPr>
              <w:t>3,607</w:t>
            </w:r>
          </w:p>
        </w:tc>
        <w:tc>
          <w:tcPr>
            <w:tcW w:w="1152" w:type="dxa"/>
            <w:tcBorders>
              <w:top w:val="nil"/>
              <w:left w:val="nil"/>
              <w:bottom w:val="single" w:sz="8" w:space="0" w:color="auto"/>
              <w:right w:val="single" w:sz="8" w:space="0" w:color="auto"/>
            </w:tcBorders>
            <w:shd w:val="clear" w:color="auto" w:fill="D9D9D9" w:themeFill="background1" w:themeFillShade="D9"/>
            <w:vAlign w:val="center"/>
            <w:hideMark/>
          </w:tcPr>
          <w:p w14:paraId="44951038" w14:textId="77777777" w:rsidR="005061E6" w:rsidRPr="009D258A" w:rsidRDefault="005061E6">
            <w:pPr>
              <w:spacing w:before="0" w:after="0"/>
              <w:jc w:val="right"/>
              <w:rPr>
                <w:b/>
                <w:bCs/>
                <w:noProof/>
              </w:rPr>
            </w:pPr>
            <w:r w:rsidRPr="009D258A">
              <w:rPr>
                <w:b/>
                <w:noProof/>
              </w:rPr>
              <w:t>7,748</w:t>
            </w:r>
          </w:p>
        </w:tc>
        <w:tc>
          <w:tcPr>
            <w:tcW w:w="1152" w:type="dxa"/>
            <w:tcBorders>
              <w:top w:val="nil"/>
              <w:left w:val="nil"/>
              <w:bottom w:val="single" w:sz="8" w:space="0" w:color="auto"/>
              <w:right w:val="single" w:sz="8" w:space="0" w:color="auto"/>
            </w:tcBorders>
            <w:shd w:val="clear" w:color="auto" w:fill="D9D9D9" w:themeFill="background1" w:themeFillShade="D9"/>
            <w:vAlign w:val="center"/>
          </w:tcPr>
          <w:p w14:paraId="259C0EA2" w14:textId="77777777" w:rsidR="005061E6" w:rsidRPr="009D258A" w:rsidRDefault="005061E6">
            <w:pPr>
              <w:jc w:val="right"/>
              <w:rPr>
                <w:b/>
                <w:bCs/>
                <w:noProof/>
              </w:rPr>
            </w:pPr>
            <w:r w:rsidRPr="009D258A">
              <w:rPr>
                <w:b/>
                <w:noProof/>
              </w:rPr>
              <w:t>8,748</w:t>
            </w:r>
          </w:p>
        </w:tc>
        <w:tc>
          <w:tcPr>
            <w:tcW w:w="1393" w:type="dxa"/>
            <w:tcBorders>
              <w:top w:val="nil"/>
              <w:left w:val="nil"/>
              <w:bottom w:val="single" w:sz="8" w:space="0" w:color="auto"/>
              <w:right w:val="single" w:sz="8" w:space="0" w:color="auto"/>
            </w:tcBorders>
            <w:shd w:val="clear" w:color="auto" w:fill="D9D9D9" w:themeFill="background1" w:themeFillShade="D9"/>
            <w:vAlign w:val="center"/>
            <w:hideMark/>
          </w:tcPr>
          <w:p w14:paraId="6EEA31F8" w14:textId="77777777" w:rsidR="005061E6" w:rsidRPr="009D258A" w:rsidRDefault="005061E6">
            <w:pPr>
              <w:spacing w:before="0" w:after="0"/>
              <w:jc w:val="right"/>
              <w:rPr>
                <w:b/>
                <w:bCs/>
                <w:noProof/>
              </w:rPr>
            </w:pPr>
            <w:r w:rsidRPr="009D258A">
              <w:rPr>
                <w:b/>
                <w:noProof/>
              </w:rPr>
              <w:t>11,855</w:t>
            </w:r>
          </w:p>
        </w:tc>
      </w:tr>
    </w:tbl>
    <w:p w14:paraId="0B98B828" w14:textId="77777777" w:rsidR="003F3A5E" w:rsidRPr="009D258A" w:rsidRDefault="003F3A5E" w:rsidP="005061E6">
      <w:pPr>
        <w:rPr>
          <w:noProof/>
        </w:rPr>
      </w:pPr>
      <w:r w:rsidRPr="009D258A">
        <w:rPr>
          <w:noProof/>
        </w:rPr>
        <w:t>]</w:t>
      </w:r>
    </w:p>
    <w:p w14:paraId="7CDD95FE" w14:textId="77777777" w:rsidR="005061E6" w:rsidRPr="009D258A" w:rsidRDefault="005061E6" w:rsidP="005061E6">
      <w:pPr>
        <w:pStyle w:val="ManualHeading3"/>
        <w:rPr>
          <w:bCs/>
          <w:noProof/>
          <w:szCs w:val="24"/>
        </w:rPr>
      </w:pPr>
      <w:bookmarkStart w:id="18" w:name="_Toc514938054"/>
      <w:bookmarkStart w:id="19" w:name="_Toc520485053"/>
      <w:bookmarkStart w:id="20" w:name="_Toc160804597"/>
      <w:bookmarkStart w:id="21" w:name="_Toc167220289"/>
      <w:bookmarkStart w:id="22" w:name="_Toc177549022"/>
      <w:r w:rsidRPr="009D258A">
        <w:rPr>
          <w:noProof/>
        </w:rPr>
        <w:t>3.2.2.</w:t>
      </w:r>
      <w:r w:rsidRPr="009D258A">
        <w:rPr>
          <w:noProof/>
        </w:rPr>
        <w:tab/>
        <w:t>Arvioidut toimintamäärärahoista rahoitetut tuotokset</w:t>
      </w:r>
      <w:bookmarkEnd w:id="18"/>
      <w:bookmarkEnd w:id="19"/>
      <w:r w:rsidRPr="009D258A">
        <w:rPr>
          <w:noProof/>
        </w:rPr>
        <w:t xml:space="preserve"> (ei täytetä erillisvirastojen osalta)</w:t>
      </w:r>
      <w:bookmarkEnd w:id="20"/>
      <w:bookmarkEnd w:id="21"/>
      <w:bookmarkEnd w:id="22"/>
    </w:p>
    <w:p w14:paraId="5BD02BB4" w14:textId="77777777" w:rsidR="005061E6" w:rsidRPr="009D258A" w:rsidRDefault="005061E6" w:rsidP="005061E6">
      <w:pPr>
        <w:jc w:val="right"/>
        <w:rPr>
          <w:noProof/>
          <w:sz w:val="20"/>
        </w:rPr>
      </w:pPr>
      <w:r w:rsidRPr="009D258A">
        <w:rPr>
          <w:noProof/>
          <w:sz w:val="20"/>
        </w:rPr>
        <w:t>maksusitoumusmäärärahat, milj. euroa (kolmen desimaalin tarkkuudella)</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5061E6" w:rsidRPr="009D258A" w14:paraId="3170A556" w14:textId="77777777">
        <w:trPr>
          <w:jc w:val="center"/>
        </w:trPr>
        <w:tc>
          <w:tcPr>
            <w:tcW w:w="1423" w:type="dxa"/>
            <w:vMerge w:val="restart"/>
            <w:vAlign w:val="center"/>
          </w:tcPr>
          <w:p w14:paraId="5C299119" w14:textId="77777777" w:rsidR="005061E6" w:rsidRPr="009D258A" w:rsidRDefault="005061E6">
            <w:pPr>
              <w:ind w:right="-29"/>
              <w:jc w:val="center"/>
              <w:rPr>
                <w:b/>
                <w:noProof/>
                <w:sz w:val="18"/>
                <w:szCs w:val="18"/>
              </w:rPr>
            </w:pPr>
            <w:r w:rsidRPr="009D258A">
              <w:rPr>
                <w:b/>
                <w:noProof/>
                <w:sz w:val="18"/>
              </w:rPr>
              <w:t xml:space="preserve">Tavoitteet ja tuotokset </w:t>
            </w:r>
          </w:p>
          <w:p w14:paraId="41B05DD3" w14:textId="77777777" w:rsidR="005061E6" w:rsidRPr="009D258A" w:rsidRDefault="005061E6">
            <w:pPr>
              <w:ind w:right="-29"/>
              <w:jc w:val="center"/>
              <w:rPr>
                <w:b/>
                <w:noProof/>
                <w:sz w:val="18"/>
                <w:szCs w:val="18"/>
              </w:rPr>
            </w:pPr>
          </w:p>
          <w:p w14:paraId="260C3727" w14:textId="77777777" w:rsidR="005061E6" w:rsidRPr="009D258A" w:rsidRDefault="005061E6">
            <w:pPr>
              <w:ind w:right="-29"/>
              <w:jc w:val="center"/>
              <w:rPr>
                <w:noProof/>
                <w:sz w:val="18"/>
                <w:szCs w:val="18"/>
              </w:rPr>
            </w:pPr>
            <w:r w:rsidRPr="009D258A">
              <w:rPr>
                <w:rFonts w:ascii="Wingdings" w:hAnsi="Wingdings"/>
                <w:noProof/>
                <w:sz w:val="18"/>
              </w:rPr>
              <w:t></w:t>
            </w:r>
          </w:p>
        </w:tc>
        <w:tc>
          <w:tcPr>
            <w:tcW w:w="720" w:type="dxa"/>
            <w:vAlign w:val="center"/>
          </w:tcPr>
          <w:p w14:paraId="3DACA24B" w14:textId="77777777" w:rsidR="005061E6" w:rsidRPr="009D258A" w:rsidRDefault="005061E6">
            <w:pPr>
              <w:ind w:right="-29"/>
              <w:jc w:val="center"/>
              <w:rPr>
                <w:noProof/>
                <w:sz w:val="18"/>
                <w:szCs w:val="18"/>
              </w:rPr>
            </w:pPr>
          </w:p>
        </w:tc>
        <w:tc>
          <w:tcPr>
            <w:tcW w:w="701" w:type="dxa"/>
            <w:vAlign w:val="center"/>
          </w:tcPr>
          <w:p w14:paraId="22DAE9E5" w14:textId="77777777" w:rsidR="005061E6" w:rsidRPr="009D258A" w:rsidRDefault="005061E6">
            <w:pPr>
              <w:ind w:right="-29"/>
              <w:jc w:val="center"/>
              <w:rPr>
                <w:noProof/>
                <w:sz w:val="18"/>
                <w:szCs w:val="18"/>
              </w:rPr>
            </w:pPr>
          </w:p>
        </w:tc>
        <w:tc>
          <w:tcPr>
            <w:tcW w:w="1224" w:type="dxa"/>
            <w:gridSpan w:val="2"/>
            <w:tcBorders>
              <w:left w:val="nil"/>
            </w:tcBorders>
            <w:vAlign w:val="center"/>
          </w:tcPr>
          <w:p w14:paraId="434BB714" w14:textId="77777777" w:rsidR="005061E6" w:rsidRPr="009D258A" w:rsidRDefault="005061E6">
            <w:pPr>
              <w:ind w:right="-29"/>
              <w:jc w:val="center"/>
              <w:rPr>
                <w:noProof/>
                <w:sz w:val="18"/>
                <w:szCs w:val="18"/>
              </w:rPr>
            </w:pPr>
            <w:r w:rsidRPr="009D258A">
              <w:rPr>
                <w:noProof/>
                <w:sz w:val="18"/>
              </w:rPr>
              <w:t>Vuosi</w:t>
            </w:r>
            <w:r w:rsidRPr="009D258A">
              <w:rPr>
                <w:noProof/>
              </w:rPr>
              <w:br/>
            </w:r>
            <w:r w:rsidRPr="009D258A">
              <w:rPr>
                <w:b/>
                <w:noProof/>
                <w:sz w:val="18"/>
              </w:rPr>
              <w:t>2024</w:t>
            </w:r>
          </w:p>
        </w:tc>
        <w:tc>
          <w:tcPr>
            <w:tcW w:w="1260" w:type="dxa"/>
            <w:gridSpan w:val="2"/>
            <w:vAlign w:val="center"/>
          </w:tcPr>
          <w:p w14:paraId="4ABB5FA5" w14:textId="77777777" w:rsidR="005061E6" w:rsidRPr="009D258A" w:rsidRDefault="005061E6">
            <w:pPr>
              <w:ind w:right="-29"/>
              <w:jc w:val="center"/>
              <w:rPr>
                <w:noProof/>
                <w:sz w:val="18"/>
                <w:szCs w:val="18"/>
              </w:rPr>
            </w:pPr>
            <w:r w:rsidRPr="009D258A">
              <w:rPr>
                <w:noProof/>
                <w:sz w:val="18"/>
              </w:rPr>
              <w:t>Vuosi</w:t>
            </w:r>
            <w:r w:rsidRPr="009D258A">
              <w:rPr>
                <w:noProof/>
              </w:rPr>
              <w:br/>
            </w:r>
            <w:r w:rsidRPr="009D258A">
              <w:rPr>
                <w:b/>
                <w:noProof/>
                <w:sz w:val="18"/>
              </w:rPr>
              <w:t>2025</w:t>
            </w:r>
          </w:p>
        </w:tc>
        <w:tc>
          <w:tcPr>
            <w:tcW w:w="1440" w:type="dxa"/>
            <w:gridSpan w:val="2"/>
            <w:vAlign w:val="center"/>
          </w:tcPr>
          <w:p w14:paraId="11510D91" w14:textId="77777777" w:rsidR="005061E6" w:rsidRPr="009D258A" w:rsidRDefault="005061E6">
            <w:pPr>
              <w:ind w:right="-29"/>
              <w:jc w:val="center"/>
              <w:rPr>
                <w:noProof/>
                <w:sz w:val="18"/>
                <w:szCs w:val="18"/>
              </w:rPr>
            </w:pPr>
            <w:r w:rsidRPr="009D258A">
              <w:rPr>
                <w:noProof/>
                <w:sz w:val="18"/>
              </w:rPr>
              <w:t>Vuosi</w:t>
            </w:r>
            <w:r w:rsidRPr="009D258A">
              <w:rPr>
                <w:noProof/>
              </w:rPr>
              <w:br/>
            </w:r>
            <w:r w:rsidRPr="009D258A">
              <w:rPr>
                <w:b/>
                <w:noProof/>
                <w:sz w:val="18"/>
              </w:rPr>
              <w:t>2026</w:t>
            </w:r>
          </w:p>
        </w:tc>
        <w:tc>
          <w:tcPr>
            <w:tcW w:w="1620" w:type="dxa"/>
            <w:gridSpan w:val="3"/>
            <w:vAlign w:val="center"/>
          </w:tcPr>
          <w:p w14:paraId="6D82383C" w14:textId="77777777" w:rsidR="005061E6" w:rsidRPr="009D258A" w:rsidRDefault="005061E6">
            <w:pPr>
              <w:ind w:right="-29"/>
              <w:jc w:val="center"/>
              <w:rPr>
                <w:noProof/>
                <w:sz w:val="18"/>
                <w:szCs w:val="18"/>
              </w:rPr>
            </w:pPr>
            <w:r w:rsidRPr="009D258A">
              <w:rPr>
                <w:noProof/>
                <w:sz w:val="18"/>
              </w:rPr>
              <w:t>Vuosi</w:t>
            </w:r>
            <w:r w:rsidRPr="009D258A">
              <w:rPr>
                <w:noProof/>
              </w:rPr>
              <w:br/>
            </w:r>
            <w:r w:rsidRPr="009D258A">
              <w:rPr>
                <w:b/>
                <w:noProof/>
                <w:sz w:val="18"/>
              </w:rPr>
              <w:t>2027</w:t>
            </w:r>
          </w:p>
        </w:tc>
        <w:tc>
          <w:tcPr>
            <w:tcW w:w="3600" w:type="dxa"/>
            <w:gridSpan w:val="6"/>
            <w:vAlign w:val="center"/>
          </w:tcPr>
          <w:p w14:paraId="37B4375B" w14:textId="77777777" w:rsidR="005061E6" w:rsidRPr="009D258A" w:rsidRDefault="005061E6">
            <w:pPr>
              <w:jc w:val="center"/>
              <w:rPr>
                <w:noProof/>
                <w:sz w:val="18"/>
                <w:szCs w:val="18"/>
              </w:rPr>
            </w:pPr>
            <w:r w:rsidRPr="009D258A">
              <w:rPr>
                <w:noProof/>
                <w:sz w:val="18"/>
              </w:rPr>
              <w:t>ja näitä seuraavat vuodet (ilmoitetaan kaikki vuodet, joille ehdotuksen/aloitteen vaikutukset ulottuvat, ks. kohta 1.6)</w:t>
            </w:r>
          </w:p>
        </w:tc>
        <w:tc>
          <w:tcPr>
            <w:tcW w:w="1620" w:type="dxa"/>
            <w:gridSpan w:val="2"/>
            <w:tcBorders>
              <w:left w:val="nil"/>
              <w:bottom w:val="nil"/>
            </w:tcBorders>
            <w:vAlign w:val="center"/>
          </w:tcPr>
          <w:p w14:paraId="17BC64B8" w14:textId="77777777" w:rsidR="005061E6" w:rsidRPr="009D258A" w:rsidRDefault="005061E6">
            <w:pPr>
              <w:ind w:right="-29"/>
              <w:jc w:val="center"/>
              <w:rPr>
                <w:noProof/>
                <w:sz w:val="18"/>
                <w:szCs w:val="18"/>
              </w:rPr>
            </w:pPr>
            <w:r w:rsidRPr="009D258A">
              <w:rPr>
                <w:b/>
                <w:noProof/>
                <w:sz w:val="18"/>
              </w:rPr>
              <w:t>YHTEENSÄ</w:t>
            </w:r>
          </w:p>
        </w:tc>
      </w:tr>
      <w:tr w:rsidR="005061E6" w:rsidRPr="009D258A" w14:paraId="34585D02" w14:textId="77777777">
        <w:trPr>
          <w:jc w:val="center"/>
        </w:trPr>
        <w:tc>
          <w:tcPr>
            <w:tcW w:w="1423" w:type="dxa"/>
            <w:vMerge/>
            <w:vAlign w:val="center"/>
          </w:tcPr>
          <w:p w14:paraId="49839A73" w14:textId="77777777" w:rsidR="005061E6" w:rsidRPr="009D258A" w:rsidRDefault="005061E6">
            <w:pPr>
              <w:ind w:right="-29"/>
              <w:jc w:val="center"/>
              <w:rPr>
                <w:noProof/>
                <w:sz w:val="18"/>
                <w:szCs w:val="18"/>
              </w:rPr>
            </w:pPr>
          </w:p>
        </w:tc>
        <w:tc>
          <w:tcPr>
            <w:tcW w:w="12185" w:type="dxa"/>
            <w:gridSpan w:val="19"/>
            <w:vAlign w:val="center"/>
          </w:tcPr>
          <w:p w14:paraId="58C90F2F" w14:textId="77777777" w:rsidR="005061E6" w:rsidRPr="009D258A" w:rsidRDefault="005061E6">
            <w:pPr>
              <w:spacing w:before="60" w:after="60"/>
              <w:ind w:right="-29"/>
              <w:jc w:val="center"/>
              <w:rPr>
                <w:noProof/>
                <w:sz w:val="18"/>
                <w:szCs w:val="18"/>
              </w:rPr>
            </w:pPr>
            <w:r w:rsidRPr="009D258A">
              <w:rPr>
                <w:b/>
                <w:noProof/>
                <w:sz w:val="18"/>
              </w:rPr>
              <w:t>TUOTOKSET</w:t>
            </w:r>
          </w:p>
        </w:tc>
      </w:tr>
      <w:tr w:rsidR="005061E6" w:rsidRPr="009D258A" w14:paraId="4E92F7C0" w14:textId="77777777">
        <w:trPr>
          <w:cantSplit/>
          <w:trHeight w:val="1134"/>
          <w:jc w:val="center"/>
        </w:trPr>
        <w:tc>
          <w:tcPr>
            <w:tcW w:w="1423" w:type="dxa"/>
            <w:vMerge/>
            <w:vAlign w:val="center"/>
          </w:tcPr>
          <w:p w14:paraId="3CF4F4E3" w14:textId="77777777" w:rsidR="005061E6" w:rsidRPr="009D258A" w:rsidRDefault="005061E6">
            <w:pPr>
              <w:rPr>
                <w:noProof/>
                <w:sz w:val="18"/>
                <w:szCs w:val="18"/>
              </w:rPr>
            </w:pPr>
          </w:p>
        </w:tc>
        <w:tc>
          <w:tcPr>
            <w:tcW w:w="720" w:type="dxa"/>
            <w:vAlign w:val="center"/>
          </w:tcPr>
          <w:p w14:paraId="1C63762B" w14:textId="77777777" w:rsidR="005061E6" w:rsidRPr="009D258A" w:rsidRDefault="005061E6">
            <w:pPr>
              <w:jc w:val="center"/>
              <w:rPr>
                <w:noProof/>
                <w:sz w:val="18"/>
                <w:szCs w:val="18"/>
              </w:rPr>
            </w:pPr>
            <w:r w:rsidRPr="009D258A">
              <w:rPr>
                <w:noProof/>
                <w:sz w:val="18"/>
              </w:rPr>
              <w:t>Tyyppi</w:t>
            </w:r>
            <w:r w:rsidRPr="009D258A">
              <w:rPr>
                <w:rStyle w:val="FootnoteReference"/>
                <w:noProof/>
                <w:sz w:val="18"/>
              </w:rPr>
              <w:footnoteReference w:id="39"/>
            </w:r>
          </w:p>
          <w:p w14:paraId="2EB910F6" w14:textId="77777777" w:rsidR="005061E6" w:rsidRPr="009D258A" w:rsidRDefault="005061E6">
            <w:pPr>
              <w:spacing w:before="0" w:after="0"/>
              <w:jc w:val="center"/>
              <w:rPr>
                <w:noProof/>
                <w:sz w:val="18"/>
                <w:szCs w:val="18"/>
              </w:rPr>
            </w:pPr>
          </w:p>
        </w:tc>
        <w:tc>
          <w:tcPr>
            <w:tcW w:w="701" w:type="dxa"/>
            <w:vAlign w:val="center"/>
          </w:tcPr>
          <w:p w14:paraId="0CCC6FD5" w14:textId="77777777" w:rsidR="005061E6" w:rsidRPr="009D258A" w:rsidRDefault="005061E6">
            <w:pPr>
              <w:jc w:val="center"/>
              <w:rPr>
                <w:noProof/>
                <w:sz w:val="18"/>
                <w:szCs w:val="18"/>
              </w:rPr>
            </w:pPr>
            <w:r w:rsidRPr="009D258A">
              <w:rPr>
                <w:noProof/>
                <w:sz w:val="18"/>
              </w:rPr>
              <w:t>Keskimäär. kustannukset</w:t>
            </w:r>
          </w:p>
        </w:tc>
        <w:tc>
          <w:tcPr>
            <w:tcW w:w="504" w:type="dxa"/>
            <w:tcBorders>
              <w:left w:val="nil"/>
              <w:right w:val="dashSmallGap" w:sz="4" w:space="0" w:color="auto"/>
            </w:tcBorders>
            <w:textDirection w:val="btLr"/>
            <w:vAlign w:val="center"/>
          </w:tcPr>
          <w:p w14:paraId="19EAF647" w14:textId="77777777" w:rsidR="005061E6" w:rsidRPr="009D258A" w:rsidRDefault="005061E6">
            <w:pPr>
              <w:ind w:left="113" w:right="113"/>
              <w:jc w:val="center"/>
              <w:rPr>
                <w:noProof/>
                <w:sz w:val="18"/>
                <w:szCs w:val="18"/>
              </w:rPr>
            </w:pPr>
            <w:r w:rsidRPr="009D258A">
              <w:rPr>
                <w:noProof/>
                <w:sz w:val="18"/>
              </w:rPr>
              <w:t>Lkm</w:t>
            </w:r>
          </w:p>
        </w:tc>
        <w:tc>
          <w:tcPr>
            <w:tcW w:w="720" w:type="dxa"/>
            <w:tcBorders>
              <w:left w:val="dashSmallGap" w:sz="4" w:space="0" w:color="auto"/>
            </w:tcBorders>
            <w:vAlign w:val="center"/>
          </w:tcPr>
          <w:p w14:paraId="65F6C899" w14:textId="77777777" w:rsidR="005061E6" w:rsidRPr="009D258A" w:rsidRDefault="005061E6">
            <w:pPr>
              <w:jc w:val="center"/>
              <w:rPr>
                <w:noProof/>
                <w:sz w:val="18"/>
                <w:szCs w:val="18"/>
              </w:rPr>
            </w:pPr>
            <w:r w:rsidRPr="009D258A">
              <w:rPr>
                <w:noProof/>
                <w:sz w:val="18"/>
              </w:rPr>
              <w:t>Kustannus</w:t>
            </w:r>
          </w:p>
        </w:tc>
        <w:tc>
          <w:tcPr>
            <w:tcW w:w="540" w:type="dxa"/>
            <w:tcBorders>
              <w:right w:val="dashSmallGap" w:sz="4" w:space="0" w:color="auto"/>
            </w:tcBorders>
            <w:textDirection w:val="btLr"/>
            <w:vAlign w:val="center"/>
          </w:tcPr>
          <w:p w14:paraId="477A885F" w14:textId="77777777" w:rsidR="005061E6" w:rsidRPr="009D258A" w:rsidRDefault="005061E6">
            <w:pPr>
              <w:ind w:left="113" w:right="113"/>
              <w:jc w:val="center"/>
              <w:rPr>
                <w:noProof/>
                <w:sz w:val="18"/>
                <w:szCs w:val="18"/>
              </w:rPr>
            </w:pPr>
            <w:r w:rsidRPr="009D258A">
              <w:rPr>
                <w:noProof/>
                <w:sz w:val="18"/>
              </w:rPr>
              <w:t>Lkm</w:t>
            </w:r>
          </w:p>
        </w:tc>
        <w:tc>
          <w:tcPr>
            <w:tcW w:w="720" w:type="dxa"/>
            <w:tcBorders>
              <w:left w:val="dashSmallGap" w:sz="4" w:space="0" w:color="auto"/>
            </w:tcBorders>
            <w:vAlign w:val="center"/>
          </w:tcPr>
          <w:p w14:paraId="42CE88D7" w14:textId="77777777" w:rsidR="005061E6" w:rsidRPr="009D258A" w:rsidRDefault="005061E6">
            <w:pPr>
              <w:jc w:val="center"/>
              <w:rPr>
                <w:noProof/>
                <w:sz w:val="18"/>
                <w:szCs w:val="18"/>
              </w:rPr>
            </w:pPr>
            <w:r w:rsidRPr="009D258A">
              <w:rPr>
                <w:noProof/>
                <w:sz w:val="18"/>
              </w:rPr>
              <w:t>Kustannus</w:t>
            </w:r>
          </w:p>
        </w:tc>
        <w:tc>
          <w:tcPr>
            <w:tcW w:w="720" w:type="dxa"/>
            <w:tcBorders>
              <w:right w:val="dashSmallGap" w:sz="4" w:space="0" w:color="auto"/>
            </w:tcBorders>
            <w:textDirection w:val="btLr"/>
            <w:vAlign w:val="center"/>
          </w:tcPr>
          <w:p w14:paraId="08648244" w14:textId="77777777" w:rsidR="005061E6" w:rsidRPr="009D258A" w:rsidRDefault="005061E6">
            <w:pPr>
              <w:ind w:left="113" w:right="113"/>
              <w:jc w:val="center"/>
              <w:rPr>
                <w:noProof/>
                <w:sz w:val="18"/>
                <w:szCs w:val="18"/>
              </w:rPr>
            </w:pPr>
            <w:r w:rsidRPr="009D258A">
              <w:rPr>
                <w:noProof/>
                <w:sz w:val="18"/>
              </w:rPr>
              <w:t>Lkm</w:t>
            </w:r>
          </w:p>
        </w:tc>
        <w:tc>
          <w:tcPr>
            <w:tcW w:w="720" w:type="dxa"/>
            <w:tcBorders>
              <w:left w:val="dashSmallGap" w:sz="4" w:space="0" w:color="auto"/>
            </w:tcBorders>
            <w:vAlign w:val="center"/>
          </w:tcPr>
          <w:p w14:paraId="12E61C3C" w14:textId="77777777" w:rsidR="005061E6" w:rsidRPr="009D258A" w:rsidRDefault="005061E6">
            <w:pPr>
              <w:jc w:val="center"/>
              <w:rPr>
                <w:noProof/>
                <w:sz w:val="18"/>
                <w:szCs w:val="18"/>
              </w:rPr>
            </w:pPr>
            <w:r w:rsidRPr="009D258A">
              <w:rPr>
                <w:noProof/>
                <w:sz w:val="18"/>
              </w:rPr>
              <w:t>Kustannus</w:t>
            </w:r>
          </w:p>
        </w:tc>
        <w:tc>
          <w:tcPr>
            <w:tcW w:w="900" w:type="dxa"/>
            <w:tcBorders>
              <w:right w:val="dashSmallGap" w:sz="4" w:space="0" w:color="auto"/>
            </w:tcBorders>
            <w:textDirection w:val="btLr"/>
            <w:vAlign w:val="center"/>
          </w:tcPr>
          <w:p w14:paraId="20D5DFBF" w14:textId="77777777" w:rsidR="005061E6" w:rsidRPr="009D258A" w:rsidRDefault="005061E6">
            <w:pPr>
              <w:ind w:left="113" w:right="113"/>
              <w:jc w:val="center"/>
              <w:rPr>
                <w:noProof/>
                <w:sz w:val="18"/>
                <w:szCs w:val="18"/>
              </w:rPr>
            </w:pPr>
            <w:r w:rsidRPr="009D258A">
              <w:rPr>
                <w:noProof/>
                <w:sz w:val="18"/>
              </w:rPr>
              <w:t>Lkm</w:t>
            </w:r>
          </w:p>
        </w:tc>
        <w:tc>
          <w:tcPr>
            <w:tcW w:w="720" w:type="dxa"/>
            <w:gridSpan w:val="2"/>
            <w:tcBorders>
              <w:left w:val="dashSmallGap" w:sz="4" w:space="0" w:color="auto"/>
            </w:tcBorders>
            <w:vAlign w:val="center"/>
          </w:tcPr>
          <w:p w14:paraId="47F573D5" w14:textId="77777777" w:rsidR="005061E6" w:rsidRPr="009D258A" w:rsidRDefault="005061E6">
            <w:pPr>
              <w:jc w:val="center"/>
              <w:rPr>
                <w:noProof/>
                <w:sz w:val="18"/>
                <w:szCs w:val="18"/>
              </w:rPr>
            </w:pPr>
            <w:r w:rsidRPr="009D258A">
              <w:rPr>
                <w:noProof/>
                <w:sz w:val="18"/>
              </w:rPr>
              <w:t>Kustannus</w:t>
            </w:r>
          </w:p>
        </w:tc>
        <w:tc>
          <w:tcPr>
            <w:tcW w:w="540" w:type="dxa"/>
            <w:tcBorders>
              <w:right w:val="dashSmallGap" w:sz="4" w:space="0" w:color="auto"/>
            </w:tcBorders>
            <w:textDirection w:val="btLr"/>
            <w:vAlign w:val="center"/>
          </w:tcPr>
          <w:p w14:paraId="2E699D3A" w14:textId="77777777" w:rsidR="005061E6" w:rsidRPr="009D258A" w:rsidRDefault="005061E6">
            <w:pPr>
              <w:ind w:left="113" w:right="113"/>
              <w:jc w:val="center"/>
              <w:rPr>
                <w:noProof/>
                <w:sz w:val="18"/>
                <w:szCs w:val="18"/>
              </w:rPr>
            </w:pPr>
            <w:r w:rsidRPr="009D258A">
              <w:rPr>
                <w:noProof/>
                <w:sz w:val="18"/>
              </w:rPr>
              <w:t>Lkm</w:t>
            </w:r>
          </w:p>
        </w:tc>
        <w:tc>
          <w:tcPr>
            <w:tcW w:w="648" w:type="dxa"/>
            <w:tcBorders>
              <w:left w:val="dashSmallGap" w:sz="4" w:space="0" w:color="auto"/>
            </w:tcBorders>
            <w:vAlign w:val="center"/>
          </w:tcPr>
          <w:p w14:paraId="24C194A9" w14:textId="77777777" w:rsidR="005061E6" w:rsidRPr="009D258A" w:rsidRDefault="005061E6">
            <w:pPr>
              <w:jc w:val="center"/>
              <w:rPr>
                <w:noProof/>
                <w:sz w:val="18"/>
                <w:szCs w:val="18"/>
              </w:rPr>
            </w:pPr>
            <w:r w:rsidRPr="009D258A">
              <w:rPr>
                <w:noProof/>
                <w:sz w:val="18"/>
              </w:rPr>
              <w:t>Kustannus</w:t>
            </w:r>
          </w:p>
        </w:tc>
        <w:tc>
          <w:tcPr>
            <w:tcW w:w="432" w:type="dxa"/>
            <w:tcBorders>
              <w:right w:val="dashSmallGap" w:sz="4" w:space="0" w:color="auto"/>
            </w:tcBorders>
            <w:textDirection w:val="btLr"/>
            <w:vAlign w:val="center"/>
          </w:tcPr>
          <w:p w14:paraId="3170E206" w14:textId="77777777" w:rsidR="005061E6" w:rsidRPr="009D258A" w:rsidRDefault="005061E6">
            <w:pPr>
              <w:ind w:left="113" w:right="113"/>
              <w:jc w:val="center"/>
              <w:rPr>
                <w:noProof/>
                <w:sz w:val="18"/>
                <w:szCs w:val="18"/>
              </w:rPr>
            </w:pPr>
            <w:r w:rsidRPr="009D258A">
              <w:rPr>
                <w:noProof/>
                <w:sz w:val="18"/>
              </w:rPr>
              <w:t>Lkm</w:t>
            </w:r>
          </w:p>
        </w:tc>
        <w:tc>
          <w:tcPr>
            <w:tcW w:w="720" w:type="dxa"/>
            <w:tcBorders>
              <w:left w:val="dashSmallGap" w:sz="4" w:space="0" w:color="auto"/>
            </w:tcBorders>
            <w:vAlign w:val="center"/>
          </w:tcPr>
          <w:p w14:paraId="529BD6B9" w14:textId="77777777" w:rsidR="005061E6" w:rsidRPr="009D258A" w:rsidRDefault="005061E6">
            <w:pPr>
              <w:jc w:val="center"/>
              <w:rPr>
                <w:noProof/>
                <w:sz w:val="18"/>
                <w:szCs w:val="18"/>
              </w:rPr>
            </w:pPr>
            <w:r w:rsidRPr="009D258A">
              <w:rPr>
                <w:noProof/>
                <w:sz w:val="18"/>
              </w:rPr>
              <w:t>Kustannus</w:t>
            </w:r>
          </w:p>
        </w:tc>
        <w:tc>
          <w:tcPr>
            <w:tcW w:w="540" w:type="dxa"/>
            <w:tcBorders>
              <w:right w:val="dashSmallGap" w:sz="4" w:space="0" w:color="auto"/>
            </w:tcBorders>
            <w:textDirection w:val="btLr"/>
            <w:vAlign w:val="center"/>
          </w:tcPr>
          <w:p w14:paraId="3F89492E" w14:textId="77777777" w:rsidR="005061E6" w:rsidRPr="009D258A" w:rsidRDefault="005061E6">
            <w:pPr>
              <w:ind w:left="113" w:right="113"/>
              <w:jc w:val="center"/>
              <w:rPr>
                <w:noProof/>
                <w:sz w:val="18"/>
                <w:szCs w:val="18"/>
              </w:rPr>
            </w:pPr>
            <w:r w:rsidRPr="009D258A">
              <w:rPr>
                <w:noProof/>
                <w:sz w:val="18"/>
              </w:rPr>
              <w:t>Lkm</w:t>
            </w:r>
          </w:p>
        </w:tc>
        <w:tc>
          <w:tcPr>
            <w:tcW w:w="720" w:type="dxa"/>
            <w:tcBorders>
              <w:left w:val="dashSmallGap" w:sz="4" w:space="0" w:color="auto"/>
            </w:tcBorders>
            <w:vAlign w:val="center"/>
          </w:tcPr>
          <w:p w14:paraId="10C9389D" w14:textId="77777777" w:rsidR="005061E6" w:rsidRPr="009D258A" w:rsidRDefault="005061E6">
            <w:pPr>
              <w:jc w:val="center"/>
              <w:rPr>
                <w:noProof/>
                <w:sz w:val="18"/>
                <w:szCs w:val="18"/>
              </w:rPr>
            </w:pPr>
            <w:r w:rsidRPr="009D258A">
              <w:rPr>
                <w:noProof/>
                <w:sz w:val="18"/>
              </w:rPr>
              <w:t>Kustannus</w:t>
            </w:r>
          </w:p>
        </w:tc>
        <w:tc>
          <w:tcPr>
            <w:tcW w:w="720" w:type="dxa"/>
            <w:tcBorders>
              <w:right w:val="dashSmallGap" w:sz="4" w:space="0" w:color="auto"/>
            </w:tcBorders>
            <w:vAlign w:val="center"/>
          </w:tcPr>
          <w:p w14:paraId="128D9CC7" w14:textId="77777777" w:rsidR="005061E6" w:rsidRPr="009D258A" w:rsidRDefault="005061E6">
            <w:pPr>
              <w:jc w:val="center"/>
              <w:rPr>
                <w:noProof/>
                <w:sz w:val="18"/>
                <w:szCs w:val="18"/>
              </w:rPr>
            </w:pPr>
            <w:r w:rsidRPr="009D258A">
              <w:rPr>
                <w:noProof/>
                <w:sz w:val="18"/>
              </w:rPr>
              <w:t>Lukumäärä yhteensä</w:t>
            </w:r>
          </w:p>
        </w:tc>
        <w:tc>
          <w:tcPr>
            <w:tcW w:w="900" w:type="dxa"/>
            <w:tcBorders>
              <w:left w:val="dashSmallGap" w:sz="4" w:space="0" w:color="auto"/>
            </w:tcBorders>
            <w:vAlign w:val="center"/>
          </w:tcPr>
          <w:p w14:paraId="5DC44B8B" w14:textId="77777777" w:rsidR="005061E6" w:rsidRPr="009D258A" w:rsidRDefault="005061E6">
            <w:pPr>
              <w:jc w:val="center"/>
              <w:rPr>
                <w:noProof/>
                <w:sz w:val="18"/>
                <w:szCs w:val="18"/>
              </w:rPr>
            </w:pPr>
            <w:r w:rsidRPr="009D258A">
              <w:rPr>
                <w:noProof/>
                <w:sz w:val="18"/>
              </w:rPr>
              <w:t>Kustannukset yhteensä</w:t>
            </w:r>
          </w:p>
        </w:tc>
      </w:tr>
      <w:tr w:rsidR="005061E6" w:rsidRPr="009D258A" w14:paraId="37AAAD36" w14:textId="77777777">
        <w:trPr>
          <w:jc w:val="center"/>
        </w:trPr>
        <w:tc>
          <w:tcPr>
            <w:tcW w:w="2844" w:type="dxa"/>
            <w:gridSpan w:val="3"/>
            <w:vAlign w:val="center"/>
          </w:tcPr>
          <w:p w14:paraId="77375BEF" w14:textId="77777777" w:rsidR="005061E6" w:rsidRPr="009D258A" w:rsidRDefault="005061E6">
            <w:pPr>
              <w:spacing w:before="60" w:after="60"/>
              <w:ind w:right="-29"/>
              <w:jc w:val="center"/>
              <w:rPr>
                <w:noProof/>
                <w:sz w:val="18"/>
                <w:szCs w:val="18"/>
              </w:rPr>
            </w:pPr>
            <w:r w:rsidRPr="009D258A">
              <w:rPr>
                <w:noProof/>
                <w:sz w:val="18"/>
              </w:rPr>
              <w:t>ERITYISTAVOITE 1 …</w:t>
            </w:r>
            <w:r w:rsidRPr="009D258A">
              <w:rPr>
                <w:rStyle w:val="FootnoteReference"/>
                <w:noProof/>
                <w:sz w:val="18"/>
              </w:rPr>
              <w:footnoteReference w:id="40"/>
            </w:r>
          </w:p>
        </w:tc>
        <w:tc>
          <w:tcPr>
            <w:tcW w:w="504" w:type="dxa"/>
            <w:tcBorders>
              <w:top w:val="nil"/>
              <w:left w:val="nil"/>
              <w:bottom w:val="nil"/>
              <w:right w:val="nil"/>
            </w:tcBorders>
          </w:tcPr>
          <w:p w14:paraId="21CEE234" w14:textId="77777777" w:rsidR="005061E6" w:rsidRPr="009D258A" w:rsidRDefault="005061E6">
            <w:pPr>
              <w:spacing w:before="60" w:after="60"/>
              <w:ind w:right="-29"/>
              <w:jc w:val="center"/>
              <w:rPr>
                <w:noProof/>
                <w:sz w:val="18"/>
                <w:szCs w:val="18"/>
              </w:rPr>
            </w:pPr>
          </w:p>
        </w:tc>
        <w:tc>
          <w:tcPr>
            <w:tcW w:w="720" w:type="dxa"/>
            <w:tcBorders>
              <w:top w:val="nil"/>
              <w:left w:val="nil"/>
              <w:bottom w:val="nil"/>
              <w:right w:val="nil"/>
            </w:tcBorders>
          </w:tcPr>
          <w:p w14:paraId="18C89A78" w14:textId="77777777" w:rsidR="005061E6" w:rsidRPr="009D258A" w:rsidRDefault="005061E6">
            <w:pPr>
              <w:spacing w:before="60" w:after="60"/>
              <w:ind w:right="-29"/>
              <w:jc w:val="center"/>
              <w:rPr>
                <w:noProof/>
                <w:sz w:val="18"/>
                <w:szCs w:val="18"/>
              </w:rPr>
            </w:pPr>
          </w:p>
        </w:tc>
        <w:tc>
          <w:tcPr>
            <w:tcW w:w="540" w:type="dxa"/>
            <w:tcBorders>
              <w:top w:val="nil"/>
              <w:left w:val="nil"/>
              <w:bottom w:val="nil"/>
              <w:right w:val="nil"/>
            </w:tcBorders>
          </w:tcPr>
          <w:p w14:paraId="62DA9C33" w14:textId="77777777" w:rsidR="005061E6" w:rsidRPr="009D258A" w:rsidRDefault="005061E6">
            <w:pPr>
              <w:spacing w:before="60" w:after="60"/>
              <w:ind w:right="-29"/>
              <w:jc w:val="center"/>
              <w:rPr>
                <w:noProof/>
                <w:sz w:val="18"/>
                <w:szCs w:val="18"/>
              </w:rPr>
            </w:pPr>
          </w:p>
        </w:tc>
        <w:tc>
          <w:tcPr>
            <w:tcW w:w="720" w:type="dxa"/>
            <w:tcBorders>
              <w:top w:val="nil"/>
              <w:left w:val="nil"/>
              <w:bottom w:val="nil"/>
              <w:right w:val="nil"/>
            </w:tcBorders>
          </w:tcPr>
          <w:p w14:paraId="77A7299D" w14:textId="77777777" w:rsidR="005061E6" w:rsidRPr="009D258A" w:rsidRDefault="005061E6">
            <w:pPr>
              <w:spacing w:before="60" w:after="60"/>
              <w:ind w:right="-29"/>
              <w:jc w:val="center"/>
              <w:rPr>
                <w:noProof/>
                <w:sz w:val="18"/>
                <w:szCs w:val="18"/>
              </w:rPr>
            </w:pPr>
          </w:p>
        </w:tc>
        <w:tc>
          <w:tcPr>
            <w:tcW w:w="720" w:type="dxa"/>
            <w:tcBorders>
              <w:top w:val="nil"/>
              <w:left w:val="nil"/>
              <w:bottom w:val="nil"/>
              <w:right w:val="nil"/>
            </w:tcBorders>
          </w:tcPr>
          <w:p w14:paraId="62F46B1D" w14:textId="77777777" w:rsidR="005061E6" w:rsidRPr="009D258A" w:rsidRDefault="005061E6">
            <w:pPr>
              <w:spacing w:before="60" w:after="60"/>
              <w:ind w:right="-29"/>
              <w:jc w:val="center"/>
              <w:rPr>
                <w:noProof/>
                <w:sz w:val="18"/>
                <w:szCs w:val="18"/>
              </w:rPr>
            </w:pPr>
          </w:p>
        </w:tc>
        <w:tc>
          <w:tcPr>
            <w:tcW w:w="720" w:type="dxa"/>
            <w:tcBorders>
              <w:top w:val="nil"/>
              <w:left w:val="nil"/>
              <w:bottom w:val="nil"/>
              <w:right w:val="nil"/>
            </w:tcBorders>
          </w:tcPr>
          <w:p w14:paraId="55BE13C5" w14:textId="77777777" w:rsidR="005061E6" w:rsidRPr="009D258A" w:rsidRDefault="005061E6">
            <w:pPr>
              <w:spacing w:before="60" w:after="60"/>
              <w:ind w:right="-29"/>
              <w:jc w:val="center"/>
              <w:rPr>
                <w:noProof/>
                <w:sz w:val="18"/>
                <w:szCs w:val="18"/>
              </w:rPr>
            </w:pPr>
          </w:p>
        </w:tc>
        <w:tc>
          <w:tcPr>
            <w:tcW w:w="900" w:type="dxa"/>
            <w:tcBorders>
              <w:top w:val="nil"/>
              <w:left w:val="nil"/>
              <w:bottom w:val="nil"/>
              <w:right w:val="nil"/>
            </w:tcBorders>
          </w:tcPr>
          <w:p w14:paraId="78095D68" w14:textId="77777777" w:rsidR="005061E6" w:rsidRPr="009D258A" w:rsidRDefault="005061E6">
            <w:pPr>
              <w:spacing w:before="60" w:after="60"/>
              <w:ind w:right="-29"/>
              <w:jc w:val="center"/>
              <w:rPr>
                <w:noProof/>
                <w:sz w:val="18"/>
                <w:szCs w:val="18"/>
              </w:rPr>
            </w:pPr>
          </w:p>
        </w:tc>
        <w:tc>
          <w:tcPr>
            <w:tcW w:w="720" w:type="dxa"/>
            <w:gridSpan w:val="2"/>
            <w:tcBorders>
              <w:top w:val="nil"/>
              <w:left w:val="nil"/>
              <w:bottom w:val="nil"/>
              <w:right w:val="nil"/>
            </w:tcBorders>
          </w:tcPr>
          <w:p w14:paraId="1A514DC1" w14:textId="77777777" w:rsidR="005061E6" w:rsidRPr="009D258A" w:rsidRDefault="005061E6">
            <w:pPr>
              <w:spacing w:before="60" w:after="60"/>
              <w:ind w:right="-29"/>
              <w:jc w:val="center"/>
              <w:rPr>
                <w:noProof/>
                <w:sz w:val="18"/>
                <w:szCs w:val="18"/>
              </w:rPr>
            </w:pPr>
          </w:p>
        </w:tc>
        <w:tc>
          <w:tcPr>
            <w:tcW w:w="540" w:type="dxa"/>
            <w:tcBorders>
              <w:top w:val="nil"/>
              <w:left w:val="nil"/>
              <w:bottom w:val="nil"/>
              <w:right w:val="nil"/>
            </w:tcBorders>
          </w:tcPr>
          <w:p w14:paraId="3C20990A" w14:textId="77777777" w:rsidR="005061E6" w:rsidRPr="009D258A" w:rsidRDefault="005061E6">
            <w:pPr>
              <w:spacing w:before="60" w:after="60"/>
              <w:ind w:right="-29"/>
              <w:jc w:val="center"/>
              <w:rPr>
                <w:noProof/>
                <w:sz w:val="18"/>
                <w:szCs w:val="18"/>
              </w:rPr>
            </w:pPr>
          </w:p>
        </w:tc>
        <w:tc>
          <w:tcPr>
            <w:tcW w:w="648" w:type="dxa"/>
            <w:tcBorders>
              <w:top w:val="nil"/>
              <w:left w:val="nil"/>
              <w:bottom w:val="nil"/>
              <w:right w:val="nil"/>
            </w:tcBorders>
          </w:tcPr>
          <w:p w14:paraId="499BE9C0" w14:textId="77777777" w:rsidR="005061E6" w:rsidRPr="009D258A" w:rsidRDefault="005061E6">
            <w:pPr>
              <w:spacing w:before="60" w:after="60"/>
              <w:ind w:right="-29"/>
              <w:jc w:val="center"/>
              <w:rPr>
                <w:noProof/>
                <w:sz w:val="18"/>
                <w:szCs w:val="18"/>
              </w:rPr>
            </w:pPr>
          </w:p>
        </w:tc>
        <w:tc>
          <w:tcPr>
            <w:tcW w:w="432" w:type="dxa"/>
            <w:tcBorders>
              <w:top w:val="nil"/>
              <w:left w:val="nil"/>
              <w:bottom w:val="nil"/>
              <w:right w:val="nil"/>
            </w:tcBorders>
          </w:tcPr>
          <w:p w14:paraId="7D6351C6" w14:textId="77777777" w:rsidR="005061E6" w:rsidRPr="009D258A" w:rsidRDefault="005061E6">
            <w:pPr>
              <w:spacing w:before="60" w:after="60"/>
              <w:ind w:right="-29"/>
              <w:jc w:val="center"/>
              <w:rPr>
                <w:noProof/>
                <w:sz w:val="18"/>
                <w:szCs w:val="18"/>
              </w:rPr>
            </w:pPr>
          </w:p>
        </w:tc>
        <w:tc>
          <w:tcPr>
            <w:tcW w:w="720" w:type="dxa"/>
            <w:tcBorders>
              <w:top w:val="nil"/>
              <w:left w:val="nil"/>
              <w:bottom w:val="nil"/>
              <w:right w:val="nil"/>
            </w:tcBorders>
          </w:tcPr>
          <w:p w14:paraId="66450FC4" w14:textId="77777777" w:rsidR="005061E6" w:rsidRPr="009D258A" w:rsidRDefault="005061E6">
            <w:pPr>
              <w:spacing w:before="60" w:after="60"/>
              <w:ind w:right="-29"/>
              <w:jc w:val="center"/>
              <w:rPr>
                <w:noProof/>
                <w:sz w:val="18"/>
                <w:szCs w:val="18"/>
              </w:rPr>
            </w:pPr>
          </w:p>
        </w:tc>
        <w:tc>
          <w:tcPr>
            <w:tcW w:w="540" w:type="dxa"/>
            <w:tcBorders>
              <w:top w:val="nil"/>
              <w:left w:val="nil"/>
              <w:bottom w:val="nil"/>
              <w:right w:val="nil"/>
            </w:tcBorders>
          </w:tcPr>
          <w:p w14:paraId="027AAF58" w14:textId="77777777" w:rsidR="005061E6" w:rsidRPr="009D258A" w:rsidRDefault="005061E6">
            <w:pPr>
              <w:spacing w:before="60" w:after="60"/>
              <w:ind w:right="-29"/>
              <w:jc w:val="center"/>
              <w:rPr>
                <w:noProof/>
                <w:sz w:val="18"/>
                <w:szCs w:val="18"/>
              </w:rPr>
            </w:pPr>
          </w:p>
        </w:tc>
        <w:tc>
          <w:tcPr>
            <w:tcW w:w="720" w:type="dxa"/>
            <w:tcBorders>
              <w:top w:val="nil"/>
              <w:left w:val="nil"/>
              <w:bottom w:val="nil"/>
              <w:right w:val="nil"/>
            </w:tcBorders>
          </w:tcPr>
          <w:p w14:paraId="37A56DFA" w14:textId="77777777" w:rsidR="005061E6" w:rsidRPr="009D258A" w:rsidRDefault="005061E6">
            <w:pPr>
              <w:spacing w:before="60" w:after="60"/>
              <w:ind w:right="-29"/>
              <w:jc w:val="center"/>
              <w:rPr>
                <w:noProof/>
                <w:sz w:val="18"/>
                <w:szCs w:val="18"/>
              </w:rPr>
            </w:pPr>
          </w:p>
        </w:tc>
        <w:tc>
          <w:tcPr>
            <w:tcW w:w="720" w:type="dxa"/>
            <w:tcBorders>
              <w:top w:val="nil"/>
              <w:left w:val="nil"/>
              <w:bottom w:val="nil"/>
              <w:right w:val="nil"/>
            </w:tcBorders>
          </w:tcPr>
          <w:p w14:paraId="6078F3B3" w14:textId="77777777" w:rsidR="005061E6" w:rsidRPr="009D258A" w:rsidRDefault="005061E6">
            <w:pPr>
              <w:spacing w:before="60" w:after="60"/>
              <w:ind w:right="-29"/>
              <w:jc w:val="center"/>
              <w:rPr>
                <w:noProof/>
                <w:sz w:val="18"/>
                <w:szCs w:val="18"/>
              </w:rPr>
            </w:pPr>
          </w:p>
        </w:tc>
        <w:tc>
          <w:tcPr>
            <w:tcW w:w="900" w:type="dxa"/>
            <w:tcBorders>
              <w:top w:val="nil"/>
              <w:left w:val="nil"/>
              <w:bottom w:val="nil"/>
              <w:right w:val="nil"/>
            </w:tcBorders>
          </w:tcPr>
          <w:p w14:paraId="1B2A0FBE" w14:textId="77777777" w:rsidR="005061E6" w:rsidRPr="009D258A" w:rsidRDefault="005061E6">
            <w:pPr>
              <w:spacing w:before="60" w:after="60"/>
              <w:ind w:right="-29"/>
              <w:jc w:val="center"/>
              <w:rPr>
                <w:noProof/>
                <w:sz w:val="18"/>
                <w:szCs w:val="18"/>
              </w:rPr>
            </w:pPr>
          </w:p>
        </w:tc>
      </w:tr>
      <w:tr w:rsidR="005061E6" w:rsidRPr="009D258A" w14:paraId="26DC5744" w14:textId="77777777">
        <w:trPr>
          <w:trHeight w:hRule="exact" w:val="369"/>
          <w:jc w:val="center"/>
        </w:trPr>
        <w:tc>
          <w:tcPr>
            <w:tcW w:w="1423" w:type="dxa"/>
          </w:tcPr>
          <w:p w14:paraId="29C3CB82" w14:textId="77777777" w:rsidR="005061E6" w:rsidRPr="009D258A" w:rsidRDefault="005061E6">
            <w:pPr>
              <w:ind w:right="-29"/>
              <w:jc w:val="center"/>
              <w:rPr>
                <w:noProof/>
                <w:sz w:val="18"/>
                <w:szCs w:val="18"/>
              </w:rPr>
            </w:pPr>
            <w:r w:rsidRPr="009D258A">
              <w:rPr>
                <w:noProof/>
                <w:sz w:val="18"/>
              </w:rPr>
              <w:t>– Tuotos</w:t>
            </w:r>
          </w:p>
        </w:tc>
        <w:tc>
          <w:tcPr>
            <w:tcW w:w="720" w:type="dxa"/>
          </w:tcPr>
          <w:p w14:paraId="5762FA5D" w14:textId="77777777" w:rsidR="005061E6" w:rsidRPr="009D258A" w:rsidRDefault="005061E6">
            <w:pPr>
              <w:ind w:right="-29"/>
              <w:jc w:val="center"/>
              <w:rPr>
                <w:noProof/>
                <w:sz w:val="18"/>
                <w:szCs w:val="18"/>
              </w:rPr>
            </w:pPr>
          </w:p>
        </w:tc>
        <w:tc>
          <w:tcPr>
            <w:tcW w:w="701" w:type="dxa"/>
          </w:tcPr>
          <w:p w14:paraId="0B2BAE36" w14:textId="77777777" w:rsidR="005061E6" w:rsidRPr="009D258A" w:rsidRDefault="005061E6">
            <w:pPr>
              <w:ind w:right="-29"/>
              <w:jc w:val="center"/>
              <w:rPr>
                <w:noProof/>
                <w:sz w:val="18"/>
                <w:szCs w:val="18"/>
              </w:rPr>
            </w:pPr>
          </w:p>
        </w:tc>
        <w:tc>
          <w:tcPr>
            <w:tcW w:w="504" w:type="dxa"/>
            <w:tcBorders>
              <w:right w:val="dashSmallGap" w:sz="4" w:space="0" w:color="auto"/>
            </w:tcBorders>
          </w:tcPr>
          <w:p w14:paraId="25C6FABA" w14:textId="77777777" w:rsidR="005061E6" w:rsidRPr="009D258A" w:rsidRDefault="005061E6">
            <w:pPr>
              <w:ind w:right="-29"/>
              <w:jc w:val="center"/>
              <w:rPr>
                <w:noProof/>
                <w:sz w:val="18"/>
                <w:szCs w:val="18"/>
              </w:rPr>
            </w:pPr>
          </w:p>
        </w:tc>
        <w:tc>
          <w:tcPr>
            <w:tcW w:w="720" w:type="dxa"/>
            <w:tcBorders>
              <w:left w:val="dashSmallGap" w:sz="4" w:space="0" w:color="auto"/>
            </w:tcBorders>
          </w:tcPr>
          <w:p w14:paraId="5D8D7262" w14:textId="77777777" w:rsidR="005061E6" w:rsidRPr="009D258A" w:rsidRDefault="005061E6">
            <w:pPr>
              <w:ind w:right="-29"/>
              <w:jc w:val="center"/>
              <w:rPr>
                <w:noProof/>
                <w:sz w:val="18"/>
                <w:szCs w:val="18"/>
              </w:rPr>
            </w:pPr>
          </w:p>
        </w:tc>
        <w:tc>
          <w:tcPr>
            <w:tcW w:w="540" w:type="dxa"/>
            <w:tcBorders>
              <w:right w:val="dashSmallGap" w:sz="4" w:space="0" w:color="auto"/>
            </w:tcBorders>
          </w:tcPr>
          <w:p w14:paraId="1669F804" w14:textId="77777777" w:rsidR="005061E6" w:rsidRPr="009D258A" w:rsidRDefault="005061E6">
            <w:pPr>
              <w:ind w:right="-29"/>
              <w:jc w:val="center"/>
              <w:rPr>
                <w:noProof/>
                <w:sz w:val="18"/>
                <w:szCs w:val="18"/>
              </w:rPr>
            </w:pPr>
          </w:p>
        </w:tc>
        <w:tc>
          <w:tcPr>
            <w:tcW w:w="720" w:type="dxa"/>
            <w:tcBorders>
              <w:left w:val="dashSmallGap" w:sz="4" w:space="0" w:color="auto"/>
            </w:tcBorders>
          </w:tcPr>
          <w:p w14:paraId="7A5C5FD5" w14:textId="77777777" w:rsidR="005061E6" w:rsidRPr="009D258A" w:rsidRDefault="005061E6">
            <w:pPr>
              <w:ind w:right="-29"/>
              <w:jc w:val="center"/>
              <w:rPr>
                <w:noProof/>
                <w:sz w:val="18"/>
                <w:szCs w:val="18"/>
              </w:rPr>
            </w:pPr>
          </w:p>
        </w:tc>
        <w:tc>
          <w:tcPr>
            <w:tcW w:w="720" w:type="dxa"/>
            <w:tcBorders>
              <w:right w:val="dashSmallGap" w:sz="4" w:space="0" w:color="auto"/>
            </w:tcBorders>
          </w:tcPr>
          <w:p w14:paraId="44D558ED" w14:textId="77777777" w:rsidR="005061E6" w:rsidRPr="009D258A" w:rsidRDefault="005061E6">
            <w:pPr>
              <w:ind w:right="-29"/>
              <w:jc w:val="center"/>
              <w:rPr>
                <w:noProof/>
                <w:sz w:val="18"/>
                <w:szCs w:val="18"/>
              </w:rPr>
            </w:pPr>
          </w:p>
        </w:tc>
        <w:tc>
          <w:tcPr>
            <w:tcW w:w="720" w:type="dxa"/>
            <w:tcBorders>
              <w:left w:val="dashSmallGap" w:sz="4" w:space="0" w:color="auto"/>
            </w:tcBorders>
          </w:tcPr>
          <w:p w14:paraId="47C16153" w14:textId="77777777" w:rsidR="005061E6" w:rsidRPr="009D258A" w:rsidRDefault="005061E6">
            <w:pPr>
              <w:ind w:right="-29"/>
              <w:jc w:val="center"/>
              <w:rPr>
                <w:noProof/>
                <w:sz w:val="18"/>
                <w:szCs w:val="18"/>
              </w:rPr>
            </w:pPr>
          </w:p>
        </w:tc>
        <w:tc>
          <w:tcPr>
            <w:tcW w:w="900" w:type="dxa"/>
            <w:tcBorders>
              <w:right w:val="dashSmallGap" w:sz="4" w:space="0" w:color="auto"/>
            </w:tcBorders>
          </w:tcPr>
          <w:p w14:paraId="60BF9633" w14:textId="77777777" w:rsidR="005061E6" w:rsidRPr="009D258A" w:rsidRDefault="005061E6">
            <w:pPr>
              <w:ind w:right="-29"/>
              <w:jc w:val="center"/>
              <w:rPr>
                <w:noProof/>
                <w:sz w:val="18"/>
                <w:szCs w:val="18"/>
              </w:rPr>
            </w:pPr>
          </w:p>
        </w:tc>
        <w:tc>
          <w:tcPr>
            <w:tcW w:w="720" w:type="dxa"/>
            <w:gridSpan w:val="2"/>
            <w:tcBorders>
              <w:left w:val="dashSmallGap" w:sz="4" w:space="0" w:color="auto"/>
            </w:tcBorders>
          </w:tcPr>
          <w:p w14:paraId="30F215B2" w14:textId="77777777" w:rsidR="005061E6" w:rsidRPr="009D258A" w:rsidRDefault="005061E6">
            <w:pPr>
              <w:ind w:right="-29"/>
              <w:jc w:val="center"/>
              <w:rPr>
                <w:noProof/>
                <w:sz w:val="18"/>
                <w:szCs w:val="18"/>
              </w:rPr>
            </w:pPr>
          </w:p>
        </w:tc>
        <w:tc>
          <w:tcPr>
            <w:tcW w:w="540" w:type="dxa"/>
            <w:tcBorders>
              <w:right w:val="dashSmallGap" w:sz="4" w:space="0" w:color="auto"/>
            </w:tcBorders>
          </w:tcPr>
          <w:p w14:paraId="5237081B" w14:textId="77777777" w:rsidR="005061E6" w:rsidRPr="009D258A" w:rsidRDefault="005061E6">
            <w:pPr>
              <w:ind w:right="-29"/>
              <w:jc w:val="center"/>
              <w:rPr>
                <w:noProof/>
                <w:sz w:val="18"/>
                <w:szCs w:val="18"/>
              </w:rPr>
            </w:pPr>
          </w:p>
        </w:tc>
        <w:tc>
          <w:tcPr>
            <w:tcW w:w="648" w:type="dxa"/>
            <w:tcBorders>
              <w:left w:val="dashSmallGap" w:sz="4" w:space="0" w:color="auto"/>
            </w:tcBorders>
          </w:tcPr>
          <w:p w14:paraId="243EE7BA" w14:textId="77777777" w:rsidR="005061E6" w:rsidRPr="009D258A" w:rsidRDefault="005061E6">
            <w:pPr>
              <w:ind w:right="-29"/>
              <w:jc w:val="center"/>
              <w:rPr>
                <w:noProof/>
                <w:sz w:val="18"/>
                <w:szCs w:val="18"/>
              </w:rPr>
            </w:pPr>
          </w:p>
        </w:tc>
        <w:tc>
          <w:tcPr>
            <w:tcW w:w="432" w:type="dxa"/>
            <w:tcBorders>
              <w:right w:val="dashSmallGap" w:sz="4" w:space="0" w:color="auto"/>
            </w:tcBorders>
          </w:tcPr>
          <w:p w14:paraId="1C4C7DF9" w14:textId="77777777" w:rsidR="005061E6" w:rsidRPr="009D258A" w:rsidRDefault="005061E6">
            <w:pPr>
              <w:ind w:right="-29"/>
              <w:jc w:val="center"/>
              <w:rPr>
                <w:noProof/>
                <w:sz w:val="18"/>
                <w:szCs w:val="18"/>
              </w:rPr>
            </w:pPr>
          </w:p>
        </w:tc>
        <w:tc>
          <w:tcPr>
            <w:tcW w:w="720" w:type="dxa"/>
            <w:tcBorders>
              <w:left w:val="dashSmallGap" w:sz="4" w:space="0" w:color="auto"/>
            </w:tcBorders>
          </w:tcPr>
          <w:p w14:paraId="3D898429" w14:textId="77777777" w:rsidR="005061E6" w:rsidRPr="009D258A" w:rsidRDefault="005061E6">
            <w:pPr>
              <w:ind w:right="-29"/>
              <w:jc w:val="center"/>
              <w:rPr>
                <w:noProof/>
                <w:sz w:val="18"/>
                <w:szCs w:val="18"/>
              </w:rPr>
            </w:pPr>
          </w:p>
        </w:tc>
        <w:tc>
          <w:tcPr>
            <w:tcW w:w="540" w:type="dxa"/>
            <w:tcBorders>
              <w:right w:val="dashSmallGap" w:sz="4" w:space="0" w:color="auto"/>
            </w:tcBorders>
          </w:tcPr>
          <w:p w14:paraId="5F9FF667" w14:textId="77777777" w:rsidR="005061E6" w:rsidRPr="009D258A" w:rsidRDefault="005061E6">
            <w:pPr>
              <w:ind w:right="-29"/>
              <w:jc w:val="center"/>
              <w:rPr>
                <w:noProof/>
                <w:sz w:val="18"/>
                <w:szCs w:val="18"/>
              </w:rPr>
            </w:pPr>
          </w:p>
        </w:tc>
        <w:tc>
          <w:tcPr>
            <w:tcW w:w="720" w:type="dxa"/>
            <w:tcBorders>
              <w:left w:val="dashSmallGap" w:sz="4" w:space="0" w:color="auto"/>
            </w:tcBorders>
          </w:tcPr>
          <w:p w14:paraId="16BCC1A2" w14:textId="77777777" w:rsidR="005061E6" w:rsidRPr="009D258A" w:rsidRDefault="005061E6">
            <w:pPr>
              <w:ind w:right="-29"/>
              <w:jc w:val="center"/>
              <w:rPr>
                <w:noProof/>
                <w:sz w:val="18"/>
                <w:szCs w:val="18"/>
              </w:rPr>
            </w:pPr>
          </w:p>
        </w:tc>
        <w:tc>
          <w:tcPr>
            <w:tcW w:w="720" w:type="dxa"/>
          </w:tcPr>
          <w:p w14:paraId="625D3320" w14:textId="77777777" w:rsidR="005061E6" w:rsidRPr="009D258A" w:rsidRDefault="005061E6">
            <w:pPr>
              <w:ind w:right="-29"/>
              <w:jc w:val="center"/>
              <w:rPr>
                <w:noProof/>
                <w:sz w:val="18"/>
                <w:szCs w:val="18"/>
              </w:rPr>
            </w:pPr>
          </w:p>
        </w:tc>
        <w:tc>
          <w:tcPr>
            <w:tcW w:w="900" w:type="dxa"/>
          </w:tcPr>
          <w:p w14:paraId="2C7F3336" w14:textId="77777777" w:rsidR="005061E6" w:rsidRPr="009D258A" w:rsidRDefault="005061E6">
            <w:pPr>
              <w:ind w:right="-29"/>
              <w:jc w:val="center"/>
              <w:rPr>
                <w:noProof/>
                <w:sz w:val="18"/>
                <w:szCs w:val="18"/>
              </w:rPr>
            </w:pPr>
          </w:p>
        </w:tc>
      </w:tr>
      <w:tr w:rsidR="005061E6" w:rsidRPr="009D258A" w14:paraId="09CCB9AB" w14:textId="77777777">
        <w:trPr>
          <w:trHeight w:hRule="exact" w:val="369"/>
          <w:jc w:val="center"/>
        </w:trPr>
        <w:tc>
          <w:tcPr>
            <w:tcW w:w="1423" w:type="dxa"/>
          </w:tcPr>
          <w:p w14:paraId="6E0C8B77" w14:textId="77777777" w:rsidR="005061E6" w:rsidRPr="009D258A" w:rsidRDefault="005061E6">
            <w:pPr>
              <w:ind w:right="-29"/>
              <w:jc w:val="center"/>
              <w:rPr>
                <w:noProof/>
                <w:sz w:val="18"/>
                <w:szCs w:val="18"/>
              </w:rPr>
            </w:pPr>
            <w:r w:rsidRPr="009D258A">
              <w:rPr>
                <w:noProof/>
                <w:sz w:val="18"/>
              </w:rPr>
              <w:t>– Tuotos</w:t>
            </w:r>
          </w:p>
        </w:tc>
        <w:tc>
          <w:tcPr>
            <w:tcW w:w="720" w:type="dxa"/>
          </w:tcPr>
          <w:p w14:paraId="724F442C" w14:textId="77777777" w:rsidR="005061E6" w:rsidRPr="009D258A" w:rsidRDefault="005061E6">
            <w:pPr>
              <w:ind w:right="-29"/>
              <w:jc w:val="center"/>
              <w:rPr>
                <w:noProof/>
                <w:sz w:val="18"/>
                <w:szCs w:val="18"/>
              </w:rPr>
            </w:pPr>
          </w:p>
        </w:tc>
        <w:tc>
          <w:tcPr>
            <w:tcW w:w="701" w:type="dxa"/>
          </w:tcPr>
          <w:p w14:paraId="65F73435" w14:textId="77777777" w:rsidR="005061E6" w:rsidRPr="009D258A" w:rsidRDefault="005061E6">
            <w:pPr>
              <w:ind w:right="-29"/>
              <w:jc w:val="center"/>
              <w:rPr>
                <w:noProof/>
                <w:sz w:val="18"/>
                <w:szCs w:val="18"/>
              </w:rPr>
            </w:pPr>
          </w:p>
        </w:tc>
        <w:tc>
          <w:tcPr>
            <w:tcW w:w="504" w:type="dxa"/>
            <w:tcBorders>
              <w:right w:val="dashSmallGap" w:sz="4" w:space="0" w:color="auto"/>
            </w:tcBorders>
          </w:tcPr>
          <w:p w14:paraId="579AC891" w14:textId="77777777" w:rsidR="005061E6" w:rsidRPr="009D258A" w:rsidRDefault="005061E6">
            <w:pPr>
              <w:ind w:right="-29"/>
              <w:jc w:val="center"/>
              <w:rPr>
                <w:noProof/>
                <w:sz w:val="18"/>
                <w:szCs w:val="18"/>
              </w:rPr>
            </w:pPr>
          </w:p>
        </w:tc>
        <w:tc>
          <w:tcPr>
            <w:tcW w:w="720" w:type="dxa"/>
            <w:tcBorders>
              <w:left w:val="dashSmallGap" w:sz="4" w:space="0" w:color="auto"/>
            </w:tcBorders>
          </w:tcPr>
          <w:p w14:paraId="680D516B" w14:textId="77777777" w:rsidR="005061E6" w:rsidRPr="009D258A" w:rsidRDefault="005061E6">
            <w:pPr>
              <w:ind w:right="-29"/>
              <w:jc w:val="center"/>
              <w:rPr>
                <w:noProof/>
                <w:sz w:val="18"/>
                <w:szCs w:val="18"/>
              </w:rPr>
            </w:pPr>
          </w:p>
        </w:tc>
        <w:tc>
          <w:tcPr>
            <w:tcW w:w="540" w:type="dxa"/>
            <w:tcBorders>
              <w:right w:val="dashSmallGap" w:sz="4" w:space="0" w:color="auto"/>
            </w:tcBorders>
          </w:tcPr>
          <w:p w14:paraId="61F9618B" w14:textId="77777777" w:rsidR="005061E6" w:rsidRPr="009D258A" w:rsidRDefault="005061E6">
            <w:pPr>
              <w:ind w:right="-29"/>
              <w:jc w:val="center"/>
              <w:rPr>
                <w:noProof/>
                <w:sz w:val="18"/>
                <w:szCs w:val="18"/>
              </w:rPr>
            </w:pPr>
          </w:p>
        </w:tc>
        <w:tc>
          <w:tcPr>
            <w:tcW w:w="720" w:type="dxa"/>
            <w:tcBorders>
              <w:left w:val="dashSmallGap" w:sz="4" w:space="0" w:color="auto"/>
            </w:tcBorders>
          </w:tcPr>
          <w:p w14:paraId="371FEC03" w14:textId="77777777" w:rsidR="005061E6" w:rsidRPr="009D258A" w:rsidRDefault="005061E6">
            <w:pPr>
              <w:ind w:right="-29"/>
              <w:jc w:val="center"/>
              <w:rPr>
                <w:noProof/>
                <w:sz w:val="18"/>
                <w:szCs w:val="18"/>
              </w:rPr>
            </w:pPr>
          </w:p>
        </w:tc>
        <w:tc>
          <w:tcPr>
            <w:tcW w:w="720" w:type="dxa"/>
            <w:tcBorders>
              <w:right w:val="dashSmallGap" w:sz="4" w:space="0" w:color="auto"/>
            </w:tcBorders>
          </w:tcPr>
          <w:p w14:paraId="5EADF2C0" w14:textId="77777777" w:rsidR="005061E6" w:rsidRPr="009D258A" w:rsidRDefault="005061E6">
            <w:pPr>
              <w:ind w:right="-29"/>
              <w:jc w:val="center"/>
              <w:rPr>
                <w:noProof/>
                <w:sz w:val="18"/>
                <w:szCs w:val="18"/>
              </w:rPr>
            </w:pPr>
          </w:p>
        </w:tc>
        <w:tc>
          <w:tcPr>
            <w:tcW w:w="720" w:type="dxa"/>
            <w:tcBorders>
              <w:left w:val="dashSmallGap" w:sz="4" w:space="0" w:color="auto"/>
            </w:tcBorders>
          </w:tcPr>
          <w:p w14:paraId="52468A6A" w14:textId="77777777" w:rsidR="005061E6" w:rsidRPr="009D258A" w:rsidRDefault="005061E6">
            <w:pPr>
              <w:ind w:right="-29"/>
              <w:jc w:val="center"/>
              <w:rPr>
                <w:noProof/>
                <w:sz w:val="18"/>
                <w:szCs w:val="18"/>
              </w:rPr>
            </w:pPr>
          </w:p>
        </w:tc>
        <w:tc>
          <w:tcPr>
            <w:tcW w:w="900" w:type="dxa"/>
            <w:tcBorders>
              <w:right w:val="dashSmallGap" w:sz="4" w:space="0" w:color="auto"/>
            </w:tcBorders>
          </w:tcPr>
          <w:p w14:paraId="7738D61A" w14:textId="77777777" w:rsidR="005061E6" w:rsidRPr="009D258A" w:rsidRDefault="005061E6">
            <w:pPr>
              <w:ind w:right="-29"/>
              <w:jc w:val="center"/>
              <w:rPr>
                <w:noProof/>
                <w:sz w:val="18"/>
                <w:szCs w:val="18"/>
              </w:rPr>
            </w:pPr>
          </w:p>
        </w:tc>
        <w:tc>
          <w:tcPr>
            <w:tcW w:w="720" w:type="dxa"/>
            <w:gridSpan w:val="2"/>
            <w:tcBorders>
              <w:left w:val="dashSmallGap" w:sz="4" w:space="0" w:color="auto"/>
            </w:tcBorders>
          </w:tcPr>
          <w:p w14:paraId="5A7A9C3A" w14:textId="77777777" w:rsidR="005061E6" w:rsidRPr="009D258A" w:rsidRDefault="005061E6">
            <w:pPr>
              <w:ind w:right="-29"/>
              <w:jc w:val="center"/>
              <w:rPr>
                <w:noProof/>
                <w:sz w:val="18"/>
                <w:szCs w:val="18"/>
              </w:rPr>
            </w:pPr>
          </w:p>
        </w:tc>
        <w:tc>
          <w:tcPr>
            <w:tcW w:w="540" w:type="dxa"/>
            <w:tcBorders>
              <w:right w:val="dashSmallGap" w:sz="4" w:space="0" w:color="auto"/>
            </w:tcBorders>
          </w:tcPr>
          <w:p w14:paraId="2CC855C8" w14:textId="77777777" w:rsidR="005061E6" w:rsidRPr="009D258A" w:rsidRDefault="005061E6">
            <w:pPr>
              <w:ind w:right="-29"/>
              <w:jc w:val="center"/>
              <w:rPr>
                <w:noProof/>
                <w:sz w:val="18"/>
                <w:szCs w:val="18"/>
              </w:rPr>
            </w:pPr>
          </w:p>
        </w:tc>
        <w:tc>
          <w:tcPr>
            <w:tcW w:w="648" w:type="dxa"/>
            <w:tcBorders>
              <w:left w:val="dashSmallGap" w:sz="4" w:space="0" w:color="auto"/>
            </w:tcBorders>
          </w:tcPr>
          <w:p w14:paraId="1C8FA509" w14:textId="77777777" w:rsidR="005061E6" w:rsidRPr="009D258A" w:rsidRDefault="005061E6">
            <w:pPr>
              <w:ind w:right="-29"/>
              <w:jc w:val="center"/>
              <w:rPr>
                <w:noProof/>
                <w:sz w:val="18"/>
                <w:szCs w:val="18"/>
              </w:rPr>
            </w:pPr>
          </w:p>
        </w:tc>
        <w:tc>
          <w:tcPr>
            <w:tcW w:w="432" w:type="dxa"/>
            <w:tcBorders>
              <w:right w:val="dashSmallGap" w:sz="4" w:space="0" w:color="auto"/>
            </w:tcBorders>
          </w:tcPr>
          <w:p w14:paraId="4DBB19C5" w14:textId="77777777" w:rsidR="005061E6" w:rsidRPr="009D258A" w:rsidRDefault="005061E6">
            <w:pPr>
              <w:ind w:right="-29"/>
              <w:jc w:val="center"/>
              <w:rPr>
                <w:noProof/>
                <w:sz w:val="18"/>
                <w:szCs w:val="18"/>
              </w:rPr>
            </w:pPr>
          </w:p>
        </w:tc>
        <w:tc>
          <w:tcPr>
            <w:tcW w:w="720" w:type="dxa"/>
            <w:tcBorders>
              <w:left w:val="dashSmallGap" w:sz="4" w:space="0" w:color="auto"/>
            </w:tcBorders>
          </w:tcPr>
          <w:p w14:paraId="1DD869B1" w14:textId="77777777" w:rsidR="005061E6" w:rsidRPr="009D258A" w:rsidRDefault="005061E6">
            <w:pPr>
              <w:ind w:right="-29"/>
              <w:jc w:val="center"/>
              <w:rPr>
                <w:noProof/>
                <w:sz w:val="18"/>
                <w:szCs w:val="18"/>
              </w:rPr>
            </w:pPr>
          </w:p>
        </w:tc>
        <w:tc>
          <w:tcPr>
            <w:tcW w:w="540" w:type="dxa"/>
            <w:tcBorders>
              <w:right w:val="dashSmallGap" w:sz="4" w:space="0" w:color="auto"/>
            </w:tcBorders>
          </w:tcPr>
          <w:p w14:paraId="125B7DF3" w14:textId="77777777" w:rsidR="005061E6" w:rsidRPr="009D258A" w:rsidRDefault="005061E6">
            <w:pPr>
              <w:ind w:right="-29"/>
              <w:jc w:val="center"/>
              <w:rPr>
                <w:noProof/>
                <w:sz w:val="18"/>
                <w:szCs w:val="18"/>
              </w:rPr>
            </w:pPr>
          </w:p>
        </w:tc>
        <w:tc>
          <w:tcPr>
            <w:tcW w:w="720" w:type="dxa"/>
            <w:tcBorders>
              <w:left w:val="dashSmallGap" w:sz="4" w:space="0" w:color="auto"/>
            </w:tcBorders>
          </w:tcPr>
          <w:p w14:paraId="5AFB942A" w14:textId="77777777" w:rsidR="005061E6" w:rsidRPr="009D258A" w:rsidRDefault="005061E6">
            <w:pPr>
              <w:ind w:right="-29"/>
              <w:jc w:val="center"/>
              <w:rPr>
                <w:noProof/>
                <w:sz w:val="18"/>
                <w:szCs w:val="18"/>
              </w:rPr>
            </w:pPr>
          </w:p>
        </w:tc>
        <w:tc>
          <w:tcPr>
            <w:tcW w:w="720" w:type="dxa"/>
          </w:tcPr>
          <w:p w14:paraId="006FF4A4" w14:textId="77777777" w:rsidR="005061E6" w:rsidRPr="009D258A" w:rsidRDefault="005061E6">
            <w:pPr>
              <w:ind w:right="-29"/>
              <w:jc w:val="center"/>
              <w:rPr>
                <w:noProof/>
                <w:sz w:val="18"/>
                <w:szCs w:val="18"/>
              </w:rPr>
            </w:pPr>
          </w:p>
        </w:tc>
        <w:tc>
          <w:tcPr>
            <w:tcW w:w="900" w:type="dxa"/>
          </w:tcPr>
          <w:p w14:paraId="6208E1D6" w14:textId="77777777" w:rsidR="005061E6" w:rsidRPr="009D258A" w:rsidRDefault="005061E6">
            <w:pPr>
              <w:ind w:right="-29"/>
              <w:jc w:val="center"/>
              <w:rPr>
                <w:noProof/>
                <w:sz w:val="18"/>
                <w:szCs w:val="18"/>
              </w:rPr>
            </w:pPr>
          </w:p>
        </w:tc>
      </w:tr>
      <w:tr w:rsidR="005061E6" w:rsidRPr="009D258A" w14:paraId="5855753F" w14:textId="77777777">
        <w:trPr>
          <w:trHeight w:hRule="exact" w:val="369"/>
          <w:jc w:val="center"/>
        </w:trPr>
        <w:tc>
          <w:tcPr>
            <w:tcW w:w="1423" w:type="dxa"/>
          </w:tcPr>
          <w:p w14:paraId="0DFB9BC8" w14:textId="77777777" w:rsidR="005061E6" w:rsidRPr="009D258A" w:rsidRDefault="005061E6">
            <w:pPr>
              <w:ind w:right="-29"/>
              <w:jc w:val="center"/>
              <w:rPr>
                <w:noProof/>
                <w:sz w:val="18"/>
                <w:szCs w:val="18"/>
              </w:rPr>
            </w:pPr>
            <w:r w:rsidRPr="009D258A">
              <w:rPr>
                <w:noProof/>
                <w:sz w:val="18"/>
              </w:rPr>
              <w:t>– Tuotos</w:t>
            </w:r>
          </w:p>
        </w:tc>
        <w:tc>
          <w:tcPr>
            <w:tcW w:w="720" w:type="dxa"/>
          </w:tcPr>
          <w:p w14:paraId="08940626" w14:textId="77777777" w:rsidR="005061E6" w:rsidRPr="009D258A" w:rsidRDefault="005061E6">
            <w:pPr>
              <w:ind w:right="-29"/>
              <w:jc w:val="center"/>
              <w:rPr>
                <w:noProof/>
                <w:sz w:val="18"/>
                <w:szCs w:val="18"/>
              </w:rPr>
            </w:pPr>
          </w:p>
        </w:tc>
        <w:tc>
          <w:tcPr>
            <w:tcW w:w="701" w:type="dxa"/>
          </w:tcPr>
          <w:p w14:paraId="31BCA604" w14:textId="77777777" w:rsidR="005061E6" w:rsidRPr="009D258A" w:rsidRDefault="005061E6">
            <w:pPr>
              <w:ind w:right="-29"/>
              <w:jc w:val="center"/>
              <w:rPr>
                <w:noProof/>
                <w:sz w:val="18"/>
                <w:szCs w:val="18"/>
              </w:rPr>
            </w:pPr>
          </w:p>
        </w:tc>
        <w:tc>
          <w:tcPr>
            <w:tcW w:w="504" w:type="dxa"/>
          </w:tcPr>
          <w:p w14:paraId="2D39A280" w14:textId="77777777" w:rsidR="005061E6" w:rsidRPr="009D258A" w:rsidRDefault="005061E6">
            <w:pPr>
              <w:ind w:right="-29"/>
              <w:jc w:val="center"/>
              <w:rPr>
                <w:noProof/>
                <w:sz w:val="18"/>
                <w:szCs w:val="18"/>
              </w:rPr>
            </w:pPr>
          </w:p>
        </w:tc>
        <w:tc>
          <w:tcPr>
            <w:tcW w:w="720" w:type="dxa"/>
          </w:tcPr>
          <w:p w14:paraId="171BC113" w14:textId="77777777" w:rsidR="005061E6" w:rsidRPr="009D258A" w:rsidRDefault="005061E6">
            <w:pPr>
              <w:ind w:right="-29"/>
              <w:jc w:val="center"/>
              <w:rPr>
                <w:noProof/>
                <w:sz w:val="18"/>
                <w:szCs w:val="18"/>
              </w:rPr>
            </w:pPr>
          </w:p>
        </w:tc>
        <w:tc>
          <w:tcPr>
            <w:tcW w:w="540" w:type="dxa"/>
          </w:tcPr>
          <w:p w14:paraId="1ECAAEB3" w14:textId="77777777" w:rsidR="005061E6" w:rsidRPr="009D258A" w:rsidRDefault="005061E6">
            <w:pPr>
              <w:ind w:right="-29"/>
              <w:jc w:val="center"/>
              <w:rPr>
                <w:noProof/>
                <w:sz w:val="18"/>
                <w:szCs w:val="18"/>
              </w:rPr>
            </w:pPr>
          </w:p>
        </w:tc>
        <w:tc>
          <w:tcPr>
            <w:tcW w:w="720" w:type="dxa"/>
          </w:tcPr>
          <w:p w14:paraId="609CD6BA" w14:textId="77777777" w:rsidR="005061E6" w:rsidRPr="009D258A" w:rsidRDefault="005061E6">
            <w:pPr>
              <w:ind w:right="-29"/>
              <w:jc w:val="center"/>
              <w:rPr>
                <w:noProof/>
                <w:sz w:val="18"/>
                <w:szCs w:val="18"/>
              </w:rPr>
            </w:pPr>
          </w:p>
        </w:tc>
        <w:tc>
          <w:tcPr>
            <w:tcW w:w="720" w:type="dxa"/>
          </w:tcPr>
          <w:p w14:paraId="7BE68545" w14:textId="77777777" w:rsidR="005061E6" w:rsidRPr="009D258A" w:rsidRDefault="005061E6">
            <w:pPr>
              <w:ind w:right="-29"/>
              <w:jc w:val="center"/>
              <w:rPr>
                <w:noProof/>
                <w:sz w:val="18"/>
                <w:szCs w:val="18"/>
              </w:rPr>
            </w:pPr>
          </w:p>
        </w:tc>
        <w:tc>
          <w:tcPr>
            <w:tcW w:w="720" w:type="dxa"/>
          </w:tcPr>
          <w:p w14:paraId="559390E4" w14:textId="77777777" w:rsidR="005061E6" w:rsidRPr="009D258A" w:rsidRDefault="005061E6">
            <w:pPr>
              <w:ind w:right="-29"/>
              <w:jc w:val="center"/>
              <w:rPr>
                <w:noProof/>
                <w:sz w:val="18"/>
                <w:szCs w:val="18"/>
              </w:rPr>
            </w:pPr>
          </w:p>
        </w:tc>
        <w:tc>
          <w:tcPr>
            <w:tcW w:w="900" w:type="dxa"/>
          </w:tcPr>
          <w:p w14:paraId="192A592A" w14:textId="77777777" w:rsidR="005061E6" w:rsidRPr="009D258A" w:rsidRDefault="005061E6">
            <w:pPr>
              <w:ind w:right="-29"/>
              <w:jc w:val="center"/>
              <w:rPr>
                <w:noProof/>
                <w:sz w:val="18"/>
                <w:szCs w:val="18"/>
              </w:rPr>
            </w:pPr>
          </w:p>
        </w:tc>
        <w:tc>
          <w:tcPr>
            <w:tcW w:w="720" w:type="dxa"/>
            <w:gridSpan w:val="2"/>
          </w:tcPr>
          <w:p w14:paraId="08AB6E09" w14:textId="77777777" w:rsidR="005061E6" w:rsidRPr="009D258A" w:rsidRDefault="005061E6">
            <w:pPr>
              <w:ind w:right="-29"/>
              <w:jc w:val="center"/>
              <w:rPr>
                <w:noProof/>
                <w:sz w:val="18"/>
                <w:szCs w:val="18"/>
              </w:rPr>
            </w:pPr>
          </w:p>
        </w:tc>
        <w:tc>
          <w:tcPr>
            <w:tcW w:w="540" w:type="dxa"/>
          </w:tcPr>
          <w:p w14:paraId="33A91794" w14:textId="77777777" w:rsidR="005061E6" w:rsidRPr="009D258A" w:rsidRDefault="005061E6">
            <w:pPr>
              <w:ind w:right="-29"/>
              <w:jc w:val="center"/>
              <w:rPr>
                <w:noProof/>
                <w:sz w:val="18"/>
                <w:szCs w:val="18"/>
              </w:rPr>
            </w:pPr>
          </w:p>
        </w:tc>
        <w:tc>
          <w:tcPr>
            <w:tcW w:w="648" w:type="dxa"/>
          </w:tcPr>
          <w:p w14:paraId="78FA471A" w14:textId="77777777" w:rsidR="005061E6" w:rsidRPr="009D258A" w:rsidRDefault="005061E6">
            <w:pPr>
              <w:ind w:right="-29"/>
              <w:jc w:val="center"/>
              <w:rPr>
                <w:noProof/>
                <w:sz w:val="18"/>
                <w:szCs w:val="18"/>
              </w:rPr>
            </w:pPr>
          </w:p>
        </w:tc>
        <w:tc>
          <w:tcPr>
            <w:tcW w:w="432" w:type="dxa"/>
          </w:tcPr>
          <w:p w14:paraId="3486B572" w14:textId="77777777" w:rsidR="005061E6" w:rsidRPr="009D258A" w:rsidRDefault="005061E6">
            <w:pPr>
              <w:ind w:right="-29"/>
              <w:jc w:val="center"/>
              <w:rPr>
                <w:noProof/>
                <w:sz w:val="18"/>
                <w:szCs w:val="18"/>
              </w:rPr>
            </w:pPr>
          </w:p>
        </w:tc>
        <w:tc>
          <w:tcPr>
            <w:tcW w:w="720" w:type="dxa"/>
          </w:tcPr>
          <w:p w14:paraId="2EEB99C7" w14:textId="77777777" w:rsidR="005061E6" w:rsidRPr="009D258A" w:rsidRDefault="005061E6">
            <w:pPr>
              <w:ind w:right="-29"/>
              <w:jc w:val="center"/>
              <w:rPr>
                <w:noProof/>
                <w:sz w:val="18"/>
                <w:szCs w:val="18"/>
              </w:rPr>
            </w:pPr>
          </w:p>
        </w:tc>
        <w:tc>
          <w:tcPr>
            <w:tcW w:w="540" w:type="dxa"/>
          </w:tcPr>
          <w:p w14:paraId="1F772616" w14:textId="77777777" w:rsidR="005061E6" w:rsidRPr="009D258A" w:rsidRDefault="005061E6">
            <w:pPr>
              <w:ind w:right="-29"/>
              <w:jc w:val="center"/>
              <w:rPr>
                <w:noProof/>
                <w:sz w:val="18"/>
                <w:szCs w:val="18"/>
              </w:rPr>
            </w:pPr>
          </w:p>
        </w:tc>
        <w:tc>
          <w:tcPr>
            <w:tcW w:w="720" w:type="dxa"/>
          </w:tcPr>
          <w:p w14:paraId="38FCD5B6" w14:textId="77777777" w:rsidR="005061E6" w:rsidRPr="009D258A" w:rsidRDefault="005061E6">
            <w:pPr>
              <w:ind w:right="-29"/>
              <w:jc w:val="center"/>
              <w:rPr>
                <w:noProof/>
                <w:sz w:val="18"/>
                <w:szCs w:val="18"/>
              </w:rPr>
            </w:pPr>
          </w:p>
        </w:tc>
        <w:tc>
          <w:tcPr>
            <w:tcW w:w="720" w:type="dxa"/>
          </w:tcPr>
          <w:p w14:paraId="569F780A" w14:textId="77777777" w:rsidR="005061E6" w:rsidRPr="009D258A" w:rsidRDefault="005061E6">
            <w:pPr>
              <w:ind w:right="-29"/>
              <w:jc w:val="center"/>
              <w:rPr>
                <w:noProof/>
                <w:sz w:val="18"/>
                <w:szCs w:val="18"/>
              </w:rPr>
            </w:pPr>
          </w:p>
        </w:tc>
        <w:tc>
          <w:tcPr>
            <w:tcW w:w="900" w:type="dxa"/>
          </w:tcPr>
          <w:p w14:paraId="3ECCF811" w14:textId="77777777" w:rsidR="005061E6" w:rsidRPr="009D258A" w:rsidRDefault="005061E6">
            <w:pPr>
              <w:ind w:right="-29"/>
              <w:jc w:val="center"/>
              <w:rPr>
                <w:noProof/>
                <w:sz w:val="18"/>
                <w:szCs w:val="18"/>
              </w:rPr>
            </w:pPr>
          </w:p>
        </w:tc>
      </w:tr>
      <w:tr w:rsidR="005061E6" w:rsidRPr="009D258A" w14:paraId="1C2ACF19" w14:textId="77777777">
        <w:trPr>
          <w:trHeight w:val="77"/>
          <w:jc w:val="center"/>
        </w:trPr>
        <w:tc>
          <w:tcPr>
            <w:tcW w:w="2844" w:type="dxa"/>
            <w:gridSpan w:val="3"/>
            <w:tcBorders>
              <w:bottom w:val="single" w:sz="12" w:space="0" w:color="auto"/>
            </w:tcBorders>
            <w:vAlign w:val="center"/>
          </w:tcPr>
          <w:p w14:paraId="617FE041" w14:textId="77777777" w:rsidR="005061E6" w:rsidRPr="009D258A" w:rsidRDefault="005061E6">
            <w:pPr>
              <w:ind w:right="-29"/>
              <w:jc w:val="center"/>
              <w:rPr>
                <w:noProof/>
                <w:sz w:val="18"/>
                <w:szCs w:val="18"/>
              </w:rPr>
            </w:pPr>
            <w:r w:rsidRPr="009D258A">
              <w:rPr>
                <w:noProof/>
                <w:sz w:val="18"/>
              </w:rPr>
              <w:t>Välisumma, erityistavoite 1</w:t>
            </w:r>
          </w:p>
        </w:tc>
        <w:tc>
          <w:tcPr>
            <w:tcW w:w="504" w:type="dxa"/>
            <w:tcBorders>
              <w:bottom w:val="single" w:sz="12" w:space="0" w:color="auto"/>
            </w:tcBorders>
          </w:tcPr>
          <w:p w14:paraId="01CB0CD0" w14:textId="77777777" w:rsidR="005061E6" w:rsidRPr="009D258A" w:rsidRDefault="005061E6">
            <w:pPr>
              <w:ind w:right="-29"/>
              <w:jc w:val="center"/>
              <w:rPr>
                <w:noProof/>
                <w:sz w:val="18"/>
                <w:szCs w:val="18"/>
              </w:rPr>
            </w:pPr>
          </w:p>
        </w:tc>
        <w:tc>
          <w:tcPr>
            <w:tcW w:w="720" w:type="dxa"/>
            <w:tcBorders>
              <w:bottom w:val="single" w:sz="12" w:space="0" w:color="auto"/>
            </w:tcBorders>
          </w:tcPr>
          <w:p w14:paraId="65B729F4" w14:textId="77777777" w:rsidR="005061E6" w:rsidRPr="009D258A" w:rsidRDefault="005061E6">
            <w:pPr>
              <w:ind w:right="-29"/>
              <w:jc w:val="center"/>
              <w:rPr>
                <w:noProof/>
                <w:sz w:val="18"/>
                <w:szCs w:val="18"/>
              </w:rPr>
            </w:pPr>
          </w:p>
        </w:tc>
        <w:tc>
          <w:tcPr>
            <w:tcW w:w="540" w:type="dxa"/>
            <w:tcBorders>
              <w:bottom w:val="single" w:sz="12" w:space="0" w:color="auto"/>
            </w:tcBorders>
          </w:tcPr>
          <w:p w14:paraId="3ED15DCB" w14:textId="77777777" w:rsidR="005061E6" w:rsidRPr="009D258A" w:rsidRDefault="005061E6">
            <w:pPr>
              <w:ind w:right="-29"/>
              <w:jc w:val="center"/>
              <w:rPr>
                <w:noProof/>
                <w:sz w:val="18"/>
                <w:szCs w:val="18"/>
              </w:rPr>
            </w:pPr>
          </w:p>
        </w:tc>
        <w:tc>
          <w:tcPr>
            <w:tcW w:w="720" w:type="dxa"/>
            <w:tcBorders>
              <w:bottom w:val="single" w:sz="12" w:space="0" w:color="auto"/>
            </w:tcBorders>
          </w:tcPr>
          <w:p w14:paraId="010811A9" w14:textId="77777777" w:rsidR="005061E6" w:rsidRPr="009D258A" w:rsidRDefault="005061E6">
            <w:pPr>
              <w:ind w:right="-29"/>
              <w:jc w:val="center"/>
              <w:rPr>
                <w:noProof/>
                <w:sz w:val="18"/>
                <w:szCs w:val="18"/>
              </w:rPr>
            </w:pPr>
          </w:p>
        </w:tc>
        <w:tc>
          <w:tcPr>
            <w:tcW w:w="720" w:type="dxa"/>
            <w:tcBorders>
              <w:bottom w:val="single" w:sz="12" w:space="0" w:color="auto"/>
            </w:tcBorders>
          </w:tcPr>
          <w:p w14:paraId="2D9A3CDD" w14:textId="77777777" w:rsidR="005061E6" w:rsidRPr="009D258A" w:rsidRDefault="005061E6">
            <w:pPr>
              <w:ind w:right="-29"/>
              <w:jc w:val="center"/>
              <w:rPr>
                <w:noProof/>
                <w:sz w:val="18"/>
                <w:szCs w:val="18"/>
              </w:rPr>
            </w:pPr>
          </w:p>
        </w:tc>
        <w:tc>
          <w:tcPr>
            <w:tcW w:w="720" w:type="dxa"/>
            <w:tcBorders>
              <w:bottom w:val="single" w:sz="12" w:space="0" w:color="auto"/>
            </w:tcBorders>
          </w:tcPr>
          <w:p w14:paraId="111DB42B" w14:textId="77777777" w:rsidR="005061E6" w:rsidRPr="009D258A" w:rsidRDefault="005061E6">
            <w:pPr>
              <w:ind w:right="-29"/>
              <w:jc w:val="center"/>
              <w:rPr>
                <w:noProof/>
                <w:sz w:val="18"/>
                <w:szCs w:val="18"/>
              </w:rPr>
            </w:pPr>
          </w:p>
        </w:tc>
        <w:tc>
          <w:tcPr>
            <w:tcW w:w="900" w:type="dxa"/>
            <w:tcBorders>
              <w:bottom w:val="single" w:sz="12" w:space="0" w:color="auto"/>
            </w:tcBorders>
          </w:tcPr>
          <w:p w14:paraId="3B959858" w14:textId="77777777" w:rsidR="005061E6" w:rsidRPr="009D258A" w:rsidRDefault="005061E6">
            <w:pPr>
              <w:ind w:right="-29"/>
              <w:jc w:val="center"/>
              <w:rPr>
                <w:noProof/>
                <w:sz w:val="18"/>
                <w:szCs w:val="18"/>
              </w:rPr>
            </w:pPr>
          </w:p>
        </w:tc>
        <w:tc>
          <w:tcPr>
            <w:tcW w:w="720" w:type="dxa"/>
            <w:gridSpan w:val="2"/>
            <w:tcBorders>
              <w:bottom w:val="single" w:sz="12" w:space="0" w:color="auto"/>
            </w:tcBorders>
          </w:tcPr>
          <w:p w14:paraId="75024B6F" w14:textId="77777777" w:rsidR="005061E6" w:rsidRPr="009D258A" w:rsidRDefault="005061E6">
            <w:pPr>
              <w:ind w:right="-29"/>
              <w:jc w:val="center"/>
              <w:rPr>
                <w:noProof/>
                <w:sz w:val="18"/>
                <w:szCs w:val="18"/>
              </w:rPr>
            </w:pPr>
          </w:p>
        </w:tc>
        <w:tc>
          <w:tcPr>
            <w:tcW w:w="540" w:type="dxa"/>
            <w:tcBorders>
              <w:bottom w:val="single" w:sz="12" w:space="0" w:color="auto"/>
            </w:tcBorders>
          </w:tcPr>
          <w:p w14:paraId="7414D336" w14:textId="77777777" w:rsidR="005061E6" w:rsidRPr="009D258A" w:rsidRDefault="005061E6">
            <w:pPr>
              <w:ind w:right="-29"/>
              <w:jc w:val="center"/>
              <w:rPr>
                <w:noProof/>
                <w:sz w:val="18"/>
                <w:szCs w:val="18"/>
              </w:rPr>
            </w:pPr>
          </w:p>
        </w:tc>
        <w:tc>
          <w:tcPr>
            <w:tcW w:w="648" w:type="dxa"/>
            <w:tcBorders>
              <w:bottom w:val="single" w:sz="12" w:space="0" w:color="auto"/>
            </w:tcBorders>
          </w:tcPr>
          <w:p w14:paraId="5DF7C26A" w14:textId="77777777" w:rsidR="005061E6" w:rsidRPr="009D258A" w:rsidRDefault="005061E6">
            <w:pPr>
              <w:ind w:right="-29"/>
              <w:jc w:val="center"/>
              <w:rPr>
                <w:noProof/>
                <w:sz w:val="18"/>
                <w:szCs w:val="18"/>
              </w:rPr>
            </w:pPr>
          </w:p>
        </w:tc>
        <w:tc>
          <w:tcPr>
            <w:tcW w:w="432" w:type="dxa"/>
            <w:tcBorders>
              <w:bottom w:val="single" w:sz="12" w:space="0" w:color="auto"/>
            </w:tcBorders>
          </w:tcPr>
          <w:p w14:paraId="04EA49D5" w14:textId="77777777" w:rsidR="005061E6" w:rsidRPr="009D258A" w:rsidRDefault="005061E6">
            <w:pPr>
              <w:ind w:right="-29"/>
              <w:jc w:val="center"/>
              <w:rPr>
                <w:noProof/>
                <w:sz w:val="18"/>
                <w:szCs w:val="18"/>
              </w:rPr>
            </w:pPr>
          </w:p>
        </w:tc>
        <w:tc>
          <w:tcPr>
            <w:tcW w:w="720" w:type="dxa"/>
            <w:tcBorders>
              <w:bottom w:val="single" w:sz="12" w:space="0" w:color="auto"/>
            </w:tcBorders>
          </w:tcPr>
          <w:p w14:paraId="2B1F2461" w14:textId="77777777" w:rsidR="005061E6" w:rsidRPr="009D258A" w:rsidRDefault="005061E6">
            <w:pPr>
              <w:ind w:right="-29"/>
              <w:jc w:val="center"/>
              <w:rPr>
                <w:noProof/>
                <w:sz w:val="18"/>
                <w:szCs w:val="18"/>
              </w:rPr>
            </w:pPr>
          </w:p>
        </w:tc>
        <w:tc>
          <w:tcPr>
            <w:tcW w:w="540" w:type="dxa"/>
            <w:tcBorders>
              <w:bottom w:val="single" w:sz="12" w:space="0" w:color="auto"/>
            </w:tcBorders>
          </w:tcPr>
          <w:p w14:paraId="64C37953" w14:textId="77777777" w:rsidR="005061E6" w:rsidRPr="009D258A" w:rsidRDefault="005061E6">
            <w:pPr>
              <w:ind w:right="-29"/>
              <w:jc w:val="center"/>
              <w:rPr>
                <w:noProof/>
                <w:sz w:val="18"/>
                <w:szCs w:val="18"/>
              </w:rPr>
            </w:pPr>
          </w:p>
        </w:tc>
        <w:tc>
          <w:tcPr>
            <w:tcW w:w="720" w:type="dxa"/>
            <w:tcBorders>
              <w:bottom w:val="single" w:sz="12" w:space="0" w:color="auto"/>
            </w:tcBorders>
          </w:tcPr>
          <w:p w14:paraId="3A12480F" w14:textId="77777777" w:rsidR="005061E6" w:rsidRPr="009D258A" w:rsidRDefault="005061E6">
            <w:pPr>
              <w:ind w:right="-29"/>
              <w:jc w:val="center"/>
              <w:rPr>
                <w:noProof/>
                <w:sz w:val="18"/>
                <w:szCs w:val="18"/>
              </w:rPr>
            </w:pPr>
          </w:p>
        </w:tc>
        <w:tc>
          <w:tcPr>
            <w:tcW w:w="720" w:type="dxa"/>
            <w:tcBorders>
              <w:bottom w:val="single" w:sz="12" w:space="0" w:color="auto"/>
            </w:tcBorders>
          </w:tcPr>
          <w:p w14:paraId="6A63384B" w14:textId="77777777" w:rsidR="005061E6" w:rsidRPr="009D258A" w:rsidRDefault="005061E6">
            <w:pPr>
              <w:ind w:right="-29"/>
              <w:jc w:val="center"/>
              <w:rPr>
                <w:noProof/>
                <w:sz w:val="18"/>
                <w:szCs w:val="18"/>
              </w:rPr>
            </w:pPr>
          </w:p>
        </w:tc>
        <w:tc>
          <w:tcPr>
            <w:tcW w:w="900" w:type="dxa"/>
            <w:tcBorders>
              <w:bottom w:val="single" w:sz="12" w:space="0" w:color="auto"/>
            </w:tcBorders>
          </w:tcPr>
          <w:p w14:paraId="7B739512" w14:textId="77777777" w:rsidR="005061E6" w:rsidRPr="009D258A" w:rsidRDefault="005061E6">
            <w:pPr>
              <w:ind w:right="-29"/>
              <w:jc w:val="center"/>
              <w:rPr>
                <w:noProof/>
                <w:sz w:val="18"/>
                <w:szCs w:val="18"/>
              </w:rPr>
            </w:pPr>
          </w:p>
        </w:tc>
      </w:tr>
      <w:tr w:rsidR="005061E6" w:rsidRPr="009D258A" w14:paraId="3D50CE6F" w14:textId="77777777">
        <w:trPr>
          <w:jc w:val="center"/>
        </w:trPr>
        <w:tc>
          <w:tcPr>
            <w:tcW w:w="2844" w:type="dxa"/>
            <w:gridSpan w:val="3"/>
            <w:vAlign w:val="center"/>
          </w:tcPr>
          <w:p w14:paraId="3157B9CA" w14:textId="77777777" w:rsidR="005061E6" w:rsidRPr="009D258A" w:rsidRDefault="005061E6">
            <w:pPr>
              <w:spacing w:before="60" w:after="60"/>
              <w:ind w:right="-29"/>
              <w:jc w:val="center"/>
              <w:rPr>
                <w:noProof/>
                <w:sz w:val="18"/>
                <w:szCs w:val="18"/>
              </w:rPr>
            </w:pPr>
            <w:r w:rsidRPr="009D258A">
              <w:rPr>
                <w:noProof/>
                <w:sz w:val="18"/>
              </w:rPr>
              <w:t>ERITYISTAVOITE 2 ...</w:t>
            </w:r>
          </w:p>
        </w:tc>
        <w:tc>
          <w:tcPr>
            <w:tcW w:w="504" w:type="dxa"/>
            <w:tcBorders>
              <w:top w:val="nil"/>
              <w:left w:val="nil"/>
              <w:bottom w:val="nil"/>
              <w:right w:val="nil"/>
            </w:tcBorders>
          </w:tcPr>
          <w:p w14:paraId="0D7F4DB5" w14:textId="77777777" w:rsidR="005061E6" w:rsidRPr="009D258A" w:rsidRDefault="005061E6">
            <w:pPr>
              <w:spacing w:before="60" w:after="60"/>
              <w:ind w:right="-29"/>
              <w:jc w:val="center"/>
              <w:rPr>
                <w:noProof/>
                <w:sz w:val="18"/>
                <w:szCs w:val="18"/>
              </w:rPr>
            </w:pPr>
          </w:p>
        </w:tc>
        <w:tc>
          <w:tcPr>
            <w:tcW w:w="720" w:type="dxa"/>
            <w:tcBorders>
              <w:top w:val="nil"/>
              <w:left w:val="nil"/>
              <w:bottom w:val="nil"/>
              <w:right w:val="nil"/>
            </w:tcBorders>
          </w:tcPr>
          <w:p w14:paraId="67D4CBA1" w14:textId="77777777" w:rsidR="005061E6" w:rsidRPr="009D258A" w:rsidRDefault="005061E6">
            <w:pPr>
              <w:spacing w:before="60" w:after="60"/>
              <w:ind w:right="-29"/>
              <w:jc w:val="center"/>
              <w:rPr>
                <w:noProof/>
                <w:sz w:val="18"/>
                <w:szCs w:val="18"/>
              </w:rPr>
            </w:pPr>
          </w:p>
        </w:tc>
        <w:tc>
          <w:tcPr>
            <w:tcW w:w="540" w:type="dxa"/>
            <w:tcBorders>
              <w:top w:val="nil"/>
              <w:left w:val="nil"/>
              <w:bottom w:val="nil"/>
              <w:right w:val="nil"/>
            </w:tcBorders>
          </w:tcPr>
          <w:p w14:paraId="6994C623" w14:textId="77777777" w:rsidR="005061E6" w:rsidRPr="009D258A" w:rsidRDefault="005061E6">
            <w:pPr>
              <w:spacing w:before="60" w:after="60"/>
              <w:ind w:right="-29"/>
              <w:jc w:val="center"/>
              <w:rPr>
                <w:noProof/>
                <w:sz w:val="18"/>
                <w:szCs w:val="18"/>
              </w:rPr>
            </w:pPr>
          </w:p>
        </w:tc>
        <w:tc>
          <w:tcPr>
            <w:tcW w:w="720" w:type="dxa"/>
            <w:tcBorders>
              <w:top w:val="nil"/>
              <w:left w:val="nil"/>
              <w:bottom w:val="nil"/>
              <w:right w:val="nil"/>
            </w:tcBorders>
          </w:tcPr>
          <w:p w14:paraId="0B822714" w14:textId="77777777" w:rsidR="005061E6" w:rsidRPr="009D258A" w:rsidRDefault="005061E6">
            <w:pPr>
              <w:spacing w:before="60" w:after="60"/>
              <w:ind w:right="-29"/>
              <w:jc w:val="center"/>
              <w:rPr>
                <w:noProof/>
                <w:sz w:val="18"/>
                <w:szCs w:val="18"/>
              </w:rPr>
            </w:pPr>
          </w:p>
        </w:tc>
        <w:tc>
          <w:tcPr>
            <w:tcW w:w="720" w:type="dxa"/>
            <w:tcBorders>
              <w:top w:val="nil"/>
              <w:left w:val="nil"/>
              <w:bottom w:val="nil"/>
              <w:right w:val="nil"/>
            </w:tcBorders>
          </w:tcPr>
          <w:p w14:paraId="1B21CF22" w14:textId="77777777" w:rsidR="005061E6" w:rsidRPr="009D258A" w:rsidRDefault="005061E6">
            <w:pPr>
              <w:spacing w:before="60" w:after="60"/>
              <w:ind w:right="-29"/>
              <w:jc w:val="center"/>
              <w:rPr>
                <w:noProof/>
                <w:sz w:val="18"/>
                <w:szCs w:val="18"/>
              </w:rPr>
            </w:pPr>
          </w:p>
        </w:tc>
        <w:tc>
          <w:tcPr>
            <w:tcW w:w="720" w:type="dxa"/>
            <w:tcBorders>
              <w:top w:val="nil"/>
              <w:left w:val="nil"/>
              <w:bottom w:val="nil"/>
              <w:right w:val="nil"/>
            </w:tcBorders>
          </w:tcPr>
          <w:p w14:paraId="7B140CE9" w14:textId="77777777" w:rsidR="005061E6" w:rsidRPr="009D258A" w:rsidRDefault="005061E6">
            <w:pPr>
              <w:spacing w:before="60" w:after="60"/>
              <w:ind w:right="-29"/>
              <w:jc w:val="center"/>
              <w:rPr>
                <w:noProof/>
                <w:sz w:val="18"/>
                <w:szCs w:val="18"/>
              </w:rPr>
            </w:pPr>
          </w:p>
        </w:tc>
        <w:tc>
          <w:tcPr>
            <w:tcW w:w="900" w:type="dxa"/>
            <w:tcBorders>
              <w:top w:val="nil"/>
              <w:left w:val="nil"/>
              <w:bottom w:val="nil"/>
              <w:right w:val="nil"/>
            </w:tcBorders>
          </w:tcPr>
          <w:p w14:paraId="4B404460" w14:textId="77777777" w:rsidR="005061E6" w:rsidRPr="009D258A" w:rsidRDefault="005061E6">
            <w:pPr>
              <w:spacing w:before="60" w:after="60"/>
              <w:ind w:right="-29"/>
              <w:jc w:val="center"/>
              <w:rPr>
                <w:noProof/>
                <w:sz w:val="18"/>
                <w:szCs w:val="18"/>
              </w:rPr>
            </w:pPr>
          </w:p>
        </w:tc>
        <w:tc>
          <w:tcPr>
            <w:tcW w:w="720" w:type="dxa"/>
            <w:gridSpan w:val="2"/>
            <w:tcBorders>
              <w:top w:val="nil"/>
              <w:left w:val="nil"/>
              <w:bottom w:val="nil"/>
              <w:right w:val="nil"/>
            </w:tcBorders>
          </w:tcPr>
          <w:p w14:paraId="7B8BE8EB" w14:textId="77777777" w:rsidR="005061E6" w:rsidRPr="009D258A" w:rsidRDefault="005061E6">
            <w:pPr>
              <w:spacing w:before="60" w:after="60"/>
              <w:ind w:right="-29"/>
              <w:jc w:val="center"/>
              <w:rPr>
                <w:noProof/>
                <w:sz w:val="18"/>
                <w:szCs w:val="18"/>
              </w:rPr>
            </w:pPr>
          </w:p>
        </w:tc>
        <w:tc>
          <w:tcPr>
            <w:tcW w:w="540" w:type="dxa"/>
            <w:tcBorders>
              <w:top w:val="nil"/>
              <w:left w:val="nil"/>
              <w:bottom w:val="nil"/>
              <w:right w:val="nil"/>
            </w:tcBorders>
          </w:tcPr>
          <w:p w14:paraId="41737B9A" w14:textId="77777777" w:rsidR="005061E6" w:rsidRPr="009D258A" w:rsidRDefault="005061E6">
            <w:pPr>
              <w:spacing w:before="60" w:after="60"/>
              <w:ind w:right="-29"/>
              <w:jc w:val="center"/>
              <w:rPr>
                <w:noProof/>
                <w:sz w:val="18"/>
                <w:szCs w:val="18"/>
              </w:rPr>
            </w:pPr>
          </w:p>
        </w:tc>
        <w:tc>
          <w:tcPr>
            <w:tcW w:w="648" w:type="dxa"/>
            <w:tcBorders>
              <w:top w:val="nil"/>
              <w:left w:val="nil"/>
              <w:bottom w:val="nil"/>
              <w:right w:val="nil"/>
            </w:tcBorders>
          </w:tcPr>
          <w:p w14:paraId="0659A315" w14:textId="77777777" w:rsidR="005061E6" w:rsidRPr="009D258A" w:rsidRDefault="005061E6">
            <w:pPr>
              <w:spacing w:before="60" w:after="60"/>
              <w:ind w:right="-29"/>
              <w:jc w:val="center"/>
              <w:rPr>
                <w:noProof/>
                <w:sz w:val="18"/>
                <w:szCs w:val="18"/>
              </w:rPr>
            </w:pPr>
          </w:p>
        </w:tc>
        <w:tc>
          <w:tcPr>
            <w:tcW w:w="432" w:type="dxa"/>
            <w:tcBorders>
              <w:top w:val="nil"/>
              <w:left w:val="nil"/>
              <w:bottom w:val="nil"/>
              <w:right w:val="nil"/>
            </w:tcBorders>
          </w:tcPr>
          <w:p w14:paraId="37D211D4" w14:textId="77777777" w:rsidR="005061E6" w:rsidRPr="009D258A" w:rsidRDefault="005061E6">
            <w:pPr>
              <w:spacing w:before="60" w:after="60"/>
              <w:ind w:right="-29"/>
              <w:jc w:val="center"/>
              <w:rPr>
                <w:noProof/>
                <w:sz w:val="18"/>
                <w:szCs w:val="18"/>
              </w:rPr>
            </w:pPr>
          </w:p>
        </w:tc>
        <w:tc>
          <w:tcPr>
            <w:tcW w:w="720" w:type="dxa"/>
            <w:tcBorders>
              <w:top w:val="nil"/>
              <w:left w:val="nil"/>
              <w:bottom w:val="nil"/>
              <w:right w:val="nil"/>
            </w:tcBorders>
          </w:tcPr>
          <w:p w14:paraId="1102CA82" w14:textId="77777777" w:rsidR="005061E6" w:rsidRPr="009D258A" w:rsidRDefault="005061E6">
            <w:pPr>
              <w:spacing w:before="60" w:after="60"/>
              <w:ind w:right="-29"/>
              <w:jc w:val="center"/>
              <w:rPr>
                <w:noProof/>
                <w:sz w:val="18"/>
                <w:szCs w:val="18"/>
              </w:rPr>
            </w:pPr>
          </w:p>
        </w:tc>
        <w:tc>
          <w:tcPr>
            <w:tcW w:w="540" w:type="dxa"/>
            <w:tcBorders>
              <w:top w:val="nil"/>
              <w:left w:val="nil"/>
              <w:bottom w:val="nil"/>
              <w:right w:val="nil"/>
            </w:tcBorders>
          </w:tcPr>
          <w:p w14:paraId="331FA48F" w14:textId="77777777" w:rsidR="005061E6" w:rsidRPr="009D258A" w:rsidRDefault="005061E6">
            <w:pPr>
              <w:spacing w:before="60" w:after="60"/>
              <w:ind w:right="-29"/>
              <w:jc w:val="center"/>
              <w:rPr>
                <w:noProof/>
                <w:sz w:val="18"/>
                <w:szCs w:val="18"/>
              </w:rPr>
            </w:pPr>
          </w:p>
        </w:tc>
        <w:tc>
          <w:tcPr>
            <w:tcW w:w="720" w:type="dxa"/>
            <w:tcBorders>
              <w:top w:val="nil"/>
              <w:left w:val="nil"/>
              <w:bottom w:val="nil"/>
              <w:right w:val="nil"/>
            </w:tcBorders>
          </w:tcPr>
          <w:p w14:paraId="5FF8D8CA" w14:textId="77777777" w:rsidR="005061E6" w:rsidRPr="009D258A" w:rsidRDefault="005061E6">
            <w:pPr>
              <w:spacing w:before="60" w:after="60"/>
              <w:ind w:right="-29"/>
              <w:jc w:val="center"/>
              <w:rPr>
                <w:noProof/>
                <w:sz w:val="18"/>
                <w:szCs w:val="18"/>
              </w:rPr>
            </w:pPr>
          </w:p>
        </w:tc>
        <w:tc>
          <w:tcPr>
            <w:tcW w:w="720" w:type="dxa"/>
            <w:tcBorders>
              <w:top w:val="nil"/>
              <w:left w:val="nil"/>
              <w:bottom w:val="nil"/>
              <w:right w:val="nil"/>
            </w:tcBorders>
          </w:tcPr>
          <w:p w14:paraId="68A1AB3A" w14:textId="77777777" w:rsidR="005061E6" w:rsidRPr="009D258A" w:rsidRDefault="005061E6">
            <w:pPr>
              <w:spacing w:before="60" w:after="60"/>
              <w:ind w:right="-29"/>
              <w:jc w:val="center"/>
              <w:rPr>
                <w:noProof/>
                <w:sz w:val="18"/>
                <w:szCs w:val="18"/>
              </w:rPr>
            </w:pPr>
          </w:p>
        </w:tc>
        <w:tc>
          <w:tcPr>
            <w:tcW w:w="900" w:type="dxa"/>
            <w:tcBorders>
              <w:top w:val="nil"/>
              <w:left w:val="nil"/>
              <w:bottom w:val="nil"/>
              <w:right w:val="nil"/>
            </w:tcBorders>
          </w:tcPr>
          <w:p w14:paraId="1D32B4DA" w14:textId="77777777" w:rsidR="005061E6" w:rsidRPr="009D258A" w:rsidRDefault="005061E6">
            <w:pPr>
              <w:spacing w:before="60" w:after="60"/>
              <w:ind w:right="-29"/>
              <w:jc w:val="center"/>
              <w:rPr>
                <w:noProof/>
                <w:sz w:val="18"/>
                <w:szCs w:val="18"/>
              </w:rPr>
            </w:pPr>
          </w:p>
        </w:tc>
      </w:tr>
      <w:tr w:rsidR="005061E6" w:rsidRPr="009D258A" w14:paraId="6F726D31" w14:textId="77777777">
        <w:trPr>
          <w:trHeight w:hRule="exact" w:val="369"/>
          <w:jc w:val="center"/>
        </w:trPr>
        <w:tc>
          <w:tcPr>
            <w:tcW w:w="1423" w:type="dxa"/>
          </w:tcPr>
          <w:p w14:paraId="600C5DDA" w14:textId="77777777" w:rsidR="005061E6" w:rsidRPr="009D258A" w:rsidRDefault="005061E6">
            <w:pPr>
              <w:ind w:right="-29"/>
              <w:jc w:val="center"/>
              <w:rPr>
                <w:noProof/>
                <w:sz w:val="18"/>
                <w:szCs w:val="18"/>
              </w:rPr>
            </w:pPr>
            <w:r w:rsidRPr="009D258A">
              <w:rPr>
                <w:noProof/>
                <w:sz w:val="18"/>
              </w:rPr>
              <w:t>– Tuotos</w:t>
            </w:r>
          </w:p>
        </w:tc>
        <w:tc>
          <w:tcPr>
            <w:tcW w:w="720" w:type="dxa"/>
          </w:tcPr>
          <w:p w14:paraId="557952C1" w14:textId="77777777" w:rsidR="005061E6" w:rsidRPr="009D258A" w:rsidRDefault="005061E6">
            <w:pPr>
              <w:ind w:right="-29"/>
              <w:jc w:val="center"/>
              <w:rPr>
                <w:noProof/>
                <w:sz w:val="18"/>
                <w:szCs w:val="18"/>
              </w:rPr>
            </w:pPr>
          </w:p>
        </w:tc>
        <w:tc>
          <w:tcPr>
            <w:tcW w:w="701" w:type="dxa"/>
          </w:tcPr>
          <w:p w14:paraId="2A6898CC" w14:textId="77777777" w:rsidR="005061E6" w:rsidRPr="009D258A" w:rsidRDefault="005061E6">
            <w:pPr>
              <w:ind w:right="-29"/>
              <w:jc w:val="center"/>
              <w:rPr>
                <w:noProof/>
                <w:sz w:val="18"/>
                <w:szCs w:val="18"/>
              </w:rPr>
            </w:pPr>
          </w:p>
        </w:tc>
        <w:tc>
          <w:tcPr>
            <w:tcW w:w="504" w:type="dxa"/>
          </w:tcPr>
          <w:p w14:paraId="09BA860E" w14:textId="77777777" w:rsidR="005061E6" w:rsidRPr="009D258A" w:rsidRDefault="005061E6">
            <w:pPr>
              <w:ind w:right="-29"/>
              <w:jc w:val="center"/>
              <w:rPr>
                <w:noProof/>
                <w:sz w:val="18"/>
                <w:szCs w:val="18"/>
              </w:rPr>
            </w:pPr>
          </w:p>
        </w:tc>
        <w:tc>
          <w:tcPr>
            <w:tcW w:w="720" w:type="dxa"/>
          </w:tcPr>
          <w:p w14:paraId="53B5868D" w14:textId="77777777" w:rsidR="005061E6" w:rsidRPr="009D258A" w:rsidRDefault="005061E6">
            <w:pPr>
              <w:ind w:right="-29"/>
              <w:jc w:val="center"/>
              <w:rPr>
                <w:noProof/>
                <w:sz w:val="18"/>
                <w:szCs w:val="18"/>
              </w:rPr>
            </w:pPr>
          </w:p>
        </w:tc>
        <w:tc>
          <w:tcPr>
            <w:tcW w:w="540" w:type="dxa"/>
          </w:tcPr>
          <w:p w14:paraId="75F7A34A" w14:textId="77777777" w:rsidR="005061E6" w:rsidRPr="009D258A" w:rsidRDefault="005061E6">
            <w:pPr>
              <w:ind w:right="-29"/>
              <w:jc w:val="center"/>
              <w:rPr>
                <w:noProof/>
                <w:sz w:val="18"/>
                <w:szCs w:val="18"/>
              </w:rPr>
            </w:pPr>
          </w:p>
        </w:tc>
        <w:tc>
          <w:tcPr>
            <w:tcW w:w="720" w:type="dxa"/>
          </w:tcPr>
          <w:p w14:paraId="38404671" w14:textId="77777777" w:rsidR="005061E6" w:rsidRPr="009D258A" w:rsidRDefault="005061E6">
            <w:pPr>
              <w:ind w:right="-29"/>
              <w:jc w:val="center"/>
              <w:rPr>
                <w:noProof/>
                <w:sz w:val="18"/>
                <w:szCs w:val="18"/>
              </w:rPr>
            </w:pPr>
          </w:p>
        </w:tc>
        <w:tc>
          <w:tcPr>
            <w:tcW w:w="720" w:type="dxa"/>
          </w:tcPr>
          <w:p w14:paraId="14DB40EF" w14:textId="77777777" w:rsidR="005061E6" w:rsidRPr="009D258A" w:rsidRDefault="005061E6">
            <w:pPr>
              <w:ind w:right="-29"/>
              <w:jc w:val="center"/>
              <w:rPr>
                <w:noProof/>
                <w:sz w:val="18"/>
                <w:szCs w:val="18"/>
              </w:rPr>
            </w:pPr>
          </w:p>
        </w:tc>
        <w:tc>
          <w:tcPr>
            <w:tcW w:w="720" w:type="dxa"/>
          </w:tcPr>
          <w:p w14:paraId="3A56C92C" w14:textId="77777777" w:rsidR="005061E6" w:rsidRPr="009D258A" w:rsidRDefault="005061E6">
            <w:pPr>
              <w:ind w:right="-29"/>
              <w:jc w:val="center"/>
              <w:rPr>
                <w:noProof/>
                <w:sz w:val="18"/>
                <w:szCs w:val="18"/>
              </w:rPr>
            </w:pPr>
          </w:p>
        </w:tc>
        <w:tc>
          <w:tcPr>
            <w:tcW w:w="900" w:type="dxa"/>
          </w:tcPr>
          <w:p w14:paraId="2E70673D" w14:textId="77777777" w:rsidR="005061E6" w:rsidRPr="009D258A" w:rsidRDefault="005061E6">
            <w:pPr>
              <w:ind w:right="-29"/>
              <w:jc w:val="center"/>
              <w:rPr>
                <w:noProof/>
                <w:sz w:val="18"/>
                <w:szCs w:val="18"/>
              </w:rPr>
            </w:pPr>
          </w:p>
        </w:tc>
        <w:tc>
          <w:tcPr>
            <w:tcW w:w="720" w:type="dxa"/>
            <w:gridSpan w:val="2"/>
          </w:tcPr>
          <w:p w14:paraId="2935693A" w14:textId="77777777" w:rsidR="005061E6" w:rsidRPr="009D258A" w:rsidRDefault="005061E6">
            <w:pPr>
              <w:ind w:right="-29"/>
              <w:jc w:val="center"/>
              <w:rPr>
                <w:noProof/>
                <w:sz w:val="18"/>
                <w:szCs w:val="18"/>
              </w:rPr>
            </w:pPr>
          </w:p>
        </w:tc>
        <w:tc>
          <w:tcPr>
            <w:tcW w:w="540" w:type="dxa"/>
          </w:tcPr>
          <w:p w14:paraId="0112964A" w14:textId="77777777" w:rsidR="005061E6" w:rsidRPr="009D258A" w:rsidRDefault="005061E6">
            <w:pPr>
              <w:ind w:right="-29"/>
              <w:jc w:val="center"/>
              <w:rPr>
                <w:noProof/>
                <w:sz w:val="18"/>
                <w:szCs w:val="18"/>
              </w:rPr>
            </w:pPr>
          </w:p>
        </w:tc>
        <w:tc>
          <w:tcPr>
            <w:tcW w:w="648" w:type="dxa"/>
          </w:tcPr>
          <w:p w14:paraId="411C3B8C" w14:textId="77777777" w:rsidR="005061E6" w:rsidRPr="009D258A" w:rsidRDefault="005061E6">
            <w:pPr>
              <w:ind w:right="-29"/>
              <w:jc w:val="center"/>
              <w:rPr>
                <w:noProof/>
                <w:sz w:val="18"/>
                <w:szCs w:val="18"/>
              </w:rPr>
            </w:pPr>
          </w:p>
        </w:tc>
        <w:tc>
          <w:tcPr>
            <w:tcW w:w="432" w:type="dxa"/>
          </w:tcPr>
          <w:p w14:paraId="73253935" w14:textId="77777777" w:rsidR="005061E6" w:rsidRPr="009D258A" w:rsidRDefault="005061E6">
            <w:pPr>
              <w:ind w:right="-29"/>
              <w:jc w:val="center"/>
              <w:rPr>
                <w:noProof/>
                <w:sz w:val="18"/>
                <w:szCs w:val="18"/>
              </w:rPr>
            </w:pPr>
          </w:p>
        </w:tc>
        <w:tc>
          <w:tcPr>
            <w:tcW w:w="720" w:type="dxa"/>
          </w:tcPr>
          <w:p w14:paraId="76109944" w14:textId="77777777" w:rsidR="005061E6" w:rsidRPr="009D258A" w:rsidRDefault="005061E6">
            <w:pPr>
              <w:ind w:right="-29"/>
              <w:jc w:val="center"/>
              <w:rPr>
                <w:noProof/>
                <w:sz w:val="18"/>
                <w:szCs w:val="18"/>
              </w:rPr>
            </w:pPr>
          </w:p>
        </w:tc>
        <w:tc>
          <w:tcPr>
            <w:tcW w:w="540" w:type="dxa"/>
          </w:tcPr>
          <w:p w14:paraId="75D4BF02" w14:textId="77777777" w:rsidR="005061E6" w:rsidRPr="009D258A" w:rsidRDefault="005061E6">
            <w:pPr>
              <w:ind w:right="-29"/>
              <w:jc w:val="center"/>
              <w:rPr>
                <w:noProof/>
                <w:sz w:val="18"/>
                <w:szCs w:val="18"/>
              </w:rPr>
            </w:pPr>
          </w:p>
        </w:tc>
        <w:tc>
          <w:tcPr>
            <w:tcW w:w="720" w:type="dxa"/>
          </w:tcPr>
          <w:p w14:paraId="7DB0B2EC" w14:textId="77777777" w:rsidR="005061E6" w:rsidRPr="009D258A" w:rsidRDefault="005061E6">
            <w:pPr>
              <w:ind w:right="-29"/>
              <w:jc w:val="center"/>
              <w:rPr>
                <w:noProof/>
                <w:sz w:val="18"/>
                <w:szCs w:val="18"/>
              </w:rPr>
            </w:pPr>
          </w:p>
        </w:tc>
        <w:tc>
          <w:tcPr>
            <w:tcW w:w="720" w:type="dxa"/>
          </w:tcPr>
          <w:p w14:paraId="7ECD0A08" w14:textId="77777777" w:rsidR="005061E6" w:rsidRPr="009D258A" w:rsidRDefault="005061E6">
            <w:pPr>
              <w:ind w:right="-29"/>
              <w:jc w:val="center"/>
              <w:rPr>
                <w:noProof/>
                <w:sz w:val="18"/>
                <w:szCs w:val="18"/>
              </w:rPr>
            </w:pPr>
          </w:p>
        </w:tc>
        <w:tc>
          <w:tcPr>
            <w:tcW w:w="900" w:type="dxa"/>
          </w:tcPr>
          <w:p w14:paraId="1B06D051" w14:textId="77777777" w:rsidR="005061E6" w:rsidRPr="009D258A" w:rsidRDefault="005061E6">
            <w:pPr>
              <w:ind w:right="-29"/>
              <w:jc w:val="center"/>
              <w:rPr>
                <w:noProof/>
                <w:sz w:val="18"/>
                <w:szCs w:val="18"/>
              </w:rPr>
            </w:pPr>
          </w:p>
        </w:tc>
      </w:tr>
      <w:tr w:rsidR="005061E6" w:rsidRPr="009D258A" w14:paraId="062F5A40" w14:textId="77777777">
        <w:trPr>
          <w:jc w:val="center"/>
        </w:trPr>
        <w:tc>
          <w:tcPr>
            <w:tcW w:w="2844" w:type="dxa"/>
            <w:gridSpan w:val="3"/>
            <w:tcBorders>
              <w:bottom w:val="single" w:sz="12" w:space="0" w:color="auto"/>
            </w:tcBorders>
            <w:vAlign w:val="center"/>
          </w:tcPr>
          <w:p w14:paraId="13D3F2BB" w14:textId="77777777" w:rsidR="005061E6" w:rsidRPr="009D258A" w:rsidRDefault="005061E6">
            <w:pPr>
              <w:jc w:val="center"/>
              <w:rPr>
                <w:noProof/>
                <w:sz w:val="18"/>
                <w:szCs w:val="18"/>
              </w:rPr>
            </w:pPr>
            <w:r w:rsidRPr="009D258A">
              <w:rPr>
                <w:noProof/>
                <w:sz w:val="18"/>
              </w:rPr>
              <w:t>Välisumma, erityistavoite 2</w:t>
            </w:r>
          </w:p>
        </w:tc>
        <w:tc>
          <w:tcPr>
            <w:tcW w:w="504" w:type="dxa"/>
            <w:tcBorders>
              <w:bottom w:val="single" w:sz="12" w:space="0" w:color="auto"/>
            </w:tcBorders>
          </w:tcPr>
          <w:p w14:paraId="4513A236" w14:textId="77777777" w:rsidR="005061E6" w:rsidRPr="009D258A" w:rsidRDefault="005061E6">
            <w:pPr>
              <w:ind w:right="-29"/>
              <w:jc w:val="center"/>
              <w:rPr>
                <w:noProof/>
                <w:sz w:val="18"/>
                <w:szCs w:val="18"/>
              </w:rPr>
            </w:pPr>
          </w:p>
        </w:tc>
        <w:tc>
          <w:tcPr>
            <w:tcW w:w="720" w:type="dxa"/>
            <w:tcBorders>
              <w:bottom w:val="single" w:sz="12" w:space="0" w:color="auto"/>
            </w:tcBorders>
          </w:tcPr>
          <w:p w14:paraId="1D42C6E3" w14:textId="77777777" w:rsidR="005061E6" w:rsidRPr="009D258A" w:rsidRDefault="005061E6">
            <w:pPr>
              <w:ind w:right="-29"/>
              <w:jc w:val="center"/>
              <w:rPr>
                <w:noProof/>
                <w:sz w:val="18"/>
                <w:szCs w:val="18"/>
              </w:rPr>
            </w:pPr>
          </w:p>
        </w:tc>
        <w:tc>
          <w:tcPr>
            <w:tcW w:w="540" w:type="dxa"/>
            <w:tcBorders>
              <w:bottom w:val="single" w:sz="12" w:space="0" w:color="auto"/>
            </w:tcBorders>
          </w:tcPr>
          <w:p w14:paraId="25D4C111" w14:textId="77777777" w:rsidR="005061E6" w:rsidRPr="009D258A" w:rsidRDefault="005061E6">
            <w:pPr>
              <w:ind w:right="-29"/>
              <w:jc w:val="center"/>
              <w:rPr>
                <w:noProof/>
                <w:sz w:val="18"/>
                <w:szCs w:val="18"/>
              </w:rPr>
            </w:pPr>
          </w:p>
        </w:tc>
        <w:tc>
          <w:tcPr>
            <w:tcW w:w="720" w:type="dxa"/>
            <w:tcBorders>
              <w:bottom w:val="single" w:sz="12" w:space="0" w:color="auto"/>
            </w:tcBorders>
          </w:tcPr>
          <w:p w14:paraId="6DFF7167" w14:textId="77777777" w:rsidR="005061E6" w:rsidRPr="009D258A" w:rsidRDefault="005061E6">
            <w:pPr>
              <w:ind w:right="-29"/>
              <w:jc w:val="center"/>
              <w:rPr>
                <w:noProof/>
                <w:sz w:val="18"/>
                <w:szCs w:val="18"/>
              </w:rPr>
            </w:pPr>
          </w:p>
        </w:tc>
        <w:tc>
          <w:tcPr>
            <w:tcW w:w="720" w:type="dxa"/>
            <w:tcBorders>
              <w:bottom w:val="single" w:sz="12" w:space="0" w:color="auto"/>
            </w:tcBorders>
          </w:tcPr>
          <w:p w14:paraId="7BAE8083" w14:textId="77777777" w:rsidR="005061E6" w:rsidRPr="009D258A" w:rsidRDefault="005061E6">
            <w:pPr>
              <w:ind w:right="-29"/>
              <w:jc w:val="center"/>
              <w:rPr>
                <w:noProof/>
                <w:sz w:val="18"/>
                <w:szCs w:val="18"/>
              </w:rPr>
            </w:pPr>
          </w:p>
        </w:tc>
        <w:tc>
          <w:tcPr>
            <w:tcW w:w="720" w:type="dxa"/>
            <w:tcBorders>
              <w:bottom w:val="single" w:sz="12" w:space="0" w:color="auto"/>
            </w:tcBorders>
          </w:tcPr>
          <w:p w14:paraId="70852AC8" w14:textId="77777777" w:rsidR="005061E6" w:rsidRPr="009D258A" w:rsidRDefault="005061E6">
            <w:pPr>
              <w:ind w:right="-29"/>
              <w:jc w:val="center"/>
              <w:rPr>
                <w:noProof/>
                <w:sz w:val="18"/>
                <w:szCs w:val="18"/>
              </w:rPr>
            </w:pPr>
          </w:p>
        </w:tc>
        <w:tc>
          <w:tcPr>
            <w:tcW w:w="951" w:type="dxa"/>
            <w:gridSpan w:val="2"/>
            <w:tcBorders>
              <w:bottom w:val="single" w:sz="12" w:space="0" w:color="auto"/>
            </w:tcBorders>
          </w:tcPr>
          <w:p w14:paraId="3FC72AF9" w14:textId="77777777" w:rsidR="005061E6" w:rsidRPr="009D258A" w:rsidRDefault="005061E6">
            <w:pPr>
              <w:ind w:right="-29"/>
              <w:jc w:val="center"/>
              <w:rPr>
                <w:noProof/>
                <w:sz w:val="18"/>
                <w:szCs w:val="18"/>
              </w:rPr>
            </w:pPr>
          </w:p>
        </w:tc>
        <w:tc>
          <w:tcPr>
            <w:tcW w:w="669" w:type="dxa"/>
            <w:tcBorders>
              <w:bottom w:val="single" w:sz="12" w:space="0" w:color="auto"/>
            </w:tcBorders>
          </w:tcPr>
          <w:p w14:paraId="56C87716" w14:textId="77777777" w:rsidR="005061E6" w:rsidRPr="009D258A" w:rsidRDefault="005061E6">
            <w:pPr>
              <w:ind w:right="-29"/>
              <w:jc w:val="center"/>
              <w:rPr>
                <w:noProof/>
                <w:sz w:val="18"/>
                <w:szCs w:val="18"/>
              </w:rPr>
            </w:pPr>
          </w:p>
        </w:tc>
        <w:tc>
          <w:tcPr>
            <w:tcW w:w="540" w:type="dxa"/>
            <w:tcBorders>
              <w:bottom w:val="single" w:sz="12" w:space="0" w:color="auto"/>
            </w:tcBorders>
          </w:tcPr>
          <w:p w14:paraId="638D5EA8" w14:textId="77777777" w:rsidR="005061E6" w:rsidRPr="009D258A" w:rsidRDefault="005061E6">
            <w:pPr>
              <w:ind w:right="-29"/>
              <w:jc w:val="center"/>
              <w:rPr>
                <w:noProof/>
                <w:sz w:val="18"/>
                <w:szCs w:val="18"/>
              </w:rPr>
            </w:pPr>
          </w:p>
        </w:tc>
        <w:tc>
          <w:tcPr>
            <w:tcW w:w="648" w:type="dxa"/>
            <w:tcBorders>
              <w:bottom w:val="single" w:sz="12" w:space="0" w:color="auto"/>
            </w:tcBorders>
          </w:tcPr>
          <w:p w14:paraId="417540CD" w14:textId="77777777" w:rsidR="005061E6" w:rsidRPr="009D258A" w:rsidRDefault="005061E6">
            <w:pPr>
              <w:ind w:right="-29"/>
              <w:jc w:val="center"/>
              <w:rPr>
                <w:noProof/>
                <w:sz w:val="18"/>
                <w:szCs w:val="18"/>
              </w:rPr>
            </w:pPr>
          </w:p>
        </w:tc>
        <w:tc>
          <w:tcPr>
            <w:tcW w:w="432" w:type="dxa"/>
            <w:tcBorders>
              <w:bottom w:val="single" w:sz="12" w:space="0" w:color="auto"/>
            </w:tcBorders>
          </w:tcPr>
          <w:p w14:paraId="4A43D648" w14:textId="77777777" w:rsidR="005061E6" w:rsidRPr="009D258A" w:rsidRDefault="005061E6">
            <w:pPr>
              <w:ind w:right="-29"/>
              <w:jc w:val="center"/>
              <w:rPr>
                <w:noProof/>
                <w:sz w:val="18"/>
                <w:szCs w:val="18"/>
              </w:rPr>
            </w:pPr>
          </w:p>
        </w:tc>
        <w:tc>
          <w:tcPr>
            <w:tcW w:w="720" w:type="dxa"/>
            <w:tcBorders>
              <w:bottom w:val="single" w:sz="12" w:space="0" w:color="auto"/>
            </w:tcBorders>
          </w:tcPr>
          <w:p w14:paraId="278071E2" w14:textId="77777777" w:rsidR="005061E6" w:rsidRPr="009D258A" w:rsidRDefault="005061E6">
            <w:pPr>
              <w:ind w:right="-29"/>
              <w:jc w:val="center"/>
              <w:rPr>
                <w:noProof/>
                <w:sz w:val="18"/>
                <w:szCs w:val="18"/>
              </w:rPr>
            </w:pPr>
          </w:p>
        </w:tc>
        <w:tc>
          <w:tcPr>
            <w:tcW w:w="540" w:type="dxa"/>
            <w:tcBorders>
              <w:bottom w:val="single" w:sz="12" w:space="0" w:color="auto"/>
            </w:tcBorders>
          </w:tcPr>
          <w:p w14:paraId="059DA9E5" w14:textId="77777777" w:rsidR="005061E6" w:rsidRPr="009D258A" w:rsidRDefault="005061E6">
            <w:pPr>
              <w:ind w:right="-29"/>
              <w:jc w:val="center"/>
              <w:rPr>
                <w:noProof/>
                <w:sz w:val="18"/>
                <w:szCs w:val="18"/>
              </w:rPr>
            </w:pPr>
          </w:p>
        </w:tc>
        <w:tc>
          <w:tcPr>
            <w:tcW w:w="720" w:type="dxa"/>
            <w:tcBorders>
              <w:bottom w:val="single" w:sz="12" w:space="0" w:color="auto"/>
            </w:tcBorders>
          </w:tcPr>
          <w:p w14:paraId="0C8B71EA" w14:textId="77777777" w:rsidR="005061E6" w:rsidRPr="009D258A" w:rsidRDefault="005061E6">
            <w:pPr>
              <w:ind w:right="-29"/>
              <w:jc w:val="center"/>
              <w:rPr>
                <w:noProof/>
                <w:sz w:val="18"/>
                <w:szCs w:val="18"/>
              </w:rPr>
            </w:pPr>
          </w:p>
        </w:tc>
        <w:tc>
          <w:tcPr>
            <w:tcW w:w="720" w:type="dxa"/>
            <w:tcBorders>
              <w:bottom w:val="single" w:sz="12" w:space="0" w:color="auto"/>
            </w:tcBorders>
          </w:tcPr>
          <w:p w14:paraId="5C9DC891" w14:textId="77777777" w:rsidR="005061E6" w:rsidRPr="009D258A" w:rsidRDefault="005061E6">
            <w:pPr>
              <w:ind w:right="-29"/>
              <w:jc w:val="center"/>
              <w:rPr>
                <w:noProof/>
                <w:sz w:val="18"/>
                <w:szCs w:val="18"/>
              </w:rPr>
            </w:pPr>
          </w:p>
        </w:tc>
        <w:tc>
          <w:tcPr>
            <w:tcW w:w="900" w:type="dxa"/>
            <w:tcBorders>
              <w:bottom w:val="single" w:sz="12" w:space="0" w:color="auto"/>
            </w:tcBorders>
          </w:tcPr>
          <w:p w14:paraId="2C24431C" w14:textId="77777777" w:rsidR="005061E6" w:rsidRPr="009D258A" w:rsidRDefault="005061E6">
            <w:pPr>
              <w:ind w:right="-29"/>
              <w:jc w:val="center"/>
              <w:rPr>
                <w:noProof/>
                <w:sz w:val="18"/>
                <w:szCs w:val="18"/>
              </w:rPr>
            </w:pPr>
          </w:p>
        </w:tc>
      </w:tr>
      <w:tr w:rsidR="005061E6" w:rsidRPr="009D258A" w14:paraId="7EF87810" w14:textId="77777777">
        <w:trPr>
          <w:jc w:val="center"/>
        </w:trPr>
        <w:tc>
          <w:tcPr>
            <w:tcW w:w="2844" w:type="dxa"/>
            <w:gridSpan w:val="3"/>
            <w:tcBorders>
              <w:top w:val="single" w:sz="12" w:space="0" w:color="auto"/>
              <w:left w:val="single" w:sz="12" w:space="0" w:color="auto"/>
              <w:bottom w:val="single" w:sz="12" w:space="0" w:color="auto"/>
            </w:tcBorders>
            <w:vAlign w:val="center"/>
          </w:tcPr>
          <w:p w14:paraId="61A5EAE4" w14:textId="77777777" w:rsidR="005061E6" w:rsidRPr="009D258A" w:rsidRDefault="005061E6">
            <w:pPr>
              <w:ind w:right="-29"/>
              <w:jc w:val="center"/>
              <w:rPr>
                <w:noProof/>
                <w:sz w:val="18"/>
                <w:szCs w:val="18"/>
              </w:rPr>
            </w:pPr>
            <w:r w:rsidRPr="009D258A">
              <w:rPr>
                <w:b/>
                <w:noProof/>
                <w:sz w:val="18"/>
              </w:rPr>
              <w:t>KAIKKI YHTEENSÄ</w:t>
            </w:r>
          </w:p>
        </w:tc>
        <w:tc>
          <w:tcPr>
            <w:tcW w:w="504" w:type="dxa"/>
            <w:tcBorders>
              <w:top w:val="single" w:sz="12" w:space="0" w:color="auto"/>
              <w:bottom w:val="single" w:sz="12" w:space="0" w:color="auto"/>
            </w:tcBorders>
          </w:tcPr>
          <w:p w14:paraId="35311C06" w14:textId="77777777" w:rsidR="005061E6" w:rsidRPr="009D258A" w:rsidRDefault="005061E6">
            <w:pPr>
              <w:spacing w:before="180" w:after="180"/>
              <w:ind w:right="-29"/>
              <w:jc w:val="center"/>
              <w:rPr>
                <w:noProof/>
                <w:sz w:val="18"/>
                <w:szCs w:val="18"/>
              </w:rPr>
            </w:pPr>
          </w:p>
        </w:tc>
        <w:tc>
          <w:tcPr>
            <w:tcW w:w="720" w:type="dxa"/>
            <w:tcBorders>
              <w:top w:val="single" w:sz="12" w:space="0" w:color="auto"/>
              <w:bottom w:val="single" w:sz="12" w:space="0" w:color="auto"/>
            </w:tcBorders>
          </w:tcPr>
          <w:p w14:paraId="380CDAF0" w14:textId="77777777" w:rsidR="005061E6" w:rsidRPr="009D258A" w:rsidRDefault="005061E6">
            <w:pPr>
              <w:spacing w:before="180" w:after="180"/>
              <w:ind w:right="-29"/>
              <w:jc w:val="center"/>
              <w:rPr>
                <w:noProof/>
                <w:sz w:val="18"/>
                <w:szCs w:val="18"/>
              </w:rPr>
            </w:pPr>
          </w:p>
        </w:tc>
        <w:tc>
          <w:tcPr>
            <w:tcW w:w="540" w:type="dxa"/>
            <w:tcBorders>
              <w:top w:val="single" w:sz="12" w:space="0" w:color="auto"/>
              <w:bottom w:val="single" w:sz="12" w:space="0" w:color="auto"/>
            </w:tcBorders>
          </w:tcPr>
          <w:p w14:paraId="6037EAF9" w14:textId="77777777" w:rsidR="005061E6" w:rsidRPr="009D258A" w:rsidRDefault="005061E6">
            <w:pPr>
              <w:spacing w:before="180" w:after="180"/>
              <w:ind w:right="-29"/>
              <w:jc w:val="center"/>
              <w:rPr>
                <w:noProof/>
                <w:sz w:val="18"/>
                <w:szCs w:val="18"/>
              </w:rPr>
            </w:pPr>
          </w:p>
        </w:tc>
        <w:tc>
          <w:tcPr>
            <w:tcW w:w="720" w:type="dxa"/>
            <w:tcBorders>
              <w:top w:val="single" w:sz="12" w:space="0" w:color="auto"/>
              <w:bottom w:val="single" w:sz="12" w:space="0" w:color="auto"/>
            </w:tcBorders>
          </w:tcPr>
          <w:p w14:paraId="5C3E3EBA" w14:textId="77777777" w:rsidR="005061E6" w:rsidRPr="009D258A" w:rsidRDefault="005061E6">
            <w:pPr>
              <w:spacing w:before="180" w:after="180"/>
              <w:ind w:right="-29"/>
              <w:jc w:val="center"/>
              <w:rPr>
                <w:noProof/>
                <w:sz w:val="18"/>
                <w:szCs w:val="18"/>
              </w:rPr>
            </w:pPr>
          </w:p>
        </w:tc>
        <w:tc>
          <w:tcPr>
            <w:tcW w:w="720" w:type="dxa"/>
            <w:tcBorders>
              <w:top w:val="single" w:sz="12" w:space="0" w:color="auto"/>
              <w:bottom w:val="single" w:sz="12" w:space="0" w:color="auto"/>
            </w:tcBorders>
          </w:tcPr>
          <w:p w14:paraId="5AF95177" w14:textId="77777777" w:rsidR="005061E6" w:rsidRPr="009D258A" w:rsidRDefault="005061E6">
            <w:pPr>
              <w:spacing w:before="180" w:after="180"/>
              <w:ind w:right="-29"/>
              <w:jc w:val="center"/>
              <w:rPr>
                <w:noProof/>
                <w:sz w:val="18"/>
                <w:szCs w:val="18"/>
              </w:rPr>
            </w:pPr>
          </w:p>
        </w:tc>
        <w:tc>
          <w:tcPr>
            <w:tcW w:w="720" w:type="dxa"/>
            <w:tcBorders>
              <w:top w:val="single" w:sz="12" w:space="0" w:color="auto"/>
              <w:bottom w:val="single" w:sz="12" w:space="0" w:color="auto"/>
            </w:tcBorders>
          </w:tcPr>
          <w:p w14:paraId="29B731A7" w14:textId="77777777" w:rsidR="005061E6" w:rsidRPr="009D258A" w:rsidRDefault="005061E6">
            <w:pPr>
              <w:spacing w:before="180" w:after="180"/>
              <w:ind w:right="-29"/>
              <w:jc w:val="center"/>
              <w:rPr>
                <w:noProof/>
                <w:sz w:val="18"/>
                <w:szCs w:val="18"/>
              </w:rPr>
            </w:pPr>
          </w:p>
        </w:tc>
        <w:tc>
          <w:tcPr>
            <w:tcW w:w="900" w:type="dxa"/>
            <w:tcBorders>
              <w:top w:val="single" w:sz="12" w:space="0" w:color="auto"/>
              <w:bottom w:val="single" w:sz="12" w:space="0" w:color="auto"/>
            </w:tcBorders>
          </w:tcPr>
          <w:p w14:paraId="73F88AF6" w14:textId="77777777" w:rsidR="005061E6" w:rsidRPr="009D258A" w:rsidRDefault="005061E6">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20F80185" w14:textId="77777777" w:rsidR="005061E6" w:rsidRPr="009D258A" w:rsidRDefault="005061E6">
            <w:pPr>
              <w:spacing w:before="180" w:after="180"/>
              <w:ind w:right="-29"/>
              <w:jc w:val="center"/>
              <w:rPr>
                <w:noProof/>
                <w:sz w:val="18"/>
                <w:szCs w:val="18"/>
              </w:rPr>
            </w:pPr>
          </w:p>
        </w:tc>
        <w:tc>
          <w:tcPr>
            <w:tcW w:w="540" w:type="dxa"/>
            <w:tcBorders>
              <w:top w:val="single" w:sz="12" w:space="0" w:color="auto"/>
              <w:bottom w:val="single" w:sz="12" w:space="0" w:color="auto"/>
            </w:tcBorders>
          </w:tcPr>
          <w:p w14:paraId="655F126C" w14:textId="77777777" w:rsidR="005061E6" w:rsidRPr="009D258A" w:rsidRDefault="005061E6">
            <w:pPr>
              <w:spacing w:before="180" w:after="180"/>
              <w:ind w:right="-29"/>
              <w:jc w:val="center"/>
              <w:rPr>
                <w:noProof/>
                <w:sz w:val="18"/>
                <w:szCs w:val="18"/>
              </w:rPr>
            </w:pPr>
          </w:p>
        </w:tc>
        <w:tc>
          <w:tcPr>
            <w:tcW w:w="648" w:type="dxa"/>
            <w:tcBorders>
              <w:top w:val="single" w:sz="12" w:space="0" w:color="auto"/>
              <w:bottom w:val="single" w:sz="12" w:space="0" w:color="auto"/>
            </w:tcBorders>
          </w:tcPr>
          <w:p w14:paraId="0B52A18A" w14:textId="77777777" w:rsidR="005061E6" w:rsidRPr="009D258A" w:rsidRDefault="005061E6">
            <w:pPr>
              <w:spacing w:before="180" w:after="180"/>
              <w:ind w:right="-29"/>
              <w:jc w:val="center"/>
              <w:rPr>
                <w:noProof/>
                <w:sz w:val="18"/>
                <w:szCs w:val="18"/>
              </w:rPr>
            </w:pPr>
          </w:p>
        </w:tc>
        <w:tc>
          <w:tcPr>
            <w:tcW w:w="432" w:type="dxa"/>
            <w:tcBorders>
              <w:top w:val="single" w:sz="12" w:space="0" w:color="auto"/>
              <w:bottom w:val="single" w:sz="12" w:space="0" w:color="auto"/>
            </w:tcBorders>
          </w:tcPr>
          <w:p w14:paraId="7C0BD89C" w14:textId="77777777" w:rsidR="005061E6" w:rsidRPr="009D258A" w:rsidRDefault="005061E6">
            <w:pPr>
              <w:spacing w:before="180" w:after="180"/>
              <w:ind w:right="-29"/>
              <w:jc w:val="center"/>
              <w:rPr>
                <w:noProof/>
                <w:sz w:val="18"/>
                <w:szCs w:val="18"/>
              </w:rPr>
            </w:pPr>
          </w:p>
        </w:tc>
        <w:tc>
          <w:tcPr>
            <w:tcW w:w="720" w:type="dxa"/>
            <w:tcBorders>
              <w:top w:val="single" w:sz="12" w:space="0" w:color="auto"/>
              <w:bottom w:val="single" w:sz="12" w:space="0" w:color="auto"/>
            </w:tcBorders>
          </w:tcPr>
          <w:p w14:paraId="6D81E2B0" w14:textId="77777777" w:rsidR="005061E6" w:rsidRPr="009D258A" w:rsidRDefault="005061E6">
            <w:pPr>
              <w:spacing w:before="180" w:after="180"/>
              <w:ind w:right="-29"/>
              <w:jc w:val="center"/>
              <w:rPr>
                <w:noProof/>
                <w:sz w:val="18"/>
                <w:szCs w:val="18"/>
              </w:rPr>
            </w:pPr>
          </w:p>
        </w:tc>
        <w:tc>
          <w:tcPr>
            <w:tcW w:w="540" w:type="dxa"/>
            <w:tcBorders>
              <w:top w:val="single" w:sz="12" w:space="0" w:color="auto"/>
              <w:bottom w:val="single" w:sz="12" w:space="0" w:color="auto"/>
            </w:tcBorders>
          </w:tcPr>
          <w:p w14:paraId="2AE26A42" w14:textId="77777777" w:rsidR="005061E6" w:rsidRPr="009D258A" w:rsidRDefault="005061E6">
            <w:pPr>
              <w:spacing w:before="180" w:after="180"/>
              <w:ind w:right="-29"/>
              <w:jc w:val="center"/>
              <w:rPr>
                <w:noProof/>
                <w:sz w:val="18"/>
                <w:szCs w:val="18"/>
              </w:rPr>
            </w:pPr>
          </w:p>
        </w:tc>
        <w:tc>
          <w:tcPr>
            <w:tcW w:w="720" w:type="dxa"/>
            <w:tcBorders>
              <w:top w:val="single" w:sz="12" w:space="0" w:color="auto"/>
              <w:bottom w:val="single" w:sz="12" w:space="0" w:color="auto"/>
            </w:tcBorders>
          </w:tcPr>
          <w:p w14:paraId="4B13243E" w14:textId="77777777" w:rsidR="005061E6" w:rsidRPr="009D258A" w:rsidRDefault="005061E6">
            <w:pPr>
              <w:spacing w:before="180" w:after="180"/>
              <w:ind w:right="-29"/>
              <w:jc w:val="center"/>
              <w:rPr>
                <w:noProof/>
                <w:sz w:val="18"/>
                <w:szCs w:val="18"/>
              </w:rPr>
            </w:pPr>
          </w:p>
        </w:tc>
        <w:tc>
          <w:tcPr>
            <w:tcW w:w="720" w:type="dxa"/>
            <w:tcBorders>
              <w:top w:val="single" w:sz="12" w:space="0" w:color="auto"/>
              <w:bottom w:val="single" w:sz="12" w:space="0" w:color="auto"/>
            </w:tcBorders>
          </w:tcPr>
          <w:p w14:paraId="38623631" w14:textId="77777777" w:rsidR="005061E6" w:rsidRPr="009D258A" w:rsidRDefault="005061E6">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2AC5BD36" w14:textId="77777777" w:rsidR="005061E6" w:rsidRPr="009D258A" w:rsidRDefault="005061E6">
            <w:pPr>
              <w:spacing w:before="180" w:after="180"/>
              <w:ind w:right="-29"/>
              <w:jc w:val="center"/>
              <w:rPr>
                <w:noProof/>
                <w:sz w:val="18"/>
                <w:szCs w:val="18"/>
              </w:rPr>
            </w:pPr>
          </w:p>
        </w:tc>
      </w:tr>
    </w:tbl>
    <w:p w14:paraId="1D22E78A" w14:textId="77777777" w:rsidR="005061E6" w:rsidRPr="009D258A" w:rsidRDefault="005061E6" w:rsidP="005061E6">
      <w:pPr>
        <w:rPr>
          <w:noProof/>
        </w:rPr>
        <w:sectPr w:rsidR="005061E6" w:rsidRPr="009D258A" w:rsidSect="0053045F">
          <w:headerReference w:type="default" r:id="rId19"/>
          <w:footerReference w:type="default" r:id="rId20"/>
          <w:pgSz w:w="16840" w:h="11907" w:orient="landscape" w:code="9"/>
          <w:pgMar w:top="1134" w:right="1418" w:bottom="567" w:left="1418" w:header="709" w:footer="709" w:gutter="0"/>
          <w:cols w:space="708"/>
          <w:docGrid w:linePitch="360"/>
        </w:sectPr>
      </w:pPr>
    </w:p>
    <w:p w14:paraId="5F1957FF" w14:textId="77777777" w:rsidR="005061E6" w:rsidRPr="009D258A" w:rsidRDefault="005061E6" w:rsidP="005061E6">
      <w:pPr>
        <w:pStyle w:val="ManualHeading3"/>
        <w:rPr>
          <w:bCs/>
          <w:noProof/>
          <w:szCs w:val="24"/>
        </w:rPr>
      </w:pPr>
      <w:bookmarkStart w:id="23" w:name="_Toc514938055"/>
      <w:bookmarkStart w:id="24" w:name="_Toc520485054"/>
      <w:bookmarkStart w:id="25" w:name="_Toc160804598"/>
      <w:bookmarkStart w:id="26" w:name="_Toc167220290"/>
      <w:bookmarkStart w:id="27" w:name="_Toc177549023"/>
      <w:r w:rsidRPr="009D258A">
        <w:rPr>
          <w:noProof/>
        </w:rPr>
        <w:t>3.2.3.</w:t>
      </w:r>
      <w:r w:rsidRPr="009D258A">
        <w:rPr>
          <w:noProof/>
        </w:rPr>
        <w:tab/>
        <w:t>Yhteenveto arvioiduista vaikutuksista hallintomäärärahoihin</w:t>
      </w:r>
      <w:bookmarkEnd w:id="23"/>
      <w:bookmarkEnd w:id="24"/>
      <w:bookmarkEnd w:id="25"/>
      <w:bookmarkEnd w:id="26"/>
      <w:bookmarkEnd w:id="27"/>
      <w:r w:rsidRPr="009D258A">
        <w:rPr>
          <w:noProof/>
        </w:rPr>
        <w:t xml:space="preserve"> </w:t>
      </w:r>
    </w:p>
    <w:p w14:paraId="6A51BAAF" w14:textId="77777777" w:rsidR="005061E6" w:rsidRPr="009D258A" w:rsidRDefault="005061E6" w:rsidP="005061E6">
      <w:pPr>
        <w:pStyle w:val="ListDash1"/>
        <w:rPr>
          <w:noProof/>
        </w:rPr>
      </w:pPr>
      <w:r w:rsidRPr="009D258A">
        <w:rPr>
          <w:rFonts w:ascii="Wingdings" w:hAnsi="Wingdings"/>
          <w:noProof/>
        </w:rPr>
        <w:t></w:t>
      </w:r>
      <w:r w:rsidRPr="009D258A">
        <w:rPr>
          <w:noProof/>
        </w:rPr>
        <w:tab/>
        <w:t xml:space="preserve">Ehdotus/aloite ei edellytä hallintomäärärahoja. </w:t>
      </w:r>
    </w:p>
    <w:p w14:paraId="5C73BEBD" w14:textId="77777777" w:rsidR="005061E6" w:rsidRPr="009D258A" w:rsidRDefault="005061E6" w:rsidP="005061E6">
      <w:pPr>
        <w:pStyle w:val="ListDash1"/>
        <w:rPr>
          <w:noProof/>
        </w:rPr>
      </w:pPr>
      <w:r w:rsidRPr="009D258A">
        <w:rPr>
          <w:rFonts w:ascii="Wingdings" w:hAnsi="Wingdings"/>
          <w:noProof/>
        </w:rPr>
        <w:t></w:t>
      </w:r>
      <w:r w:rsidRPr="009D258A">
        <w:rPr>
          <w:noProof/>
        </w:rPr>
        <w:tab/>
        <w:t>Ehdotus/aloite edellyttää hallintomäärärahoja seuraavasti:</w:t>
      </w:r>
    </w:p>
    <w:p w14:paraId="5F693977" w14:textId="77777777" w:rsidR="005061E6" w:rsidRPr="009D258A" w:rsidRDefault="005061E6" w:rsidP="005061E6">
      <w:pPr>
        <w:pStyle w:val="ManualHeading3"/>
        <w:rPr>
          <w:noProof/>
        </w:rPr>
      </w:pPr>
      <w:bookmarkStart w:id="28" w:name="_Toc167220291"/>
      <w:bookmarkStart w:id="29" w:name="_Toc177549024"/>
      <w:r w:rsidRPr="009D258A">
        <w:rPr>
          <w:noProof/>
        </w:rPr>
        <w:t>3.2.3.1. Hyväksytystä talousarviosta peräisin olevat määrärahat</w:t>
      </w:r>
      <w:bookmarkEnd w:id="28"/>
      <w:bookmarkEnd w:id="29"/>
    </w:p>
    <w:p w14:paraId="62CE7E25" w14:textId="77777777" w:rsidR="003F3A5E" w:rsidRPr="009D258A" w:rsidRDefault="003F3A5E" w:rsidP="003F3A5E">
      <w:pPr>
        <w:pStyle w:val="Text1"/>
        <w:rPr>
          <w:noProof/>
        </w:rPr>
      </w:pPr>
      <w:r w:rsidRPr="009D258A">
        <w:rPr>
          <w:noProof/>
        </w:rPr>
        <w:t>[</w:t>
      </w:r>
    </w:p>
    <w:tbl>
      <w:tblPr>
        <w:tblW w:w="5000" w:type="pct"/>
        <w:tblLook w:val="04A0" w:firstRow="1" w:lastRow="0" w:firstColumn="1" w:lastColumn="0" w:noHBand="0" w:noVBand="1"/>
      </w:tblPr>
      <w:tblGrid>
        <w:gridCol w:w="6410"/>
        <w:gridCol w:w="1635"/>
        <w:gridCol w:w="1635"/>
        <w:gridCol w:w="1635"/>
        <w:gridCol w:w="1635"/>
        <w:gridCol w:w="1837"/>
      </w:tblGrid>
      <w:tr w:rsidR="005061E6" w:rsidRPr="009D258A" w14:paraId="1A0F0220" w14:textId="77777777">
        <w:trPr>
          <w:trHeight w:val="300"/>
        </w:trPr>
        <w:tc>
          <w:tcPr>
            <w:tcW w:w="2167" w:type="pct"/>
            <w:vMerge w:val="restart"/>
            <w:tcBorders>
              <w:top w:val="single" w:sz="8" w:space="0" w:color="auto"/>
              <w:left w:val="single" w:sz="8" w:space="0" w:color="auto"/>
              <w:bottom w:val="single" w:sz="8" w:space="0" w:color="auto"/>
              <w:right w:val="single" w:sz="8" w:space="0" w:color="auto"/>
            </w:tcBorders>
            <w:vAlign w:val="center"/>
            <w:hideMark/>
          </w:tcPr>
          <w:p w14:paraId="26CA2B35" w14:textId="77777777" w:rsidR="005061E6" w:rsidRPr="009D258A" w:rsidRDefault="005061E6">
            <w:pPr>
              <w:spacing w:before="0" w:after="0"/>
              <w:jc w:val="center"/>
              <w:rPr>
                <w:b/>
                <w:bCs/>
                <w:noProof/>
                <w:color w:val="000000"/>
                <w:sz w:val="18"/>
                <w:szCs w:val="18"/>
              </w:rPr>
            </w:pPr>
            <w:r w:rsidRPr="009D258A">
              <w:rPr>
                <w:b/>
                <w:noProof/>
                <w:color w:val="000000"/>
                <w:sz w:val="18"/>
              </w:rPr>
              <w:t>HYVÄKSYTYT MÄÄRÄRAHAT</w:t>
            </w:r>
          </w:p>
        </w:tc>
        <w:tc>
          <w:tcPr>
            <w:tcW w:w="553" w:type="pct"/>
            <w:tcBorders>
              <w:top w:val="single" w:sz="8" w:space="0" w:color="auto"/>
              <w:left w:val="nil"/>
              <w:bottom w:val="single" w:sz="8" w:space="0" w:color="auto"/>
              <w:right w:val="single" w:sz="8" w:space="0" w:color="auto"/>
            </w:tcBorders>
            <w:vAlign w:val="center"/>
            <w:hideMark/>
          </w:tcPr>
          <w:p w14:paraId="34E85AF5" w14:textId="77777777" w:rsidR="005061E6" w:rsidRPr="009D258A" w:rsidRDefault="005061E6">
            <w:pPr>
              <w:spacing w:before="0" w:after="0"/>
              <w:jc w:val="center"/>
              <w:rPr>
                <w:noProof/>
                <w:color w:val="000000"/>
                <w:sz w:val="18"/>
                <w:szCs w:val="18"/>
              </w:rPr>
            </w:pPr>
            <w:r w:rsidRPr="009D258A">
              <w:rPr>
                <w:noProof/>
                <w:color w:val="000000"/>
                <w:sz w:val="18"/>
              </w:rPr>
              <w:t>Vuosi</w:t>
            </w:r>
          </w:p>
        </w:tc>
        <w:tc>
          <w:tcPr>
            <w:tcW w:w="553" w:type="pct"/>
            <w:tcBorders>
              <w:top w:val="single" w:sz="8" w:space="0" w:color="auto"/>
              <w:left w:val="nil"/>
              <w:bottom w:val="single" w:sz="8" w:space="0" w:color="auto"/>
              <w:right w:val="single" w:sz="8" w:space="0" w:color="auto"/>
            </w:tcBorders>
            <w:vAlign w:val="center"/>
            <w:hideMark/>
          </w:tcPr>
          <w:p w14:paraId="50F64684" w14:textId="77777777" w:rsidR="005061E6" w:rsidRPr="009D258A" w:rsidRDefault="005061E6">
            <w:pPr>
              <w:spacing w:before="0" w:after="0"/>
              <w:jc w:val="center"/>
              <w:rPr>
                <w:noProof/>
                <w:color w:val="000000"/>
                <w:sz w:val="18"/>
                <w:szCs w:val="18"/>
              </w:rPr>
            </w:pPr>
            <w:r w:rsidRPr="009D258A">
              <w:rPr>
                <w:noProof/>
                <w:color w:val="000000"/>
                <w:sz w:val="18"/>
              </w:rPr>
              <w:t>Vuosi</w:t>
            </w:r>
          </w:p>
        </w:tc>
        <w:tc>
          <w:tcPr>
            <w:tcW w:w="553" w:type="pct"/>
            <w:tcBorders>
              <w:top w:val="single" w:sz="8" w:space="0" w:color="auto"/>
              <w:left w:val="nil"/>
              <w:bottom w:val="single" w:sz="8" w:space="0" w:color="auto"/>
              <w:right w:val="single" w:sz="8" w:space="0" w:color="auto"/>
            </w:tcBorders>
            <w:vAlign w:val="center"/>
            <w:hideMark/>
          </w:tcPr>
          <w:p w14:paraId="12FC03CF" w14:textId="77777777" w:rsidR="005061E6" w:rsidRPr="009D258A" w:rsidRDefault="005061E6">
            <w:pPr>
              <w:spacing w:before="0" w:after="0"/>
              <w:jc w:val="center"/>
              <w:rPr>
                <w:noProof/>
                <w:color w:val="000000"/>
                <w:sz w:val="18"/>
                <w:szCs w:val="18"/>
              </w:rPr>
            </w:pPr>
            <w:r w:rsidRPr="009D258A">
              <w:rPr>
                <w:noProof/>
                <w:color w:val="000000"/>
                <w:sz w:val="18"/>
              </w:rPr>
              <w:t>Vuosi</w:t>
            </w:r>
          </w:p>
        </w:tc>
        <w:tc>
          <w:tcPr>
            <w:tcW w:w="553" w:type="pct"/>
            <w:tcBorders>
              <w:top w:val="single" w:sz="8" w:space="0" w:color="auto"/>
              <w:left w:val="nil"/>
              <w:bottom w:val="single" w:sz="8" w:space="0" w:color="auto"/>
              <w:right w:val="single" w:sz="8" w:space="0" w:color="auto"/>
            </w:tcBorders>
            <w:vAlign w:val="center"/>
            <w:hideMark/>
          </w:tcPr>
          <w:p w14:paraId="692AC51C" w14:textId="77777777" w:rsidR="005061E6" w:rsidRPr="009D258A" w:rsidRDefault="005061E6">
            <w:pPr>
              <w:spacing w:before="0" w:after="0"/>
              <w:jc w:val="center"/>
              <w:rPr>
                <w:noProof/>
                <w:color w:val="000000"/>
                <w:sz w:val="18"/>
                <w:szCs w:val="18"/>
              </w:rPr>
            </w:pPr>
            <w:r w:rsidRPr="009D258A">
              <w:rPr>
                <w:noProof/>
                <w:color w:val="000000"/>
                <w:sz w:val="18"/>
              </w:rPr>
              <w:t>Vuosi</w:t>
            </w:r>
          </w:p>
        </w:tc>
        <w:tc>
          <w:tcPr>
            <w:tcW w:w="622" w:type="pct"/>
            <w:vMerge w:val="restart"/>
            <w:tcBorders>
              <w:top w:val="single" w:sz="8" w:space="0" w:color="auto"/>
              <w:left w:val="single" w:sz="8" w:space="0" w:color="auto"/>
              <w:bottom w:val="single" w:sz="8" w:space="0" w:color="auto"/>
              <w:right w:val="single" w:sz="8" w:space="0" w:color="auto"/>
            </w:tcBorders>
            <w:vAlign w:val="center"/>
            <w:hideMark/>
          </w:tcPr>
          <w:p w14:paraId="28D8A3C2" w14:textId="77777777" w:rsidR="005061E6" w:rsidRPr="009D258A" w:rsidRDefault="005061E6">
            <w:pPr>
              <w:spacing w:before="0" w:after="0"/>
              <w:jc w:val="center"/>
              <w:rPr>
                <w:b/>
                <w:bCs/>
                <w:noProof/>
                <w:color w:val="000000"/>
                <w:sz w:val="18"/>
                <w:szCs w:val="18"/>
              </w:rPr>
            </w:pPr>
            <w:r w:rsidRPr="009D258A">
              <w:rPr>
                <w:b/>
                <w:noProof/>
                <w:color w:val="000000"/>
                <w:sz w:val="18"/>
              </w:rPr>
              <w:t>YHTEENSÄ 2021–2027</w:t>
            </w:r>
          </w:p>
        </w:tc>
      </w:tr>
      <w:tr w:rsidR="005061E6" w:rsidRPr="009D258A" w14:paraId="6673D51D" w14:textId="77777777">
        <w:trPr>
          <w:trHeight w:val="300"/>
        </w:trPr>
        <w:tc>
          <w:tcPr>
            <w:tcW w:w="2167" w:type="pct"/>
            <w:vMerge/>
            <w:vAlign w:val="center"/>
            <w:hideMark/>
          </w:tcPr>
          <w:p w14:paraId="4CD14563" w14:textId="77777777" w:rsidR="005061E6" w:rsidRPr="009D258A" w:rsidRDefault="005061E6">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vAlign w:val="center"/>
            <w:hideMark/>
          </w:tcPr>
          <w:p w14:paraId="135FD6E9" w14:textId="77777777" w:rsidR="005061E6" w:rsidRPr="009D258A" w:rsidRDefault="005061E6">
            <w:pPr>
              <w:spacing w:before="0" w:after="0"/>
              <w:jc w:val="center"/>
              <w:rPr>
                <w:b/>
                <w:bCs/>
                <w:noProof/>
                <w:color w:val="000000"/>
                <w:sz w:val="18"/>
                <w:szCs w:val="18"/>
              </w:rPr>
            </w:pPr>
            <w:r w:rsidRPr="009D258A">
              <w:rPr>
                <w:b/>
                <w:noProof/>
                <w:color w:val="000000"/>
                <w:sz w:val="18"/>
              </w:rPr>
              <w:t>2024</w:t>
            </w:r>
          </w:p>
        </w:tc>
        <w:tc>
          <w:tcPr>
            <w:tcW w:w="553" w:type="pct"/>
            <w:tcBorders>
              <w:top w:val="nil"/>
              <w:left w:val="nil"/>
              <w:bottom w:val="single" w:sz="8" w:space="0" w:color="auto"/>
              <w:right w:val="single" w:sz="8" w:space="0" w:color="auto"/>
            </w:tcBorders>
            <w:vAlign w:val="center"/>
            <w:hideMark/>
          </w:tcPr>
          <w:p w14:paraId="5EC46A5B" w14:textId="77777777" w:rsidR="005061E6" w:rsidRPr="009D258A" w:rsidRDefault="005061E6">
            <w:pPr>
              <w:spacing w:before="0" w:after="0"/>
              <w:jc w:val="center"/>
              <w:rPr>
                <w:b/>
                <w:bCs/>
                <w:noProof/>
                <w:color w:val="000000"/>
                <w:sz w:val="18"/>
                <w:szCs w:val="18"/>
              </w:rPr>
            </w:pPr>
            <w:r w:rsidRPr="009D258A">
              <w:rPr>
                <w:b/>
                <w:noProof/>
                <w:color w:val="000000"/>
                <w:sz w:val="18"/>
              </w:rPr>
              <w:t>2025</w:t>
            </w:r>
          </w:p>
        </w:tc>
        <w:tc>
          <w:tcPr>
            <w:tcW w:w="553" w:type="pct"/>
            <w:tcBorders>
              <w:top w:val="nil"/>
              <w:left w:val="nil"/>
              <w:bottom w:val="single" w:sz="8" w:space="0" w:color="auto"/>
              <w:right w:val="single" w:sz="8" w:space="0" w:color="auto"/>
            </w:tcBorders>
            <w:vAlign w:val="center"/>
            <w:hideMark/>
          </w:tcPr>
          <w:p w14:paraId="30310A5D" w14:textId="77777777" w:rsidR="005061E6" w:rsidRPr="009D258A" w:rsidRDefault="005061E6">
            <w:pPr>
              <w:spacing w:before="0" w:after="0"/>
              <w:jc w:val="center"/>
              <w:rPr>
                <w:b/>
                <w:bCs/>
                <w:noProof/>
                <w:color w:val="000000"/>
                <w:sz w:val="18"/>
                <w:szCs w:val="18"/>
              </w:rPr>
            </w:pPr>
            <w:r w:rsidRPr="009D258A">
              <w:rPr>
                <w:b/>
                <w:noProof/>
                <w:color w:val="000000"/>
                <w:sz w:val="18"/>
              </w:rPr>
              <w:t>2026</w:t>
            </w:r>
          </w:p>
        </w:tc>
        <w:tc>
          <w:tcPr>
            <w:tcW w:w="553" w:type="pct"/>
            <w:tcBorders>
              <w:top w:val="nil"/>
              <w:left w:val="nil"/>
              <w:bottom w:val="single" w:sz="8" w:space="0" w:color="auto"/>
              <w:right w:val="single" w:sz="8" w:space="0" w:color="auto"/>
            </w:tcBorders>
            <w:vAlign w:val="center"/>
            <w:hideMark/>
          </w:tcPr>
          <w:p w14:paraId="64675B70" w14:textId="77777777" w:rsidR="005061E6" w:rsidRPr="009D258A" w:rsidRDefault="005061E6">
            <w:pPr>
              <w:spacing w:before="0" w:after="0"/>
              <w:jc w:val="center"/>
              <w:rPr>
                <w:b/>
                <w:bCs/>
                <w:noProof/>
                <w:color w:val="000000"/>
                <w:sz w:val="18"/>
                <w:szCs w:val="18"/>
              </w:rPr>
            </w:pPr>
            <w:r w:rsidRPr="009D258A">
              <w:rPr>
                <w:b/>
                <w:noProof/>
                <w:color w:val="000000"/>
                <w:sz w:val="18"/>
              </w:rPr>
              <w:t>2027</w:t>
            </w:r>
          </w:p>
        </w:tc>
        <w:tc>
          <w:tcPr>
            <w:tcW w:w="622" w:type="pct"/>
            <w:vMerge/>
            <w:vAlign w:val="center"/>
            <w:hideMark/>
          </w:tcPr>
          <w:p w14:paraId="6C2BC6BB" w14:textId="77777777" w:rsidR="005061E6" w:rsidRPr="009D258A" w:rsidRDefault="005061E6">
            <w:pPr>
              <w:spacing w:before="0" w:after="0"/>
              <w:jc w:val="left"/>
              <w:rPr>
                <w:b/>
                <w:bCs/>
                <w:noProof/>
                <w:color w:val="000000"/>
                <w:sz w:val="18"/>
                <w:szCs w:val="18"/>
                <w:lang w:eastAsia="en-IE"/>
              </w:rPr>
            </w:pPr>
          </w:p>
        </w:tc>
      </w:tr>
      <w:tr w:rsidR="005061E6" w:rsidRPr="009D258A" w14:paraId="615DB47D"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04C3AA02" w14:textId="77777777" w:rsidR="005061E6" w:rsidRPr="009D258A" w:rsidRDefault="005061E6">
            <w:pPr>
              <w:spacing w:before="0" w:after="0"/>
              <w:jc w:val="left"/>
              <w:rPr>
                <w:b/>
                <w:bCs/>
                <w:noProof/>
                <w:sz w:val="16"/>
                <w:szCs w:val="16"/>
              </w:rPr>
            </w:pPr>
            <w:r w:rsidRPr="009D258A">
              <w:rPr>
                <w:b/>
                <w:noProof/>
                <w:sz w:val="16"/>
              </w:rPr>
              <w:t>OTSAKE 7</w:t>
            </w:r>
          </w:p>
        </w:tc>
      </w:tr>
      <w:tr w:rsidR="005061E6" w:rsidRPr="009D258A" w14:paraId="0B5A8ABF" w14:textId="77777777">
        <w:trPr>
          <w:trHeight w:val="300"/>
        </w:trPr>
        <w:tc>
          <w:tcPr>
            <w:tcW w:w="2167" w:type="pct"/>
            <w:tcBorders>
              <w:top w:val="nil"/>
              <w:left w:val="single" w:sz="8" w:space="0" w:color="auto"/>
              <w:bottom w:val="single" w:sz="8" w:space="0" w:color="auto"/>
              <w:right w:val="single" w:sz="8" w:space="0" w:color="auto"/>
            </w:tcBorders>
            <w:vAlign w:val="center"/>
            <w:hideMark/>
          </w:tcPr>
          <w:p w14:paraId="62E20E3A" w14:textId="77777777" w:rsidR="005061E6" w:rsidRPr="009D258A" w:rsidRDefault="005061E6">
            <w:pPr>
              <w:spacing w:before="0" w:after="0"/>
              <w:jc w:val="left"/>
              <w:rPr>
                <w:noProof/>
                <w:color w:val="000000"/>
                <w:sz w:val="16"/>
                <w:szCs w:val="16"/>
              </w:rPr>
            </w:pPr>
            <w:r w:rsidRPr="009D258A">
              <w:rPr>
                <w:noProof/>
                <w:color w:val="000000"/>
                <w:sz w:val="16"/>
              </w:rPr>
              <w:t xml:space="preserve">Henkilöresurssit </w:t>
            </w:r>
          </w:p>
        </w:tc>
        <w:tc>
          <w:tcPr>
            <w:tcW w:w="553" w:type="pct"/>
            <w:tcBorders>
              <w:top w:val="nil"/>
              <w:left w:val="nil"/>
              <w:bottom w:val="single" w:sz="8" w:space="0" w:color="auto"/>
              <w:right w:val="single" w:sz="8" w:space="0" w:color="auto"/>
            </w:tcBorders>
            <w:shd w:val="clear" w:color="auto" w:fill="D9D9D9" w:themeFill="background1" w:themeFillShade="D9"/>
            <w:vAlign w:val="center"/>
          </w:tcPr>
          <w:p w14:paraId="1548B9B7" w14:textId="77777777" w:rsidR="005061E6" w:rsidRPr="009D258A" w:rsidRDefault="005061E6">
            <w:pPr>
              <w:spacing w:before="0" w:after="0"/>
              <w:jc w:val="right"/>
              <w:rPr>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tcPr>
          <w:p w14:paraId="22095183" w14:textId="77777777" w:rsidR="005061E6" w:rsidRPr="009D258A" w:rsidRDefault="005061E6">
            <w:pPr>
              <w:spacing w:before="0" w:after="0"/>
              <w:jc w:val="right"/>
              <w:rPr>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5A88D2A0" w14:textId="77777777" w:rsidR="005061E6" w:rsidRPr="009D258A" w:rsidRDefault="005061E6">
            <w:pPr>
              <w:spacing w:before="0" w:after="0"/>
              <w:jc w:val="right"/>
              <w:rPr>
                <w:noProof/>
                <w:color w:val="000000"/>
                <w:sz w:val="16"/>
                <w:szCs w:val="16"/>
              </w:rPr>
            </w:pPr>
            <w:r w:rsidRPr="009D258A">
              <w:rPr>
                <w:noProof/>
                <w:color w:val="000000" w:themeColor="text1"/>
                <w:sz w:val="16"/>
              </w:rPr>
              <w:t>0,940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4E051B44" w14:textId="77777777" w:rsidR="005061E6" w:rsidRPr="009D258A" w:rsidRDefault="005061E6">
            <w:pPr>
              <w:spacing w:before="0" w:after="0"/>
              <w:jc w:val="right"/>
              <w:rPr>
                <w:noProof/>
                <w:color w:val="000000"/>
                <w:sz w:val="16"/>
                <w:szCs w:val="16"/>
              </w:rPr>
            </w:pPr>
            <w:r w:rsidRPr="009D258A">
              <w:rPr>
                <w:noProof/>
                <w:color w:val="000000" w:themeColor="text1"/>
                <w:sz w:val="16"/>
              </w:rPr>
              <w:t>0,940</w:t>
            </w:r>
          </w:p>
        </w:tc>
        <w:tc>
          <w:tcPr>
            <w:tcW w:w="622" w:type="pct"/>
            <w:tcBorders>
              <w:top w:val="nil"/>
              <w:left w:val="nil"/>
              <w:bottom w:val="single" w:sz="8" w:space="0" w:color="auto"/>
              <w:right w:val="single" w:sz="8" w:space="0" w:color="auto"/>
            </w:tcBorders>
            <w:shd w:val="clear" w:color="auto" w:fill="D9D9D9" w:themeFill="background1" w:themeFillShade="D9"/>
            <w:vAlign w:val="center"/>
            <w:hideMark/>
          </w:tcPr>
          <w:p w14:paraId="34F3E30F" w14:textId="77777777" w:rsidR="005061E6" w:rsidRPr="009D258A" w:rsidRDefault="005061E6">
            <w:pPr>
              <w:spacing w:before="0" w:after="0"/>
              <w:jc w:val="right"/>
              <w:rPr>
                <w:b/>
                <w:bCs/>
                <w:noProof/>
                <w:color w:val="000000"/>
                <w:sz w:val="16"/>
                <w:szCs w:val="16"/>
              </w:rPr>
            </w:pPr>
            <w:r w:rsidRPr="009D258A">
              <w:rPr>
                <w:b/>
                <w:noProof/>
                <w:color w:val="000000" w:themeColor="text1"/>
                <w:sz w:val="16"/>
              </w:rPr>
              <w:t>1,880</w:t>
            </w:r>
          </w:p>
        </w:tc>
      </w:tr>
      <w:tr w:rsidR="005061E6" w:rsidRPr="009D258A" w14:paraId="075CDD2C" w14:textId="77777777">
        <w:trPr>
          <w:trHeight w:val="300"/>
        </w:trPr>
        <w:tc>
          <w:tcPr>
            <w:tcW w:w="2167" w:type="pct"/>
            <w:tcBorders>
              <w:top w:val="nil"/>
              <w:left w:val="single" w:sz="8" w:space="0" w:color="auto"/>
              <w:bottom w:val="single" w:sz="8" w:space="0" w:color="auto"/>
              <w:right w:val="single" w:sz="8" w:space="0" w:color="auto"/>
            </w:tcBorders>
            <w:vAlign w:val="center"/>
            <w:hideMark/>
          </w:tcPr>
          <w:p w14:paraId="2B898220" w14:textId="77777777" w:rsidR="005061E6" w:rsidRPr="009D258A" w:rsidRDefault="005061E6">
            <w:pPr>
              <w:spacing w:before="0" w:after="0"/>
              <w:jc w:val="left"/>
              <w:rPr>
                <w:noProof/>
                <w:color w:val="000000"/>
                <w:sz w:val="16"/>
                <w:szCs w:val="16"/>
              </w:rPr>
            </w:pPr>
            <w:r w:rsidRPr="009D258A">
              <w:rPr>
                <w:noProof/>
                <w:color w:val="000000"/>
                <w:sz w:val="16"/>
              </w:rPr>
              <w:t xml:space="preserve">Muut hallintomenot </w:t>
            </w:r>
          </w:p>
        </w:tc>
        <w:tc>
          <w:tcPr>
            <w:tcW w:w="553" w:type="pct"/>
            <w:tcBorders>
              <w:top w:val="nil"/>
              <w:left w:val="nil"/>
              <w:bottom w:val="single" w:sz="8" w:space="0" w:color="auto"/>
              <w:right w:val="single" w:sz="8" w:space="0" w:color="auto"/>
            </w:tcBorders>
            <w:shd w:val="clear" w:color="auto" w:fill="D9D9D9" w:themeFill="background1" w:themeFillShade="D9"/>
            <w:vAlign w:val="center"/>
          </w:tcPr>
          <w:p w14:paraId="5551DD11" w14:textId="77777777" w:rsidR="005061E6" w:rsidRPr="009D258A" w:rsidRDefault="005061E6">
            <w:pPr>
              <w:spacing w:before="0" w:after="0"/>
              <w:jc w:val="right"/>
              <w:rPr>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tcPr>
          <w:p w14:paraId="409AAE0B" w14:textId="77777777" w:rsidR="005061E6" w:rsidRPr="009D258A" w:rsidRDefault="005061E6">
            <w:pPr>
              <w:spacing w:before="0" w:after="0"/>
              <w:jc w:val="right"/>
              <w:rPr>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09139FCF" w14:textId="77777777" w:rsidR="005061E6" w:rsidRPr="009D258A" w:rsidRDefault="005061E6">
            <w:pPr>
              <w:spacing w:before="0" w:after="0"/>
              <w:jc w:val="right"/>
              <w:rPr>
                <w:noProof/>
                <w:color w:val="000000"/>
                <w:sz w:val="16"/>
                <w:szCs w:val="16"/>
              </w:rPr>
            </w:pPr>
            <w:r w:rsidRPr="009D258A">
              <w:rPr>
                <w:noProof/>
                <w:color w:val="000000" w:themeColor="text1"/>
                <w:sz w:val="16"/>
              </w:rPr>
              <w:t>0,025</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50E68A6F" w14:textId="77777777" w:rsidR="005061E6" w:rsidRPr="009D258A" w:rsidRDefault="005061E6">
            <w:pPr>
              <w:spacing w:before="0" w:after="0"/>
              <w:jc w:val="right"/>
              <w:rPr>
                <w:noProof/>
                <w:color w:val="000000"/>
                <w:sz w:val="16"/>
                <w:szCs w:val="16"/>
              </w:rPr>
            </w:pPr>
            <w:r w:rsidRPr="009D258A">
              <w:rPr>
                <w:noProof/>
                <w:color w:val="000000" w:themeColor="text1"/>
                <w:sz w:val="16"/>
              </w:rPr>
              <w:t>0,025</w:t>
            </w:r>
          </w:p>
        </w:tc>
        <w:tc>
          <w:tcPr>
            <w:tcW w:w="622" w:type="pct"/>
            <w:tcBorders>
              <w:top w:val="nil"/>
              <w:left w:val="nil"/>
              <w:bottom w:val="single" w:sz="8" w:space="0" w:color="auto"/>
              <w:right w:val="single" w:sz="8" w:space="0" w:color="auto"/>
            </w:tcBorders>
            <w:shd w:val="clear" w:color="auto" w:fill="D9D9D9" w:themeFill="background1" w:themeFillShade="D9"/>
            <w:vAlign w:val="center"/>
            <w:hideMark/>
          </w:tcPr>
          <w:p w14:paraId="3759B40B" w14:textId="77777777" w:rsidR="005061E6" w:rsidRPr="009D258A" w:rsidRDefault="005061E6">
            <w:pPr>
              <w:spacing w:before="0" w:after="0"/>
              <w:jc w:val="right"/>
              <w:rPr>
                <w:b/>
                <w:bCs/>
                <w:noProof/>
                <w:color w:val="000000"/>
                <w:sz w:val="16"/>
                <w:szCs w:val="16"/>
              </w:rPr>
            </w:pPr>
            <w:r w:rsidRPr="009D258A">
              <w:rPr>
                <w:b/>
                <w:noProof/>
                <w:color w:val="000000" w:themeColor="text1"/>
                <w:sz w:val="16"/>
              </w:rPr>
              <w:t>0,050</w:t>
            </w:r>
          </w:p>
        </w:tc>
      </w:tr>
      <w:tr w:rsidR="005061E6" w:rsidRPr="009D258A" w14:paraId="376AC9CE" w14:textId="77777777">
        <w:trPr>
          <w:trHeight w:val="300"/>
        </w:trPr>
        <w:tc>
          <w:tcPr>
            <w:tcW w:w="2167" w:type="pct"/>
            <w:tcBorders>
              <w:top w:val="nil"/>
              <w:left w:val="single" w:sz="8" w:space="0" w:color="auto"/>
              <w:bottom w:val="single" w:sz="8" w:space="0" w:color="auto"/>
              <w:right w:val="single" w:sz="8" w:space="0" w:color="auto"/>
            </w:tcBorders>
            <w:shd w:val="clear" w:color="auto" w:fill="CCCCCC"/>
            <w:vAlign w:val="center"/>
            <w:hideMark/>
          </w:tcPr>
          <w:p w14:paraId="109D85ED" w14:textId="77777777" w:rsidR="005061E6" w:rsidRPr="009D258A" w:rsidRDefault="005061E6">
            <w:pPr>
              <w:spacing w:before="0" w:after="0"/>
              <w:jc w:val="center"/>
              <w:rPr>
                <w:b/>
                <w:bCs/>
                <w:noProof/>
                <w:color w:val="000000"/>
                <w:sz w:val="16"/>
                <w:szCs w:val="16"/>
              </w:rPr>
            </w:pPr>
            <w:r w:rsidRPr="009D258A">
              <w:rPr>
                <w:b/>
                <w:noProof/>
                <w:color w:val="000000"/>
                <w:sz w:val="16"/>
              </w:rPr>
              <w:t>OTSAKE 7, välisumma</w:t>
            </w:r>
          </w:p>
        </w:tc>
        <w:tc>
          <w:tcPr>
            <w:tcW w:w="553" w:type="pct"/>
            <w:tcBorders>
              <w:top w:val="nil"/>
              <w:left w:val="nil"/>
              <w:bottom w:val="single" w:sz="8" w:space="0" w:color="auto"/>
              <w:right w:val="single" w:sz="8" w:space="0" w:color="auto"/>
            </w:tcBorders>
            <w:shd w:val="clear" w:color="auto" w:fill="D9D9D9" w:themeFill="background1" w:themeFillShade="D9"/>
            <w:vAlign w:val="center"/>
          </w:tcPr>
          <w:p w14:paraId="06279DA2" w14:textId="77777777" w:rsidR="005061E6" w:rsidRPr="009D258A" w:rsidRDefault="005061E6">
            <w:pPr>
              <w:spacing w:before="0" w:after="0"/>
              <w:jc w:val="right"/>
              <w:rPr>
                <w:b/>
                <w:bCs/>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tcPr>
          <w:p w14:paraId="38D6FCBC" w14:textId="77777777" w:rsidR="005061E6" w:rsidRPr="009D258A" w:rsidRDefault="005061E6">
            <w:pPr>
              <w:spacing w:before="0" w:after="0"/>
              <w:jc w:val="right"/>
              <w:rPr>
                <w:b/>
                <w:bCs/>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2AAA8A92" w14:textId="77777777" w:rsidR="005061E6" w:rsidRPr="009D258A" w:rsidRDefault="005061E6">
            <w:pPr>
              <w:spacing w:before="0" w:after="0"/>
              <w:jc w:val="right"/>
              <w:rPr>
                <w:b/>
                <w:bCs/>
                <w:noProof/>
                <w:color w:val="000000"/>
                <w:sz w:val="16"/>
                <w:szCs w:val="16"/>
              </w:rPr>
            </w:pPr>
            <w:r w:rsidRPr="009D258A">
              <w:rPr>
                <w:b/>
                <w:noProof/>
                <w:color w:val="000000" w:themeColor="text1"/>
                <w:sz w:val="16"/>
              </w:rPr>
              <w:t>0,965</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6B92C772" w14:textId="77777777" w:rsidR="005061E6" w:rsidRPr="009D258A" w:rsidRDefault="005061E6">
            <w:pPr>
              <w:spacing w:before="0" w:after="0"/>
              <w:jc w:val="right"/>
              <w:rPr>
                <w:b/>
                <w:bCs/>
                <w:noProof/>
                <w:color w:val="000000"/>
                <w:sz w:val="16"/>
                <w:szCs w:val="16"/>
              </w:rPr>
            </w:pPr>
            <w:r w:rsidRPr="009D258A">
              <w:rPr>
                <w:b/>
                <w:noProof/>
                <w:color w:val="000000" w:themeColor="text1"/>
                <w:sz w:val="16"/>
              </w:rPr>
              <w:t>0,965</w:t>
            </w:r>
          </w:p>
        </w:tc>
        <w:tc>
          <w:tcPr>
            <w:tcW w:w="622" w:type="pct"/>
            <w:tcBorders>
              <w:top w:val="nil"/>
              <w:left w:val="nil"/>
              <w:bottom w:val="single" w:sz="8" w:space="0" w:color="auto"/>
              <w:right w:val="single" w:sz="8" w:space="0" w:color="auto"/>
            </w:tcBorders>
            <w:shd w:val="clear" w:color="auto" w:fill="D9D9D9" w:themeFill="background1" w:themeFillShade="D9"/>
            <w:vAlign w:val="center"/>
            <w:hideMark/>
          </w:tcPr>
          <w:p w14:paraId="78FA5A65" w14:textId="77777777" w:rsidR="005061E6" w:rsidRPr="009D258A" w:rsidRDefault="005061E6">
            <w:pPr>
              <w:spacing w:before="0" w:after="0"/>
              <w:jc w:val="right"/>
              <w:rPr>
                <w:b/>
                <w:bCs/>
                <w:noProof/>
                <w:color w:val="000000"/>
                <w:sz w:val="16"/>
                <w:szCs w:val="16"/>
              </w:rPr>
            </w:pPr>
            <w:r w:rsidRPr="009D258A">
              <w:rPr>
                <w:b/>
                <w:noProof/>
                <w:color w:val="000000" w:themeColor="text1"/>
                <w:sz w:val="16"/>
              </w:rPr>
              <w:t>1,930</w:t>
            </w:r>
          </w:p>
        </w:tc>
      </w:tr>
      <w:tr w:rsidR="005061E6" w:rsidRPr="009D258A" w14:paraId="470B6DBA"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16CCBA15" w14:textId="77777777" w:rsidR="005061E6" w:rsidRPr="009D258A" w:rsidRDefault="005061E6">
            <w:pPr>
              <w:spacing w:before="0" w:after="0"/>
              <w:jc w:val="left"/>
              <w:rPr>
                <w:b/>
                <w:bCs/>
                <w:noProof/>
                <w:sz w:val="16"/>
                <w:szCs w:val="16"/>
              </w:rPr>
            </w:pPr>
            <w:r w:rsidRPr="009D258A">
              <w:rPr>
                <w:b/>
                <w:noProof/>
                <w:sz w:val="16"/>
              </w:rPr>
              <w:t>OTSAKKEESEEN 7 sisältymättömät</w:t>
            </w:r>
          </w:p>
        </w:tc>
      </w:tr>
      <w:tr w:rsidR="005061E6" w:rsidRPr="009D258A" w14:paraId="5791EFEE" w14:textId="77777777">
        <w:trPr>
          <w:trHeight w:val="300"/>
        </w:trPr>
        <w:tc>
          <w:tcPr>
            <w:tcW w:w="2167" w:type="pct"/>
            <w:tcBorders>
              <w:top w:val="nil"/>
              <w:left w:val="single" w:sz="8" w:space="0" w:color="auto"/>
              <w:bottom w:val="single" w:sz="8" w:space="0" w:color="auto"/>
              <w:right w:val="single" w:sz="8" w:space="0" w:color="auto"/>
            </w:tcBorders>
            <w:vAlign w:val="center"/>
            <w:hideMark/>
          </w:tcPr>
          <w:p w14:paraId="1C7D57F5" w14:textId="77777777" w:rsidR="005061E6" w:rsidRPr="009D258A" w:rsidRDefault="005061E6">
            <w:pPr>
              <w:spacing w:before="0" w:after="0"/>
              <w:jc w:val="left"/>
              <w:rPr>
                <w:noProof/>
                <w:color w:val="000000"/>
                <w:sz w:val="16"/>
                <w:szCs w:val="16"/>
              </w:rPr>
            </w:pPr>
            <w:r w:rsidRPr="009D258A">
              <w:rPr>
                <w:noProof/>
                <w:color w:val="000000"/>
                <w:sz w:val="16"/>
              </w:rPr>
              <w:t xml:space="preserve">Henkilöresurssit </w:t>
            </w:r>
          </w:p>
        </w:tc>
        <w:tc>
          <w:tcPr>
            <w:tcW w:w="553" w:type="pct"/>
            <w:tcBorders>
              <w:top w:val="nil"/>
              <w:left w:val="nil"/>
              <w:bottom w:val="single" w:sz="8" w:space="0" w:color="auto"/>
              <w:right w:val="single" w:sz="8" w:space="0" w:color="auto"/>
            </w:tcBorders>
            <w:shd w:val="clear" w:color="auto" w:fill="D9D9D9" w:themeFill="background1" w:themeFillShade="D9"/>
            <w:vAlign w:val="center"/>
          </w:tcPr>
          <w:p w14:paraId="0FA40E40" w14:textId="77777777" w:rsidR="005061E6" w:rsidRPr="009D258A" w:rsidRDefault="005061E6">
            <w:pPr>
              <w:spacing w:before="0" w:after="0"/>
              <w:jc w:val="right"/>
              <w:rPr>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tcPr>
          <w:p w14:paraId="23C3623A" w14:textId="77777777" w:rsidR="005061E6" w:rsidRPr="009D258A" w:rsidRDefault="005061E6">
            <w:pPr>
              <w:spacing w:before="0" w:after="0"/>
              <w:jc w:val="right"/>
              <w:rPr>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199C0EA9" w14:textId="77777777" w:rsidR="005061E6" w:rsidRPr="009D258A" w:rsidRDefault="005061E6">
            <w:pPr>
              <w:spacing w:before="0" w:after="0"/>
              <w:jc w:val="right"/>
              <w:rPr>
                <w:noProof/>
                <w:color w:val="000000"/>
                <w:sz w:val="16"/>
                <w:szCs w:val="16"/>
              </w:rPr>
            </w:pPr>
            <w:r w:rsidRPr="009D258A">
              <w:rPr>
                <w:noProof/>
                <w:color w:val="000000"/>
                <w:sz w:val="16"/>
              </w:rPr>
              <w:t>2,429</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12EB16BB" w14:textId="77777777" w:rsidR="005061E6" w:rsidRPr="009D258A" w:rsidRDefault="005061E6">
            <w:pPr>
              <w:spacing w:before="0" w:after="0"/>
              <w:jc w:val="right"/>
              <w:rPr>
                <w:noProof/>
                <w:color w:val="000000"/>
                <w:sz w:val="16"/>
                <w:szCs w:val="16"/>
              </w:rPr>
            </w:pPr>
            <w:r w:rsidRPr="009D258A">
              <w:rPr>
                <w:noProof/>
                <w:color w:val="000000" w:themeColor="text1"/>
                <w:sz w:val="16"/>
              </w:rPr>
              <w:t>4,858</w:t>
            </w:r>
          </w:p>
        </w:tc>
        <w:tc>
          <w:tcPr>
            <w:tcW w:w="622" w:type="pct"/>
            <w:tcBorders>
              <w:top w:val="nil"/>
              <w:left w:val="nil"/>
              <w:bottom w:val="single" w:sz="8" w:space="0" w:color="auto"/>
              <w:right w:val="single" w:sz="8" w:space="0" w:color="auto"/>
            </w:tcBorders>
            <w:shd w:val="clear" w:color="auto" w:fill="D9D9D9" w:themeFill="background1" w:themeFillShade="D9"/>
            <w:vAlign w:val="center"/>
            <w:hideMark/>
          </w:tcPr>
          <w:p w14:paraId="5FD3B349" w14:textId="77777777" w:rsidR="005061E6" w:rsidRPr="009D258A" w:rsidRDefault="005061E6">
            <w:pPr>
              <w:spacing w:before="0" w:after="0"/>
              <w:jc w:val="right"/>
              <w:rPr>
                <w:b/>
                <w:bCs/>
                <w:noProof/>
                <w:color w:val="000000"/>
                <w:sz w:val="16"/>
                <w:szCs w:val="16"/>
              </w:rPr>
            </w:pPr>
            <w:r w:rsidRPr="009D258A">
              <w:rPr>
                <w:b/>
                <w:noProof/>
                <w:color w:val="000000" w:themeColor="text1"/>
                <w:sz w:val="16"/>
              </w:rPr>
              <w:t>7,287</w:t>
            </w:r>
          </w:p>
        </w:tc>
      </w:tr>
      <w:tr w:rsidR="005061E6" w:rsidRPr="009D258A" w14:paraId="137D5695" w14:textId="77777777">
        <w:trPr>
          <w:trHeight w:val="300"/>
        </w:trPr>
        <w:tc>
          <w:tcPr>
            <w:tcW w:w="2167" w:type="pct"/>
            <w:tcBorders>
              <w:top w:val="nil"/>
              <w:left w:val="single" w:sz="8" w:space="0" w:color="auto"/>
              <w:bottom w:val="single" w:sz="8" w:space="0" w:color="auto"/>
              <w:right w:val="single" w:sz="8" w:space="0" w:color="auto"/>
            </w:tcBorders>
            <w:vAlign w:val="center"/>
            <w:hideMark/>
          </w:tcPr>
          <w:p w14:paraId="14AE5355" w14:textId="77777777" w:rsidR="005061E6" w:rsidRPr="009D258A" w:rsidRDefault="005061E6">
            <w:pPr>
              <w:spacing w:before="0" w:after="0"/>
              <w:jc w:val="left"/>
              <w:rPr>
                <w:noProof/>
                <w:color w:val="000000"/>
                <w:sz w:val="16"/>
                <w:szCs w:val="16"/>
              </w:rPr>
            </w:pPr>
            <w:r w:rsidRPr="009D258A">
              <w:rPr>
                <w:noProof/>
                <w:color w:val="000000"/>
                <w:sz w:val="16"/>
              </w:rPr>
              <w:t>Muut hallintomenot</w:t>
            </w:r>
          </w:p>
        </w:tc>
        <w:tc>
          <w:tcPr>
            <w:tcW w:w="553" w:type="pct"/>
            <w:tcBorders>
              <w:top w:val="nil"/>
              <w:left w:val="nil"/>
              <w:bottom w:val="single" w:sz="8" w:space="0" w:color="auto"/>
              <w:right w:val="single" w:sz="8" w:space="0" w:color="auto"/>
            </w:tcBorders>
            <w:shd w:val="clear" w:color="auto" w:fill="D9D9D9" w:themeFill="background1" w:themeFillShade="D9"/>
            <w:vAlign w:val="center"/>
          </w:tcPr>
          <w:p w14:paraId="7EBF9D7F" w14:textId="77777777" w:rsidR="005061E6" w:rsidRPr="009D258A" w:rsidRDefault="005061E6">
            <w:pPr>
              <w:spacing w:before="0" w:after="0"/>
              <w:jc w:val="right"/>
              <w:rPr>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tcPr>
          <w:p w14:paraId="180A0521" w14:textId="77777777" w:rsidR="005061E6" w:rsidRPr="009D258A" w:rsidRDefault="005061E6">
            <w:pPr>
              <w:spacing w:before="0" w:after="0"/>
              <w:jc w:val="right"/>
              <w:rPr>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53737D5B" w14:textId="77777777" w:rsidR="005061E6" w:rsidRPr="009D258A" w:rsidRDefault="005061E6">
            <w:pPr>
              <w:spacing w:before="0" w:after="0"/>
              <w:jc w:val="right"/>
              <w:rPr>
                <w:noProof/>
                <w:color w:val="000000"/>
                <w:sz w:val="16"/>
                <w:szCs w:val="16"/>
              </w:rPr>
            </w:pPr>
            <w:r w:rsidRPr="009D258A">
              <w:rPr>
                <w:noProof/>
                <w:color w:val="000000" w:themeColor="text1"/>
                <w:sz w:val="16"/>
              </w:rPr>
              <w:t>0,213</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109CF902" w14:textId="77777777" w:rsidR="005061E6" w:rsidRPr="009D258A" w:rsidRDefault="005061E6">
            <w:pPr>
              <w:spacing w:before="0" w:after="0"/>
              <w:jc w:val="right"/>
              <w:rPr>
                <w:noProof/>
                <w:color w:val="000000"/>
                <w:sz w:val="16"/>
                <w:szCs w:val="16"/>
              </w:rPr>
            </w:pPr>
            <w:r w:rsidRPr="009D258A">
              <w:rPr>
                <w:noProof/>
                <w:color w:val="000000" w:themeColor="text1"/>
                <w:sz w:val="16"/>
              </w:rPr>
              <w:t>1,425</w:t>
            </w:r>
          </w:p>
        </w:tc>
        <w:tc>
          <w:tcPr>
            <w:tcW w:w="622" w:type="pct"/>
            <w:tcBorders>
              <w:top w:val="nil"/>
              <w:left w:val="nil"/>
              <w:bottom w:val="single" w:sz="8" w:space="0" w:color="auto"/>
              <w:right w:val="single" w:sz="8" w:space="0" w:color="auto"/>
            </w:tcBorders>
            <w:shd w:val="clear" w:color="auto" w:fill="D9D9D9" w:themeFill="background1" w:themeFillShade="D9"/>
            <w:vAlign w:val="center"/>
            <w:hideMark/>
          </w:tcPr>
          <w:p w14:paraId="7109793F" w14:textId="77777777" w:rsidR="005061E6" w:rsidRPr="009D258A" w:rsidRDefault="005061E6">
            <w:pPr>
              <w:spacing w:before="0" w:after="0"/>
              <w:jc w:val="right"/>
              <w:rPr>
                <w:b/>
                <w:bCs/>
                <w:noProof/>
                <w:color w:val="000000"/>
                <w:sz w:val="16"/>
                <w:szCs w:val="16"/>
              </w:rPr>
            </w:pPr>
            <w:r w:rsidRPr="009D258A">
              <w:rPr>
                <w:b/>
                <w:noProof/>
                <w:color w:val="000000" w:themeColor="text1"/>
                <w:sz w:val="16"/>
              </w:rPr>
              <w:t>1,638</w:t>
            </w:r>
          </w:p>
        </w:tc>
      </w:tr>
      <w:tr w:rsidR="005061E6" w:rsidRPr="009D258A" w14:paraId="2E8DD336" w14:textId="77777777">
        <w:trPr>
          <w:trHeight w:val="300"/>
        </w:trPr>
        <w:tc>
          <w:tcPr>
            <w:tcW w:w="2167" w:type="pct"/>
            <w:tcBorders>
              <w:top w:val="nil"/>
              <w:left w:val="single" w:sz="8" w:space="0" w:color="auto"/>
              <w:bottom w:val="single" w:sz="8" w:space="0" w:color="auto"/>
              <w:right w:val="single" w:sz="8" w:space="0" w:color="auto"/>
            </w:tcBorders>
            <w:shd w:val="clear" w:color="auto" w:fill="CCCCCC"/>
            <w:vAlign w:val="center"/>
            <w:hideMark/>
          </w:tcPr>
          <w:p w14:paraId="4A6F4CCC" w14:textId="77777777" w:rsidR="005061E6" w:rsidRPr="009D258A" w:rsidRDefault="005061E6">
            <w:pPr>
              <w:spacing w:before="0" w:after="0"/>
              <w:jc w:val="center"/>
              <w:rPr>
                <w:b/>
                <w:bCs/>
                <w:noProof/>
                <w:color w:val="000000"/>
                <w:sz w:val="16"/>
                <w:szCs w:val="16"/>
              </w:rPr>
            </w:pPr>
            <w:r w:rsidRPr="009D258A">
              <w:rPr>
                <w:b/>
                <w:noProof/>
                <w:color w:val="000000"/>
                <w:sz w:val="16"/>
              </w:rPr>
              <w:t>OTSAKKEESEEN 7 sisältymättömät, välisumma</w:t>
            </w:r>
          </w:p>
        </w:tc>
        <w:tc>
          <w:tcPr>
            <w:tcW w:w="553" w:type="pct"/>
            <w:tcBorders>
              <w:top w:val="nil"/>
              <w:left w:val="nil"/>
              <w:bottom w:val="single" w:sz="8" w:space="0" w:color="auto"/>
              <w:right w:val="single" w:sz="8" w:space="0" w:color="auto"/>
            </w:tcBorders>
            <w:shd w:val="clear" w:color="auto" w:fill="D9D9D9" w:themeFill="background1" w:themeFillShade="D9"/>
            <w:vAlign w:val="center"/>
          </w:tcPr>
          <w:p w14:paraId="2AE21091" w14:textId="77777777" w:rsidR="005061E6" w:rsidRPr="009D258A" w:rsidRDefault="005061E6">
            <w:pPr>
              <w:spacing w:before="0" w:after="0"/>
              <w:jc w:val="right"/>
              <w:rPr>
                <w:b/>
                <w:bCs/>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tcPr>
          <w:p w14:paraId="3DA25814" w14:textId="77777777" w:rsidR="005061E6" w:rsidRPr="009D258A" w:rsidRDefault="005061E6">
            <w:pPr>
              <w:spacing w:before="0" w:after="0"/>
              <w:jc w:val="right"/>
              <w:rPr>
                <w:b/>
                <w:bCs/>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1819C319" w14:textId="77777777" w:rsidR="005061E6" w:rsidRPr="009D258A" w:rsidRDefault="005061E6">
            <w:pPr>
              <w:spacing w:before="0" w:after="0"/>
              <w:jc w:val="right"/>
              <w:rPr>
                <w:b/>
                <w:bCs/>
                <w:noProof/>
                <w:color w:val="000000"/>
                <w:sz w:val="16"/>
                <w:szCs w:val="16"/>
              </w:rPr>
            </w:pPr>
            <w:r w:rsidRPr="009D258A">
              <w:rPr>
                <w:b/>
                <w:noProof/>
                <w:color w:val="000000" w:themeColor="text1"/>
                <w:sz w:val="16"/>
              </w:rPr>
              <w:t>2,642</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2F5E42AA" w14:textId="77777777" w:rsidR="005061E6" w:rsidRPr="009D258A" w:rsidRDefault="005061E6">
            <w:pPr>
              <w:spacing w:before="0" w:after="0"/>
              <w:jc w:val="right"/>
              <w:rPr>
                <w:b/>
                <w:bCs/>
                <w:noProof/>
                <w:color w:val="000000"/>
                <w:sz w:val="16"/>
                <w:szCs w:val="16"/>
              </w:rPr>
            </w:pPr>
            <w:r w:rsidRPr="009D258A">
              <w:rPr>
                <w:b/>
                <w:noProof/>
                <w:color w:val="000000" w:themeColor="text1"/>
                <w:sz w:val="16"/>
              </w:rPr>
              <w:t>6,283</w:t>
            </w:r>
          </w:p>
        </w:tc>
        <w:tc>
          <w:tcPr>
            <w:tcW w:w="622" w:type="pct"/>
            <w:tcBorders>
              <w:top w:val="nil"/>
              <w:left w:val="nil"/>
              <w:bottom w:val="single" w:sz="8" w:space="0" w:color="auto"/>
              <w:right w:val="single" w:sz="8" w:space="0" w:color="auto"/>
            </w:tcBorders>
            <w:shd w:val="clear" w:color="auto" w:fill="D9D9D9" w:themeFill="background1" w:themeFillShade="D9"/>
            <w:vAlign w:val="center"/>
            <w:hideMark/>
          </w:tcPr>
          <w:p w14:paraId="4E305085" w14:textId="77777777" w:rsidR="005061E6" w:rsidRPr="009D258A" w:rsidRDefault="005061E6">
            <w:pPr>
              <w:spacing w:before="0" w:after="0"/>
              <w:jc w:val="right"/>
              <w:rPr>
                <w:b/>
                <w:bCs/>
                <w:noProof/>
                <w:color w:val="000000"/>
                <w:sz w:val="16"/>
                <w:szCs w:val="16"/>
              </w:rPr>
            </w:pPr>
            <w:r w:rsidRPr="009D258A">
              <w:rPr>
                <w:b/>
                <w:noProof/>
                <w:color w:val="000000" w:themeColor="text1"/>
                <w:sz w:val="16"/>
              </w:rPr>
              <w:t>8,925</w:t>
            </w:r>
          </w:p>
        </w:tc>
      </w:tr>
      <w:tr w:rsidR="005061E6" w:rsidRPr="009D258A" w14:paraId="3B797F7F"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noWrap/>
            <w:vAlign w:val="center"/>
            <w:hideMark/>
          </w:tcPr>
          <w:p w14:paraId="11EC90BE" w14:textId="77777777" w:rsidR="005061E6" w:rsidRPr="009D258A" w:rsidRDefault="005061E6">
            <w:pPr>
              <w:spacing w:before="0" w:after="0"/>
              <w:jc w:val="center"/>
              <w:rPr>
                <w:noProof/>
                <w:color w:val="000000"/>
                <w:sz w:val="16"/>
                <w:szCs w:val="16"/>
                <w:lang w:eastAsia="en-IE"/>
              </w:rPr>
            </w:pPr>
          </w:p>
        </w:tc>
      </w:tr>
      <w:tr w:rsidR="005061E6" w:rsidRPr="009D258A" w14:paraId="32C5E8D5" w14:textId="77777777">
        <w:trPr>
          <w:trHeight w:val="300"/>
        </w:trPr>
        <w:tc>
          <w:tcPr>
            <w:tcW w:w="2167" w:type="pct"/>
            <w:tcBorders>
              <w:top w:val="nil"/>
              <w:left w:val="single" w:sz="8" w:space="0" w:color="auto"/>
              <w:bottom w:val="single" w:sz="8" w:space="0" w:color="auto"/>
              <w:right w:val="single" w:sz="8" w:space="0" w:color="auto"/>
            </w:tcBorders>
            <w:vAlign w:val="center"/>
            <w:hideMark/>
          </w:tcPr>
          <w:p w14:paraId="3F1D0700" w14:textId="77777777" w:rsidR="005061E6" w:rsidRPr="009D258A" w:rsidRDefault="005061E6">
            <w:pPr>
              <w:spacing w:before="0" w:after="0"/>
              <w:jc w:val="center"/>
              <w:rPr>
                <w:b/>
                <w:bCs/>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57A25900" w14:textId="77777777" w:rsidR="005061E6" w:rsidRPr="009D258A" w:rsidRDefault="005061E6">
            <w:pPr>
              <w:spacing w:before="0" w:after="0"/>
              <w:jc w:val="right"/>
              <w:rPr>
                <w:b/>
                <w:bCs/>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0A3D3237" w14:textId="77777777" w:rsidR="005061E6" w:rsidRPr="009D258A" w:rsidRDefault="005061E6">
            <w:pPr>
              <w:spacing w:before="0" w:after="0"/>
              <w:jc w:val="right"/>
              <w:rPr>
                <w:b/>
                <w:bCs/>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68BC19F5" w14:textId="77777777" w:rsidR="005061E6" w:rsidRPr="009D258A" w:rsidRDefault="005061E6">
            <w:pPr>
              <w:spacing w:before="0" w:after="0"/>
              <w:jc w:val="right"/>
              <w:rPr>
                <w:b/>
                <w:bCs/>
                <w:noProof/>
                <w:color w:val="000000"/>
                <w:sz w:val="16"/>
                <w:szCs w:val="16"/>
                <w:lang w:eastAsia="en-IE"/>
              </w:rPr>
            </w:pP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133CABC4" w14:textId="77777777" w:rsidR="005061E6" w:rsidRPr="009D258A" w:rsidRDefault="005061E6">
            <w:pPr>
              <w:spacing w:before="0" w:after="0"/>
              <w:jc w:val="right"/>
              <w:rPr>
                <w:b/>
                <w:bCs/>
                <w:noProof/>
                <w:color w:val="000000"/>
                <w:sz w:val="16"/>
                <w:szCs w:val="16"/>
                <w:lang w:eastAsia="en-IE"/>
              </w:rPr>
            </w:pPr>
          </w:p>
        </w:tc>
        <w:tc>
          <w:tcPr>
            <w:tcW w:w="622" w:type="pct"/>
            <w:tcBorders>
              <w:top w:val="nil"/>
              <w:left w:val="nil"/>
              <w:bottom w:val="single" w:sz="8" w:space="0" w:color="auto"/>
              <w:right w:val="single" w:sz="8" w:space="0" w:color="auto"/>
            </w:tcBorders>
            <w:shd w:val="clear" w:color="auto" w:fill="D9D9D9" w:themeFill="background1" w:themeFillShade="D9"/>
            <w:vAlign w:val="center"/>
            <w:hideMark/>
          </w:tcPr>
          <w:p w14:paraId="199636ED" w14:textId="77777777" w:rsidR="005061E6" w:rsidRPr="009D258A" w:rsidRDefault="005061E6">
            <w:pPr>
              <w:spacing w:before="0" w:after="0"/>
              <w:jc w:val="right"/>
              <w:rPr>
                <w:b/>
                <w:bCs/>
                <w:noProof/>
                <w:color w:val="000000"/>
                <w:sz w:val="16"/>
                <w:szCs w:val="16"/>
                <w:lang w:eastAsia="en-IE"/>
              </w:rPr>
            </w:pPr>
          </w:p>
        </w:tc>
      </w:tr>
    </w:tbl>
    <w:p w14:paraId="2E341232" w14:textId="77777777" w:rsidR="003F3A5E" w:rsidRPr="009D258A" w:rsidRDefault="003F3A5E" w:rsidP="005061E6">
      <w:pPr>
        <w:spacing w:after="40"/>
        <w:rPr>
          <w:noProof/>
          <w:sz w:val="22"/>
          <w:szCs w:val="28"/>
        </w:rPr>
      </w:pPr>
      <w:r w:rsidRPr="009D258A">
        <w:rPr>
          <w:noProof/>
          <w:sz w:val="22"/>
        </w:rPr>
        <w:t>]</w:t>
      </w:r>
    </w:p>
    <w:p w14:paraId="1EAAC3BC" w14:textId="77777777" w:rsidR="005061E6" w:rsidRPr="009D258A" w:rsidRDefault="005061E6" w:rsidP="005061E6">
      <w:pPr>
        <w:spacing w:after="40"/>
        <w:rPr>
          <w:noProof/>
          <w:sz w:val="22"/>
          <w:szCs w:val="28"/>
        </w:rPr>
      </w:pPr>
      <w:r w:rsidRPr="009D258A">
        <w:rPr>
          <w:noProof/>
          <w:sz w:val="22"/>
        </w:rPr>
        <w:t>Henkilöresursseja ja muita hallintomenoja koskeva määrärahatarve katetaan toimen hallinnointiin jo osoitetuilla pääosaston määrärahoilla ja/tai pääosastossa toteutettujen uudelleenjärjestelyjen tuloksena saaduilla määrärahoilla sekä tarvittaessa sellaisilla lisäresursseilla, jotka toimea hallinnoiva pääosasto voi saada käyttöönsä vuotuisessa määrärahojen jakomenettelyssä talousarvion puitteissa.</w:t>
      </w:r>
    </w:p>
    <w:p w14:paraId="1823C649" w14:textId="77777777" w:rsidR="005061E6" w:rsidRPr="009D258A" w:rsidRDefault="005061E6" w:rsidP="005061E6">
      <w:pPr>
        <w:pStyle w:val="ManualHeading3"/>
        <w:rPr>
          <w:bCs/>
          <w:noProof/>
          <w:szCs w:val="24"/>
        </w:rPr>
      </w:pPr>
      <w:bookmarkStart w:id="30" w:name="_Toc167220294"/>
      <w:bookmarkStart w:id="31" w:name="_Toc177549027"/>
      <w:r w:rsidRPr="009D258A">
        <w:rPr>
          <w:noProof/>
        </w:rPr>
        <w:t>3.2.4.</w:t>
      </w:r>
      <w:r w:rsidRPr="009D258A">
        <w:rPr>
          <w:noProof/>
        </w:rPr>
        <w:tab/>
        <w:t>Henkilöresurssien arvioitu tarve</w:t>
      </w:r>
      <w:bookmarkEnd w:id="30"/>
      <w:bookmarkEnd w:id="31"/>
      <w:r w:rsidRPr="009D258A">
        <w:rPr>
          <w:noProof/>
        </w:rPr>
        <w:t xml:space="preserve"> </w:t>
      </w:r>
    </w:p>
    <w:p w14:paraId="2F7AA0D5" w14:textId="77777777" w:rsidR="005061E6" w:rsidRPr="009D258A" w:rsidRDefault="005061E6" w:rsidP="005061E6">
      <w:pPr>
        <w:pStyle w:val="ListDash1"/>
        <w:rPr>
          <w:noProof/>
        </w:rPr>
      </w:pPr>
      <w:r w:rsidRPr="009D258A">
        <w:rPr>
          <w:rFonts w:ascii="Wingdings" w:hAnsi="Wingdings"/>
          <w:noProof/>
        </w:rPr>
        <w:t></w:t>
      </w:r>
      <w:r w:rsidRPr="009D258A">
        <w:rPr>
          <w:noProof/>
        </w:rPr>
        <w:tab/>
        <w:t xml:space="preserve">Ehdotus/aloite ei edellytä henkilöresursseja. </w:t>
      </w:r>
    </w:p>
    <w:p w14:paraId="0E78DBB5" w14:textId="77777777" w:rsidR="005061E6" w:rsidRPr="009D258A" w:rsidRDefault="005061E6" w:rsidP="005061E6">
      <w:pPr>
        <w:pStyle w:val="ListDash1"/>
        <w:rPr>
          <w:noProof/>
        </w:rPr>
      </w:pPr>
      <w:r w:rsidRPr="009D258A">
        <w:rPr>
          <w:rFonts w:ascii="Wingdings" w:hAnsi="Wingdings"/>
          <w:noProof/>
        </w:rPr>
        <w:t></w:t>
      </w:r>
      <w:r w:rsidRPr="009D258A">
        <w:rPr>
          <w:noProof/>
        </w:rPr>
        <w:tab/>
        <w:t>Ehdotus/aloite edellyttää henkilöresursseja seuraavasti:</w:t>
      </w:r>
    </w:p>
    <w:p w14:paraId="4D915771" w14:textId="77777777" w:rsidR="005061E6" w:rsidRPr="009D258A" w:rsidRDefault="005061E6" w:rsidP="005061E6">
      <w:pPr>
        <w:pStyle w:val="ManualHeading3"/>
        <w:rPr>
          <w:noProof/>
        </w:rPr>
      </w:pPr>
      <w:bookmarkStart w:id="32" w:name="_Toc167220295"/>
      <w:bookmarkStart w:id="33" w:name="_Toc177549028"/>
      <w:r w:rsidRPr="009D258A">
        <w:rPr>
          <w:noProof/>
        </w:rPr>
        <w:t>3.2.4.1.</w:t>
      </w:r>
      <w:r w:rsidRPr="009D258A">
        <w:rPr>
          <w:noProof/>
        </w:rPr>
        <w:tab/>
        <w:t>Hyväksytystä talousarviosta katettavat</w:t>
      </w:r>
      <w:bookmarkEnd w:id="32"/>
      <w:bookmarkEnd w:id="33"/>
    </w:p>
    <w:p w14:paraId="5BD455BA" w14:textId="77777777" w:rsidR="005061E6" w:rsidRPr="009D258A" w:rsidRDefault="005061E6" w:rsidP="005061E6">
      <w:pPr>
        <w:spacing w:after="60"/>
        <w:jc w:val="right"/>
        <w:rPr>
          <w:i/>
          <w:noProof/>
          <w:sz w:val="20"/>
        </w:rPr>
      </w:pPr>
      <w:r w:rsidRPr="009D258A">
        <w:rPr>
          <w:i/>
          <w:noProof/>
          <w:sz w:val="20"/>
        </w:rPr>
        <w:t>Arvio kokoaikaiseksi henkilöstöksi muutettuna</w:t>
      </w:r>
    </w:p>
    <w:p w14:paraId="7BE9ABF0" w14:textId="77777777" w:rsidR="00763B74" w:rsidRPr="009D258A" w:rsidRDefault="00763B74" w:rsidP="00763B74">
      <w:pPr>
        <w:spacing w:after="60"/>
        <w:jc w:val="left"/>
        <w:rPr>
          <w:i/>
          <w:noProof/>
          <w:sz w:val="20"/>
        </w:rPr>
      </w:pPr>
      <w:r w:rsidRPr="009D258A">
        <w:rPr>
          <w:i/>
          <w:noProof/>
          <w:sz w:val="20"/>
        </w:rPr>
        <w:t>[</w:t>
      </w:r>
    </w:p>
    <w:p w14:paraId="4E76218E" w14:textId="77777777" w:rsidR="005061E6" w:rsidRPr="009D258A" w:rsidRDefault="005061E6" w:rsidP="005061E6">
      <w:pPr>
        <w:pStyle w:val="Text1"/>
        <w:spacing w:before="60" w:after="60"/>
        <w:ind w:left="-426" w:right="-427"/>
        <w:rPr>
          <w:b/>
          <w:noProof/>
          <w:sz w:val="18"/>
          <w:szCs w:val="18"/>
        </w:rPr>
      </w:pPr>
      <w:bookmarkStart w:id="34" w:name="_Hlk156979231"/>
    </w:p>
    <w:tbl>
      <w:tblPr>
        <w:tblW w:w="5000" w:type="pct"/>
        <w:tblLook w:val="04A0" w:firstRow="1" w:lastRow="0" w:firstColumn="1" w:lastColumn="0" w:noHBand="0" w:noVBand="1"/>
      </w:tblPr>
      <w:tblGrid>
        <w:gridCol w:w="2409"/>
        <w:gridCol w:w="6205"/>
        <w:gridCol w:w="1544"/>
        <w:gridCol w:w="1544"/>
        <w:gridCol w:w="1544"/>
        <w:gridCol w:w="1541"/>
      </w:tblGrid>
      <w:tr w:rsidR="005061E6" w:rsidRPr="009D258A" w14:paraId="2ADAB8EB" w14:textId="77777777">
        <w:trPr>
          <w:trHeight w:val="300"/>
        </w:trPr>
        <w:tc>
          <w:tcPr>
            <w:tcW w:w="2913" w:type="pct"/>
            <w:gridSpan w:val="2"/>
            <w:vMerge w:val="restart"/>
            <w:tcBorders>
              <w:top w:val="single" w:sz="8" w:space="0" w:color="auto"/>
              <w:left w:val="single" w:sz="8" w:space="0" w:color="auto"/>
              <w:bottom w:val="single" w:sz="8" w:space="0" w:color="000000" w:themeColor="text1"/>
              <w:right w:val="single" w:sz="8" w:space="0" w:color="000000" w:themeColor="text1"/>
            </w:tcBorders>
            <w:vAlign w:val="center"/>
            <w:hideMark/>
          </w:tcPr>
          <w:p w14:paraId="24F218BB" w14:textId="77777777" w:rsidR="005061E6" w:rsidRPr="009D258A" w:rsidRDefault="005061E6">
            <w:pPr>
              <w:spacing w:before="0" w:after="0"/>
              <w:jc w:val="center"/>
              <w:rPr>
                <w:b/>
                <w:bCs/>
                <w:noProof/>
                <w:color w:val="000000"/>
                <w:sz w:val="18"/>
                <w:szCs w:val="18"/>
              </w:rPr>
            </w:pPr>
            <w:r w:rsidRPr="009D258A">
              <w:rPr>
                <w:b/>
                <w:noProof/>
                <w:color w:val="000000"/>
                <w:sz w:val="18"/>
              </w:rPr>
              <w:t>HYVÄKSYTYT MÄÄRÄRAHAT</w:t>
            </w:r>
          </w:p>
        </w:tc>
        <w:tc>
          <w:tcPr>
            <w:tcW w:w="522" w:type="pct"/>
            <w:tcBorders>
              <w:top w:val="single" w:sz="8" w:space="0" w:color="auto"/>
              <w:left w:val="nil"/>
              <w:bottom w:val="nil"/>
              <w:right w:val="single" w:sz="8" w:space="0" w:color="auto"/>
            </w:tcBorders>
            <w:vAlign w:val="center"/>
            <w:hideMark/>
          </w:tcPr>
          <w:p w14:paraId="76AB9718" w14:textId="77777777" w:rsidR="005061E6" w:rsidRPr="009D258A" w:rsidRDefault="005061E6">
            <w:pPr>
              <w:spacing w:before="0" w:after="0"/>
              <w:jc w:val="center"/>
              <w:rPr>
                <w:noProof/>
                <w:color w:val="000000"/>
                <w:sz w:val="20"/>
                <w:szCs w:val="20"/>
              </w:rPr>
            </w:pPr>
            <w:r w:rsidRPr="009D258A">
              <w:rPr>
                <w:noProof/>
                <w:color w:val="000000"/>
                <w:sz w:val="20"/>
              </w:rPr>
              <w:t>Vuosi</w:t>
            </w:r>
          </w:p>
        </w:tc>
        <w:tc>
          <w:tcPr>
            <w:tcW w:w="522" w:type="pct"/>
            <w:tcBorders>
              <w:top w:val="single" w:sz="8" w:space="0" w:color="auto"/>
              <w:left w:val="nil"/>
              <w:bottom w:val="nil"/>
              <w:right w:val="single" w:sz="8" w:space="0" w:color="auto"/>
            </w:tcBorders>
            <w:vAlign w:val="center"/>
            <w:hideMark/>
          </w:tcPr>
          <w:p w14:paraId="2FD079C4" w14:textId="77777777" w:rsidR="005061E6" w:rsidRPr="009D258A" w:rsidRDefault="005061E6">
            <w:pPr>
              <w:spacing w:before="0" w:after="0"/>
              <w:jc w:val="center"/>
              <w:rPr>
                <w:noProof/>
                <w:color w:val="000000"/>
                <w:sz w:val="20"/>
                <w:szCs w:val="20"/>
              </w:rPr>
            </w:pPr>
            <w:r w:rsidRPr="009D258A">
              <w:rPr>
                <w:noProof/>
                <w:color w:val="000000"/>
                <w:sz w:val="20"/>
              </w:rPr>
              <w:t>Vuosi</w:t>
            </w:r>
          </w:p>
        </w:tc>
        <w:tc>
          <w:tcPr>
            <w:tcW w:w="522" w:type="pct"/>
            <w:tcBorders>
              <w:top w:val="single" w:sz="8" w:space="0" w:color="auto"/>
              <w:left w:val="nil"/>
              <w:bottom w:val="nil"/>
              <w:right w:val="single" w:sz="8" w:space="0" w:color="auto"/>
            </w:tcBorders>
            <w:vAlign w:val="center"/>
            <w:hideMark/>
          </w:tcPr>
          <w:p w14:paraId="6BDC2C64" w14:textId="77777777" w:rsidR="005061E6" w:rsidRPr="009D258A" w:rsidRDefault="005061E6">
            <w:pPr>
              <w:spacing w:before="0" w:after="0"/>
              <w:jc w:val="center"/>
              <w:rPr>
                <w:noProof/>
                <w:color w:val="000000"/>
                <w:sz w:val="20"/>
                <w:szCs w:val="20"/>
              </w:rPr>
            </w:pPr>
            <w:r w:rsidRPr="009D258A">
              <w:rPr>
                <w:noProof/>
                <w:color w:val="000000"/>
                <w:sz w:val="20"/>
              </w:rPr>
              <w:t>Vuosi</w:t>
            </w:r>
          </w:p>
        </w:tc>
        <w:tc>
          <w:tcPr>
            <w:tcW w:w="522" w:type="pct"/>
            <w:tcBorders>
              <w:top w:val="single" w:sz="8" w:space="0" w:color="auto"/>
              <w:left w:val="nil"/>
              <w:bottom w:val="nil"/>
              <w:right w:val="single" w:sz="8" w:space="0" w:color="auto"/>
            </w:tcBorders>
            <w:vAlign w:val="center"/>
            <w:hideMark/>
          </w:tcPr>
          <w:p w14:paraId="789FF083" w14:textId="77777777" w:rsidR="005061E6" w:rsidRPr="009D258A" w:rsidRDefault="005061E6">
            <w:pPr>
              <w:spacing w:before="0" w:after="0"/>
              <w:jc w:val="center"/>
              <w:rPr>
                <w:noProof/>
                <w:color w:val="000000"/>
                <w:sz w:val="20"/>
                <w:szCs w:val="20"/>
              </w:rPr>
            </w:pPr>
            <w:r w:rsidRPr="009D258A">
              <w:rPr>
                <w:noProof/>
                <w:color w:val="000000"/>
                <w:sz w:val="20"/>
              </w:rPr>
              <w:t>Vuosi</w:t>
            </w:r>
          </w:p>
        </w:tc>
      </w:tr>
      <w:tr w:rsidR="005061E6" w:rsidRPr="009D258A" w14:paraId="150CFCFF" w14:textId="77777777">
        <w:trPr>
          <w:trHeight w:val="300"/>
        </w:trPr>
        <w:tc>
          <w:tcPr>
            <w:tcW w:w="2913" w:type="pct"/>
            <w:gridSpan w:val="2"/>
            <w:vMerge/>
            <w:vAlign w:val="center"/>
            <w:hideMark/>
          </w:tcPr>
          <w:p w14:paraId="23F4D56E" w14:textId="77777777" w:rsidR="005061E6" w:rsidRPr="009D258A" w:rsidRDefault="005061E6">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vAlign w:val="center"/>
            <w:hideMark/>
          </w:tcPr>
          <w:p w14:paraId="02ACB06F" w14:textId="77777777" w:rsidR="005061E6" w:rsidRPr="009D258A" w:rsidRDefault="005061E6">
            <w:pPr>
              <w:spacing w:before="0" w:after="0"/>
              <w:jc w:val="center"/>
              <w:rPr>
                <w:b/>
                <w:bCs/>
                <w:noProof/>
                <w:color w:val="000000"/>
                <w:sz w:val="20"/>
                <w:szCs w:val="20"/>
              </w:rPr>
            </w:pPr>
            <w:r w:rsidRPr="009D258A">
              <w:rPr>
                <w:b/>
                <w:noProof/>
                <w:color w:val="000000"/>
                <w:sz w:val="20"/>
              </w:rPr>
              <w:t>2024</w:t>
            </w:r>
          </w:p>
        </w:tc>
        <w:tc>
          <w:tcPr>
            <w:tcW w:w="522" w:type="pct"/>
            <w:tcBorders>
              <w:top w:val="nil"/>
              <w:left w:val="nil"/>
              <w:bottom w:val="single" w:sz="8" w:space="0" w:color="auto"/>
              <w:right w:val="single" w:sz="8" w:space="0" w:color="auto"/>
            </w:tcBorders>
            <w:vAlign w:val="center"/>
            <w:hideMark/>
          </w:tcPr>
          <w:p w14:paraId="35F95323" w14:textId="77777777" w:rsidR="005061E6" w:rsidRPr="009D258A" w:rsidRDefault="005061E6">
            <w:pPr>
              <w:spacing w:before="0" w:after="0"/>
              <w:jc w:val="center"/>
              <w:rPr>
                <w:b/>
                <w:bCs/>
                <w:noProof/>
                <w:color w:val="000000"/>
                <w:sz w:val="20"/>
                <w:szCs w:val="20"/>
              </w:rPr>
            </w:pPr>
            <w:r w:rsidRPr="009D258A">
              <w:rPr>
                <w:b/>
                <w:noProof/>
                <w:color w:val="000000"/>
                <w:sz w:val="20"/>
              </w:rPr>
              <w:t>2025</w:t>
            </w:r>
          </w:p>
        </w:tc>
        <w:tc>
          <w:tcPr>
            <w:tcW w:w="522" w:type="pct"/>
            <w:tcBorders>
              <w:top w:val="nil"/>
              <w:left w:val="nil"/>
              <w:bottom w:val="single" w:sz="8" w:space="0" w:color="auto"/>
              <w:right w:val="single" w:sz="8" w:space="0" w:color="auto"/>
            </w:tcBorders>
            <w:vAlign w:val="center"/>
            <w:hideMark/>
          </w:tcPr>
          <w:p w14:paraId="38F74421" w14:textId="77777777" w:rsidR="005061E6" w:rsidRPr="009D258A" w:rsidRDefault="005061E6">
            <w:pPr>
              <w:spacing w:before="0" w:after="0"/>
              <w:jc w:val="center"/>
              <w:rPr>
                <w:b/>
                <w:bCs/>
                <w:noProof/>
                <w:color w:val="000000"/>
                <w:sz w:val="20"/>
                <w:szCs w:val="20"/>
              </w:rPr>
            </w:pPr>
            <w:r w:rsidRPr="009D258A">
              <w:rPr>
                <w:b/>
                <w:noProof/>
                <w:color w:val="000000"/>
                <w:sz w:val="20"/>
              </w:rPr>
              <w:t>2026</w:t>
            </w:r>
          </w:p>
        </w:tc>
        <w:tc>
          <w:tcPr>
            <w:tcW w:w="522" w:type="pct"/>
            <w:tcBorders>
              <w:top w:val="nil"/>
              <w:left w:val="nil"/>
              <w:bottom w:val="single" w:sz="8" w:space="0" w:color="auto"/>
              <w:right w:val="single" w:sz="8" w:space="0" w:color="auto"/>
            </w:tcBorders>
            <w:vAlign w:val="center"/>
            <w:hideMark/>
          </w:tcPr>
          <w:p w14:paraId="00FD6B60" w14:textId="77777777" w:rsidR="005061E6" w:rsidRPr="009D258A" w:rsidRDefault="005061E6">
            <w:pPr>
              <w:spacing w:before="0" w:after="0"/>
              <w:jc w:val="center"/>
              <w:rPr>
                <w:b/>
                <w:bCs/>
                <w:noProof/>
                <w:color w:val="000000"/>
                <w:sz w:val="20"/>
                <w:szCs w:val="20"/>
              </w:rPr>
            </w:pPr>
            <w:r w:rsidRPr="009D258A">
              <w:rPr>
                <w:b/>
                <w:noProof/>
                <w:color w:val="000000"/>
                <w:sz w:val="20"/>
              </w:rPr>
              <w:t>2027</w:t>
            </w:r>
          </w:p>
        </w:tc>
      </w:tr>
      <w:tr w:rsidR="005061E6" w:rsidRPr="009D258A" w14:paraId="2E58DEE3"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2E52822E" w14:textId="77777777" w:rsidR="005061E6" w:rsidRPr="009D258A" w:rsidRDefault="005061E6">
            <w:pPr>
              <w:spacing w:before="0" w:after="0"/>
              <w:jc w:val="left"/>
              <w:rPr>
                <w:rFonts w:ascii="Wingdings" w:hAnsi="Wingdings" w:cs="Calibri"/>
                <w:b/>
                <w:bCs/>
                <w:noProof/>
                <w:color w:val="000000"/>
                <w:sz w:val="16"/>
                <w:szCs w:val="16"/>
              </w:rPr>
            </w:pPr>
            <w:r w:rsidRPr="009D258A">
              <w:rPr>
                <w:rFonts w:ascii="Wingdings" w:hAnsi="Wingdings"/>
                <w:b/>
                <w:noProof/>
                <w:color w:val="000000"/>
                <w:sz w:val="16"/>
              </w:rPr>
              <w:t></w:t>
            </w:r>
            <w:r w:rsidRPr="009D258A">
              <w:rPr>
                <w:noProof/>
              </w:rPr>
              <w:t xml:space="preserve"> </w:t>
            </w:r>
            <w:r w:rsidRPr="009D258A">
              <w:rPr>
                <w:b/>
                <w:noProof/>
                <w:color w:val="000000"/>
                <w:sz w:val="16"/>
              </w:rPr>
              <w:t>Henkilöstötaulukkoon sisältyvät virat/toimet (virkamiehet ja väliaikaiset toimihenkilöt)</w:t>
            </w:r>
          </w:p>
        </w:tc>
      </w:tr>
      <w:tr w:rsidR="005061E6" w:rsidRPr="009D258A" w14:paraId="4E73C927"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226B8731" w14:textId="77777777" w:rsidR="005061E6" w:rsidRPr="009D258A" w:rsidRDefault="005061E6">
            <w:pPr>
              <w:spacing w:before="0" w:after="0"/>
              <w:ind w:firstLineChars="100" w:firstLine="160"/>
              <w:jc w:val="left"/>
              <w:rPr>
                <w:noProof/>
                <w:color w:val="000000"/>
                <w:sz w:val="16"/>
                <w:szCs w:val="16"/>
              </w:rPr>
            </w:pPr>
            <w:r w:rsidRPr="009D258A">
              <w:rPr>
                <w:noProof/>
                <w:color w:val="000000"/>
                <w:sz w:val="16"/>
              </w:rPr>
              <w:t>20 01 02 01</w:t>
            </w:r>
            <w:r w:rsidRPr="009D258A">
              <w:rPr>
                <w:rFonts w:ascii="Arial Narrow" w:hAnsi="Arial Narrow"/>
                <w:noProof/>
                <w:color w:val="000000"/>
                <w:sz w:val="20"/>
              </w:rPr>
              <w:t xml:space="preserve"> </w:t>
            </w:r>
            <w:r w:rsidRPr="009D258A">
              <w:rPr>
                <w:noProof/>
                <w:color w:val="000000"/>
                <w:sz w:val="16"/>
              </w:rPr>
              <w:t>(päätoimipaikka ja komission edustustot EU:ssa)</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122E2108"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0EB5F0E9"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74E7D0ED" w14:textId="77777777" w:rsidR="005061E6" w:rsidRPr="009D258A" w:rsidRDefault="005061E6">
            <w:pPr>
              <w:spacing w:before="0" w:after="0"/>
              <w:jc w:val="center"/>
              <w:rPr>
                <w:noProof/>
                <w:color w:val="000000"/>
                <w:sz w:val="16"/>
                <w:szCs w:val="16"/>
              </w:rPr>
            </w:pPr>
            <w:r w:rsidRPr="009D258A">
              <w:rPr>
                <w:noProof/>
                <w:color w:val="000000" w:themeColor="text1"/>
                <w:sz w:val="16"/>
              </w:rPr>
              <w:t>5</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7C471815" w14:textId="77777777" w:rsidR="005061E6" w:rsidRPr="009D258A" w:rsidRDefault="005061E6">
            <w:pPr>
              <w:spacing w:before="0" w:after="0"/>
              <w:jc w:val="center"/>
              <w:rPr>
                <w:noProof/>
                <w:color w:val="000000"/>
                <w:sz w:val="16"/>
                <w:szCs w:val="16"/>
              </w:rPr>
            </w:pPr>
            <w:r w:rsidRPr="009D258A">
              <w:rPr>
                <w:noProof/>
                <w:color w:val="000000" w:themeColor="text1"/>
                <w:sz w:val="16"/>
              </w:rPr>
              <w:t>5</w:t>
            </w:r>
          </w:p>
        </w:tc>
      </w:tr>
      <w:tr w:rsidR="005061E6" w:rsidRPr="009D258A" w14:paraId="0B10DA54"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4AF8A9D2" w14:textId="77777777" w:rsidR="005061E6" w:rsidRPr="009D258A" w:rsidRDefault="005061E6">
            <w:pPr>
              <w:spacing w:before="0" w:after="0"/>
              <w:ind w:firstLineChars="100" w:firstLine="160"/>
              <w:jc w:val="left"/>
              <w:rPr>
                <w:noProof/>
                <w:color w:val="000000"/>
                <w:sz w:val="16"/>
                <w:szCs w:val="16"/>
              </w:rPr>
            </w:pPr>
            <w:r w:rsidRPr="009D258A">
              <w:rPr>
                <w:noProof/>
                <w:color w:val="000000"/>
                <w:sz w:val="16"/>
              </w:rPr>
              <w:t>20 01 02 03 (unionin edustustot)</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4097B029"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164DEAB1"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46313AF4"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69AF7463" w14:textId="77777777" w:rsidR="005061E6" w:rsidRPr="009D258A" w:rsidRDefault="005061E6">
            <w:pPr>
              <w:spacing w:before="0" w:after="0"/>
              <w:jc w:val="center"/>
              <w:rPr>
                <w:noProof/>
                <w:color w:val="000000"/>
                <w:sz w:val="16"/>
                <w:szCs w:val="16"/>
              </w:rPr>
            </w:pPr>
            <w:r w:rsidRPr="009D258A">
              <w:rPr>
                <w:noProof/>
                <w:color w:val="000000"/>
                <w:sz w:val="16"/>
              </w:rPr>
              <w:t>0</w:t>
            </w:r>
          </w:p>
        </w:tc>
      </w:tr>
      <w:tr w:rsidR="005061E6" w:rsidRPr="009D258A" w14:paraId="60E8CEB1"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20946C42" w14:textId="77777777" w:rsidR="005061E6" w:rsidRPr="009D258A" w:rsidRDefault="005061E6">
            <w:pPr>
              <w:spacing w:before="0" w:after="0"/>
              <w:ind w:firstLineChars="100" w:firstLine="160"/>
              <w:jc w:val="left"/>
              <w:rPr>
                <w:noProof/>
                <w:color w:val="000000"/>
                <w:sz w:val="16"/>
                <w:szCs w:val="16"/>
              </w:rPr>
            </w:pPr>
            <w:r w:rsidRPr="009D258A">
              <w:rPr>
                <w:noProof/>
                <w:color w:val="000000"/>
                <w:sz w:val="16"/>
              </w:rPr>
              <w:t>01 01 01 01</w:t>
            </w:r>
            <w:r w:rsidRPr="009D258A">
              <w:rPr>
                <w:rFonts w:ascii="Arial Narrow" w:hAnsi="Arial Narrow"/>
                <w:noProof/>
                <w:color w:val="000000"/>
                <w:sz w:val="20"/>
              </w:rPr>
              <w:t xml:space="preserve"> </w:t>
            </w:r>
            <w:r w:rsidRPr="009D258A">
              <w:rPr>
                <w:noProof/>
                <w:color w:val="000000"/>
                <w:sz w:val="16"/>
              </w:rPr>
              <w:t>(epäsuora tutkimustoiminta)</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7909EC1A"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0CB39045"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5FB24D0E"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5642EF72" w14:textId="77777777" w:rsidR="005061E6" w:rsidRPr="009D258A" w:rsidRDefault="005061E6">
            <w:pPr>
              <w:spacing w:before="0" w:after="0"/>
              <w:jc w:val="center"/>
              <w:rPr>
                <w:noProof/>
                <w:color w:val="000000"/>
                <w:sz w:val="16"/>
                <w:szCs w:val="16"/>
              </w:rPr>
            </w:pPr>
            <w:r w:rsidRPr="009D258A">
              <w:rPr>
                <w:noProof/>
                <w:color w:val="000000"/>
                <w:sz w:val="16"/>
              </w:rPr>
              <w:t>0</w:t>
            </w:r>
          </w:p>
        </w:tc>
      </w:tr>
      <w:tr w:rsidR="005061E6" w:rsidRPr="009D258A" w14:paraId="24293E04"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5E4E33D1" w14:textId="77777777" w:rsidR="005061E6" w:rsidRPr="009D258A" w:rsidRDefault="005061E6">
            <w:pPr>
              <w:spacing w:before="0" w:after="0"/>
              <w:ind w:firstLineChars="100" w:firstLine="160"/>
              <w:jc w:val="left"/>
              <w:rPr>
                <w:noProof/>
                <w:color w:val="000000"/>
                <w:sz w:val="16"/>
                <w:szCs w:val="16"/>
              </w:rPr>
            </w:pPr>
            <w:r w:rsidRPr="009D258A">
              <w:rPr>
                <w:noProof/>
                <w:color w:val="000000"/>
                <w:sz w:val="16"/>
              </w:rPr>
              <w:t>01 01 01 11 (suora tutkimustoiminta)</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7926B8C2"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5D8AD087"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316EB42B"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7F02A963" w14:textId="77777777" w:rsidR="005061E6" w:rsidRPr="009D258A" w:rsidRDefault="005061E6">
            <w:pPr>
              <w:spacing w:before="0" w:after="0"/>
              <w:jc w:val="center"/>
              <w:rPr>
                <w:noProof/>
                <w:color w:val="000000"/>
                <w:sz w:val="16"/>
                <w:szCs w:val="16"/>
              </w:rPr>
            </w:pPr>
            <w:r w:rsidRPr="009D258A">
              <w:rPr>
                <w:noProof/>
                <w:color w:val="000000"/>
                <w:sz w:val="16"/>
              </w:rPr>
              <w:t>0</w:t>
            </w:r>
          </w:p>
        </w:tc>
      </w:tr>
      <w:tr w:rsidR="005061E6" w:rsidRPr="009D258A" w14:paraId="42C447F6"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5D3CED74" w14:textId="77777777" w:rsidR="005061E6" w:rsidRPr="009D258A" w:rsidRDefault="005061E6">
            <w:pPr>
              <w:spacing w:before="0" w:after="0"/>
              <w:ind w:firstLineChars="100" w:firstLine="160"/>
              <w:jc w:val="left"/>
              <w:rPr>
                <w:noProof/>
                <w:color w:val="000000"/>
                <w:sz w:val="16"/>
                <w:szCs w:val="16"/>
              </w:rPr>
            </w:pPr>
            <w:r w:rsidRPr="009D258A">
              <w:rPr>
                <w:noProof/>
                <w:color w:val="000000"/>
                <w:sz w:val="16"/>
              </w:rPr>
              <w:t>Muu budjettikohta (mikä?)</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056E585B"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75404D08"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3ED83207"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070415C8" w14:textId="77777777" w:rsidR="005061E6" w:rsidRPr="009D258A" w:rsidRDefault="005061E6">
            <w:pPr>
              <w:spacing w:before="0" w:after="0"/>
              <w:jc w:val="center"/>
              <w:rPr>
                <w:noProof/>
                <w:color w:val="000000"/>
                <w:sz w:val="16"/>
                <w:szCs w:val="16"/>
              </w:rPr>
            </w:pPr>
            <w:r w:rsidRPr="009D258A">
              <w:rPr>
                <w:noProof/>
                <w:color w:val="000000"/>
                <w:sz w:val="16"/>
              </w:rPr>
              <w:t>0</w:t>
            </w:r>
          </w:p>
        </w:tc>
      </w:tr>
      <w:tr w:rsidR="005061E6" w:rsidRPr="009D258A" w14:paraId="2C4AAC1D" w14:textId="77777777">
        <w:trPr>
          <w:trHeight w:val="525"/>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7F098BF2" w14:textId="77777777" w:rsidR="005061E6" w:rsidRPr="009D258A" w:rsidRDefault="005061E6">
            <w:pPr>
              <w:spacing w:before="0" w:after="0"/>
              <w:jc w:val="left"/>
              <w:rPr>
                <w:rFonts w:ascii="Wingdings" w:hAnsi="Wingdings" w:cs="Calibri"/>
                <w:b/>
                <w:bCs/>
                <w:noProof/>
                <w:color w:val="000000"/>
                <w:sz w:val="16"/>
                <w:szCs w:val="16"/>
              </w:rPr>
            </w:pPr>
            <w:r w:rsidRPr="009D258A">
              <w:rPr>
                <w:rFonts w:ascii="Calibri" w:hAnsi="Calibri"/>
                <w:b/>
                <w:noProof/>
                <w:color w:val="000000"/>
                <w:sz w:val="16"/>
              </w:rPr>
              <w:t>•</w:t>
            </w:r>
            <w:r w:rsidRPr="009D258A">
              <w:rPr>
                <w:b/>
                <w:noProof/>
                <w:color w:val="000000"/>
                <w:sz w:val="16"/>
              </w:rPr>
              <w:t xml:space="preserve"> Ulkopuolinen henkilöstö (kokoaikaiseksi muutettuna)</w:t>
            </w:r>
          </w:p>
        </w:tc>
      </w:tr>
      <w:tr w:rsidR="005061E6" w:rsidRPr="009D258A" w14:paraId="6A5C06C1"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47B9AF46" w14:textId="77777777" w:rsidR="005061E6" w:rsidRPr="009D258A" w:rsidRDefault="005061E6">
            <w:pPr>
              <w:spacing w:before="0" w:after="0"/>
              <w:ind w:firstLineChars="100" w:firstLine="160"/>
              <w:jc w:val="left"/>
              <w:rPr>
                <w:noProof/>
                <w:color w:val="000000"/>
                <w:sz w:val="16"/>
                <w:szCs w:val="16"/>
              </w:rPr>
            </w:pPr>
            <w:r w:rsidRPr="009D258A">
              <w:rPr>
                <w:noProof/>
                <w:color w:val="000000"/>
                <w:sz w:val="16"/>
              </w:rPr>
              <w:t>20 02 01</w:t>
            </w:r>
            <w:r w:rsidRPr="009D258A">
              <w:rPr>
                <w:rFonts w:ascii="Arial Narrow" w:hAnsi="Arial Narrow"/>
                <w:noProof/>
                <w:color w:val="000000"/>
                <w:sz w:val="20"/>
              </w:rPr>
              <w:t xml:space="preserve"> </w:t>
            </w:r>
            <w:r w:rsidRPr="009D258A">
              <w:rPr>
                <w:noProof/>
                <w:color w:val="000000"/>
                <w:sz w:val="16"/>
              </w:rPr>
              <w:t>(kokonaismäärärahoista katettavat sopimussuhteiset toimihenkilöt ja kansalliset asiantuntijat)</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3985E8FF"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61484CEF"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2DBC65E9" w14:textId="77777777" w:rsidR="005061E6" w:rsidRPr="009D258A" w:rsidRDefault="005061E6">
            <w:pPr>
              <w:spacing w:before="0" w:after="0"/>
              <w:jc w:val="center"/>
              <w:rPr>
                <w:noProof/>
                <w:color w:val="000000"/>
                <w:sz w:val="16"/>
                <w:szCs w:val="16"/>
              </w:rPr>
            </w:pPr>
            <w:r w:rsidRPr="009D258A">
              <w:rPr>
                <w:noProof/>
                <w:color w:val="000000" w:themeColor="text1"/>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2F9E6381" w14:textId="77777777" w:rsidR="005061E6" w:rsidRPr="009D258A" w:rsidRDefault="005061E6">
            <w:pPr>
              <w:spacing w:before="0" w:after="0"/>
              <w:jc w:val="center"/>
              <w:rPr>
                <w:noProof/>
                <w:color w:val="000000"/>
                <w:sz w:val="16"/>
                <w:szCs w:val="16"/>
              </w:rPr>
            </w:pPr>
            <w:r w:rsidRPr="009D258A">
              <w:rPr>
                <w:noProof/>
                <w:color w:val="000000" w:themeColor="text1"/>
                <w:sz w:val="16"/>
              </w:rPr>
              <w:t>0</w:t>
            </w:r>
          </w:p>
        </w:tc>
      </w:tr>
      <w:tr w:rsidR="005061E6" w:rsidRPr="009D258A" w14:paraId="637EF708"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677C1179" w14:textId="77777777" w:rsidR="005061E6" w:rsidRPr="009D258A" w:rsidRDefault="005061E6">
            <w:pPr>
              <w:spacing w:before="0" w:after="0"/>
              <w:ind w:firstLineChars="100" w:firstLine="160"/>
              <w:jc w:val="left"/>
              <w:rPr>
                <w:noProof/>
                <w:color w:val="000000"/>
                <w:sz w:val="16"/>
                <w:szCs w:val="16"/>
              </w:rPr>
            </w:pPr>
            <w:r w:rsidRPr="009D258A">
              <w:rPr>
                <w:noProof/>
                <w:color w:val="000000"/>
                <w:sz w:val="16"/>
              </w:rPr>
              <w:t>20 02 03 (sopimussuhteiset ja paikalliset toimihenkilöt, kansalliset asiantuntijat ja nuoremmat asiantuntijat unionin edustustoissa)</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1DB7365C"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18AD3460"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47BF0F41"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07B91C4A" w14:textId="77777777" w:rsidR="005061E6" w:rsidRPr="009D258A" w:rsidRDefault="005061E6">
            <w:pPr>
              <w:spacing w:before="0" w:after="0"/>
              <w:jc w:val="center"/>
              <w:rPr>
                <w:noProof/>
                <w:color w:val="000000"/>
                <w:sz w:val="16"/>
                <w:szCs w:val="16"/>
              </w:rPr>
            </w:pPr>
            <w:r w:rsidRPr="009D258A">
              <w:rPr>
                <w:noProof/>
                <w:color w:val="000000"/>
                <w:sz w:val="16"/>
              </w:rPr>
              <w:t>0</w:t>
            </w:r>
          </w:p>
        </w:tc>
      </w:tr>
      <w:tr w:rsidR="005061E6" w:rsidRPr="009D258A" w14:paraId="3EEDDB43" w14:textId="77777777">
        <w:trPr>
          <w:trHeight w:val="300"/>
        </w:trPr>
        <w:tc>
          <w:tcPr>
            <w:tcW w:w="815" w:type="pct"/>
            <w:vMerge w:val="restart"/>
            <w:tcBorders>
              <w:top w:val="nil"/>
              <w:left w:val="single" w:sz="8" w:space="0" w:color="auto"/>
              <w:bottom w:val="single" w:sz="8" w:space="0" w:color="auto"/>
              <w:right w:val="single" w:sz="8" w:space="0" w:color="auto"/>
            </w:tcBorders>
            <w:vAlign w:val="center"/>
            <w:hideMark/>
          </w:tcPr>
          <w:p w14:paraId="18D7D7EF" w14:textId="77777777" w:rsidR="005061E6" w:rsidRPr="009D258A" w:rsidRDefault="005061E6">
            <w:pPr>
              <w:spacing w:before="0" w:after="0"/>
              <w:jc w:val="center"/>
              <w:rPr>
                <w:noProof/>
                <w:color w:val="000000"/>
                <w:sz w:val="16"/>
                <w:szCs w:val="16"/>
              </w:rPr>
            </w:pPr>
            <w:r w:rsidRPr="009D258A">
              <w:rPr>
                <w:noProof/>
                <w:color w:val="000000"/>
                <w:sz w:val="16"/>
              </w:rPr>
              <w:t>Hallinnollisen tuen budjettikohta</w:t>
            </w:r>
            <w:r w:rsidRPr="009D258A">
              <w:rPr>
                <w:noProof/>
              </w:rPr>
              <w:t xml:space="preserve"> </w:t>
            </w:r>
            <w:r w:rsidRPr="009D258A">
              <w:rPr>
                <w:noProof/>
              </w:rPr>
              <w:br/>
            </w:r>
            <w:r w:rsidRPr="009D258A">
              <w:rPr>
                <w:noProof/>
                <w:color w:val="000000"/>
                <w:sz w:val="16"/>
              </w:rPr>
              <w:t>[XX.01.YY.YY]</w:t>
            </w:r>
          </w:p>
        </w:tc>
        <w:tc>
          <w:tcPr>
            <w:tcW w:w="2098" w:type="pct"/>
            <w:tcBorders>
              <w:top w:val="nil"/>
              <w:left w:val="nil"/>
              <w:bottom w:val="single" w:sz="8" w:space="0" w:color="auto"/>
              <w:right w:val="single" w:sz="8" w:space="0" w:color="auto"/>
            </w:tcBorders>
            <w:vAlign w:val="center"/>
            <w:hideMark/>
          </w:tcPr>
          <w:p w14:paraId="2B83A020" w14:textId="77777777" w:rsidR="005061E6" w:rsidRPr="009D258A" w:rsidRDefault="005061E6">
            <w:pPr>
              <w:spacing w:before="0" w:after="0"/>
              <w:ind w:firstLineChars="100" w:firstLine="160"/>
              <w:jc w:val="left"/>
              <w:rPr>
                <w:noProof/>
                <w:color w:val="000000"/>
                <w:sz w:val="16"/>
                <w:szCs w:val="16"/>
              </w:rPr>
            </w:pPr>
            <w:r w:rsidRPr="009D258A">
              <w:rPr>
                <w:noProof/>
                <w:color w:val="000000"/>
                <w:sz w:val="16"/>
              </w:rPr>
              <w:t>– päätoimipaikassa</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73A2BD38"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45420621"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10F1F256"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2CEA989F" w14:textId="77777777" w:rsidR="005061E6" w:rsidRPr="009D258A" w:rsidRDefault="005061E6">
            <w:pPr>
              <w:spacing w:before="0" w:after="0"/>
              <w:jc w:val="center"/>
              <w:rPr>
                <w:noProof/>
                <w:color w:val="000000"/>
                <w:sz w:val="16"/>
                <w:szCs w:val="16"/>
              </w:rPr>
            </w:pPr>
            <w:r w:rsidRPr="009D258A">
              <w:rPr>
                <w:noProof/>
                <w:color w:val="000000"/>
                <w:sz w:val="16"/>
              </w:rPr>
              <w:t>0</w:t>
            </w:r>
          </w:p>
        </w:tc>
      </w:tr>
      <w:tr w:rsidR="005061E6" w:rsidRPr="009D258A" w14:paraId="6DDB51B9" w14:textId="77777777">
        <w:trPr>
          <w:trHeight w:val="300"/>
        </w:trPr>
        <w:tc>
          <w:tcPr>
            <w:tcW w:w="815" w:type="pct"/>
            <w:vMerge/>
            <w:vAlign w:val="center"/>
            <w:hideMark/>
          </w:tcPr>
          <w:p w14:paraId="46016877" w14:textId="77777777" w:rsidR="005061E6" w:rsidRPr="009D258A" w:rsidRDefault="005061E6">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vAlign w:val="center"/>
            <w:hideMark/>
          </w:tcPr>
          <w:p w14:paraId="3F116FE0" w14:textId="77777777" w:rsidR="005061E6" w:rsidRPr="009D258A" w:rsidRDefault="005061E6">
            <w:pPr>
              <w:spacing w:before="0" w:after="0"/>
              <w:ind w:firstLineChars="100" w:firstLine="160"/>
              <w:jc w:val="left"/>
              <w:rPr>
                <w:noProof/>
                <w:color w:val="000000"/>
                <w:sz w:val="16"/>
                <w:szCs w:val="16"/>
              </w:rPr>
            </w:pPr>
            <w:r w:rsidRPr="009D258A">
              <w:rPr>
                <w:noProof/>
                <w:color w:val="000000"/>
                <w:sz w:val="16"/>
              </w:rPr>
              <w:t xml:space="preserve">– unionin edustustoissa </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1AFDCBA1"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15799E82"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75C28B7C"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436DFEF8" w14:textId="77777777" w:rsidR="005061E6" w:rsidRPr="009D258A" w:rsidRDefault="005061E6">
            <w:pPr>
              <w:spacing w:before="0" w:after="0"/>
              <w:jc w:val="center"/>
              <w:rPr>
                <w:noProof/>
                <w:color w:val="000000"/>
                <w:sz w:val="16"/>
                <w:szCs w:val="16"/>
              </w:rPr>
            </w:pPr>
            <w:r w:rsidRPr="009D258A">
              <w:rPr>
                <w:noProof/>
                <w:color w:val="000000"/>
                <w:sz w:val="16"/>
              </w:rPr>
              <w:t>0</w:t>
            </w:r>
          </w:p>
        </w:tc>
      </w:tr>
      <w:tr w:rsidR="005061E6" w:rsidRPr="009D258A" w14:paraId="7D2A2F62"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11DB1A0D" w14:textId="77777777" w:rsidR="005061E6" w:rsidRPr="009D258A" w:rsidRDefault="005061E6">
            <w:pPr>
              <w:spacing w:before="0" w:after="0"/>
              <w:ind w:firstLineChars="100" w:firstLine="160"/>
              <w:jc w:val="left"/>
              <w:rPr>
                <w:noProof/>
                <w:color w:val="000000"/>
                <w:sz w:val="16"/>
                <w:szCs w:val="16"/>
              </w:rPr>
            </w:pPr>
            <w:r w:rsidRPr="009D258A">
              <w:rPr>
                <w:noProof/>
                <w:color w:val="000000"/>
                <w:sz w:val="16"/>
              </w:rPr>
              <w:t>01 01 01 02</w:t>
            </w:r>
            <w:r w:rsidRPr="009D258A">
              <w:rPr>
                <w:rFonts w:ascii="Arial Narrow" w:hAnsi="Arial Narrow"/>
                <w:noProof/>
                <w:color w:val="000000"/>
                <w:sz w:val="20"/>
              </w:rPr>
              <w:t xml:space="preserve"> </w:t>
            </w:r>
            <w:r w:rsidRPr="009D258A">
              <w:rPr>
                <w:noProof/>
                <w:color w:val="000000"/>
                <w:sz w:val="16"/>
              </w:rPr>
              <w:t>(sopimussuhteiset toimihenkilöt ja kansalliset asiantuntijat – epäsuora tutkimustoiminta)</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1D83114F"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483BBA19"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365F25FA"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7B40B9F0" w14:textId="77777777" w:rsidR="005061E6" w:rsidRPr="009D258A" w:rsidRDefault="005061E6">
            <w:pPr>
              <w:spacing w:before="0" w:after="0"/>
              <w:jc w:val="center"/>
              <w:rPr>
                <w:noProof/>
                <w:color w:val="000000"/>
                <w:sz w:val="16"/>
                <w:szCs w:val="16"/>
              </w:rPr>
            </w:pPr>
            <w:r w:rsidRPr="009D258A">
              <w:rPr>
                <w:noProof/>
                <w:color w:val="000000"/>
                <w:sz w:val="16"/>
              </w:rPr>
              <w:t>0</w:t>
            </w:r>
          </w:p>
        </w:tc>
      </w:tr>
      <w:tr w:rsidR="005061E6" w:rsidRPr="009D258A" w14:paraId="733E9E55"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5668C4E7" w14:textId="77777777" w:rsidR="005061E6" w:rsidRPr="009D258A" w:rsidRDefault="005061E6">
            <w:pPr>
              <w:spacing w:before="0" w:after="0"/>
              <w:ind w:firstLineChars="100" w:firstLine="160"/>
              <w:jc w:val="left"/>
              <w:rPr>
                <w:noProof/>
                <w:color w:val="000000"/>
                <w:sz w:val="16"/>
                <w:szCs w:val="16"/>
              </w:rPr>
            </w:pPr>
            <w:r w:rsidRPr="009D258A">
              <w:rPr>
                <w:noProof/>
                <w:color w:val="000000"/>
                <w:sz w:val="16"/>
              </w:rPr>
              <w:t xml:space="preserve"> 01 01 01 12 (sopimussuhteiset toimihenkilöt ja kansalliset asiantuntijat – suora tutkimustoiminta)</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0C56A6F7"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73500B6C"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60D32931"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1FE0197D" w14:textId="77777777" w:rsidR="005061E6" w:rsidRPr="009D258A" w:rsidRDefault="005061E6">
            <w:pPr>
              <w:spacing w:before="0" w:after="0"/>
              <w:jc w:val="center"/>
              <w:rPr>
                <w:noProof/>
                <w:color w:val="000000"/>
                <w:sz w:val="16"/>
                <w:szCs w:val="16"/>
              </w:rPr>
            </w:pPr>
            <w:r w:rsidRPr="009D258A">
              <w:rPr>
                <w:noProof/>
                <w:color w:val="000000"/>
                <w:sz w:val="16"/>
              </w:rPr>
              <w:t>0</w:t>
            </w:r>
          </w:p>
        </w:tc>
      </w:tr>
      <w:tr w:rsidR="005061E6" w:rsidRPr="009D258A" w14:paraId="5F43274E"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444D1F7C" w14:textId="77777777" w:rsidR="005061E6" w:rsidRPr="009D258A" w:rsidRDefault="005061E6">
            <w:pPr>
              <w:spacing w:before="0" w:after="0"/>
              <w:ind w:firstLineChars="100" w:firstLine="160"/>
              <w:jc w:val="left"/>
              <w:rPr>
                <w:noProof/>
                <w:color w:val="000000"/>
                <w:sz w:val="16"/>
                <w:szCs w:val="16"/>
              </w:rPr>
            </w:pPr>
            <w:r w:rsidRPr="009D258A">
              <w:rPr>
                <w:noProof/>
                <w:color w:val="000000"/>
                <w:sz w:val="16"/>
              </w:rPr>
              <w:t>Muu budjettikohta (mikä?) – Otsake 7</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5DBDB495"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51C59E7B"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255DB32C"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16AF5456" w14:textId="77777777" w:rsidR="005061E6" w:rsidRPr="009D258A" w:rsidRDefault="005061E6">
            <w:pPr>
              <w:spacing w:before="0" w:after="0"/>
              <w:jc w:val="center"/>
              <w:rPr>
                <w:noProof/>
                <w:color w:val="000000"/>
                <w:sz w:val="16"/>
                <w:szCs w:val="16"/>
              </w:rPr>
            </w:pPr>
            <w:r w:rsidRPr="009D258A">
              <w:rPr>
                <w:noProof/>
                <w:color w:val="000000"/>
                <w:sz w:val="16"/>
              </w:rPr>
              <w:t>0</w:t>
            </w:r>
          </w:p>
        </w:tc>
      </w:tr>
      <w:tr w:rsidR="005061E6" w:rsidRPr="009D258A" w14:paraId="464F1E09"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2E47C0CA" w14:textId="77777777" w:rsidR="005061E6" w:rsidRPr="009D258A" w:rsidRDefault="005061E6">
            <w:pPr>
              <w:spacing w:before="0" w:after="0"/>
              <w:ind w:firstLineChars="100" w:firstLine="160"/>
              <w:jc w:val="left"/>
              <w:rPr>
                <w:noProof/>
                <w:color w:val="000000"/>
                <w:sz w:val="16"/>
                <w:szCs w:val="16"/>
              </w:rPr>
            </w:pPr>
            <w:r w:rsidRPr="009D258A">
              <w:rPr>
                <w:noProof/>
                <w:color w:val="000000" w:themeColor="text1"/>
                <w:sz w:val="16"/>
              </w:rPr>
              <w:t>Muu budjettikohta (02 01 30 01) – Otsakkeen 7 ulkopuolella</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11BBDCFA"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6F192342" w14:textId="77777777" w:rsidR="005061E6" w:rsidRPr="009D258A" w:rsidRDefault="005061E6">
            <w:pPr>
              <w:spacing w:before="0" w:after="0"/>
              <w:jc w:val="center"/>
              <w:rPr>
                <w:noProof/>
                <w:color w:val="000000"/>
                <w:sz w:val="16"/>
                <w:szCs w:val="16"/>
              </w:rPr>
            </w:pPr>
            <w:r w:rsidRPr="009D258A">
              <w:rPr>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326A7CE9" w14:textId="77777777" w:rsidR="005061E6" w:rsidRPr="009D258A" w:rsidRDefault="005061E6">
            <w:pPr>
              <w:spacing w:before="0" w:after="0"/>
              <w:jc w:val="center"/>
              <w:rPr>
                <w:noProof/>
                <w:color w:val="000000"/>
                <w:sz w:val="16"/>
                <w:szCs w:val="16"/>
              </w:rPr>
            </w:pPr>
            <w:r w:rsidRPr="009D258A">
              <w:rPr>
                <w:noProof/>
                <w:color w:val="000000" w:themeColor="text1"/>
                <w:sz w:val="16"/>
              </w:rPr>
              <w:t>48</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3A46B9B5" w14:textId="77777777" w:rsidR="005061E6" w:rsidRPr="009D258A" w:rsidRDefault="005061E6">
            <w:pPr>
              <w:spacing w:before="0" w:after="0"/>
              <w:jc w:val="center"/>
              <w:rPr>
                <w:noProof/>
                <w:color w:val="000000"/>
                <w:sz w:val="16"/>
                <w:szCs w:val="16"/>
              </w:rPr>
            </w:pPr>
            <w:r w:rsidRPr="009D258A">
              <w:rPr>
                <w:noProof/>
                <w:color w:val="000000" w:themeColor="text1"/>
                <w:sz w:val="16"/>
              </w:rPr>
              <w:t>48</w:t>
            </w:r>
          </w:p>
        </w:tc>
      </w:tr>
      <w:tr w:rsidR="005061E6" w:rsidRPr="009D258A" w14:paraId="737832F4"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64400B78" w14:textId="77777777" w:rsidR="005061E6" w:rsidRPr="009D258A" w:rsidRDefault="005061E6">
            <w:pPr>
              <w:spacing w:before="0" w:after="0"/>
              <w:ind w:firstLineChars="100" w:firstLine="160"/>
              <w:jc w:val="left"/>
              <w:rPr>
                <w:b/>
                <w:bCs/>
                <w:noProof/>
                <w:color w:val="000000"/>
                <w:sz w:val="16"/>
                <w:szCs w:val="16"/>
              </w:rPr>
            </w:pPr>
            <w:r w:rsidRPr="009D258A">
              <w:rPr>
                <w:b/>
                <w:noProof/>
                <w:color w:val="000000"/>
                <w:sz w:val="16"/>
              </w:rPr>
              <w:t>YHTEENSÄ</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0804F062" w14:textId="77777777" w:rsidR="005061E6" w:rsidRPr="009D258A" w:rsidRDefault="005061E6">
            <w:pPr>
              <w:spacing w:before="0" w:after="0"/>
              <w:jc w:val="center"/>
              <w:rPr>
                <w:b/>
                <w:bCs/>
                <w:noProof/>
                <w:color w:val="000000"/>
                <w:sz w:val="16"/>
                <w:szCs w:val="16"/>
              </w:rPr>
            </w:pPr>
            <w:r w:rsidRPr="009D258A">
              <w:rPr>
                <w:b/>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4086A7C2" w14:textId="77777777" w:rsidR="005061E6" w:rsidRPr="009D258A" w:rsidRDefault="005061E6">
            <w:pPr>
              <w:spacing w:before="0" w:after="0"/>
              <w:jc w:val="center"/>
              <w:rPr>
                <w:b/>
                <w:bCs/>
                <w:noProof/>
                <w:color w:val="000000"/>
                <w:sz w:val="16"/>
                <w:szCs w:val="16"/>
              </w:rPr>
            </w:pPr>
            <w:r w:rsidRPr="009D258A">
              <w:rPr>
                <w:b/>
                <w:noProof/>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08DE943F" w14:textId="77777777" w:rsidR="005061E6" w:rsidRPr="009D258A" w:rsidRDefault="005061E6">
            <w:pPr>
              <w:spacing w:before="0" w:after="0"/>
              <w:jc w:val="center"/>
              <w:rPr>
                <w:b/>
                <w:bCs/>
                <w:noProof/>
                <w:color w:val="000000"/>
                <w:sz w:val="16"/>
                <w:szCs w:val="16"/>
              </w:rPr>
            </w:pPr>
            <w:r w:rsidRPr="009D258A">
              <w:rPr>
                <w:b/>
                <w:noProof/>
                <w:color w:val="000000" w:themeColor="text1"/>
                <w:sz w:val="16"/>
              </w:rPr>
              <w:t>53</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5DE9F566" w14:textId="77777777" w:rsidR="005061E6" w:rsidRPr="009D258A" w:rsidRDefault="005061E6">
            <w:pPr>
              <w:spacing w:before="0" w:after="0"/>
              <w:jc w:val="center"/>
              <w:rPr>
                <w:b/>
                <w:bCs/>
                <w:noProof/>
                <w:color w:val="000000"/>
                <w:sz w:val="16"/>
                <w:szCs w:val="16"/>
              </w:rPr>
            </w:pPr>
            <w:r w:rsidRPr="009D258A">
              <w:rPr>
                <w:b/>
                <w:noProof/>
                <w:color w:val="000000" w:themeColor="text1"/>
                <w:sz w:val="16"/>
              </w:rPr>
              <w:t>53</w:t>
            </w:r>
          </w:p>
        </w:tc>
      </w:tr>
    </w:tbl>
    <w:p w14:paraId="65479FDE" w14:textId="77777777" w:rsidR="00763B74" w:rsidRPr="009D258A" w:rsidRDefault="00763B74" w:rsidP="00763B74">
      <w:pPr>
        <w:spacing w:after="60"/>
        <w:jc w:val="left"/>
        <w:rPr>
          <w:i/>
          <w:noProof/>
          <w:sz w:val="20"/>
        </w:rPr>
      </w:pPr>
      <w:r w:rsidRPr="009D258A">
        <w:rPr>
          <w:i/>
          <w:noProof/>
          <w:sz w:val="20"/>
        </w:rPr>
        <w:t>]</w:t>
      </w:r>
    </w:p>
    <w:p w14:paraId="5C3DAFB3" w14:textId="77777777" w:rsidR="005061E6" w:rsidRPr="009D258A" w:rsidRDefault="005061E6" w:rsidP="005061E6">
      <w:pPr>
        <w:pStyle w:val="Text1"/>
        <w:ind w:left="-426"/>
        <w:rPr>
          <w:noProof/>
          <w:color w:val="000000" w:themeColor="text1"/>
        </w:rPr>
      </w:pPr>
      <w:bookmarkStart w:id="35" w:name="_Hlk167692843"/>
      <w:bookmarkEnd w:id="34"/>
      <w:r w:rsidRPr="009D258A">
        <w:rPr>
          <w:noProof/>
          <w:color w:val="000000" w:themeColor="text1"/>
        </w:rPr>
        <w:t xml:space="preserve">Ehdotuksen toteuttamiseksi tarvittava henkilöstö (kokoaikaiseksi muutettuna): </w:t>
      </w:r>
    </w:p>
    <w:tbl>
      <w:tblPr>
        <w:tblStyle w:val="TableGrid"/>
        <w:tblW w:w="9487" w:type="dxa"/>
        <w:tblInd w:w="-426" w:type="dxa"/>
        <w:tblLook w:val="04A0" w:firstRow="1" w:lastRow="0" w:firstColumn="1" w:lastColumn="0" w:noHBand="0" w:noVBand="1"/>
      </w:tblPr>
      <w:tblGrid>
        <w:gridCol w:w="2172"/>
        <w:gridCol w:w="1575"/>
        <w:gridCol w:w="2441"/>
        <w:gridCol w:w="1846"/>
        <w:gridCol w:w="1453"/>
      </w:tblGrid>
      <w:tr w:rsidR="005061E6" w:rsidRPr="009D258A" w14:paraId="3D13D2A4" w14:textId="77777777">
        <w:trPr>
          <w:trHeight w:val="300"/>
        </w:trPr>
        <w:tc>
          <w:tcPr>
            <w:tcW w:w="1845" w:type="dxa"/>
          </w:tcPr>
          <w:p w14:paraId="458A42B7" w14:textId="77777777" w:rsidR="005061E6" w:rsidRPr="009D258A" w:rsidRDefault="005061E6">
            <w:pPr>
              <w:pStyle w:val="Text1"/>
              <w:ind w:left="0"/>
              <w:jc w:val="center"/>
              <w:rPr>
                <w:b/>
                <w:bCs/>
                <w:noProof/>
                <w:sz w:val="22"/>
                <w:szCs w:val="28"/>
              </w:rPr>
            </w:pPr>
          </w:p>
        </w:tc>
        <w:tc>
          <w:tcPr>
            <w:tcW w:w="2031" w:type="dxa"/>
          </w:tcPr>
          <w:p w14:paraId="642E3467" w14:textId="77777777" w:rsidR="005061E6" w:rsidRPr="009D258A" w:rsidRDefault="005061E6">
            <w:pPr>
              <w:pStyle w:val="Text1"/>
              <w:ind w:left="0"/>
              <w:jc w:val="center"/>
              <w:rPr>
                <w:b/>
                <w:bCs/>
                <w:noProof/>
                <w:sz w:val="22"/>
              </w:rPr>
            </w:pPr>
            <w:r w:rsidRPr="009D258A">
              <w:rPr>
                <w:b/>
                <w:noProof/>
                <w:sz w:val="22"/>
              </w:rPr>
              <w:t xml:space="preserve">Katetaan komission yksiköissä käytettävissä olevalla henkilöstöllä </w:t>
            </w:r>
          </w:p>
        </w:tc>
        <w:tc>
          <w:tcPr>
            <w:tcW w:w="5611" w:type="dxa"/>
            <w:gridSpan w:val="3"/>
          </w:tcPr>
          <w:p w14:paraId="5B9D5006" w14:textId="77777777" w:rsidR="005061E6" w:rsidRPr="009D258A" w:rsidRDefault="005061E6">
            <w:pPr>
              <w:pStyle w:val="Text1"/>
              <w:ind w:left="0"/>
              <w:jc w:val="center"/>
              <w:rPr>
                <w:b/>
                <w:bCs/>
                <w:noProof/>
                <w:sz w:val="22"/>
              </w:rPr>
            </w:pPr>
            <w:r w:rsidRPr="009D258A">
              <w:rPr>
                <w:b/>
                <w:noProof/>
                <w:sz w:val="22"/>
              </w:rPr>
              <w:t>Poikkeuksellinen lisähenkilöstö*</w:t>
            </w:r>
          </w:p>
        </w:tc>
      </w:tr>
      <w:tr w:rsidR="005061E6" w:rsidRPr="009D258A" w14:paraId="1E35AE24" w14:textId="77777777">
        <w:trPr>
          <w:trHeight w:val="300"/>
        </w:trPr>
        <w:tc>
          <w:tcPr>
            <w:tcW w:w="1845" w:type="dxa"/>
          </w:tcPr>
          <w:p w14:paraId="3C84BCF6" w14:textId="77777777" w:rsidR="005061E6" w:rsidRPr="009D258A" w:rsidRDefault="005061E6">
            <w:pPr>
              <w:pStyle w:val="Text1"/>
              <w:ind w:left="0"/>
              <w:jc w:val="center"/>
              <w:rPr>
                <w:b/>
                <w:bCs/>
                <w:noProof/>
                <w:sz w:val="22"/>
                <w:szCs w:val="28"/>
              </w:rPr>
            </w:pPr>
          </w:p>
        </w:tc>
        <w:tc>
          <w:tcPr>
            <w:tcW w:w="2031" w:type="dxa"/>
          </w:tcPr>
          <w:p w14:paraId="4B520BF9" w14:textId="77777777" w:rsidR="005061E6" w:rsidRPr="009D258A" w:rsidRDefault="005061E6">
            <w:pPr>
              <w:pStyle w:val="Text1"/>
              <w:ind w:left="0"/>
              <w:jc w:val="center"/>
              <w:rPr>
                <w:b/>
                <w:bCs/>
                <w:noProof/>
                <w:sz w:val="22"/>
                <w:szCs w:val="28"/>
              </w:rPr>
            </w:pPr>
          </w:p>
        </w:tc>
        <w:tc>
          <w:tcPr>
            <w:tcW w:w="1925" w:type="dxa"/>
          </w:tcPr>
          <w:p w14:paraId="25A22ACC" w14:textId="77777777" w:rsidR="005061E6" w:rsidRPr="009D258A" w:rsidRDefault="005061E6">
            <w:pPr>
              <w:pStyle w:val="Text1"/>
              <w:ind w:left="0"/>
              <w:jc w:val="center"/>
              <w:rPr>
                <w:b/>
                <w:bCs/>
                <w:noProof/>
                <w:sz w:val="22"/>
              </w:rPr>
            </w:pPr>
            <w:r w:rsidRPr="009D258A">
              <w:rPr>
                <w:b/>
                <w:noProof/>
                <w:sz w:val="22"/>
              </w:rPr>
              <w:t>Rahoitetaan otsakkeesta 7 tai tutkimusmäärärahoista</w:t>
            </w:r>
          </w:p>
        </w:tc>
        <w:tc>
          <w:tcPr>
            <w:tcW w:w="1938" w:type="dxa"/>
          </w:tcPr>
          <w:p w14:paraId="595097B2" w14:textId="77777777" w:rsidR="005061E6" w:rsidRPr="009D258A" w:rsidRDefault="005061E6">
            <w:pPr>
              <w:pStyle w:val="Text1"/>
              <w:ind w:left="0"/>
              <w:jc w:val="center"/>
              <w:rPr>
                <w:b/>
                <w:bCs/>
                <w:noProof/>
                <w:sz w:val="22"/>
                <w:szCs w:val="28"/>
              </w:rPr>
            </w:pPr>
            <w:r w:rsidRPr="009D258A">
              <w:rPr>
                <w:b/>
                <w:noProof/>
                <w:sz w:val="22"/>
              </w:rPr>
              <w:t>Rahoitetaan BA-budjettikohdasta</w:t>
            </w:r>
          </w:p>
        </w:tc>
        <w:tc>
          <w:tcPr>
            <w:tcW w:w="1748" w:type="dxa"/>
          </w:tcPr>
          <w:p w14:paraId="03D85B5D" w14:textId="77777777" w:rsidR="005061E6" w:rsidRPr="009D258A" w:rsidRDefault="005061E6">
            <w:pPr>
              <w:pStyle w:val="Text1"/>
              <w:ind w:left="0"/>
              <w:jc w:val="center"/>
              <w:rPr>
                <w:b/>
                <w:bCs/>
                <w:noProof/>
                <w:sz w:val="22"/>
                <w:szCs w:val="28"/>
              </w:rPr>
            </w:pPr>
            <w:r w:rsidRPr="009D258A">
              <w:rPr>
                <w:b/>
                <w:noProof/>
                <w:sz w:val="22"/>
              </w:rPr>
              <w:t>Rahoitetaan maksuilla</w:t>
            </w:r>
          </w:p>
        </w:tc>
      </w:tr>
      <w:tr w:rsidR="005061E6" w:rsidRPr="009D258A" w14:paraId="4F41984B" w14:textId="77777777">
        <w:trPr>
          <w:trHeight w:val="300"/>
        </w:trPr>
        <w:tc>
          <w:tcPr>
            <w:tcW w:w="1845" w:type="dxa"/>
          </w:tcPr>
          <w:p w14:paraId="0C666D21" w14:textId="77777777" w:rsidR="005061E6" w:rsidRPr="009D258A" w:rsidRDefault="005061E6">
            <w:pPr>
              <w:pStyle w:val="Text1"/>
              <w:ind w:left="0"/>
              <w:rPr>
                <w:noProof/>
                <w:sz w:val="22"/>
                <w:szCs w:val="28"/>
              </w:rPr>
            </w:pPr>
            <w:r w:rsidRPr="009D258A">
              <w:rPr>
                <w:noProof/>
                <w:sz w:val="22"/>
              </w:rPr>
              <w:t>Henkilöstötaulukkoon sisältyvät virat/toimet</w:t>
            </w:r>
          </w:p>
        </w:tc>
        <w:tc>
          <w:tcPr>
            <w:tcW w:w="2031" w:type="dxa"/>
          </w:tcPr>
          <w:p w14:paraId="50753A7E" w14:textId="1FD16056" w:rsidR="005061E6" w:rsidRPr="009D258A" w:rsidRDefault="00EC0D37">
            <w:pPr>
              <w:pStyle w:val="Text1"/>
              <w:ind w:left="0"/>
              <w:rPr>
                <w:noProof/>
                <w:sz w:val="22"/>
                <w:szCs w:val="22"/>
              </w:rPr>
            </w:pPr>
            <w:r w:rsidRPr="009D258A">
              <w:rPr>
                <w:noProof/>
                <w:sz w:val="22"/>
              </w:rPr>
              <w:t>5</w:t>
            </w:r>
          </w:p>
        </w:tc>
        <w:tc>
          <w:tcPr>
            <w:tcW w:w="1925" w:type="dxa"/>
          </w:tcPr>
          <w:p w14:paraId="3C51D3C2" w14:textId="59D81EA4" w:rsidR="005061E6" w:rsidRPr="009D258A" w:rsidRDefault="005061E6">
            <w:pPr>
              <w:pStyle w:val="Text1"/>
              <w:ind w:left="0"/>
              <w:rPr>
                <w:noProof/>
                <w:sz w:val="22"/>
                <w:szCs w:val="22"/>
              </w:rPr>
            </w:pPr>
          </w:p>
        </w:tc>
        <w:tc>
          <w:tcPr>
            <w:tcW w:w="1938" w:type="dxa"/>
          </w:tcPr>
          <w:p w14:paraId="2A35871B" w14:textId="77777777" w:rsidR="005061E6" w:rsidRPr="009D258A" w:rsidRDefault="005061E6">
            <w:pPr>
              <w:pStyle w:val="Text1"/>
              <w:ind w:left="0"/>
              <w:rPr>
                <w:noProof/>
                <w:sz w:val="22"/>
                <w:szCs w:val="28"/>
              </w:rPr>
            </w:pPr>
            <w:r w:rsidRPr="009D258A">
              <w:rPr>
                <w:noProof/>
                <w:sz w:val="22"/>
              </w:rPr>
              <w:t>Ei sovelleta</w:t>
            </w:r>
          </w:p>
        </w:tc>
        <w:tc>
          <w:tcPr>
            <w:tcW w:w="1748" w:type="dxa"/>
          </w:tcPr>
          <w:p w14:paraId="628CD12D" w14:textId="77777777" w:rsidR="005061E6" w:rsidRPr="009D258A" w:rsidRDefault="005061E6">
            <w:pPr>
              <w:pStyle w:val="Text1"/>
              <w:ind w:left="0"/>
              <w:rPr>
                <w:noProof/>
                <w:sz w:val="22"/>
                <w:szCs w:val="28"/>
              </w:rPr>
            </w:pPr>
          </w:p>
        </w:tc>
      </w:tr>
      <w:tr w:rsidR="005061E6" w:rsidRPr="009D258A" w14:paraId="310B7152" w14:textId="77777777">
        <w:trPr>
          <w:trHeight w:val="300"/>
        </w:trPr>
        <w:tc>
          <w:tcPr>
            <w:tcW w:w="1845" w:type="dxa"/>
          </w:tcPr>
          <w:p w14:paraId="227C5322" w14:textId="77777777" w:rsidR="005061E6" w:rsidRPr="009D258A" w:rsidRDefault="005061E6">
            <w:pPr>
              <w:pStyle w:val="Text1"/>
              <w:ind w:left="0"/>
              <w:rPr>
                <w:noProof/>
                <w:sz w:val="22"/>
                <w:szCs w:val="28"/>
              </w:rPr>
            </w:pPr>
            <w:r w:rsidRPr="009D258A">
              <w:rPr>
                <w:noProof/>
                <w:sz w:val="22"/>
              </w:rPr>
              <w:t>Ulkopuolinen henkilöstö (sopimussuhteiset toimihenkilöt, kansalliset asiantuntijat ja vuokrahenkilöstö)</w:t>
            </w:r>
          </w:p>
        </w:tc>
        <w:tc>
          <w:tcPr>
            <w:tcW w:w="2031" w:type="dxa"/>
          </w:tcPr>
          <w:p w14:paraId="168E09AF" w14:textId="63F8A2FA" w:rsidR="005061E6" w:rsidRPr="009D258A" w:rsidRDefault="36719B66">
            <w:pPr>
              <w:pStyle w:val="Text1"/>
              <w:ind w:left="0"/>
              <w:rPr>
                <w:noProof/>
                <w:sz w:val="22"/>
                <w:szCs w:val="22"/>
              </w:rPr>
            </w:pPr>
            <w:r w:rsidRPr="009D258A">
              <w:rPr>
                <w:noProof/>
                <w:sz w:val="22"/>
              </w:rPr>
              <w:t>10</w:t>
            </w:r>
          </w:p>
        </w:tc>
        <w:tc>
          <w:tcPr>
            <w:tcW w:w="1925" w:type="dxa"/>
          </w:tcPr>
          <w:p w14:paraId="6216393E" w14:textId="77777777" w:rsidR="005061E6" w:rsidRPr="009D258A" w:rsidRDefault="005061E6">
            <w:pPr>
              <w:pStyle w:val="Text1"/>
              <w:ind w:left="0"/>
              <w:rPr>
                <w:noProof/>
                <w:sz w:val="22"/>
                <w:szCs w:val="28"/>
              </w:rPr>
            </w:pPr>
          </w:p>
        </w:tc>
        <w:tc>
          <w:tcPr>
            <w:tcW w:w="1938" w:type="dxa"/>
          </w:tcPr>
          <w:p w14:paraId="099EE1FC" w14:textId="5940384C" w:rsidR="005061E6" w:rsidRPr="009D258A" w:rsidRDefault="3934C956">
            <w:pPr>
              <w:pStyle w:val="Text1"/>
              <w:ind w:left="0"/>
              <w:rPr>
                <w:noProof/>
                <w:sz w:val="22"/>
                <w:szCs w:val="22"/>
              </w:rPr>
            </w:pPr>
            <w:r w:rsidRPr="009D258A">
              <w:rPr>
                <w:noProof/>
                <w:sz w:val="22"/>
              </w:rPr>
              <w:t>38</w:t>
            </w:r>
          </w:p>
        </w:tc>
        <w:tc>
          <w:tcPr>
            <w:tcW w:w="1748" w:type="dxa"/>
          </w:tcPr>
          <w:p w14:paraId="2F502796" w14:textId="77777777" w:rsidR="005061E6" w:rsidRPr="009D258A" w:rsidRDefault="005061E6">
            <w:pPr>
              <w:pStyle w:val="Text1"/>
              <w:ind w:left="0"/>
              <w:rPr>
                <w:noProof/>
                <w:sz w:val="22"/>
                <w:szCs w:val="28"/>
              </w:rPr>
            </w:pPr>
          </w:p>
        </w:tc>
      </w:tr>
    </w:tbl>
    <w:p w14:paraId="1F0729BD" w14:textId="77777777" w:rsidR="4837C983" w:rsidRPr="009D258A" w:rsidRDefault="4837C983" w:rsidP="4837C983">
      <w:pPr>
        <w:pStyle w:val="Text1"/>
        <w:ind w:left="-426" w:right="-427"/>
        <w:rPr>
          <w:noProof/>
        </w:rPr>
      </w:pPr>
    </w:p>
    <w:p w14:paraId="4D318A58" w14:textId="77777777" w:rsidR="005061E6" w:rsidRPr="009D258A" w:rsidRDefault="005061E6" w:rsidP="005061E6">
      <w:pPr>
        <w:pStyle w:val="Text1"/>
        <w:ind w:left="-426" w:right="-427"/>
        <w:rPr>
          <w:noProof/>
        </w:rPr>
      </w:pPr>
      <w:r w:rsidRPr="009D258A">
        <w:rPr>
          <w:noProof/>
        </w:rPr>
        <w:t>Kuvaus henkilöstön tehtävistä:</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E5D25" w:rsidRPr="009D258A" w14:paraId="36AE948E" w14:textId="77777777">
        <w:tc>
          <w:tcPr>
            <w:tcW w:w="3240" w:type="dxa"/>
          </w:tcPr>
          <w:p w14:paraId="0095242B" w14:textId="77777777" w:rsidR="005061E6" w:rsidRPr="009D258A" w:rsidRDefault="005061E6">
            <w:pPr>
              <w:rPr>
                <w:noProof/>
                <w:sz w:val="20"/>
              </w:rPr>
            </w:pPr>
            <w:r w:rsidRPr="009D258A">
              <w:rPr>
                <w:noProof/>
                <w:sz w:val="20"/>
              </w:rPr>
              <w:t>Virkamiehet ja väliaikaiset toimihenkilöt</w:t>
            </w:r>
          </w:p>
        </w:tc>
        <w:tc>
          <w:tcPr>
            <w:tcW w:w="7200" w:type="dxa"/>
            <w:vMerge w:val="restart"/>
          </w:tcPr>
          <w:p w14:paraId="7499430F" w14:textId="77777777" w:rsidR="005061E6" w:rsidRPr="009D258A" w:rsidRDefault="005061E6">
            <w:pPr>
              <w:rPr>
                <w:noProof/>
                <w:sz w:val="20"/>
                <w:szCs w:val="20"/>
              </w:rPr>
            </w:pPr>
            <w:r w:rsidRPr="009D258A">
              <w:rPr>
                <w:noProof/>
                <w:sz w:val="20"/>
              </w:rPr>
              <w:t>Tekoälytoimiston suorittaman keskitetyn valvonnan vahvistaminen johtaa tekoälyjärjestelmien määrän merkittävään kasvuun. Näitä tehtäviä ei voida hoitaa nykyisellä henkilöstömäärällä, joka riittää vain nykyiseen valvonnan laajuuteen.</w:t>
            </w:r>
          </w:p>
        </w:tc>
      </w:tr>
      <w:tr w:rsidR="004E5D25" w:rsidRPr="009D258A" w14:paraId="3536FC3D" w14:textId="77777777">
        <w:tc>
          <w:tcPr>
            <w:tcW w:w="3240" w:type="dxa"/>
          </w:tcPr>
          <w:p w14:paraId="6285E593" w14:textId="77777777" w:rsidR="005061E6" w:rsidRPr="009D258A" w:rsidRDefault="005061E6">
            <w:pPr>
              <w:spacing w:before="60" w:after="60"/>
              <w:rPr>
                <w:noProof/>
                <w:sz w:val="20"/>
              </w:rPr>
            </w:pPr>
            <w:r w:rsidRPr="009D258A">
              <w:rPr>
                <w:noProof/>
                <w:sz w:val="20"/>
              </w:rPr>
              <w:t>Ulkopuolinen henkilöstö</w:t>
            </w:r>
          </w:p>
        </w:tc>
        <w:tc>
          <w:tcPr>
            <w:tcW w:w="7200" w:type="dxa"/>
            <w:vMerge/>
          </w:tcPr>
          <w:p w14:paraId="45C51803" w14:textId="77777777" w:rsidR="005061E6" w:rsidRPr="009D258A" w:rsidRDefault="005061E6">
            <w:pPr>
              <w:rPr>
                <w:noProof/>
                <w:sz w:val="20"/>
              </w:rPr>
            </w:pPr>
          </w:p>
        </w:tc>
      </w:tr>
    </w:tbl>
    <w:p w14:paraId="19777F23" w14:textId="77777777" w:rsidR="005061E6" w:rsidRPr="009D258A" w:rsidRDefault="005061E6" w:rsidP="005061E6">
      <w:pPr>
        <w:pStyle w:val="ManualHeading3"/>
        <w:rPr>
          <w:noProof/>
        </w:rPr>
      </w:pPr>
      <w:bookmarkStart w:id="36" w:name="_Toc177549031"/>
      <w:r w:rsidRPr="009D258A">
        <w:rPr>
          <w:noProof/>
        </w:rPr>
        <w:t>3.2.5.</w:t>
      </w:r>
      <w:r w:rsidRPr="009D258A">
        <w:rPr>
          <w:noProof/>
        </w:rPr>
        <w:tab/>
        <w:t>Yhteenveto arvioiduista vaikutuksista digitaaliteknologiaan liittyviin investointeihin</w:t>
      </w:r>
      <w:bookmarkEnd w:id="36"/>
    </w:p>
    <w:p w14:paraId="1855266D" w14:textId="77777777" w:rsidR="005061E6" w:rsidRPr="009D258A" w:rsidRDefault="005061E6" w:rsidP="005061E6">
      <w:pPr>
        <w:pStyle w:val="Text1"/>
        <w:spacing w:line="259" w:lineRule="auto"/>
        <w:rPr>
          <w:noProof/>
        </w:rPr>
      </w:pPr>
      <w:r w:rsidRPr="009D258A">
        <w:rPr>
          <w:noProof/>
        </w:rPr>
        <w:t xml:space="preserve">Pakollinen: seuraavaan taulukkoon olisi sisällytettävä tarkin mahdollinen arvio ehdotuksen/aloitteen aiheuttamista digitaaliteknologiaan liittyvistä investoinneista. </w:t>
      </w:r>
    </w:p>
    <w:p w14:paraId="15AFECBB" w14:textId="77777777" w:rsidR="005061E6" w:rsidRPr="009D258A" w:rsidRDefault="005061E6" w:rsidP="005061E6">
      <w:pPr>
        <w:pStyle w:val="Text1"/>
        <w:spacing w:line="259" w:lineRule="auto"/>
        <w:rPr>
          <w:noProof/>
        </w:rPr>
      </w:pPr>
      <w:r w:rsidRPr="009D258A">
        <w:rPr>
          <w:noProof/>
        </w:rPr>
        <w:t xml:space="preserve">Jos ehdotuksen/aloitteen toteuttaminen sitä edellyttää, otsakkeen 7 määrärahat olisi poikkeuksellisesti esitettävä nimetyllä rivillä. </w:t>
      </w:r>
    </w:p>
    <w:p w14:paraId="19198034" w14:textId="77777777" w:rsidR="005061E6" w:rsidRPr="009D258A" w:rsidRDefault="005061E6" w:rsidP="005061E6">
      <w:pPr>
        <w:pStyle w:val="Text1"/>
        <w:spacing w:line="259" w:lineRule="auto"/>
        <w:rPr>
          <w:noProof/>
        </w:rPr>
      </w:pPr>
      <w:r w:rsidRPr="009D258A">
        <w:rPr>
          <w:noProof/>
        </w:rPr>
        <w:t>Otsakkeiden 1–6 määrärahat olisi otettava huomioon ”toimenpideohjelmien ohjelmatason tietotekniikkamenoina”. Näillä menoilla tarkoitetaan toimintatalousarviota, jota käytetään suoraan aloitteen täytäntöönpanoon liittyvien tietoteknisten alustojen/välineiden uudelleenkäyttöön/ostoon/kehittämiseen sekä niihin liittyviin investointeihin (esim. lisenssit, koulutus, tietojen säilyttäminen). Tässä taulukossa annettujen tietojen olisi oltava yhdenmukaisia 4 jaksossa ”Digitaaliset ulottuvuudet” esitettyjen yksityiskohtien kanssa.</w:t>
      </w:r>
    </w:p>
    <w:tbl>
      <w:tblPr>
        <w:tblW w:w="0" w:type="auto"/>
        <w:tblLayout w:type="fixed"/>
        <w:tblLook w:val="04A0" w:firstRow="1" w:lastRow="0" w:firstColumn="1" w:lastColumn="0" w:noHBand="0" w:noVBand="1"/>
      </w:tblPr>
      <w:tblGrid>
        <w:gridCol w:w="3214"/>
        <w:gridCol w:w="835"/>
        <w:gridCol w:w="835"/>
        <w:gridCol w:w="835"/>
        <w:gridCol w:w="835"/>
        <w:gridCol w:w="981"/>
      </w:tblGrid>
      <w:tr w:rsidR="005061E6" w:rsidRPr="009D258A" w14:paraId="7D53B775" w14:textId="77777777">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14:paraId="0257FC33" w14:textId="77777777" w:rsidR="005061E6" w:rsidRPr="009D258A" w:rsidRDefault="005061E6">
            <w:pPr>
              <w:spacing w:before="0" w:after="0"/>
              <w:jc w:val="center"/>
              <w:rPr>
                <w:b/>
                <w:bCs/>
                <w:noProof/>
                <w:color w:val="000000" w:themeColor="text1"/>
                <w:sz w:val="18"/>
                <w:szCs w:val="18"/>
              </w:rPr>
            </w:pPr>
            <w:r w:rsidRPr="009D258A">
              <w:rPr>
                <w:b/>
                <w:noProof/>
                <w:color w:val="000000" w:themeColor="text1"/>
                <w:sz w:val="18"/>
              </w:rPr>
              <w:t>YHTEENSÄ Digitaaliteknologiaan ja tietotekniikkaan liittyvät määrärahat</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14:paraId="0472D193" w14:textId="77777777" w:rsidR="005061E6" w:rsidRPr="009D258A" w:rsidRDefault="005061E6">
            <w:pPr>
              <w:spacing w:before="0" w:after="0"/>
              <w:jc w:val="center"/>
              <w:rPr>
                <w:noProof/>
                <w:color w:val="000000" w:themeColor="text1"/>
                <w:sz w:val="18"/>
                <w:szCs w:val="18"/>
              </w:rPr>
            </w:pPr>
            <w:r w:rsidRPr="009D258A">
              <w:rPr>
                <w:noProof/>
                <w:color w:val="000000" w:themeColor="text1"/>
                <w:sz w:val="18"/>
              </w:rPr>
              <w:t>Vuosi</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43DEABDA" w14:textId="77777777" w:rsidR="005061E6" w:rsidRPr="009D258A" w:rsidRDefault="005061E6">
            <w:pPr>
              <w:spacing w:before="0" w:after="0"/>
              <w:jc w:val="center"/>
              <w:rPr>
                <w:noProof/>
                <w:color w:val="000000" w:themeColor="text1"/>
                <w:sz w:val="18"/>
                <w:szCs w:val="18"/>
              </w:rPr>
            </w:pPr>
            <w:r w:rsidRPr="009D258A">
              <w:rPr>
                <w:noProof/>
                <w:color w:val="000000" w:themeColor="text1"/>
                <w:sz w:val="18"/>
              </w:rPr>
              <w:t>Vuosi</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5073A48C" w14:textId="77777777" w:rsidR="005061E6" w:rsidRPr="009D258A" w:rsidRDefault="005061E6">
            <w:pPr>
              <w:spacing w:before="0" w:after="0"/>
              <w:jc w:val="center"/>
              <w:rPr>
                <w:noProof/>
                <w:color w:val="000000" w:themeColor="text1"/>
                <w:sz w:val="18"/>
                <w:szCs w:val="18"/>
              </w:rPr>
            </w:pPr>
            <w:r w:rsidRPr="009D258A">
              <w:rPr>
                <w:noProof/>
                <w:color w:val="000000" w:themeColor="text1"/>
                <w:sz w:val="18"/>
              </w:rPr>
              <w:t>Vuosi</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7F7C8205" w14:textId="77777777" w:rsidR="005061E6" w:rsidRPr="009D258A" w:rsidRDefault="005061E6">
            <w:pPr>
              <w:spacing w:before="0" w:after="0"/>
              <w:jc w:val="center"/>
              <w:rPr>
                <w:noProof/>
                <w:color w:val="000000" w:themeColor="text1"/>
                <w:sz w:val="18"/>
                <w:szCs w:val="18"/>
              </w:rPr>
            </w:pPr>
            <w:r w:rsidRPr="009D258A">
              <w:rPr>
                <w:noProof/>
                <w:color w:val="000000" w:themeColor="text1"/>
                <w:sz w:val="18"/>
              </w:rPr>
              <w:t>Vuosi</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669500FC" w14:textId="77777777" w:rsidR="005061E6" w:rsidRPr="009D258A" w:rsidRDefault="005061E6">
            <w:pPr>
              <w:spacing w:before="0" w:after="0"/>
              <w:jc w:val="center"/>
              <w:rPr>
                <w:b/>
                <w:bCs/>
                <w:noProof/>
                <w:color w:val="000000" w:themeColor="text1"/>
                <w:sz w:val="18"/>
                <w:szCs w:val="18"/>
              </w:rPr>
            </w:pPr>
            <w:r w:rsidRPr="009D258A">
              <w:rPr>
                <w:b/>
                <w:noProof/>
                <w:color w:val="000000" w:themeColor="text1"/>
                <w:sz w:val="18"/>
              </w:rPr>
              <w:t>MRK YHTEENSÄ 2021–2027</w:t>
            </w:r>
          </w:p>
        </w:tc>
      </w:tr>
      <w:tr w:rsidR="005061E6" w:rsidRPr="009D258A" w14:paraId="043FA479" w14:textId="77777777">
        <w:trPr>
          <w:trHeight w:val="525"/>
        </w:trPr>
        <w:tc>
          <w:tcPr>
            <w:tcW w:w="3214" w:type="dxa"/>
            <w:vMerge/>
            <w:tcBorders>
              <w:top w:val="single" w:sz="8" w:space="0" w:color="auto"/>
              <w:left w:val="single" w:sz="4" w:space="0" w:color="auto"/>
              <w:right w:val="single" w:sz="4" w:space="0" w:color="auto"/>
            </w:tcBorders>
            <w:vAlign w:val="center"/>
          </w:tcPr>
          <w:p w14:paraId="0FB203A2" w14:textId="77777777" w:rsidR="005061E6" w:rsidRPr="009D258A" w:rsidRDefault="005061E6">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14:paraId="3B4228B5" w14:textId="77777777" w:rsidR="005061E6" w:rsidRPr="009D258A" w:rsidRDefault="005061E6">
            <w:pPr>
              <w:spacing w:before="0" w:after="0"/>
              <w:jc w:val="center"/>
              <w:rPr>
                <w:b/>
                <w:bCs/>
                <w:noProof/>
                <w:color w:val="000000" w:themeColor="text1"/>
                <w:sz w:val="18"/>
                <w:szCs w:val="18"/>
              </w:rPr>
            </w:pPr>
            <w:r w:rsidRPr="009D258A">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74206CD6" w14:textId="77777777" w:rsidR="005061E6" w:rsidRPr="009D258A" w:rsidRDefault="005061E6">
            <w:pPr>
              <w:spacing w:before="0" w:after="0"/>
              <w:jc w:val="center"/>
              <w:rPr>
                <w:b/>
                <w:bCs/>
                <w:noProof/>
                <w:color w:val="000000" w:themeColor="text1"/>
                <w:sz w:val="18"/>
                <w:szCs w:val="18"/>
              </w:rPr>
            </w:pPr>
            <w:r w:rsidRPr="009D258A">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1AFC39B7" w14:textId="77777777" w:rsidR="005061E6" w:rsidRPr="009D258A" w:rsidRDefault="005061E6">
            <w:pPr>
              <w:spacing w:before="0" w:after="0"/>
              <w:jc w:val="center"/>
              <w:rPr>
                <w:b/>
                <w:bCs/>
                <w:noProof/>
                <w:color w:val="000000" w:themeColor="text1"/>
                <w:sz w:val="18"/>
                <w:szCs w:val="18"/>
              </w:rPr>
            </w:pPr>
            <w:r w:rsidRPr="009D258A">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593EF194" w14:textId="77777777" w:rsidR="005061E6" w:rsidRPr="009D258A" w:rsidRDefault="005061E6">
            <w:pPr>
              <w:spacing w:before="0" w:after="0"/>
              <w:jc w:val="center"/>
              <w:rPr>
                <w:b/>
                <w:bCs/>
                <w:noProof/>
                <w:color w:val="000000" w:themeColor="text1"/>
                <w:sz w:val="18"/>
                <w:szCs w:val="18"/>
              </w:rPr>
            </w:pPr>
            <w:r w:rsidRPr="009D258A">
              <w:rPr>
                <w:b/>
                <w:noProof/>
                <w:color w:val="000000" w:themeColor="text1"/>
                <w:sz w:val="18"/>
              </w:rPr>
              <w:t>2027</w:t>
            </w:r>
          </w:p>
        </w:tc>
        <w:tc>
          <w:tcPr>
            <w:tcW w:w="981" w:type="dxa"/>
            <w:vMerge/>
            <w:tcBorders>
              <w:bottom w:val="single" w:sz="4" w:space="0" w:color="auto"/>
              <w:right w:val="single" w:sz="4" w:space="0" w:color="auto"/>
            </w:tcBorders>
            <w:vAlign w:val="center"/>
          </w:tcPr>
          <w:p w14:paraId="5EC69B46" w14:textId="77777777" w:rsidR="005061E6" w:rsidRPr="009D258A" w:rsidRDefault="005061E6">
            <w:pPr>
              <w:rPr>
                <w:noProof/>
              </w:rPr>
            </w:pPr>
          </w:p>
        </w:tc>
      </w:tr>
      <w:tr w:rsidR="005061E6" w:rsidRPr="009D258A" w14:paraId="39701CAD" w14:textId="77777777">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14:paraId="189579D8" w14:textId="77777777" w:rsidR="005061E6" w:rsidRPr="009D258A" w:rsidRDefault="005061E6">
            <w:pPr>
              <w:spacing w:before="0" w:after="0"/>
              <w:jc w:val="left"/>
              <w:rPr>
                <w:b/>
                <w:bCs/>
                <w:noProof/>
                <w:sz w:val="16"/>
                <w:szCs w:val="16"/>
              </w:rPr>
            </w:pPr>
            <w:r w:rsidRPr="009D258A">
              <w:rPr>
                <w:b/>
                <w:noProof/>
                <w:sz w:val="16"/>
              </w:rPr>
              <w:t>OTSAKE 7</w:t>
            </w:r>
          </w:p>
        </w:tc>
      </w:tr>
      <w:tr w:rsidR="005061E6" w:rsidRPr="009D258A" w14:paraId="6B9FF16F" w14:textId="77777777">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08DE15" w14:textId="77777777" w:rsidR="005061E6" w:rsidRPr="009D258A" w:rsidRDefault="005061E6">
            <w:pPr>
              <w:spacing w:before="0" w:after="0"/>
              <w:jc w:val="left"/>
              <w:rPr>
                <w:noProof/>
                <w:color w:val="000000" w:themeColor="text1"/>
                <w:sz w:val="16"/>
                <w:szCs w:val="16"/>
              </w:rPr>
            </w:pPr>
            <w:r w:rsidRPr="009D258A">
              <w:rPr>
                <w:rFonts w:ascii="Arial Narrow" w:hAnsi="Arial Narrow"/>
                <w:noProof/>
                <w:color w:val="000000" w:themeColor="text1"/>
                <w:sz w:val="20"/>
              </w:rPr>
              <w:t>Tietotekniikkamenot (toimielintasolla)</w:t>
            </w:r>
            <w:r w:rsidRPr="009D258A">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83C9F2C" w14:textId="77777777" w:rsidR="005061E6" w:rsidRPr="009D258A" w:rsidRDefault="005061E6">
            <w:pPr>
              <w:spacing w:before="0" w:after="0"/>
              <w:jc w:val="right"/>
              <w:rPr>
                <w:noProof/>
                <w:color w:val="000000" w:themeColor="text1"/>
                <w:sz w:val="16"/>
                <w:szCs w:val="16"/>
              </w:rPr>
            </w:pPr>
            <w:r w:rsidRPr="009D258A">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8B34921" w14:textId="77777777" w:rsidR="005061E6" w:rsidRPr="009D258A" w:rsidRDefault="005061E6">
            <w:pPr>
              <w:spacing w:before="0" w:after="0"/>
              <w:jc w:val="right"/>
              <w:rPr>
                <w:noProof/>
                <w:color w:val="000000" w:themeColor="text1"/>
                <w:sz w:val="16"/>
                <w:szCs w:val="16"/>
              </w:rPr>
            </w:pPr>
            <w:r w:rsidRPr="009D258A">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109516E" w14:textId="77777777" w:rsidR="005061E6" w:rsidRPr="009D258A" w:rsidRDefault="005061E6">
            <w:pPr>
              <w:spacing w:before="0" w:after="0"/>
              <w:jc w:val="right"/>
              <w:rPr>
                <w:noProof/>
                <w:color w:val="000000" w:themeColor="text1"/>
                <w:sz w:val="16"/>
                <w:szCs w:val="16"/>
              </w:rPr>
            </w:pPr>
            <w:r w:rsidRPr="009D258A">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D85A5A6" w14:textId="77777777" w:rsidR="005061E6" w:rsidRPr="009D258A" w:rsidRDefault="005061E6">
            <w:pPr>
              <w:spacing w:before="0" w:after="0"/>
              <w:jc w:val="right"/>
              <w:rPr>
                <w:noProof/>
                <w:color w:val="000000" w:themeColor="text1"/>
                <w:sz w:val="16"/>
                <w:szCs w:val="16"/>
              </w:rPr>
            </w:pPr>
            <w:r w:rsidRPr="009D258A">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B30D675" w14:textId="77777777" w:rsidR="005061E6" w:rsidRPr="009D258A" w:rsidRDefault="005061E6">
            <w:pPr>
              <w:spacing w:before="0" w:after="0"/>
              <w:jc w:val="right"/>
              <w:rPr>
                <w:b/>
                <w:bCs/>
                <w:noProof/>
                <w:color w:val="000000" w:themeColor="text1"/>
                <w:sz w:val="16"/>
                <w:szCs w:val="16"/>
              </w:rPr>
            </w:pPr>
            <w:r w:rsidRPr="009D258A">
              <w:rPr>
                <w:b/>
                <w:noProof/>
                <w:color w:val="000000" w:themeColor="text1"/>
                <w:sz w:val="16"/>
              </w:rPr>
              <w:t>0,000</w:t>
            </w:r>
          </w:p>
        </w:tc>
      </w:tr>
      <w:tr w:rsidR="005061E6" w:rsidRPr="009D258A" w14:paraId="5659FA21" w14:textId="77777777">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71FE3299" w14:textId="77777777" w:rsidR="005061E6" w:rsidRPr="009D258A" w:rsidRDefault="005061E6">
            <w:pPr>
              <w:spacing w:before="0" w:after="0"/>
              <w:jc w:val="center"/>
              <w:rPr>
                <w:b/>
                <w:bCs/>
                <w:noProof/>
                <w:color w:val="000000" w:themeColor="text1"/>
                <w:sz w:val="16"/>
                <w:szCs w:val="16"/>
              </w:rPr>
            </w:pPr>
            <w:r w:rsidRPr="009D258A">
              <w:rPr>
                <w:b/>
                <w:noProof/>
                <w:color w:val="000000" w:themeColor="text1"/>
                <w:sz w:val="16"/>
              </w:rPr>
              <w:t>OTSAKE 7, välisumma</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FE7FA6A" w14:textId="77777777" w:rsidR="005061E6" w:rsidRPr="009D258A" w:rsidRDefault="005061E6">
            <w:pPr>
              <w:spacing w:before="0" w:after="0"/>
              <w:jc w:val="right"/>
              <w:rPr>
                <w:b/>
                <w:bCs/>
                <w:noProof/>
                <w:color w:val="000000" w:themeColor="text1"/>
                <w:sz w:val="16"/>
                <w:szCs w:val="16"/>
              </w:rPr>
            </w:pPr>
            <w:r w:rsidRPr="009D258A">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17E7E76" w14:textId="77777777" w:rsidR="005061E6" w:rsidRPr="009D258A" w:rsidRDefault="005061E6">
            <w:pPr>
              <w:spacing w:before="0" w:after="0"/>
              <w:jc w:val="right"/>
              <w:rPr>
                <w:b/>
                <w:bCs/>
                <w:noProof/>
                <w:color w:val="000000" w:themeColor="text1"/>
                <w:sz w:val="16"/>
                <w:szCs w:val="16"/>
              </w:rPr>
            </w:pPr>
            <w:r w:rsidRPr="009D258A">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CC6596C" w14:textId="77777777" w:rsidR="005061E6" w:rsidRPr="009D258A" w:rsidRDefault="005061E6">
            <w:pPr>
              <w:spacing w:before="0" w:after="0"/>
              <w:jc w:val="right"/>
              <w:rPr>
                <w:b/>
                <w:bCs/>
                <w:noProof/>
                <w:color w:val="000000" w:themeColor="text1"/>
                <w:sz w:val="16"/>
                <w:szCs w:val="16"/>
              </w:rPr>
            </w:pPr>
            <w:r w:rsidRPr="009D258A">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06154EE" w14:textId="77777777" w:rsidR="005061E6" w:rsidRPr="009D258A" w:rsidRDefault="005061E6">
            <w:pPr>
              <w:spacing w:before="0" w:after="0"/>
              <w:jc w:val="right"/>
              <w:rPr>
                <w:b/>
                <w:bCs/>
                <w:noProof/>
                <w:color w:val="000000" w:themeColor="text1"/>
                <w:sz w:val="16"/>
                <w:szCs w:val="16"/>
              </w:rPr>
            </w:pPr>
            <w:r w:rsidRPr="009D258A">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104205A" w14:textId="77777777" w:rsidR="005061E6" w:rsidRPr="009D258A" w:rsidRDefault="005061E6">
            <w:pPr>
              <w:spacing w:before="0" w:after="0"/>
              <w:jc w:val="right"/>
              <w:rPr>
                <w:b/>
                <w:bCs/>
                <w:noProof/>
                <w:color w:val="000000" w:themeColor="text1"/>
                <w:sz w:val="16"/>
                <w:szCs w:val="16"/>
              </w:rPr>
            </w:pPr>
            <w:r w:rsidRPr="009D258A">
              <w:rPr>
                <w:b/>
                <w:noProof/>
                <w:color w:val="000000" w:themeColor="text1"/>
                <w:sz w:val="16"/>
              </w:rPr>
              <w:t>0,000</w:t>
            </w:r>
          </w:p>
        </w:tc>
      </w:tr>
      <w:tr w:rsidR="005061E6" w:rsidRPr="009D258A" w14:paraId="57E51E31" w14:textId="77777777">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DDB13C" w14:textId="77777777" w:rsidR="005061E6" w:rsidRPr="009D258A" w:rsidRDefault="005061E6">
            <w:pPr>
              <w:spacing w:before="0" w:after="0"/>
              <w:jc w:val="left"/>
              <w:rPr>
                <w:b/>
                <w:bCs/>
                <w:noProof/>
                <w:sz w:val="16"/>
                <w:szCs w:val="16"/>
              </w:rPr>
            </w:pPr>
            <w:r w:rsidRPr="009D258A">
              <w:rPr>
                <w:b/>
                <w:noProof/>
                <w:sz w:val="16"/>
              </w:rPr>
              <w:t>OTSAKKEESEEN 7 sisältymättömät</w:t>
            </w:r>
          </w:p>
        </w:tc>
      </w:tr>
      <w:tr w:rsidR="005061E6" w:rsidRPr="009D258A" w14:paraId="01DF04E0" w14:textId="77777777">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C41E03" w14:textId="77777777" w:rsidR="005061E6" w:rsidRPr="009D258A" w:rsidRDefault="005061E6">
            <w:pPr>
              <w:spacing w:before="0" w:after="0"/>
              <w:jc w:val="left"/>
              <w:rPr>
                <w:rFonts w:ascii="Arial Narrow" w:eastAsia="Arial Narrow" w:hAnsi="Arial Narrow" w:cs="Arial Narrow"/>
                <w:noProof/>
                <w:color w:val="000000" w:themeColor="text1"/>
                <w:sz w:val="20"/>
                <w:szCs w:val="20"/>
              </w:rPr>
            </w:pPr>
            <w:r w:rsidRPr="009D258A">
              <w:rPr>
                <w:rFonts w:ascii="Arial Narrow" w:hAnsi="Arial Narrow"/>
                <w:noProof/>
                <w:color w:val="000000" w:themeColor="text1"/>
                <w:sz w:val="20"/>
              </w:rPr>
              <w:t>Toimenpideohjelmien ohjelmatason tietotekniikkamenot</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DC01541" w14:textId="77777777" w:rsidR="005061E6" w:rsidRPr="009D258A" w:rsidRDefault="005061E6">
            <w:pPr>
              <w:spacing w:before="0" w:after="0"/>
              <w:jc w:val="right"/>
              <w:rPr>
                <w:noProof/>
                <w:color w:val="000000" w:themeColor="text1"/>
                <w:sz w:val="16"/>
                <w:szCs w:val="16"/>
              </w:rPr>
            </w:pPr>
            <w:r w:rsidRPr="009D258A">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CFC5958" w14:textId="77777777" w:rsidR="005061E6" w:rsidRPr="009D258A" w:rsidRDefault="005061E6">
            <w:pPr>
              <w:spacing w:before="0" w:after="0"/>
              <w:jc w:val="right"/>
              <w:rPr>
                <w:noProof/>
                <w:color w:val="000000" w:themeColor="text1"/>
                <w:sz w:val="16"/>
                <w:szCs w:val="16"/>
              </w:rPr>
            </w:pPr>
            <w:r w:rsidRPr="009D258A">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7FC7331" w14:textId="77777777" w:rsidR="005061E6" w:rsidRPr="009D258A" w:rsidRDefault="005061E6">
            <w:pPr>
              <w:spacing w:before="0" w:after="0"/>
              <w:jc w:val="right"/>
              <w:rPr>
                <w:noProof/>
                <w:color w:val="000000" w:themeColor="text1"/>
                <w:sz w:val="16"/>
                <w:szCs w:val="16"/>
              </w:rPr>
            </w:pPr>
            <w:r w:rsidRPr="009D258A">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ADBD9B1" w14:textId="77777777" w:rsidR="005061E6" w:rsidRPr="009D258A" w:rsidRDefault="005061E6">
            <w:pPr>
              <w:spacing w:before="0" w:after="0"/>
              <w:jc w:val="right"/>
              <w:rPr>
                <w:noProof/>
                <w:color w:val="000000" w:themeColor="text1"/>
                <w:sz w:val="16"/>
                <w:szCs w:val="16"/>
              </w:rPr>
            </w:pPr>
            <w:r w:rsidRPr="009D258A">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F3B52A9" w14:textId="77777777" w:rsidR="005061E6" w:rsidRPr="009D258A" w:rsidRDefault="005061E6">
            <w:pPr>
              <w:spacing w:before="0" w:after="0"/>
              <w:jc w:val="right"/>
              <w:rPr>
                <w:b/>
                <w:bCs/>
                <w:noProof/>
                <w:color w:val="000000" w:themeColor="text1"/>
                <w:sz w:val="16"/>
                <w:szCs w:val="16"/>
              </w:rPr>
            </w:pPr>
            <w:r w:rsidRPr="009D258A">
              <w:rPr>
                <w:b/>
                <w:noProof/>
                <w:color w:val="000000" w:themeColor="text1"/>
                <w:sz w:val="16"/>
              </w:rPr>
              <w:t>0,000</w:t>
            </w:r>
          </w:p>
        </w:tc>
      </w:tr>
      <w:tr w:rsidR="005061E6" w:rsidRPr="009D258A" w14:paraId="4B1FE9B5" w14:textId="77777777">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63CAB2EE" w14:textId="77777777" w:rsidR="005061E6" w:rsidRPr="009D258A" w:rsidRDefault="005061E6">
            <w:pPr>
              <w:spacing w:before="0" w:after="0"/>
              <w:jc w:val="center"/>
              <w:rPr>
                <w:b/>
                <w:bCs/>
                <w:noProof/>
                <w:color w:val="000000" w:themeColor="text1"/>
                <w:sz w:val="16"/>
                <w:szCs w:val="16"/>
              </w:rPr>
            </w:pPr>
            <w:r w:rsidRPr="009D258A">
              <w:rPr>
                <w:b/>
                <w:noProof/>
                <w:color w:val="000000" w:themeColor="text1"/>
                <w:sz w:val="16"/>
              </w:rPr>
              <w:t>OTSAKKEESEEN 7 sisältymättömät, välisumma</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23F3F15" w14:textId="77777777" w:rsidR="005061E6" w:rsidRPr="009D258A" w:rsidRDefault="005061E6">
            <w:pPr>
              <w:spacing w:before="0" w:after="0"/>
              <w:jc w:val="right"/>
              <w:rPr>
                <w:b/>
                <w:bCs/>
                <w:noProof/>
                <w:color w:val="000000" w:themeColor="text1"/>
                <w:sz w:val="16"/>
                <w:szCs w:val="16"/>
              </w:rPr>
            </w:pPr>
            <w:r w:rsidRPr="009D258A">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F640BAD" w14:textId="77777777" w:rsidR="005061E6" w:rsidRPr="009D258A" w:rsidRDefault="005061E6">
            <w:pPr>
              <w:spacing w:before="0" w:after="0"/>
              <w:jc w:val="right"/>
              <w:rPr>
                <w:b/>
                <w:bCs/>
                <w:noProof/>
                <w:color w:val="000000" w:themeColor="text1"/>
                <w:sz w:val="16"/>
                <w:szCs w:val="16"/>
              </w:rPr>
            </w:pPr>
            <w:r w:rsidRPr="009D258A">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C20E036" w14:textId="77777777" w:rsidR="005061E6" w:rsidRPr="009D258A" w:rsidRDefault="005061E6">
            <w:pPr>
              <w:spacing w:before="0" w:after="0"/>
              <w:jc w:val="right"/>
              <w:rPr>
                <w:b/>
                <w:bCs/>
                <w:noProof/>
                <w:color w:val="000000" w:themeColor="text1"/>
                <w:sz w:val="16"/>
                <w:szCs w:val="16"/>
              </w:rPr>
            </w:pPr>
            <w:r w:rsidRPr="009D258A">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44654E7" w14:textId="77777777" w:rsidR="005061E6" w:rsidRPr="009D258A" w:rsidRDefault="005061E6">
            <w:pPr>
              <w:spacing w:before="0" w:after="0"/>
              <w:jc w:val="right"/>
              <w:rPr>
                <w:b/>
                <w:bCs/>
                <w:noProof/>
                <w:color w:val="000000" w:themeColor="text1"/>
                <w:sz w:val="16"/>
                <w:szCs w:val="16"/>
              </w:rPr>
            </w:pPr>
            <w:r w:rsidRPr="009D258A">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934013A" w14:textId="77777777" w:rsidR="005061E6" w:rsidRPr="009D258A" w:rsidRDefault="005061E6">
            <w:pPr>
              <w:spacing w:before="0" w:after="0"/>
              <w:jc w:val="right"/>
              <w:rPr>
                <w:b/>
                <w:bCs/>
                <w:noProof/>
                <w:color w:val="000000" w:themeColor="text1"/>
                <w:sz w:val="16"/>
                <w:szCs w:val="16"/>
              </w:rPr>
            </w:pPr>
            <w:r w:rsidRPr="009D258A">
              <w:rPr>
                <w:b/>
                <w:noProof/>
                <w:color w:val="000000" w:themeColor="text1"/>
                <w:sz w:val="16"/>
              </w:rPr>
              <w:t>0,000</w:t>
            </w:r>
          </w:p>
        </w:tc>
      </w:tr>
      <w:tr w:rsidR="005061E6" w:rsidRPr="009D258A" w14:paraId="4A899531" w14:textId="77777777">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55A437" w14:textId="77777777" w:rsidR="005061E6" w:rsidRPr="009D258A" w:rsidRDefault="005061E6">
            <w:pPr>
              <w:spacing w:before="0" w:after="0"/>
              <w:jc w:val="center"/>
              <w:rPr>
                <w:noProof/>
                <w:color w:val="000000" w:themeColor="text1"/>
                <w:sz w:val="16"/>
                <w:szCs w:val="16"/>
              </w:rPr>
            </w:pPr>
            <w:r w:rsidRPr="009D258A">
              <w:rPr>
                <w:noProof/>
                <w:color w:val="000000" w:themeColor="text1"/>
                <w:sz w:val="16"/>
              </w:rPr>
              <w:t xml:space="preserve"> </w:t>
            </w:r>
          </w:p>
        </w:tc>
      </w:tr>
      <w:tr w:rsidR="005061E6" w:rsidRPr="009D258A" w14:paraId="60097EBF" w14:textId="77777777">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14:paraId="1B2D5005" w14:textId="77777777" w:rsidR="005061E6" w:rsidRPr="009D258A" w:rsidRDefault="005061E6">
            <w:pPr>
              <w:spacing w:before="0" w:after="0"/>
              <w:jc w:val="center"/>
              <w:rPr>
                <w:b/>
                <w:bCs/>
                <w:noProof/>
                <w:color w:val="000000" w:themeColor="text1"/>
                <w:sz w:val="16"/>
                <w:szCs w:val="16"/>
              </w:rPr>
            </w:pPr>
            <w:r w:rsidRPr="009D258A">
              <w:rPr>
                <w:b/>
                <w:noProof/>
                <w:color w:val="000000" w:themeColor="text1"/>
                <w:sz w:val="16"/>
              </w:rPr>
              <w:t>YHTEENSÄ</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346393C7" w14:textId="77777777" w:rsidR="005061E6" w:rsidRPr="009D258A" w:rsidRDefault="005061E6">
            <w:pPr>
              <w:spacing w:before="0" w:after="0"/>
              <w:jc w:val="right"/>
              <w:rPr>
                <w:b/>
                <w:bCs/>
                <w:noProof/>
                <w:color w:val="000000" w:themeColor="text1"/>
                <w:sz w:val="16"/>
                <w:szCs w:val="16"/>
              </w:rPr>
            </w:pPr>
            <w:r w:rsidRPr="009D258A">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6B290977" w14:textId="77777777" w:rsidR="005061E6" w:rsidRPr="009D258A" w:rsidRDefault="005061E6">
            <w:pPr>
              <w:spacing w:before="0" w:after="0"/>
              <w:jc w:val="right"/>
              <w:rPr>
                <w:b/>
                <w:bCs/>
                <w:noProof/>
                <w:color w:val="000000" w:themeColor="text1"/>
                <w:sz w:val="16"/>
                <w:szCs w:val="16"/>
              </w:rPr>
            </w:pPr>
            <w:r w:rsidRPr="009D258A">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205D01B5" w14:textId="77777777" w:rsidR="005061E6" w:rsidRPr="009D258A" w:rsidRDefault="005061E6">
            <w:pPr>
              <w:spacing w:before="0" w:after="0"/>
              <w:jc w:val="right"/>
              <w:rPr>
                <w:b/>
                <w:bCs/>
                <w:noProof/>
                <w:color w:val="000000" w:themeColor="text1"/>
                <w:sz w:val="16"/>
                <w:szCs w:val="16"/>
              </w:rPr>
            </w:pPr>
            <w:r w:rsidRPr="009D258A">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2B1750C0" w14:textId="77777777" w:rsidR="005061E6" w:rsidRPr="009D258A" w:rsidRDefault="005061E6">
            <w:pPr>
              <w:spacing w:before="0" w:after="0"/>
              <w:jc w:val="right"/>
              <w:rPr>
                <w:b/>
                <w:bCs/>
                <w:noProof/>
                <w:color w:val="000000" w:themeColor="text1"/>
                <w:sz w:val="16"/>
                <w:szCs w:val="16"/>
              </w:rPr>
            </w:pPr>
            <w:r w:rsidRPr="009D258A">
              <w:rPr>
                <w:b/>
                <w:noProof/>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3881A0FB" w14:textId="77777777" w:rsidR="005061E6" w:rsidRPr="009D258A" w:rsidRDefault="005061E6">
            <w:pPr>
              <w:spacing w:before="0" w:after="0"/>
              <w:jc w:val="right"/>
              <w:rPr>
                <w:b/>
                <w:bCs/>
                <w:noProof/>
                <w:color w:val="000000" w:themeColor="text1"/>
                <w:sz w:val="16"/>
                <w:szCs w:val="16"/>
              </w:rPr>
            </w:pPr>
            <w:r w:rsidRPr="009D258A">
              <w:rPr>
                <w:b/>
                <w:noProof/>
                <w:color w:val="000000" w:themeColor="text1"/>
                <w:sz w:val="16"/>
              </w:rPr>
              <w:t>0,000</w:t>
            </w:r>
          </w:p>
        </w:tc>
      </w:tr>
    </w:tbl>
    <w:p w14:paraId="67503CC0" w14:textId="77777777" w:rsidR="005061E6" w:rsidRPr="009D258A" w:rsidRDefault="005061E6" w:rsidP="005061E6">
      <w:pPr>
        <w:pStyle w:val="ManualHeading3"/>
        <w:rPr>
          <w:noProof/>
        </w:rPr>
      </w:pPr>
      <w:bookmarkStart w:id="37" w:name="_Toc514938056"/>
      <w:bookmarkStart w:id="38" w:name="_Toc520485055"/>
      <w:bookmarkStart w:id="39" w:name="_Toc160804599"/>
      <w:bookmarkStart w:id="40" w:name="_Toc167220298"/>
      <w:bookmarkStart w:id="41" w:name="_Toc177549032"/>
      <w:bookmarkEnd w:id="35"/>
      <w:r w:rsidRPr="009D258A">
        <w:rPr>
          <w:noProof/>
        </w:rPr>
        <w:t>3.2.6.</w:t>
      </w:r>
      <w:r w:rsidRPr="009D258A">
        <w:rPr>
          <w:noProof/>
        </w:rPr>
        <w:tab/>
        <w:t>Yhteensopivuus nykyisen monivuotisen rahoituskehyksen kanssa</w:t>
      </w:r>
      <w:bookmarkEnd w:id="37"/>
      <w:bookmarkEnd w:id="38"/>
      <w:bookmarkEnd w:id="39"/>
      <w:bookmarkEnd w:id="40"/>
      <w:bookmarkEnd w:id="41"/>
      <w:r w:rsidRPr="009D258A">
        <w:rPr>
          <w:noProof/>
        </w:rPr>
        <w:t xml:space="preserve"> </w:t>
      </w:r>
    </w:p>
    <w:p w14:paraId="0C378A03" w14:textId="77777777" w:rsidR="005061E6" w:rsidRPr="009D258A" w:rsidRDefault="005061E6" w:rsidP="005061E6">
      <w:pPr>
        <w:pStyle w:val="Text1"/>
        <w:rPr>
          <w:noProof/>
        </w:rPr>
      </w:pPr>
      <w:r w:rsidRPr="009D258A">
        <w:rPr>
          <w:noProof/>
        </w:rPr>
        <w:t>Ehdotus/aloite</w:t>
      </w:r>
    </w:p>
    <w:p w14:paraId="49B65D05" w14:textId="77777777" w:rsidR="005061E6" w:rsidRPr="009D258A" w:rsidRDefault="005061E6" w:rsidP="005061E6">
      <w:pPr>
        <w:pStyle w:val="ListDash1"/>
        <w:rPr>
          <w:noProof/>
        </w:rPr>
      </w:pPr>
      <w:r w:rsidRPr="009D258A">
        <w:rPr>
          <w:rFonts w:ascii="Wingdings" w:hAnsi="Wingdings"/>
          <w:noProof/>
        </w:rPr>
        <w:t></w:t>
      </w:r>
      <w:r w:rsidRPr="009D258A">
        <w:rPr>
          <w:noProof/>
        </w:rPr>
        <w:tab/>
        <w:t>voidaan rahoittaa kokonaan kohdentamalla menoja uudelleen monivuotisen rahoituskehyksen kyseisen otsakkeen sisällä</w:t>
      </w:r>
    </w:p>
    <w:p w14:paraId="741B710A" w14:textId="77777777" w:rsidR="005061E6" w:rsidRPr="009D258A" w:rsidRDefault="005061E6" w:rsidP="005061E6">
      <w:pPr>
        <w:spacing w:before="0" w:after="0"/>
        <w:rPr>
          <w:rFonts w:eastAsia="Times New Roman"/>
          <w:noProof/>
          <w:sz w:val="20"/>
          <w:szCs w:val="20"/>
        </w:rPr>
      </w:pPr>
      <w:r w:rsidRPr="009D258A">
        <w:rPr>
          <w:noProof/>
          <w:sz w:val="20"/>
        </w:rPr>
        <w:t>Määrät kohdennetaan vuonna 2026 uudelleen Digitaalinen Eurooppa -ohjelman tukimenoista 02.013001 ja vuonna 2027 budjettikohdasta 02.0403 (SO2 tekoäly).</w:t>
      </w:r>
    </w:p>
    <w:p w14:paraId="4F5275F0" w14:textId="77777777" w:rsidR="005061E6" w:rsidRPr="009D258A" w:rsidRDefault="005061E6" w:rsidP="005061E6">
      <w:pPr>
        <w:pStyle w:val="ListDash1"/>
        <w:rPr>
          <w:noProof/>
        </w:rPr>
      </w:pPr>
      <w:r w:rsidRPr="009D258A">
        <w:rPr>
          <w:rFonts w:ascii="Wingdings" w:hAnsi="Wingdings"/>
          <w:noProof/>
        </w:rPr>
        <w:t></w:t>
      </w:r>
      <w:r w:rsidRPr="009D258A">
        <w:rPr>
          <w:noProof/>
        </w:rPr>
        <w:tab/>
        <w:t>edellyttää monivuotisen rahoituskehyksen kyseiseen otsakkeeseen sisältyvän kohdentamattoman liikkumavaran ja/tai monivuotista rahoituskehystä koskevassa asetuksessa määriteltyjen erityisvälineiden käyttöä</w:t>
      </w:r>
    </w:p>
    <w:p w14:paraId="2D8FCC7C" w14:textId="77777777" w:rsidR="005061E6" w:rsidRPr="009D258A" w:rsidRDefault="005061E6" w:rsidP="005061E6">
      <w:pPr>
        <w:pStyle w:val="ListDash1"/>
        <w:rPr>
          <w:noProof/>
        </w:rPr>
      </w:pPr>
      <w:r w:rsidRPr="009D258A">
        <w:rPr>
          <w:rFonts w:ascii="Wingdings" w:hAnsi="Wingdings"/>
          <w:noProof/>
        </w:rPr>
        <w:t></w:t>
      </w:r>
      <w:r w:rsidRPr="009D258A">
        <w:rPr>
          <w:noProof/>
        </w:rPr>
        <w:tab/>
        <w:t>edellyttää monivuotisen rahoituskehyksen tarkistamista.</w:t>
      </w:r>
    </w:p>
    <w:p w14:paraId="40C1F70C" w14:textId="77777777" w:rsidR="005061E6" w:rsidRPr="009D258A" w:rsidRDefault="005061E6" w:rsidP="005061E6">
      <w:pPr>
        <w:pStyle w:val="ManualHeading3"/>
        <w:rPr>
          <w:noProof/>
        </w:rPr>
      </w:pPr>
      <w:bookmarkStart w:id="42" w:name="_Toc514938058"/>
      <w:bookmarkStart w:id="43" w:name="_Toc520485056"/>
      <w:bookmarkStart w:id="44" w:name="_Toc160804600"/>
      <w:bookmarkStart w:id="45" w:name="_Toc167220299"/>
      <w:bookmarkStart w:id="46" w:name="_Toc177549033"/>
      <w:r w:rsidRPr="009D258A">
        <w:rPr>
          <w:noProof/>
        </w:rPr>
        <w:t>3.2.7.</w:t>
      </w:r>
      <w:r w:rsidRPr="009D258A">
        <w:rPr>
          <w:noProof/>
        </w:rPr>
        <w:tab/>
        <w:t>Ulkopuolisten tahojen rahoitusosuudet</w:t>
      </w:r>
      <w:bookmarkEnd w:id="42"/>
      <w:bookmarkEnd w:id="43"/>
      <w:bookmarkEnd w:id="44"/>
      <w:bookmarkEnd w:id="45"/>
      <w:bookmarkEnd w:id="46"/>
      <w:r w:rsidRPr="009D258A">
        <w:rPr>
          <w:noProof/>
        </w:rPr>
        <w:t xml:space="preserve"> </w:t>
      </w:r>
    </w:p>
    <w:p w14:paraId="6C2F543C" w14:textId="77777777" w:rsidR="005061E6" w:rsidRPr="009D258A" w:rsidRDefault="005061E6" w:rsidP="005061E6">
      <w:pPr>
        <w:pStyle w:val="Text1"/>
        <w:rPr>
          <w:noProof/>
        </w:rPr>
      </w:pPr>
      <w:r w:rsidRPr="009D258A">
        <w:rPr>
          <w:noProof/>
        </w:rPr>
        <w:t>Ehdotuksen/aloitteen</w:t>
      </w:r>
    </w:p>
    <w:p w14:paraId="6EBF7509" w14:textId="77777777" w:rsidR="005061E6" w:rsidRPr="009D258A" w:rsidRDefault="005061E6" w:rsidP="005061E6">
      <w:pPr>
        <w:pStyle w:val="ListDash1"/>
        <w:rPr>
          <w:noProof/>
        </w:rPr>
      </w:pPr>
      <w:r w:rsidRPr="009D258A">
        <w:rPr>
          <w:rFonts w:ascii="Wingdings" w:hAnsi="Wingdings"/>
          <w:noProof/>
        </w:rPr>
        <w:t></w:t>
      </w:r>
      <w:r w:rsidRPr="009D258A">
        <w:rPr>
          <w:noProof/>
        </w:rPr>
        <w:tab/>
        <w:t>rahoittamiseen ei osallistu ulkopuolisia tahoja</w:t>
      </w:r>
    </w:p>
    <w:p w14:paraId="41F9C232" w14:textId="77777777" w:rsidR="005061E6" w:rsidRPr="009D258A" w:rsidRDefault="005061E6" w:rsidP="005061E6">
      <w:pPr>
        <w:pStyle w:val="ListDash1"/>
        <w:rPr>
          <w:noProof/>
        </w:rPr>
      </w:pPr>
      <w:r w:rsidRPr="009D258A">
        <w:rPr>
          <w:rFonts w:ascii="Wingdings" w:hAnsi="Wingdings"/>
          <w:noProof/>
        </w:rPr>
        <w:t></w:t>
      </w:r>
      <w:r w:rsidRPr="009D258A">
        <w:rPr>
          <w:noProof/>
        </w:rPr>
        <w:tab/>
        <w:t>rahoittamiseen osallistuu ulkopuolisia tahoja seuraavasti (arvio):</w:t>
      </w:r>
    </w:p>
    <w:p w14:paraId="259BCF9B" w14:textId="77777777" w:rsidR="005061E6" w:rsidRPr="009D258A" w:rsidRDefault="005061E6" w:rsidP="005061E6">
      <w:pPr>
        <w:jc w:val="right"/>
        <w:rPr>
          <w:noProof/>
          <w:sz w:val="20"/>
        </w:rPr>
      </w:pPr>
      <w:r w:rsidRPr="009D258A">
        <w:rPr>
          <w:noProof/>
          <w:sz w:val="20"/>
        </w:rPr>
        <w:t>Määrärahat, milj. euroa (kolmen desimaalin tarkkuudella)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709"/>
        <w:gridCol w:w="1938"/>
        <w:gridCol w:w="1938"/>
        <w:gridCol w:w="1938"/>
        <w:gridCol w:w="1937"/>
        <w:gridCol w:w="2327"/>
      </w:tblGrid>
      <w:tr w:rsidR="005061E6" w:rsidRPr="009D258A" w14:paraId="4D1118F3" w14:textId="77777777">
        <w:trPr>
          <w:cantSplit/>
        </w:trPr>
        <w:tc>
          <w:tcPr>
            <w:tcW w:w="1591" w:type="pct"/>
          </w:tcPr>
          <w:p w14:paraId="6578462C" w14:textId="77777777" w:rsidR="005061E6" w:rsidRPr="009D258A" w:rsidRDefault="005061E6">
            <w:pPr>
              <w:spacing w:before="60" w:after="60"/>
              <w:rPr>
                <w:noProof/>
                <w:sz w:val="20"/>
              </w:rPr>
            </w:pPr>
          </w:p>
        </w:tc>
        <w:tc>
          <w:tcPr>
            <w:tcW w:w="655" w:type="pct"/>
            <w:vAlign w:val="center"/>
          </w:tcPr>
          <w:p w14:paraId="5228F028" w14:textId="77777777" w:rsidR="005061E6" w:rsidRPr="009D258A" w:rsidRDefault="005061E6">
            <w:pPr>
              <w:jc w:val="center"/>
              <w:rPr>
                <w:noProof/>
                <w:sz w:val="20"/>
              </w:rPr>
            </w:pPr>
            <w:r w:rsidRPr="009D258A">
              <w:rPr>
                <w:noProof/>
                <w:sz w:val="20"/>
              </w:rPr>
              <w:t>Vuosi</w:t>
            </w:r>
            <w:r w:rsidRPr="009D258A">
              <w:rPr>
                <w:noProof/>
              </w:rPr>
              <w:br/>
            </w:r>
            <w:r w:rsidRPr="009D258A">
              <w:rPr>
                <w:b/>
                <w:noProof/>
                <w:sz w:val="20"/>
              </w:rPr>
              <w:t>2024</w:t>
            </w:r>
          </w:p>
        </w:tc>
        <w:tc>
          <w:tcPr>
            <w:tcW w:w="655" w:type="pct"/>
            <w:vAlign w:val="center"/>
          </w:tcPr>
          <w:p w14:paraId="07921723" w14:textId="77777777" w:rsidR="005061E6" w:rsidRPr="009D258A" w:rsidRDefault="005061E6">
            <w:pPr>
              <w:jc w:val="center"/>
              <w:rPr>
                <w:noProof/>
                <w:sz w:val="20"/>
              </w:rPr>
            </w:pPr>
            <w:r w:rsidRPr="009D258A">
              <w:rPr>
                <w:noProof/>
                <w:sz w:val="20"/>
              </w:rPr>
              <w:t>Vuosi</w:t>
            </w:r>
            <w:r w:rsidRPr="009D258A">
              <w:rPr>
                <w:noProof/>
              </w:rPr>
              <w:br/>
            </w:r>
            <w:r w:rsidRPr="009D258A">
              <w:rPr>
                <w:b/>
                <w:noProof/>
                <w:sz w:val="20"/>
              </w:rPr>
              <w:t>2025</w:t>
            </w:r>
          </w:p>
        </w:tc>
        <w:tc>
          <w:tcPr>
            <w:tcW w:w="655" w:type="pct"/>
            <w:vAlign w:val="center"/>
          </w:tcPr>
          <w:p w14:paraId="0A8E3CB6" w14:textId="77777777" w:rsidR="005061E6" w:rsidRPr="009D258A" w:rsidRDefault="005061E6">
            <w:pPr>
              <w:jc w:val="center"/>
              <w:rPr>
                <w:noProof/>
                <w:sz w:val="20"/>
              </w:rPr>
            </w:pPr>
            <w:r w:rsidRPr="009D258A">
              <w:rPr>
                <w:noProof/>
                <w:sz w:val="20"/>
              </w:rPr>
              <w:t>Vuosi</w:t>
            </w:r>
            <w:r w:rsidRPr="009D258A">
              <w:rPr>
                <w:noProof/>
              </w:rPr>
              <w:br/>
            </w:r>
            <w:r w:rsidRPr="009D258A">
              <w:rPr>
                <w:b/>
                <w:noProof/>
                <w:sz w:val="20"/>
              </w:rPr>
              <w:t>2026</w:t>
            </w:r>
          </w:p>
        </w:tc>
        <w:tc>
          <w:tcPr>
            <w:tcW w:w="655" w:type="pct"/>
            <w:vAlign w:val="center"/>
          </w:tcPr>
          <w:p w14:paraId="0DBBBEED" w14:textId="77777777" w:rsidR="005061E6" w:rsidRPr="009D258A" w:rsidRDefault="005061E6">
            <w:pPr>
              <w:jc w:val="center"/>
              <w:rPr>
                <w:noProof/>
                <w:sz w:val="20"/>
              </w:rPr>
            </w:pPr>
            <w:r w:rsidRPr="009D258A">
              <w:rPr>
                <w:noProof/>
                <w:sz w:val="20"/>
              </w:rPr>
              <w:t>Vuosi</w:t>
            </w:r>
            <w:r w:rsidRPr="009D258A">
              <w:rPr>
                <w:noProof/>
              </w:rPr>
              <w:br/>
            </w:r>
            <w:r w:rsidRPr="009D258A">
              <w:rPr>
                <w:b/>
                <w:noProof/>
                <w:sz w:val="20"/>
              </w:rPr>
              <w:t>2027</w:t>
            </w:r>
          </w:p>
        </w:tc>
        <w:tc>
          <w:tcPr>
            <w:tcW w:w="787" w:type="pct"/>
            <w:vAlign w:val="center"/>
          </w:tcPr>
          <w:p w14:paraId="76985566" w14:textId="77777777" w:rsidR="005061E6" w:rsidRPr="009D258A" w:rsidRDefault="005061E6">
            <w:pPr>
              <w:spacing w:before="60" w:after="60"/>
              <w:jc w:val="center"/>
              <w:rPr>
                <w:noProof/>
                <w:sz w:val="20"/>
              </w:rPr>
            </w:pPr>
            <w:r w:rsidRPr="009D258A">
              <w:rPr>
                <w:noProof/>
                <w:sz w:val="20"/>
              </w:rPr>
              <w:t>Yhteensä</w:t>
            </w:r>
          </w:p>
        </w:tc>
      </w:tr>
      <w:tr w:rsidR="005061E6" w:rsidRPr="009D258A" w14:paraId="703DF9BB" w14:textId="77777777">
        <w:trPr>
          <w:cantSplit/>
        </w:trPr>
        <w:tc>
          <w:tcPr>
            <w:tcW w:w="1591" w:type="pct"/>
          </w:tcPr>
          <w:p w14:paraId="23F6F586" w14:textId="77777777" w:rsidR="005061E6" w:rsidRPr="009D258A" w:rsidRDefault="005061E6">
            <w:pPr>
              <w:rPr>
                <w:noProof/>
              </w:rPr>
            </w:pPr>
            <w:r w:rsidRPr="009D258A">
              <w:rPr>
                <w:noProof/>
                <w:sz w:val="20"/>
              </w:rPr>
              <w:t>Rahoitukseen osallistuva taho</w:t>
            </w:r>
            <w:r w:rsidRPr="009D258A">
              <w:rPr>
                <w:i/>
                <w:noProof/>
                <w:sz w:val="20"/>
              </w:rPr>
              <w:t xml:space="preserve"> </w:t>
            </w:r>
          </w:p>
        </w:tc>
        <w:tc>
          <w:tcPr>
            <w:tcW w:w="655" w:type="pct"/>
            <w:vAlign w:val="center"/>
          </w:tcPr>
          <w:p w14:paraId="5435E7F3" w14:textId="77777777" w:rsidR="005061E6" w:rsidRPr="009D258A" w:rsidRDefault="005061E6">
            <w:pPr>
              <w:spacing w:before="60" w:after="60"/>
              <w:jc w:val="center"/>
              <w:rPr>
                <w:noProof/>
                <w:sz w:val="20"/>
              </w:rPr>
            </w:pPr>
          </w:p>
        </w:tc>
        <w:tc>
          <w:tcPr>
            <w:tcW w:w="655" w:type="pct"/>
            <w:vAlign w:val="center"/>
          </w:tcPr>
          <w:p w14:paraId="3310400D" w14:textId="77777777" w:rsidR="005061E6" w:rsidRPr="009D258A" w:rsidRDefault="005061E6">
            <w:pPr>
              <w:spacing w:before="60" w:after="60"/>
              <w:jc w:val="center"/>
              <w:rPr>
                <w:noProof/>
                <w:sz w:val="20"/>
              </w:rPr>
            </w:pPr>
          </w:p>
        </w:tc>
        <w:tc>
          <w:tcPr>
            <w:tcW w:w="655" w:type="pct"/>
            <w:vAlign w:val="center"/>
          </w:tcPr>
          <w:p w14:paraId="11760659" w14:textId="77777777" w:rsidR="005061E6" w:rsidRPr="009D258A" w:rsidRDefault="005061E6">
            <w:pPr>
              <w:spacing w:before="60" w:after="60"/>
              <w:jc w:val="center"/>
              <w:rPr>
                <w:noProof/>
                <w:sz w:val="20"/>
              </w:rPr>
            </w:pPr>
          </w:p>
        </w:tc>
        <w:tc>
          <w:tcPr>
            <w:tcW w:w="655" w:type="pct"/>
            <w:vAlign w:val="center"/>
          </w:tcPr>
          <w:p w14:paraId="77DE2CB7" w14:textId="77777777" w:rsidR="005061E6" w:rsidRPr="009D258A" w:rsidRDefault="005061E6">
            <w:pPr>
              <w:spacing w:before="60" w:after="60"/>
              <w:jc w:val="center"/>
              <w:rPr>
                <w:noProof/>
                <w:sz w:val="20"/>
              </w:rPr>
            </w:pPr>
          </w:p>
        </w:tc>
        <w:tc>
          <w:tcPr>
            <w:tcW w:w="787" w:type="pct"/>
            <w:vAlign w:val="center"/>
          </w:tcPr>
          <w:p w14:paraId="21666503" w14:textId="77777777" w:rsidR="005061E6" w:rsidRPr="009D258A" w:rsidRDefault="005061E6">
            <w:pPr>
              <w:spacing w:before="60" w:after="60"/>
              <w:jc w:val="center"/>
              <w:rPr>
                <w:noProof/>
                <w:sz w:val="20"/>
              </w:rPr>
            </w:pPr>
          </w:p>
        </w:tc>
      </w:tr>
      <w:tr w:rsidR="005061E6" w:rsidRPr="009D258A" w14:paraId="6AC1260C" w14:textId="77777777">
        <w:trPr>
          <w:cantSplit/>
        </w:trPr>
        <w:tc>
          <w:tcPr>
            <w:tcW w:w="1591" w:type="pct"/>
          </w:tcPr>
          <w:p w14:paraId="14A26C61" w14:textId="77777777" w:rsidR="005061E6" w:rsidRPr="009D258A" w:rsidRDefault="005061E6">
            <w:pPr>
              <w:spacing w:before="60" w:after="60"/>
              <w:jc w:val="left"/>
              <w:rPr>
                <w:noProof/>
                <w:sz w:val="20"/>
              </w:rPr>
            </w:pPr>
            <w:r w:rsidRPr="009D258A">
              <w:rPr>
                <w:noProof/>
                <w:sz w:val="20"/>
              </w:rPr>
              <w:t xml:space="preserve">Yhteisrahoituksella katettavat määrärahat YHTEENSÄ </w:t>
            </w:r>
          </w:p>
        </w:tc>
        <w:tc>
          <w:tcPr>
            <w:tcW w:w="655" w:type="pct"/>
            <w:vAlign w:val="center"/>
          </w:tcPr>
          <w:p w14:paraId="36247904" w14:textId="77777777" w:rsidR="005061E6" w:rsidRPr="009D258A" w:rsidRDefault="005061E6">
            <w:pPr>
              <w:spacing w:before="60" w:after="60"/>
              <w:jc w:val="center"/>
              <w:rPr>
                <w:noProof/>
                <w:sz w:val="20"/>
              </w:rPr>
            </w:pPr>
          </w:p>
        </w:tc>
        <w:tc>
          <w:tcPr>
            <w:tcW w:w="655" w:type="pct"/>
            <w:vAlign w:val="center"/>
          </w:tcPr>
          <w:p w14:paraId="304355A3" w14:textId="77777777" w:rsidR="005061E6" w:rsidRPr="009D258A" w:rsidRDefault="005061E6">
            <w:pPr>
              <w:spacing w:before="60" w:after="60"/>
              <w:jc w:val="center"/>
              <w:rPr>
                <w:noProof/>
                <w:sz w:val="20"/>
              </w:rPr>
            </w:pPr>
          </w:p>
        </w:tc>
        <w:tc>
          <w:tcPr>
            <w:tcW w:w="655" w:type="pct"/>
            <w:vAlign w:val="center"/>
          </w:tcPr>
          <w:p w14:paraId="2239171F" w14:textId="77777777" w:rsidR="005061E6" w:rsidRPr="009D258A" w:rsidRDefault="005061E6">
            <w:pPr>
              <w:spacing w:before="60" w:after="60"/>
              <w:jc w:val="center"/>
              <w:rPr>
                <w:noProof/>
                <w:sz w:val="20"/>
              </w:rPr>
            </w:pPr>
          </w:p>
        </w:tc>
        <w:tc>
          <w:tcPr>
            <w:tcW w:w="655" w:type="pct"/>
            <w:vAlign w:val="center"/>
          </w:tcPr>
          <w:p w14:paraId="0338CFFD" w14:textId="77777777" w:rsidR="005061E6" w:rsidRPr="009D258A" w:rsidRDefault="005061E6">
            <w:pPr>
              <w:spacing w:before="60" w:after="60"/>
              <w:jc w:val="center"/>
              <w:rPr>
                <w:noProof/>
                <w:sz w:val="20"/>
              </w:rPr>
            </w:pPr>
          </w:p>
        </w:tc>
        <w:tc>
          <w:tcPr>
            <w:tcW w:w="787" w:type="pct"/>
            <w:vAlign w:val="center"/>
          </w:tcPr>
          <w:p w14:paraId="358FDA94" w14:textId="77777777" w:rsidR="005061E6" w:rsidRPr="009D258A" w:rsidRDefault="005061E6">
            <w:pPr>
              <w:spacing w:before="60" w:after="60"/>
              <w:jc w:val="center"/>
              <w:rPr>
                <w:noProof/>
                <w:sz w:val="20"/>
              </w:rPr>
            </w:pPr>
          </w:p>
        </w:tc>
      </w:tr>
    </w:tbl>
    <w:p w14:paraId="0EDD99BE" w14:textId="77777777" w:rsidR="005061E6" w:rsidRPr="009D258A" w:rsidRDefault="005061E6" w:rsidP="005061E6">
      <w:pPr>
        <w:outlineLvl w:val="1"/>
        <w:rPr>
          <w:noProof/>
          <w:szCs w:val="24"/>
        </w:rPr>
      </w:pPr>
      <w:r w:rsidRPr="009D258A">
        <w:rPr>
          <w:noProof/>
        </w:rPr>
        <w:t xml:space="preserve"> </w:t>
      </w:r>
      <w:r w:rsidRPr="009D258A">
        <w:rPr>
          <w:noProof/>
        </w:rPr>
        <w:br/>
      </w:r>
      <w:bookmarkStart w:id="47" w:name="_Toc514938059"/>
      <w:bookmarkStart w:id="48" w:name="_Toc520485057"/>
      <w:bookmarkStart w:id="49" w:name="_Toc160804602"/>
      <w:bookmarkStart w:id="50" w:name="_Toc167220300"/>
      <w:bookmarkStart w:id="51" w:name="_Toc177549034"/>
      <w:bookmarkStart w:id="52" w:name="_Hlk166860179"/>
      <w:r w:rsidRPr="009D258A">
        <w:rPr>
          <w:noProof/>
        </w:rPr>
        <w:t>3.3.</w:t>
      </w:r>
      <w:r w:rsidRPr="009D258A">
        <w:rPr>
          <w:noProof/>
        </w:rPr>
        <w:tab/>
        <w:t>Arvioidut vaikutukset tuloihin</w:t>
      </w:r>
      <w:bookmarkEnd w:id="47"/>
      <w:bookmarkEnd w:id="48"/>
      <w:bookmarkEnd w:id="49"/>
      <w:bookmarkEnd w:id="50"/>
      <w:bookmarkEnd w:id="51"/>
      <w:r w:rsidRPr="009D258A">
        <w:rPr>
          <w:noProof/>
        </w:rPr>
        <w:t xml:space="preserve"> </w:t>
      </w:r>
    </w:p>
    <w:bookmarkEnd w:id="52"/>
    <w:p w14:paraId="665FB968" w14:textId="77777777" w:rsidR="005061E6" w:rsidRPr="009D258A" w:rsidRDefault="005061E6" w:rsidP="005061E6">
      <w:pPr>
        <w:pStyle w:val="ListDash1"/>
        <w:rPr>
          <w:noProof/>
        </w:rPr>
      </w:pPr>
      <w:r w:rsidRPr="009D258A">
        <w:rPr>
          <w:rFonts w:ascii="Wingdings" w:hAnsi="Wingdings"/>
          <w:noProof/>
        </w:rPr>
        <w:t></w:t>
      </w:r>
      <w:r w:rsidRPr="009D258A">
        <w:rPr>
          <w:noProof/>
        </w:rPr>
        <w:tab/>
        <w:t>Ehdotuksella/aloitteella ei ole vaikutuksia tuloihin</w:t>
      </w:r>
    </w:p>
    <w:p w14:paraId="0158AB25" w14:textId="77777777" w:rsidR="005061E6" w:rsidRPr="009D258A" w:rsidRDefault="005061E6" w:rsidP="005061E6">
      <w:pPr>
        <w:pStyle w:val="ListDash1"/>
        <w:rPr>
          <w:noProof/>
        </w:rPr>
      </w:pPr>
      <w:r w:rsidRPr="009D258A">
        <w:rPr>
          <w:rFonts w:ascii="Wingdings" w:hAnsi="Wingdings"/>
          <w:noProof/>
        </w:rPr>
        <w:t></w:t>
      </w:r>
      <w:r w:rsidRPr="009D258A">
        <w:rPr>
          <w:noProof/>
        </w:rPr>
        <w:tab/>
        <w:t>Ehdotuksella/aloitteella on vaikutuksia tuloihin seuraavasti:</w:t>
      </w:r>
    </w:p>
    <w:p w14:paraId="41AA4E2F" w14:textId="77777777" w:rsidR="005061E6" w:rsidRPr="009D258A" w:rsidRDefault="005061E6" w:rsidP="005061E6">
      <w:pPr>
        <w:pStyle w:val="ListNumberLevel3"/>
        <w:tabs>
          <w:tab w:val="clear" w:pos="2126"/>
          <w:tab w:val="num" w:pos="1843"/>
        </w:tabs>
        <w:rPr>
          <w:noProof/>
        </w:rPr>
      </w:pPr>
      <w:r w:rsidRPr="009D258A">
        <w:rPr>
          <w:rFonts w:ascii="Wingdings" w:hAnsi="Wingdings"/>
          <w:noProof/>
        </w:rPr>
        <w:t></w:t>
      </w:r>
      <w:r w:rsidRPr="009D258A">
        <w:rPr>
          <w:noProof/>
        </w:rPr>
        <w:tab/>
        <w:t xml:space="preserve">vaikutuksia omiin varoihin </w:t>
      </w:r>
    </w:p>
    <w:p w14:paraId="3D862D34" w14:textId="77777777" w:rsidR="005061E6" w:rsidRPr="009D258A" w:rsidRDefault="005061E6" w:rsidP="005061E6">
      <w:pPr>
        <w:pStyle w:val="ListNumberLevel3"/>
        <w:tabs>
          <w:tab w:val="clear" w:pos="2126"/>
          <w:tab w:val="num" w:pos="1843"/>
        </w:tabs>
        <w:rPr>
          <w:noProof/>
        </w:rPr>
      </w:pPr>
      <w:r w:rsidRPr="009D258A">
        <w:rPr>
          <w:rFonts w:ascii="Wingdings" w:hAnsi="Wingdings"/>
          <w:noProof/>
        </w:rPr>
        <w:t></w:t>
      </w:r>
      <w:r w:rsidRPr="009D258A">
        <w:rPr>
          <w:noProof/>
        </w:rPr>
        <w:tab/>
        <w:t>vaikutuksia muihin tuloihin</w:t>
      </w:r>
    </w:p>
    <w:p w14:paraId="5F80F7CF" w14:textId="77777777" w:rsidR="005061E6" w:rsidRPr="009D258A" w:rsidRDefault="005061E6" w:rsidP="005061E6">
      <w:pPr>
        <w:pStyle w:val="ListNumberLevel3"/>
        <w:tabs>
          <w:tab w:val="clear" w:pos="2126"/>
          <w:tab w:val="num" w:pos="1843"/>
        </w:tabs>
        <w:rPr>
          <w:noProof/>
        </w:rPr>
      </w:pPr>
      <w:r w:rsidRPr="009D258A">
        <w:rPr>
          <w:rFonts w:ascii="Wingdings" w:hAnsi="Wingdings"/>
          <w:noProof/>
        </w:rPr>
        <w:t></w:t>
      </w:r>
      <w:r w:rsidRPr="009D258A">
        <w:rPr>
          <w:noProof/>
        </w:rPr>
        <w:tab/>
        <w:t>tulot on kohdennettu menopuolen budjettikohtiin</w:t>
      </w:r>
    </w:p>
    <w:p w14:paraId="71AFAAD2" w14:textId="77777777" w:rsidR="005061E6" w:rsidRPr="009D258A" w:rsidRDefault="005061E6" w:rsidP="005061E6">
      <w:pPr>
        <w:jc w:val="right"/>
        <w:rPr>
          <w:noProof/>
          <w:sz w:val="20"/>
        </w:rPr>
      </w:pPr>
      <w:r w:rsidRPr="009D258A">
        <w:rPr>
          <w:noProof/>
          <w:sz w:val="20"/>
        </w:rPr>
        <w:t xml:space="preserve">    milj. euroa (kolmen desimaalin tarkkuudella)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9"/>
        <w:gridCol w:w="2570"/>
        <w:gridCol w:w="2694"/>
        <w:gridCol w:w="1662"/>
        <w:gridCol w:w="1647"/>
        <w:gridCol w:w="2005"/>
      </w:tblGrid>
      <w:tr w:rsidR="005061E6" w:rsidRPr="009D258A" w14:paraId="77373D2A" w14:textId="77777777">
        <w:trPr>
          <w:trHeight w:val="388"/>
        </w:trPr>
        <w:tc>
          <w:tcPr>
            <w:tcW w:w="1423" w:type="pct"/>
            <w:vMerge w:val="restart"/>
            <w:vAlign w:val="center"/>
          </w:tcPr>
          <w:p w14:paraId="7B392655" w14:textId="77777777" w:rsidR="005061E6" w:rsidRPr="009D258A" w:rsidRDefault="005061E6">
            <w:pPr>
              <w:spacing w:before="40" w:after="40"/>
              <w:rPr>
                <w:noProof/>
                <w:sz w:val="18"/>
              </w:rPr>
            </w:pPr>
            <w:r w:rsidRPr="009D258A">
              <w:rPr>
                <w:noProof/>
                <w:sz w:val="18"/>
              </w:rPr>
              <w:t>Tulopuolen budjettikohta:</w:t>
            </w:r>
          </w:p>
        </w:tc>
        <w:tc>
          <w:tcPr>
            <w:tcW w:w="869" w:type="pct"/>
            <w:vMerge w:val="restart"/>
            <w:vAlign w:val="center"/>
          </w:tcPr>
          <w:p w14:paraId="5A808862" w14:textId="77777777" w:rsidR="005061E6" w:rsidRPr="009D258A" w:rsidRDefault="005061E6">
            <w:pPr>
              <w:jc w:val="center"/>
              <w:rPr>
                <w:noProof/>
                <w:sz w:val="18"/>
              </w:rPr>
            </w:pPr>
            <w:r w:rsidRPr="009D258A">
              <w:rPr>
                <w:noProof/>
                <w:sz w:val="18"/>
              </w:rPr>
              <w:t>Käytettävissä olevat määrärahat kuluvana varainhoitovuonna</w:t>
            </w:r>
          </w:p>
        </w:tc>
        <w:tc>
          <w:tcPr>
            <w:tcW w:w="2709" w:type="pct"/>
            <w:gridSpan w:val="4"/>
            <w:vAlign w:val="center"/>
          </w:tcPr>
          <w:p w14:paraId="0FFCFB09" w14:textId="77777777" w:rsidR="005061E6" w:rsidRPr="009D258A" w:rsidRDefault="005061E6">
            <w:pPr>
              <w:jc w:val="center"/>
              <w:rPr>
                <w:noProof/>
                <w:sz w:val="18"/>
              </w:rPr>
            </w:pPr>
            <w:r w:rsidRPr="009D258A">
              <w:rPr>
                <w:noProof/>
                <w:sz w:val="18"/>
              </w:rPr>
              <w:t>Ehdotuksen/aloitteen vaikutus</w:t>
            </w:r>
            <w:r w:rsidRPr="009D258A">
              <w:rPr>
                <w:rStyle w:val="FootnoteReference"/>
                <w:noProof/>
                <w:sz w:val="18"/>
                <w:szCs w:val="18"/>
              </w:rPr>
              <w:footnoteReference w:id="41"/>
            </w:r>
          </w:p>
        </w:tc>
      </w:tr>
      <w:tr w:rsidR="005061E6" w:rsidRPr="009D258A" w14:paraId="7DF81D84" w14:textId="77777777">
        <w:trPr>
          <w:trHeight w:val="388"/>
        </w:trPr>
        <w:tc>
          <w:tcPr>
            <w:tcW w:w="1423" w:type="pct"/>
            <w:vMerge/>
          </w:tcPr>
          <w:p w14:paraId="1D327D9B" w14:textId="77777777" w:rsidR="005061E6" w:rsidRPr="009D258A" w:rsidRDefault="005061E6">
            <w:pPr>
              <w:spacing w:before="40" w:after="40"/>
              <w:rPr>
                <w:noProof/>
                <w:sz w:val="18"/>
              </w:rPr>
            </w:pPr>
          </w:p>
        </w:tc>
        <w:tc>
          <w:tcPr>
            <w:tcW w:w="869" w:type="pct"/>
            <w:vMerge/>
          </w:tcPr>
          <w:p w14:paraId="350954D6" w14:textId="77777777" w:rsidR="005061E6" w:rsidRPr="009D258A" w:rsidRDefault="005061E6">
            <w:pPr>
              <w:spacing w:beforeLines="40" w:before="96" w:afterLines="40" w:after="96"/>
              <w:rPr>
                <w:i/>
                <w:noProof/>
                <w:sz w:val="18"/>
              </w:rPr>
            </w:pPr>
          </w:p>
        </w:tc>
        <w:tc>
          <w:tcPr>
            <w:tcW w:w="911" w:type="pct"/>
            <w:vAlign w:val="center"/>
          </w:tcPr>
          <w:p w14:paraId="4208720E" w14:textId="77777777" w:rsidR="005061E6" w:rsidRPr="009D258A" w:rsidRDefault="005061E6">
            <w:pPr>
              <w:jc w:val="center"/>
              <w:rPr>
                <w:noProof/>
                <w:sz w:val="18"/>
              </w:rPr>
            </w:pPr>
            <w:r w:rsidRPr="009D258A">
              <w:rPr>
                <w:noProof/>
                <w:sz w:val="18"/>
              </w:rPr>
              <w:t xml:space="preserve">Vuosi </w:t>
            </w:r>
            <w:r w:rsidRPr="009D258A">
              <w:rPr>
                <w:b/>
                <w:noProof/>
                <w:sz w:val="18"/>
              </w:rPr>
              <w:t>2024</w:t>
            </w:r>
          </w:p>
        </w:tc>
        <w:tc>
          <w:tcPr>
            <w:tcW w:w="562" w:type="pct"/>
            <w:vAlign w:val="center"/>
          </w:tcPr>
          <w:p w14:paraId="590C5488" w14:textId="77777777" w:rsidR="005061E6" w:rsidRPr="009D258A" w:rsidRDefault="005061E6">
            <w:pPr>
              <w:jc w:val="center"/>
              <w:rPr>
                <w:noProof/>
                <w:sz w:val="18"/>
              </w:rPr>
            </w:pPr>
            <w:r w:rsidRPr="009D258A">
              <w:rPr>
                <w:noProof/>
                <w:sz w:val="18"/>
              </w:rPr>
              <w:t xml:space="preserve">Vuosi </w:t>
            </w:r>
            <w:r w:rsidRPr="009D258A">
              <w:rPr>
                <w:b/>
                <w:noProof/>
                <w:sz w:val="18"/>
              </w:rPr>
              <w:t>2025</w:t>
            </w:r>
          </w:p>
        </w:tc>
        <w:tc>
          <w:tcPr>
            <w:tcW w:w="557" w:type="pct"/>
            <w:vAlign w:val="center"/>
          </w:tcPr>
          <w:p w14:paraId="4913D041" w14:textId="77777777" w:rsidR="005061E6" w:rsidRPr="009D258A" w:rsidRDefault="005061E6">
            <w:pPr>
              <w:jc w:val="center"/>
              <w:rPr>
                <w:noProof/>
                <w:sz w:val="18"/>
              </w:rPr>
            </w:pPr>
            <w:r w:rsidRPr="009D258A">
              <w:rPr>
                <w:noProof/>
                <w:sz w:val="18"/>
              </w:rPr>
              <w:t xml:space="preserve">Vuosi </w:t>
            </w:r>
            <w:r w:rsidRPr="009D258A">
              <w:rPr>
                <w:b/>
                <w:noProof/>
                <w:sz w:val="18"/>
              </w:rPr>
              <w:t>2026</w:t>
            </w:r>
          </w:p>
        </w:tc>
        <w:tc>
          <w:tcPr>
            <w:tcW w:w="679" w:type="pct"/>
            <w:vAlign w:val="center"/>
          </w:tcPr>
          <w:p w14:paraId="18292834" w14:textId="77777777" w:rsidR="005061E6" w:rsidRPr="009D258A" w:rsidRDefault="005061E6">
            <w:pPr>
              <w:jc w:val="center"/>
              <w:rPr>
                <w:noProof/>
                <w:sz w:val="18"/>
              </w:rPr>
            </w:pPr>
            <w:r w:rsidRPr="009D258A">
              <w:rPr>
                <w:noProof/>
                <w:sz w:val="18"/>
              </w:rPr>
              <w:t xml:space="preserve">Vuosi </w:t>
            </w:r>
            <w:r w:rsidRPr="009D258A">
              <w:rPr>
                <w:b/>
                <w:noProof/>
                <w:sz w:val="18"/>
              </w:rPr>
              <w:t>2027</w:t>
            </w:r>
          </w:p>
        </w:tc>
      </w:tr>
      <w:tr w:rsidR="005061E6" w:rsidRPr="009D258A" w14:paraId="5891B143" w14:textId="77777777">
        <w:trPr>
          <w:trHeight w:val="388"/>
        </w:trPr>
        <w:tc>
          <w:tcPr>
            <w:tcW w:w="1423" w:type="pct"/>
            <w:vAlign w:val="center"/>
          </w:tcPr>
          <w:p w14:paraId="32914DDC" w14:textId="77777777" w:rsidR="005061E6" w:rsidRPr="009D258A" w:rsidRDefault="005061E6">
            <w:pPr>
              <w:spacing w:before="40" w:after="40"/>
              <w:rPr>
                <w:noProof/>
                <w:sz w:val="18"/>
              </w:rPr>
            </w:pPr>
            <w:r w:rsidRPr="009D258A">
              <w:rPr>
                <w:noProof/>
                <w:sz w:val="18"/>
              </w:rPr>
              <w:t>Momentti ….</w:t>
            </w:r>
          </w:p>
        </w:tc>
        <w:tc>
          <w:tcPr>
            <w:tcW w:w="869" w:type="pct"/>
          </w:tcPr>
          <w:p w14:paraId="0B64C2F9" w14:textId="77777777" w:rsidR="005061E6" w:rsidRPr="009D258A" w:rsidRDefault="005061E6">
            <w:pPr>
              <w:spacing w:beforeLines="40" w:before="96" w:afterLines="40" w:after="96"/>
              <w:jc w:val="center"/>
              <w:rPr>
                <w:i/>
                <w:noProof/>
                <w:sz w:val="18"/>
              </w:rPr>
            </w:pPr>
          </w:p>
        </w:tc>
        <w:tc>
          <w:tcPr>
            <w:tcW w:w="911" w:type="pct"/>
          </w:tcPr>
          <w:p w14:paraId="339879F6" w14:textId="77777777" w:rsidR="005061E6" w:rsidRPr="009D258A" w:rsidRDefault="005061E6">
            <w:pPr>
              <w:spacing w:beforeLines="40" w:before="96" w:afterLines="40" w:after="96"/>
              <w:jc w:val="center"/>
              <w:rPr>
                <w:noProof/>
                <w:sz w:val="18"/>
              </w:rPr>
            </w:pPr>
          </w:p>
        </w:tc>
        <w:tc>
          <w:tcPr>
            <w:tcW w:w="562" w:type="pct"/>
          </w:tcPr>
          <w:p w14:paraId="7B8BB259" w14:textId="77777777" w:rsidR="005061E6" w:rsidRPr="009D258A" w:rsidRDefault="005061E6">
            <w:pPr>
              <w:spacing w:beforeLines="40" w:before="96" w:afterLines="40" w:after="96"/>
              <w:jc w:val="center"/>
              <w:rPr>
                <w:noProof/>
                <w:sz w:val="18"/>
              </w:rPr>
            </w:pPr>
          </w:p>
        </w:tc>
        <w:tc>
          <w:tcPr>
            <w:tcW w:w="557" w:type="pct"/>
          </w:tcPr>
          <w:p w14:paraId="3945F452" w14:textId="77777777" w:rsidR="005061E6" w:rsidRPr="009D258A" w:rsidRDefault="005061E6">
            <w:pPr>
              <w:spacing w:beforeLines="40" w:before="96" w:afterLines="40" w:after="96"/>
              <w:jc w:val="center"/>
              <w:rPr>
                <w:noProof/>
                <w:sz w:val="18"/>
              </w:rPr>
            </w:pPr>
          </w:p>
        </w:tc>
        <w:tc>
          <w:tcPr>
            <w:tcW w:w="679" w:type="pct"/>
          </w:tcPr>
          <w:p w14:paraId="4BBACE85" w14:textId="77777777" w:rsidR="005061E6" w:rsidRPr="009D258A" w:rsidRDefault="005061E6">
            <w:pPr>
              <w:spacing w:beforeLines="40" w:before="96" w:afterLines="40" w:after="96"/>
              <w:jc w:val="center"/>
              <w:rPr>
                <w:noProof/>
                <w:sz w:val="18"/>
              </w:rPr>
            </w:pPr>
          </w:p>
        </w:tc>
      </w:tr>
    </w:tbl>
    <w:p w14:paraId="684A3539" w14:textId="77777777" w:rsidR="005061E6" w:rsidRPr="009D258A" w:rsidRDefault="005061E6" w:rsidP="005061E6">
      <w:pPr>
        <w:pStyle w:val="Text1"/>
        <w:rPr>
          <w:noProof/>
          <w:szCs w:val="24"/>
        </w:rPr>
      </w:pPr>
      <w:r w:rsidRPr="009D258A">
        <w:rPr>
          <w:noProof/>
        </w:rPr>
        <w:t>Vastaava(t) menopuolen budjettikohta/-kohdat käyttötarkoitukseensa sidottujen tulojen tapauksessa:</w:t>
      </w:r>
    </w:p>
    <w:p w14:paraId="01E8BC67" w14:textId="77777777" w:rsidR="005061E6" w:rsidRPr="009D258A" w:rsidRDefault="005061E6" w:rsidP="005061E6">
      <w:pPr>
        <w:pStyle w:val="Text1"/>
        <w:pBdr>
          <w:top w:val="single" w:sz="4" w:space="1" w:color="auto"/>
          <w:left w:val="single" w:sz="4" w:space="4" w:color="auto"/>
          <w:bottom w:val="single" w:sz="4" w:space="1" w:color="auto"/>
          <w:right w:val="single" w:sz="4" w:space="4" w:color="auto"/>
        </w:pBdr>
        <w:rPr>
          <w:noProof/>
        </w:rPr>
      </w:pPr>
    </w:p>
    <w:p w14:paraId="58907616" w14:textId="77777777" w:rsidR="005061E6" w:rsidRPr="009D258A" w:rsidRDefault="005061E6" w:rsidP="005061E6">
      <w:pPr>
        <w:pStyle w:val="Text1"/>
        <w:rPr>
          <w:noProof/>
          <w:szCs w:val="24"/>
        </w:rPr>
      </w:pPr>
      <w:r w:rsidRPr="009D258A">
        <w:rPr>
          <w:noProof/>
        </w:rPr>
        <w:t>Muita huomautuksia (esim. tuloihin kohdistuvan vaikutuksen laskentamenetelmä/-kaava tai muita lisätietoja).</w:t>
      </w:r>
    </w:p>
    <w:p w14:paraId="390F0C73" w14:textId="77777777" w:rsidR="005061E6" w:rsidRPr="009D258A" w:rsidRDefault="005061E6" w:rsidP="005061E6">
      <w:pPr>
        <w:pStyle w:val="Text1"/>
        <w:pBdr>
          <w:top w:val="single" w:sz="4" w:space="1" w:color="auto"/>
          <w:left w:val="single" w:sz="4" w:space="4" w:color="auto"/>
          <w:bottom w:val="single" w:sz="4" w:space="1" w:color="auto"/>
          <w:right w:val="single" w:sz="4" w:space="4" w:color="auto"/>
        </w:pBdr>
        <w:rPr>
          <w:noProof/>
        </w:rPr>
      </w:pPr>
    </w:p>
    <w:p w14:paraId="115D7C2F" w14:textId="77777777" w:rsidR="009C3EE2" w:rsidRPr="009D258A" w:rsidRDefault="009C3EE2" w:rsidP="00A037B4">
      <w:pPr>
        <w:pStyle w:val="ManualHeading1"/>
        <w:rPr>
          <w:noProof/>
        </w:rPr>
      </w:pPr>
      <w:r w:rsidRPr="009D258A">
        <w:rPr>
          <w:noProof/>
        </w:rPr>
        <w:t>4.</w:t>
      </w:r>
      <w:r w:rsidRPr="009D258A">
        <w:rPr>
          <w:noProof/>
        </w:rPr>
        <w:tab/>
      </w:r>
      <w:r w:rsidRPr="009D258A">
        <w:rPr>
          <w:caps/>
          <w:noProof/>
        </w:rPr>
        <w:t>Digitaaliset ulottuvuudet</w:t>
      </w:r>
    </w:p>
    <w:p w14:paraId="4A71D9D6" w14:textId="77777777" w:rsidR="009C3EE2" w:rsidRPr="009D258A" w:rsidRDefault="009C3EE2" w:rsidP="0002735A">
      <w:pPr>
        <w:pStyle w:val="ManualHeading2"/>
        <w:rPr>
          <w:noProof/>
        </w:rPr>
      </w:pPr>
      <w:r w:rsidRPr="009D258A">
        <w:rPr>
          <w:noProof/>
        </w:rPr>
        <w:t>4.1.</w:t>
      </w:r>
      <w:r w:rsidRPr="009D258A">
        <w:rPr>
          <w:noProof/>
        </w:rPr>
        <w:tab/>
        <w:t>Vaatimukset, joilla on merkitystä digitalisaation kannalta</w:t>
      </w:r>
    </w:p>
    <w:tbl>
      <w:tblPr>
        <w:tblStyle w:val="TableGrid"/>
        <w:tblW w:w="14430" w:type="dxa"/>
        <w:tblInd w:w="-5" w:type="dxa"/>
        <w:tblLayout w:type="fixed"/>
        <w:tblLook w:val="06A0" w:firstRow="1" w:lastRow="0" w:firstColumn="1" w:lastColumn="0" w:noHBand="1" w:noVBand="1"/>
      </w:tblPr>
      <w:tblGrid>
        <w:gridCol w:w="14430"/>
      </w:tblGrid>
      <w:tr w:rsidR="00EA14E1" w:rsidRPr="009D258A" w14:paraId="2C98BF6F" w14:textId="77777777" w:rsidTr="00CE08C2">
        <w:trPr>
          <w:trHeight w:val="300"/>
        </w:trPr>
        <w:tc>
          <w:tcPr>
            <w:tcW w:w="14430" w:type="dxa"/>
          </w:tcPr>
          <w:tbl>
            <w:tblPr>
              <w:tblStyle w:val="TableGrid"/>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5"/>
              <w:gridCol w:w="4695"/>
              <w:gridCol w:w="3225"/>
              <w:gridCol w:w="2131"/>
              <w:gridCol w:w="2184"/>
            </w:tblGrid>
            <w:tr w:rsidR="00CE08C2" w:rsidRPr="009D258A" w14:paraId="114C7F87" w14:textId="77777777" w:rsidTr="00CB020E">
              <w:trPr>
                <w:trHeight w:val="300"/>
              </w:trPr>
              <w:tc>
                <w:tcPr>
                  <w:tcW w:w="1935" w:type="dxa"/>
                  <w:vAlign w:val="center"/>
                </w:tcPr>
                <w:p w14:paraId="0CBEBA84" w14:textId="77777777" w:rsidR="00CE08C2" w:rsidRPr="009D258A" w:rsidRDefault="00CE08C2" w:rsidP="00CE08C2">
                  <w:pPr>
                    <w:jc w:val="left"/>
                    <w:rPr>
                      <w:b/>
                      <w:bCs/>
                      <w:noProof/>
                    </w:rPr>
                  </w:pPr>
                  <w:r w:rsidRPr="009D258A">
                    <w:rPr>
                      <w:b/>
                      <w:noProof/>
                    </w:rPr>
                    <w:t>Viittaus vaatimukseen</w:t>
                  </w:r>
                </w:p>
              </w:tc>
              <w:tc>
                <w:tcPr>
                  <w:tcW w:w="4695" w:type="dxa"/>
                  <w:vAlign w:val="center"/>
                </w:tcPr>
                <w:p w14:paraId="0C061048" w14:textId="77777777" w:rsidR="00CE08C2" w:rsidRPr="009D258A" w:rsidRDefault="00CE08C2" w:rsidP="00CE08C2">
                  <w:pPr>
                    <w:jc w:val="left"/>
                    <w:rPr>
                      <w:b/>
                      <w:bCs/>
                      <w:noProof/>
                    </w:rPr>
                  </w:pPr>
                  <w:r w:rsidRPr="009D258A">
                    <w:rPr>
                      <w:b/>
                      <w:noProof/>
                    </w:rPr>
                    <w:t>Vaatimuksen kuvaus</w:t>
                  </w:r>
                </w:p>
              </w:tc>
              <w:tc>
                <w:tcPr>
                  <w:tcW w:w="3225" w:type="dxa"/>
                  <w:vAlign w:val="center"/>
                </w:tcPr>
                <w:p w14:paraId="5FAB41B7" w14:textId="77777777" w:rsidR="00CE08C2" w:rsidRPr="009D258A" w:rsidRDefault="00CE08C2" w:rsidP="00CE08C2">
                  <w:pPr>
                    <w:jc w:val="left"/>
                    <w:rPr>
                      <w:b/>
                      <w:bCs/>
                      <w:noProof/>
                    </w:rPr>
                  </w:pPr>
                  <w:r w:rsidRPr="009D258A">
                    <w:rPr>
                      <w:b/>
                      <w:noProof/>
                    </w:rPr>
                    <w:t>Toimijat, joihin vaatimus vaikuttaa tai joita se koskee</w:t>
                  </w:r>
                </w:p>
              </w:tc>
              <w:tc>
                <w:tcPr>
                  <w:tcW w:w="2131" w:type="dxa"/>
                  <w:vAlign w:val="center"/>
                </w:tcPr>
                <w:p w14:paraId="48050616" w14:textId="77777777" w:rsidR="00CE08C2" w:rsidRPr="009D258A" w:rsidRDefault="00CE08C2" w:rsidP="00CE08C2">
                  <w:pPr>
                    <w:jc w:val="left"/>
                    <w:rPr>
                      <w:b/>
                      <w:bCs/>
                      <w:noProof/>
                    </w:rPr>
                  </w:pPr>
                  <w:r w:rsidRPr="009D258A">
                    <w:rPr>
                      <w:b/>
                      <w:noProof/>
                    </w:rPr>
                    <w:t>Ylätason prosessit</w:t>
                  </w:r>
                </w:p>
              </w:tc>
              <w:tc>
                <w:tcPr>
                  <w:tcW w:w="2184" w:type="dxa"/>
                  <w:vAlign w:val="center"/>
                </w:tcPr>
                <w:p w14:paraId="03C75675" w14:textId="77777777" w:rsidR="00CE08C2" w:rsidRPr="009D258A" w:rsidRDefault="00CE08C2" w:rsidP="00CE08C2">
                  <w:pPr>
                    <w:jc w:val="left"/>
                    <w:rPr>
                      <w:b/>
                      <w:bCs/>
                      <w:noProof/>
                    </w:rPr>
                  </w:pPr>
                  <w:r w:rsidRPr="009D258A">
                    <w:rPr>
                      <w:b/>
                      <w:noProof/>
                    </w:rPr>
                    <w:t>Luokat</w:t>
                  </w:r>
                </w:p>
              </w:tc>
            </w:tr>
            <w:tr w:rsidR="00CE08C2" w:rsidRPr="009D258A" w14:paraId="41E2A04E" w14:textId="77777777" w:rsidTr="00CB020E">
              <w:trPr>
                <w:trHeight w:val="300"/>
              </w:trPr>
              <w:tc>
                <w:tcPr>
                  <w:tcW w:w="1935" w:type="dxa"/>
                </w:tcPr>
                <w:p w14:paraId="3EC51A49" w14:textId="426F6563" w:rsidR="00CE08C2" w:rsidRPr="009D258A" w:rsidRDefault="00CE08C2" w:rsidP="00CE08C2">
                  <w:pPr>
                    <w:spacing w:line="259" w:lineRule="auto"/>
                    <w:jc w:val="left"/>
                    <w:rPr>
                      <w:noProof/>
                    </w:rPr>
                  </w:pPr>
                  <w:r w:rsidRPr="009D258A">
                    <w:rPr>
                      <w:noProof/>
                    </w:rPr>
                    <w:t>1 artiklan 5 kohta</w:t>
                  </w:r>
                </w:p>
              </w:tc>
              <w:tc>
                <w:tcPr>
                  <w:tcW w:w="4695" w:type="dxa"/>
                </w:tcPr>
                <w:p w14:paraId="2A8E3DDC" w14:textId="77777777" w:rsidR="00CE08C2" w:rsidRPr="009D258A" w:rsidRDefault="00CE08C2" w:rsidP="00CE08C2">
                  <w:pPr>
                    <w:jc w:val="left"/>
                    <w:rPr>
                      <w:noProof/>
                    </w:rPr>
                  </w:pPr>
                  <w:r w:rsidRPr="009D258A">
                    <w:rPr>
                      <w:b/>
                      <w:noProof/>
                    </w:rPr>
                    <w:t>Lisätään 4 a artikla</w:t>
                  </w:r>
                  <w:r w:rsidRPr="009D258A">
                    <w:rPr>
                      <w:noProof/>
                    </w:rPr>
                    <w:t>: Annetaan tekoälyjärjestelmien ja tekoälymallien tarjoajille ja käyttöönottajille mahdollisuus poikkeuksellisesti ja tietyin edellytyksin käsitellä erityisiä henkilötietoryhmiä siinä määrin kuin se on tarpeen vinoutumien havaitsemiseksi ja korjaamiseksi.</w:t>
                  </w:r>
                </w:p>
              </w:tc>
              <w:tc>
                <w:tcPr>
                  <w:tcW w:w="3225" w:type="dxa"/>
                </w:tcPr>
                <w:p w14:paraId="2DE7E482" w14:textId="77777777" w:rsidR="00CE08C2" w:rsidRPr="009D258A" w:rsidRDefault="00CE08C2" w:rsidP="00CE08C2">
                  <w:pPr>
                    <w:jc w:val="left"/>
                    <w:rPr>
                      <w:noProof/>
                    </w:rPr>
                  </w:pPr>
                  <w:r w:rsidRPr="009D258A">
                    <w:rPr>
                      <w:noProof/>
                    </w:rPr>
                    <w:t>Tekoälyjärjestelmien ja tekoälymallien tarjoajat ja käyttöönottajat</w:t>
                  </w:r>
                </w:p>
                <w:p w14:paraId="343622EC" w14:textId="77777777" w:rsidR="00CE08C2" w:rsidRPr="009D258A" w:rsidRDefault="00CE08C2" w:rsidP="00CE08C2">
                  <w:pPr>
                    <w:jc w:val="left"/>
                    <w:rPr>
                      <w:noProof/>
                    </w:rPr>
                  </w:pPr>
                  <w:r w:rsidRPr="009D258A">
                    <w:rPr>
                      <w:noProof/>
                    </w:rPr>
                    <w:t>Asianomaiset rekisteröidyt</w:t>
                  </w:r>
                </w:p>
              </w:tc>
              <w:tc>
                <w:tcPr>
                  <w:tcW w:w="2131" w:type="dxa"/>
                </w:tcPr>
                <w:p w14:paraId="1BE68D74" w14:textId="77777777" w:rsidR="00CE08C2" w:rsidRPr="009D258A" w:rsidRDefault="00CE08C2" w:rsidP="00CE08C2">
                  <w:pPr>
                    <w:jc w:val="left"/>
                    <w:rPr>
                      <w:noProof/>
                    </w:rPr>
                  </w:pPr>
                  <w:r w:rsidRPr="009D258A">
                    <w:rPr>
                      <w:noProof/>
                    </w:rPr>
                    <w:t>Tietojenkäsittely</w:t>
                  </w:r>
                </w:p>
              </w:tc>
              <w:tc>
                <w:tcPr>
                  <w:tcW w:w="2184" w:type="dxa"/>
                </w:tcPr>
                <w:p w14:paraId="76CD6D2F" w14:textId="77777777" w:rsidR="00CE08C2" w:rsidRPr="009D258A" w:rsidRDefault="00CE08C2" w:rsidP="00CE08C2">
                  <w:pPr>
                    <w:jc w:val="left"/>
                    <w:rPr>
                      <w:noProof/>
                    </w:rPr>
                  </w:pPr>
                  <w:r w:rsidRPr="009D258A">
                    <w:rPr>
                      <w:noProof/>
                    </w:rPr>
                    <w:t>Data</w:t>
                  </w:r>
                </w:p>
              </w:tc>
            </w:tr>
            <w:tr w:rsidR="00CE08C2" w:rsidRPr="009D258A" w14:paraId="79C63C94" w14:textId="77777777" w:rsidTr="00CB020E">
              <w:trPr>
                <w:trHeight w:val="300"/>
              </w:trPr>
              <w:tc>
                <w:tcPr>
                  <w:tcW w:w="1935" w:type="dxa"/>
                </w:tcPr>
                <w:p w14:paraId="2E2CB078" w14:textId="4691606E" w:rsidR="00CE08C2" w:rsidRPr="009D258A" w:rsidRDefault="00CE08C2" w:rsidP="00CE08C2">
                  <w:pPr>
                    <w:spacing w:line="259" w:lineRule="auto"/>
                    <w:jc w:val="left"/>
                    <w:rPr>
                      <w:noProof/>
                    </w:rPr>
                  </w:pPr>
                  <w:r w:rsidRPr="009D258A">
                    <w:rPr>
                      <w:noProof/>
                    </w:rPr>
                    <w:t>1 artiklan 8 kohta</w:t>
                  </w:r>
                </w:p>
              </w:tc>
              <w:tc>
                <w:tcPr>
                  <w:tcW w:w="4695" w:type="dxa"/>
                </w:tcPr>
                <w:p w14:paraId="037AC729" w14:textId="77777777" w:rsidR="00CE08C2" w:rsidRPr="009D258A" w:rsidRDefault="00CE08C2" w:rsidP="00CE08C2">
                  <w:pPr>
                    <w:spacing w:line="259" w:lineRule="auto"/>
                    <w:jc w:val="left"/>
                    <w:rPr>
                      <w:noProof/>
                    </w:rPr>
                  </w:pPr>
                  <w:r w:rsidRPr="009D258A">
                    <w:rPr>
                      <w:b/>
                      <w:noProof/>
                    </w:rPr>
                    <w:t>Muutetaan 11 artiklan 1 kohdan toista alakohtaa</w:t>
                  </w:r>
                  <w:r w:rsidRPr="009D258A">
                    <w:rPr>
                      <w:noProof/>
                    </w:rPr>
                    <w:t>: Liittyy suuririskisiä tekoälyjärjestelmiä koskevaan tekniseen dokumentaatioon, joka on laadittava ennen kuin järjestelmä saatetaan markkinoille tai otetaan käyttöön. Pk-yrityksille ja pienille midcap-yrityksille annetaan tiettyjä sääntelyhelpotuksia tällaisen dokumentaation suhteen.</w:t>
                  </w:r>
                </w:p>
              </w:tc>
              <w:tc>
                <w:tcPr>
                  <w:tcW w:w="3225" w:type="dxa"/>
                </w:tcPr>
                <w:p w14:paraId="18372206" w14:textId="77777777" w:rsidR="00CE08C2" w:rsidRPr="009D258A" w:rsidRDefault="00CE08C2" w:rsidP="00CE08C2">
                  <w:pPr>
                    <w:jc w:val="left"/>
                    <w:rPr>
                      <w:noProof/>
                      <w:color w:val="000000" w:themeColor="text1"/>
                    </w:rPr>
                  </w:pPr>
                  <w:r w:rsidRPr="009D258A">
                    <w:rPr>
                      <w:noProof/>
                      <w:color w:val="000000" w:themeColor="text1"/>
                    </w:rPr>
                    <w:t>Suuririskisten tekoälyjärjestelmien tarjoajat (mukaan lukien pienet midcap-yritykset ja pk-yritykset)</w:t>
                  </w:r>
                </w:p>
                <w:p w14:paraId="16210784" w14:textId="77777777" w:rsidR="00CE08C2" w:rsidRPr="009D258A" w:rsidRDefault="00CE08C2" w:rsidP="00CE08C2">
                  <w:pPr>
                    <w:jc w:val="left"/>
                    <w:rPr>
                      <w:noProof/>
                      <w:color w:val="000000" w:themeColor="text1"/>
                    </w:rPr>
                  </w:pPr>
                  <w:r w:rsidRPr="009D258A">
                    <w:rPr>
                      <w:noProof/>
                      <w:color w:val="000000" w:themeColor="text1"/>
                    </w:rPr>
                    <w:t>Kansalliset toimivaltaiset viranomaiset</w:t>
                  </w:r>
                </w:p>
                <w:p w14:paraId="0C2A036F" w14:textId="77777777" w:rsidR="00CE08C2" w:rsidRPr="009D258A" w:rsidRDefault="00CE08C2" w:rsidP="00CE08C2">
                  <w:pPr>
                    <w:jc w:val="left"/>
                    <w:rPr>
                      <w:noProof/>
                      <w:color w:val="000000" w:themeColor="text1"/>
                    </w:rPr>
                  </w:pPr>
                  <w:r w:rsidRPr="009D258A">
                    <w:rPr>
                      <w:noProof/>
                      <w:color w:val="000000" w:themeColor="text1"/>
                    </w:rPr>
                    <w:t>Ilmoitetut laitokset</w:t>
                  </w:r>
                </w:p>
                <w:p w14:paraId="42D280CE" w14:textId="77777777" w:rsidR="00CE08C2" w:rsidRPr="009D258A" w:rsidRDefault="00CE08C2" w:rsidP="00CE08C2">
                  <w:pPr>
                    <w:jc w:val="left"/>
                    <w:rPr>
                      <w:noProof/>
                      <w:color w:val="000000" w:themeColor="text1"/>
                    </w:rPr>
                  </w:pPr>
                  <w:r w:rsidRPr="009D258A">
                    <w:rPr>
                      <w:noProof/>
                      <w:color w:val="000000" w:themeColor="text1"/>
                    </w:rPr>
                    <w:t>Euroopan komissio</w:t>
                  </w:r>
                </w:p>
              </w:tc>
              <w:tc>
                <w:tcPr>
                  <w:tcW w:w="2131" w:type="dxa"/>
                </w:tcPr>
                <w:p w14:paraId="20A4439E" w14:textId="77777777" w:rsidR="00CE08C2" w:rsidRPr="009D258A" w:rsidRDefault="00CE08C2" w:rsidP="00CE08C2">
                  <w:pPr>
                    <w:jc w:val="left"/>
                    <w:rPr>
                      <w:noProof/>
                    </w:rPr>
                  </w:pPr>
                  <w:r w:rsidRPr="009D258A">
                    <w:rPr>
                      <w:noProof/>
                      <w:color w:val="000000" w:themeColor="text1"/>
                    </w:rPr>
                    <w:t>Tekninen dokumentaatio</w:t>
                  </w:r>
                </w:p>
                <w:p w14:paraId="58C2C3A3" w14:textId="77777777" w:rsidR="00CE08C2" w:rsidRPr="009D258A" w:rsidRDefault="00CE08C2" w:rsidP="00CE08C2">
                  <w:pPr>
                    <w:jc w:val="left"/>
                    <w:rPr>
                      <w:noProof/>
                    </w:rPr>
                  </w:pPr>
                </w:p>
              </w:tc>
              <w:tc>
                <w:tcPr>
                  <w:tcW w:w="2184" w:type="dxa"/>
                </w:tcPr>
                <w:p w14:paraId="42D829BE" w14:textId="77777777" w:rsidR="00CE08C2" w:rsidRPr="009D258A" w:rsidRDefault="00CE08C2" w:rsidP="00CE08C2">
                  <w:pPr>
                    <w:jc w:val="left"/>
                    <w:rPr>
                      <w:noProof/>
                    </w:rPr>
                  </w:pPr>
                  <w:r w:rsidRPr="009D258A">
                    <w:rPr>
                      <w:noProof/>
                    </w:rPr>
                    <w:t>Data</w:t>
                  </w:r>
                </w:p>
              </w:tc>
            </w:tr>
            <w:tr w:rsidR="00CE08C2" w:rsidRPr="009D258A" w14:paraId="7B1172DD" w14:textId="77777777" w:rsidTr="00CB020E">
              <w:trPr>
                <w:trHeight w:val="1530"/>
              </w:trPr>
              <w:tc>
                <w:tcPr>
                  <w:tcW w:w="1935" w:type="dxa"/>
                </w:tcPr>
                <w:p w14:paraId="450F02CF" w14:textId="522D3127" w:rsidR="00CE08C2" w:rsidRPr="009D258A" w:rsidRDefault="00CE08C2" w:rsidP="00CE08C2">
                  <w:pPr>
                    <w:spacing w:line="259" w:lineRule="auto"/>
                    <w:jc w:val="left"/>
                    <w:rPr>
                      <w:noProof/>
                    </w:rPr>
                  </w:pPr>
                  <w:r w:rsidRPr="009D258A">
                    <w:rPr>
                      <w:noProof/>
                    </w:rPr>
                    <w:t>1 artiklan 10 kohta</w:t>
                  </w:r>
                </w:p>
                <w:p w14:paraId="6BEBA194" w14:textId="77777777" w:rsidR="00CE08C2" w:rsidRPr="009D258A" w:rsidRDefault="00CE08C2" w:rsidP="00CE08C2">
                  <w:pPr>
                    <w:spacing w:line="259" w:lineRule="auto"/>
                    <w:jc w:val="left"/>
                    <w:rPr>
                      <w:noProof/>
                    </w:rPr>
                  </w:pPr>
                </w:p>
                <w:p w14:paraId="49A29790" w14:textId="77777777" w:rsidR="00CE08C2" w:rsidRPr="009D258A" w:rsidRDefault="00CE08C2" w:rsidP="00CE08C2">
                  <w:pPr>
                    <w:spacing w:line="259" w:lineRule="auto"/>
                    <w:jc w:val="left"/>
                    <w:rPr>
                      <w:noProof/>
                    </w:rPr>
                  </w:pPr>
                </w:p>
              </w:tc>
              <w:tc>
                <w:tcPr>
                  <w:tcW w:w="4695" w:type="dxa"/>
                </w:tcPr>
                <w:p w14:paraId="7D9D3F42" w14:textId="77777777" w:rsidR="00CE08C2" w:rsidRPr="009D258A" w:rsidRDefault="00CE08C2" w:rsidP="00CE08C2">
                  <w:pPr>
                    <w:jc w:val="left"/>
                    <w:rPr>
                      <w:noProof/>
                    </w:rPr>
                  </w:pPr>
                  <w:r w:rsidRPr="009D258A">
                    <w:rPr>
                      <w:b/>
                      <w:noProof/>
                    </w:rPr>
                    <w:t>Muutetaan 28 artiklaa, lisätään 1 a kohta</w:t>
                  </w:r>
                  <w:r w:rsidRPr="009D258A">
                    <w:rPr>
                      <w:noProof/>
                    </w:rPr>
                    <w:t>: Vaatimustenmukaisuuden arviointilaitoksille voidaan tarjota mahdollisuus hakea nimeämistä yhdellä ja samalla hakemuksella ja yhden ja saman arviointimenettelyn kautta.</w:t>
                  </w:r>
                </w:p>
              </w:tc>
              <w:tc>
                <w:tcPr>
                  <w:tcW w:w="3225" w:type="dxa"/>
                </w:tcPr>
                <w:p w14:paraId="1490BFEA" w14:textId="77777777" w:rsidR="00CE08C2" w:rsidRPr="009D258A" w:rsidRDefault="00CE08C2" w:rsidP="00CE08C2">
                  <w:pPr>
                    <w:jc w:val="left"/>
                    <w:rPr>
                      <w:noProof/>
                      <w:color w:val="000000" w:themeColor="text1"/>
                    </w:rPr>
                  </w:pPr>
                  <w:r w:rsidRPr="009D258A">
                    <w:rPr>
                      <w:noProof/>
                      <w:color w:val="000000" w:themeColor="text1"/>
                    </w:rPr>
                    <w:t>Vaatimustenmukaisuuden arviointilaitokset</w:t>
                  </w:r>
                </w:p>
                <w:p w14:paraId="101F2E15" w14:textId="77777777" w:rsidR="00CE08C2" w:rsidRPr="009D258A" w:rsidRDefault="00CE08C2" w:rsidP="00CE08C2">
                  <w:pPr>
                    <w:jc w:val="left"/>
                    <w:rPr>
                      <w:noProof/>
                      <w:color w:val="000000" w:themeColor="text1"/>
                    </w:rPr>
                  </w:pPr>
                  <w:r w:rsidRPr="009D258A">
                    <w:rPr>
                      <w:noProof/>
                      <w:color w:val="000000" w:themeColor="text1"/>
                    </w:rPr>
                    <w:t>Ilmoittamisesta vastaavat viranomaiset</w:t>
                  </w:r>
                </w:p>
              </w:tc>
              <w:tc>
                <w:tcPr>
                  <w:tcW w:w="2131" w:type="dxa"/>
                </w:tcPr>
                <w:p w14:paraId="17378657" w14:textId="77777777" w:rsidR="00CE08C2" w:rsidRPr="009D258A" w:rsidRDefault="00CE08C2" w:rsidP="00CE08C2">
                  <w:pPr>
                    <w:jc w:val="left"/>
                    <w:rPr>
                      <w:noProof/>
                      <w:color w:val="000000" w:themeColor="text1"/>
                    </w:rPr>
                  </w:pPr>
                  <w:r w:rsidRPr="009D258A">
                    <w:rPr>
                      <w:noProof/>
                      <w:color w:val="000000" w:themeColor="text1"/>
                    </w:rPr>
                    <w:t>Hakemuksen jättäminen</w:t>
                  </w:r>
                </w:p>
              </w:tc>
              <w:tc>
                <w:tcPr>
                  <w:tcW w:w="2184" w:type="dxa"/>
                </w:tcPr>
                <w:p w14:paraId="48297F9D" w14:textId="77777777" w:rsidR="00CE08C2" w:rsidRPr="009D258A" w:rsidRDefault="00CE08C2" w:rsidP="00CE08C2">
                  <w:pPr>
                    <w:jc w:val="left"/>
                    <w:rPr>
                      <w:noProof/>
                    </w:rPr>
                  </w:pPr>
                  <w:r w:rsidRPr="009D258A">
                    <w:rPr>
                      <w:noProof/>
                    </w:rPr>
                    <w:t>Data</w:t>
                  </w:r>
                </w:p>
              </w:tc>
            </w:tr>
            <w:tr w:rsidR="00CE08C2" w:rsidRPr="009D258A" w14:paraId="63920C37" w14:textId="77777777" w:rsidTr="00CB020E">
              <w:trPr>
                <w:trHeight w:val="300"/>
              </w:trPr>
              <w:tc>
                <w:tcPr>
                  <w:tcW w:w="1935" w:type="dxa"/>
                </w:tcPr>
                <w:p w14:paraId="67707767" w14:textId="2BF17E9C" w:rsidR="00CE08C2" w:rsidRPr="009D258A" w:rsidRDefault="00CE08C2" w:rsidP="00CE08C2">
                  <w:pPr>
                    <w:spacing w:line="259" w:lineRule="auto"/>
                    <w:jc w:val="left"/>
                    <w:rPr>
                      <w:noProof/>
                    </w:rPr>
                  </w:pPr>
                  <w:r w:rsidRPr="009D258A">
                    <w:rPr>
                      <w:noProof/>
                    </w:rPr>
                    <w:t>1 artiklan 11 kohta</w:t>
                  </w:r>
                </w:p>
              </w:tc>
              <w:tc>
                <w:tcPr>
                  <w:tcW w:w="4695" w:type="dxa"/>
                </w:tcPr>
                <w:p w14:paraId="60A192A4" w14:textId="77777777" w:rsidR="00CE08C2" w:rsidRPr="009D258A" w:rsidRDefault="00CE08C2" w:rsidP="00CE08C2">
                  <w:pPr>
                    <w:jc w:val="left"/>
                    <w:rPr>
                      <w:noProof/>
                    </w:rPr>
                  </w:pPr>
                  <w:r w:rsidRPr="009D258A">
                    <w:rPr>
                      <w:b/>
                      <w:noProof/>
                    </w:rPr>
                    <w:t>Muutetaan 29 artiklan 4 kohtaa</w:t>
                  </w:r>
                  <w:r w:rsidRPr="009D258A">
                    <w:rPr>
                      <w:noProof/>
                    </w:rPr>
                    <w:t>: Ilmoitettujen laitosten, jotka pyytävät yhdistettyä arviointia, on toimitettava yhdistetty hakemus ilmoittamisesta vastaavalle viranomaiselle. Ilmoitetun laitoksen on päivitettävä dokumentaatio, jos merkityksellisiä muutoksia ilmenee.</w:t>
                  </w:r>
                </w:p>
              </w:tc>
              <w:tc>
                <w:tcPr>
                  <w:tcW w:w="3225" w:type="dxa"/>
                </w:tcPr>
                <w:p w14:paraId="318390D2" w14:textId="77777777" w:rsidR="00CE08C2" w:rsidRPr="009D258A" w:rsidRDefault="00CE08C2" w:rsidP="00CE08C2">
                  <w:pPr>
                    <w:jc w:val="left"/>
                    <w:rPr>
                      <w:noProof/>
                      <w:color w:val="000000" w:themeColor="text1"/>
                    </w:rPr>
                  </w:pPr>
                  <w:r w:rsidRPr="009D258A">
                    <w:rPr>
                      <w:noProof/>
                      <w:color w:val="000000" w:themeColor="text1"/>
                    </w:rPr>
                    <w:t>Ilmoitetut laitokset</w:t>
                  </w:r>
                </w:p>
                <w:p w14:paraId="1F5789B4" w14:textId="77777777" w:rsidR="00CE08C2" w:rsidRPr="009D258A" w:rsidRDefault="00CE08C2" w:rsidP="00CE08C2">
                  <w:pPr>
                    <w:jc w:val="left"/>
                    <w:rPr>
                      <w:noProof/>
                      <w:color w:val="000000" w:themeColor="text1"/>
                    </w:rPr>
                  </w:pPr>
                  <w:r w:rsidRPr="009D258A">
                    <w:rPr>
                      <w:noProof/>
                      <w:color w:val="000000" w:themeColor="text1"/>
                    </w:rPr>
                    <w:t>Ilmoittamisesta vastaava viranomainen</w:t>
                  </w:r>
                </w:p>
              </w:tc>
              <w:tc>
                <w:tcPr>
                  <w:tcW w:w="2131" w:type="dxa"/>
                </w:tcPr>
                <w:p w14:paraId="7C4A87D1" w14:textId="77777777" w:rsidR="00CE08C2" w:rsidRPr="009D258A" w:rsidRDefault="00CE08C2" w:rsidP="00CE08C2">
                  <w:pPr>
                    <w:jc w:val="left"/>
                    <w:rPr>
                      <w:noProof/>
                      <w:color w:val="000000" w:themeColor="text1"/>
                    </w:rPr>
                  </w:pPr>
                  <w:r w:rsidRPr="009D258A">
                    <w:rPr>
                      <w:noProof/>
                      <w:color w:val="000000" w:themeColor="text1"/>
                    </w:rPr>
                    <w:t>Hakemuksen jättäminen</w:t>
                  </w:r>
                </w:p>
              </w:tc>
              <w:tc>
                <w:tcPr>
                  <w:tcW w:w="2184" w:type="dxa"/>
                </w:tcPr>
                <w:p w14:paraId="52495D6D" w14:textId="77777777" w:rsidR="00CE08C2" w:rsidRPr="009D258A" w:rsidRDefault="00CE08C2" w:rsidP="00CE08C2">
                  <w:pPr>
                    <w:jc w:val="left"/>
                    <w:rPr>
                      <w:noProof/>
                    </w:rPr>
                  </w:pPr>
                  <w:r w:rsidRPr="009D258A">
                    <w:rPr>
                      <w:noProof/>
                    </w:rPr>
                    <w:t>Data</w:t>
                  </w:r>
                </w:p>
              </w:tc>
            </w:tr>
            <w:tr w:rsidR="00CE08C2" w:rsidRPr="009D258A" w14:paraId="41D1C42A" w14:textId="77777777" w:rsidTr="00CB020E">
              <w:trPr>
                <w:trHeight w:val="300"/>
              </w:trPr>
              <w:tc>
                <w:tcPr>
                  <w:tcW w:w="1935" w:type="dxa"/>
                </w:tcPr>
                <w:p w14:paraId="74EB9037" w14:textId="25185028" w:rsidR="00CE08C2" w:rsidRPr="009D258A" w:rsidRDefault="00CE08C2" w:rsidP="00CE08C2">
                  <w:pPr>
                    <w:spacing w:line="259" w:lineRule="auto"/>
                    <w:jc w:val="left"/>
                    <w:rPr>
                      <w:noProof/>
                    </w:rPr>
                  </w:pPr>
                  <w:r w:rsidRPr="009D258A">
                    <w:rPr>
                      <w:noProof/>
                    </w:rPr>
                    <w:t>1 artiklan 16 kohta</w:t>
                  </w:r>
                </w:p>
              </w:tc>
              <w:tc>
                <w:tcPr>
                  <w:tcW w:w="4695" w:type="dxa"/>
                </w:tcPr>
                <w:p w14:paraId="0C087FF3" w14:textId="77777777" w:rsidR="00CE08C2" w:rsidRPr="009D258A" w:rsidRDefault="00CE08C2" w:rsidP="00CE08C2">
                  <w:pPr>
                    <w:jc w:val="left"/>
                    <w:rPr>
                      <w:noProof/>
                    </w:rPr>
                  </w:pPr>
                  <w:r w:rsidRPr="009D258A">
                    <w:rPr>
                      <w:b/>
                      <w:noProof/>
                    </w:rPr>
                    <w:t>Muutetaan 56 artiklan 6 kohtaa</w:t>
                  </w:r>
                  <w:r w:rsidRPr="009D258A">
                    <w:rPr>
                      <w:noProof/>
                    </w:rPr>
                    <w:t>: Komission on julkaistava arvionsa käytännesääntöjen riittävyydestä.</w:t>
                  </w:r>
                </w:p>
              </w:tc>
              <w:tc>
                <w:tcPr>
                  <w:tcW w:w="3225" w:type="dxa"/>
                </w:tcPr>
                <w:p w14:paraId="3D214B65" w14:textId="77777777" w:rsidR="00CE08C2" w:rsidRPr="009D258A" w:rsidRDefault="00CE08C2" w:rsidP="00CE08C2">
                  <w:pPr>
                    <w:jc w:val="left"/>
                    <w:rPr>
                      <w:noProof/>
                      <w:color w:val="000000" w:themeColor="text1"/>
                    </w:rPr>
                  </w:pPr>
                  <w:r w:rsidRPr="009D258A">
                    <w:rPr>
                      <w:noProof/>
                      <w:color w:val="000000" w:themeColor="text1"/>
                    </w:rPr>
                    <w:t>Euroopan komissio</w:t>
                  </w:r>
                </w:p>
              </w:tc>
              <w:tc>
                <w:tcPr>
                  <w:tcW w:w="2131" w:type="dxa"/>
                </w:tcPr>
                <w:p w14:paraId="41562B6C" w14:textId="77777777" w:rsidR="00CE08C2" w:rsidRPr="009D258A" w:rsidRDefault="00CE08C2" w:rsidP="00CE08C2">
                  <w:pPr>
                    <w:jc w:val="left"/>
                    <w:rPr>
                      <w:noProof/>
                      <w:color w:val="000000" w:themeColor="text1"/>
                    </w:rPr>
                  </w:pPr>
                  <w:r w:rsidRPr="009D258A">
                    <w:rPr>
                      <w:noProof/>
                      <w:color w:val="000000" w:themeColor="text1"/>
                    </w:rPr>
                    <w:t>Arvion julkaiseminen</w:t>
                  </w:r>
                </w:p>
              </w:tc>
              <w:tc>
                <w:tcPr>
                  <w:tcW w:w="2184" w:type="dxa"/>
                </w:tcPr>
                <w:p w14:paraId="21CC9DE3" w14:textId="77777777" w:rsidR="00CE08C2" w:rsidRPr="009D258A" w:rsidRDefault="00CE08C2" w:rsidP="00CE08C2">
                  <w:pPr>
                    <w:jc w:val="left"/>
                    <w:rPr>
                      <w:noProof/>
                    </w:rPr>
                  </w:pPr>
                  <w:r w:rsidRPr="009D258A">
                    <w:rPr>
                      <w:noProof/>
                    </w:rPr>
                    <w:t>Data</w:t>
                  </w:r>
                </w:p>
              </w:tc>
            </w:tr>
            <w:tr w:rsidR="00CE08C2" w:rsidRPr="009D258A" w14:paraId="0405E6FB" w14:textId="77777777" w:rsidTr="00CB020E">
              <w:trPr>
                <w:trHeight w:val="300"/>
              </w:trPr>
              <w:tc>
                <w:tcPr>
                  <w:tcW w:w="1935" w:type="dxa"/>
                </w:tcPr>
                <w:p w14:paraId="275F49AA" w14:textId="6A930408" w:rsidR="00CE08C2" w:rsidRPr="009D258A" w:rsidRDefault="00CE08C2" w:rsidP="00CE08C2">
                  <w:pPr>
                    <w:spacing w:line="259" w:lineRule="auto"/>
                    <w:jc w:val="left"/>
                    <w:rPr>
                      <w:noProof/>
                    </w:rPr>
                  </w:pPr>
                  <w:r w:rsidRPr="009D258A">
                    <w:rPr>
                      <w:noProof/>
                    </w:rPr>
                    <w:t>1 artiklan 26 kohta</w:t>
                  </w:r>
                </w:p>
              </w:tc>
              <w:tc>
                <w:tcPr>
                  <w:tcW w:w="4695" w:type="dxa"/>
                </w:tcPr>
                <w:p w14:paraId="0D99C066" w14:textId="77777777" w:rsidR="00CE08C2" w:rsidRPr="009D258A" w:rsidRDefault="00CE08C2" w:rsidP="00CE08C2">
                  <w:pPr>
                    <w:jc w:val="left"/>
                    <w:rPr>
                      <w:noProof/>
                    </w:rPr>
                  </w:pPr>
                  <w:r w:rsidRPr="009D258A">
                    <w:rPr>
                      <w:b/>
                      <w:noProof/>
                    </w:rPr>
                    <w:t>Muutetaan 77 artiklaa</w:t>
                  </w:r>
                  <w:r w:rsidRPr="009D258A">
                    <w:rPr>
                      <w:noProof/>
                    </w:rPr>
                    <w:t>:</w:t>
                  </w:r>
                </w:p>
                <w:p w14:paraId="5E76C106" w14:textId="77777777" w:rsidR="00CE08C2" w:rsidRPr="009D258A" w:rsidRDefault="00CE08C2" w:rsidP="00BC675E">
                  <w:pPr>
                    <w:pStyle w:val="ListParagraph"/>
                    <w:numPr>
                      <w:ilvl w:val="0"/>
                      <w:numId w:val="17"/>
                    </w:numPr>
                    <w:jc w:val="left"/>
                    <w:rPr>
                      <w:noProof/>
                    </w:rPr>
                  </w:pPr>
                  <w:r w:rsidRPr="009D258A">
                    <w:rPr>
                      <w:b/>
                      <w:noProof/>
                    </w:rPr>
                    <w:t>1 kohta</w:t>
                  </w:r>
                  <w:r w:rsidRPr="009D258A">
                    <w:rPr>
                      <w:noProof/>
                    </w:rPr>
                    <w:t>: kansalliset viranomaiset/elimet, jotka valvovat tai panevat täytäntöön perusoikeuksien suojelua koskevan EU:n oikeuden mukaisia velvoitteita, voivat esittää perustellun pyynnön ja saada käyttöönsä asianomaiselta markkinavalvontaviranomaiselta informaatiota/dokumentaatiota.</w:t>
                  </w:r>
                </w:p>
                <w:p w14:paraId="0CD7F752" w14:textId="77777777" w:rsidR="00CE08C2" w:rsidRPr="009D258A" w:rsidRDefault="00CE08C2" w:rsidP="00BC675E">
                  <w:pPr>
                    <w:pStyle w:val="ListParagraph"/>
                    <w:numPr>
                      <w:ilvl w:val="0"/>
                      <w:numId w:val="17"/>
                    </w:numPr>
                    <w:jc w:val="left"/>
                    <w:rPr>
                      <w:noProof/>
                    </w:rPr>
                  </w:pPr>
                  <w:r w:rsidRPr="009D258A">
                    <w:rPr>
                      <w:b/>
                      <w:noProof/>
                    </w:rPr>
                    <w:t>1 a kohta</w:t>
                  </w:r>
                  <w:r w:rsidRPr="009D258A">
                    <w:rPr>
                      <w:noProof/>
                    </w:rPr>
                    <w:t>: markkinavalvontaviranomaisen on annettava mahdollisuus tutustua tietoihin ja tarvittaessa pyydettävä tiedot tarjoajalta/käyttöönottajalta</w:t>
                  </w:r>
                </w:p>
                <w:p w14:paraId="5437CD18" w14:textId="77777777" w:rsidR="00CE08C2" w:rsidRPr="009D258A" w:rsidRDefault="00CE08C2" w:rsidP="00BC675E">
                  <w:pPr>
                    <w:pStyle w:val="ListParagraph"/>
                    <w:numPr>
                      <w:ilvl w:val="0"/>
                      <w:numId w:val="17"/>
                    </w:numPr>
                    <w:jc w:val="left"/>
                    <w:rPr>
                      <w:noProof/>
                    </w:rPr>
                  </w:pPr>
                  <w:r w:rsidRPr="009D258A">
                    <w:rPr>
                      <w:b/>
                      <w:noProof/>
                    </w:rPr>
                    <w:t>1 b kohta</w:t>
                  </w:r>
                  <w:r w:rsidRPr="009D258A">
                    <w:rPr>
                      <w:noProof/>
                    </w:rPr>
                    <w:t>: edellä mainittujen markkinavalvontaviranomaisten ja muiden viranomaisten/elinten on tarvittaessa vaihdettava tietoja.</w:t>
                  </w:r>
                </w:p>
              </w:tc>
              <w:tc>
                <w:tcPr>
                  <w:tcW w:w="3225" w:type="dxa"/>
                </w:tcPr>
                <w:p w14:paraId="7BC3F66B" w14:textId="77777777" w:rsidR="00CE08C2" w:rsidRPr="009D258A" w:rsidRDefault="00CE08C2" w:rsidP="00CE08C2">
                  <w:pPr>
                    <w:jc w:val="left"/>
                    <w:rPr>
                      <w:noProof/>
                      <w:color w:val="000000" w:themeColor="text1"/>
                    </w:rPr>
                  </w:pPr>
                  <w:r w:rsidRPr="009D258A">
                    <w:rPr>
                      <w:noProof/>
                      <w:color w:val="000000" w:themeColor="text1"/>
                    </w:rPr>
                    <w:t>Kansalliset viranomaiset/elimet, jotka valvovat/panevat täytäntöön perusoikeuksia suojelevia EU:n oikeuden mukaisia velvoitteita</w:t>
                  </w:r>
                </w:p>
                <w:p w14:paraId="27D16BDF" w14:textId="77777777" w:rsidR="00CE08C2" w:rsidRPr="009D258A" w:rsidRDefault="00CE08C2" w:rsidP="00CE08C2">
                  <w:pPr>
                    <w:jc w:val="left"/>
                    <w:rPr>
                      <w:noProof/>
                      <w:color w:val="000000" w:themeColor="text1"/>
                    </w:rPr>
                  </w:pPr>
                  <w:r w:rsidRPr="009D258A">
                    <w:rPr>
                      <w:noProof/>
                      <w:color w:val="000000" w:themeColor="text1"/>
                    </w:rPr>
                    <w:t>Markkinavalvontaviranomaiset</w:t>
                  </w:r>
                </w:p>
                <w:p w14:paraId="28240D60" w14:textId="77777777" w:rsidR="00CE08C2" w:rsidRPr="009D258A" w:rsidRDefault="00CE08C2" w:rsidP="00CE08C2">
                  <w:pPr>
                    <w:jc w:val="left"/>
                    <w:rPr>
                      <w:noProof/>
                      <w:color w:val="000000" w:themeColor="text1"/>
                    </w:rPr>
                  </w:pPr>
                  <w:r w:rsidRPr="009D258A">
                    <w:rPr>
                      <w:noProof/>
                      <w:color w:val="000000" w:themeColor="text1"/>
                    </w:rPr>
                    <w:t>Tekoälyjärjestelmien tarjoajat/käyttöönottajat</w:t>
                  </w:r>
                </w:p>
                <w:p w14:paraId="0A21DAAB" w14:textId="77777777" w:rsidR="00CE08C2" w:rsidRPr="009D258A" w:rsidRDefault="00CE08C2" w:rsidP="00CE08C2">
                  <w:pPr>
                    <w:jc w:val="left"/>
                    <w:rPr>
                      <w:noProof/>
                      <w:color w:val="000000" w:themeColor="text1"/>
                    </w:rPr>
                  </w:pPr>
                </w:p>
              </w:tc>
              <w:tc>
                <w:tcPr>
                  <w:tcW w:w="2131" w:type="dxa"/>
                </w:tcPr>
                <w:p w14:paraId="4FCE8DD7" w14:textId="77777777" w:rsidR="00CE08C2" w:rsidRPr="009D258A" w:rsidRDefault="00CE08C2" w:rsidP="00CE08C2">
                  <w:pPr>
                    <w:jc w:val="left"/>
                    <w:rPr>
                      <w:noProof/>
                      <w:color w:val="000000" w:themeColor="text1"/>
                    </w:rPr>
                  </w:pPr>
                  <w:r w:rsidRPr="009D258A">
                    <w:rPr>
                      <w:noProof/>
                      <w:color w:val="000000" w:themeColor="text1"/>
                    </w:rPr>
                    <w:t>Tiedonvaihto</w:t>
                  </w:r>
                </w:p>
              </w:tc>
              <w:tc>
                <w:tcPr>
                  <w:tcW w:w="2184" w:type="dxa"/>
                </w:tcPr>
                <w:p w14:paraId="42244207" w14:textId="77777777" w:rsidR="00CE08C2" w:rsidRPr="009D258A" w:rsidRDefault="00CE08C2" w:rsidP="00CE08C2">
                  <w:pPr>
                    <w:jc w:val="left"/>
                    <w:rPr>
                      <w:noProof/>
                    </w:rPr>
                  </w:pPr>
                  <w:r w:rsidRPr="009D258A">
                    <w:rPr>
                      <w:noProof/>
                    </w:rPr>
                    <w:t>Data</w:t>
                  </w:r>
                </w:p>
              </w:tc>
            </w:tr>
          </w:tbl>
          <w:p w14:paraId="717AD5E4" w14:textId="77777777" w:rsidR="00CE08C2" w:rsidRPr="009D258A" w:rsidRDefault="00CE08C2" w:rsidP="00CE08C2">
            <w:pPr>
              <w:rPr>
                <w:b/>
                <w:bCs/>
                <w:noProof/>
              </w:rPr>
            </w:pPr>
          </w:p>
          <w:p w14:paraId="106C7A33" w14:textId="77777777" w:rsidR="009C3EE2" w:rsidRPr="009D258A" w:rsidRDefault="009C3EE2" w:rsidP="00CE08C2">
            <w:pPr>
              <w:rPr>
                <w:noProof/>
                <w:color w:val="0000FF"/>
              </w:rPr>
            </w:pPr>
          </w:p>
        </w:tc>
      </w:tr>
    </w:tbl>
    <w:p w14:paraId="7AF4D50B" w14:textId="77777777" w:rsidR="009C3EE2" w:rsidRPr="009D258A" w:rsidRDefault="009C3EE2" w:rsidP="0002735A">
      <w:pPr>
        <w:pStyle w:val="ManualHeading2"/>
        <w:rPr>
          <w:noProof/>
        </w:rPr>
      </w:pPr>
      <w:r w:rsidRPr="009D258A">
        <w:rPr>
          <w:noProof/>
        </w:rPr>
        <w:t>4.2.</w:t>
      </w:r>
      <w:r w:rsidRPr="009D258A">
        <w:rPr>
          <w:noProof/>
        </w:rPr>
        <w:tab/>
        <w:t>Data</w:t>
      </w:r>
    </w:p>
    <w:tbl>
      <w:tblPr>
        <w:tblStyle w:val="TableGrid"/>
        <w:tblW w:w="0" w:type="auto"/>
        <w:tblLook w:val="04A0" w:firstRow="1" w:lastRow="0" w:firstColumn="1" w:lastColumn="0" w:noHBand="0" w:noVBand="1"/>
      </w:tblPr>
      <w:tblGrid>
        <w:gridCol w:w="14787"/>
      </w:tblGrid>
      <w:tr w:rsidR="009C3EE2" w:rsidRPr="009D258A" w14:paraId="029019C1" w14:textId="77777777" w:rsidTr="00A037B4">
        <w:tc>
          <w:tcPr>
            <w:tcW w:w="14466" w:type="dxa"/>
          </w:tcPr>
          <w:p w14:paraId="1D9E1164" w14:textId="77777777" w:rsidR="00AD6026" w:rsidRPr="009D258A" w:rsidRDefault="00AD6026" w:rsidP="00AD6026">
            <w:pPr>
              <w:rPr>
                <w:i/>
                <w:iCs/>
                <w:noProof/>
              </w:rPr>
            </w:pPr>
            <w:r w:rsidRPr="009D258A">
              <w:rPr>
                <w:i/>
                <w:noProof/>
              </w:rPr>
              <w:t>Ylätason kuvaus soveltamisalaan kuuluvasta datasta</w:t>
            </w:r>
          </w:p>
          <w:tbl>
            <w:tblPr>
              <w:tblStyle w:val="TableGrid"/>
              <w:tblW w:w="1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686"/>
              <w:gridCol w:w="5324"/>
            </w:tblGrid>
            <w:tr w:rsidR="00AD6026" w:rsidRPr="009D258A" w14:paraId="33DC6EB9" w14:textId="77777777" w:rsidTr="00A037B4">
              <w:tc>
                <w:tcPr>
                  <w:tcW w:w="5240" w:type="dxa"/>
                </w:tcPr>
                <w:p w14:paraId="540DEFAF" w14:textId="77777777" w:rsidR="00AD6026" w:rsidRPr="009D258A" w:rsidRDefault="00AD6026" w:rsidP="00AD6026">
                  <w:pPr>
                    <w:jc w:val="left"/>
                    <w:rPr>
                      <w:b/>
                      <w:bCs/>
                      <w:noProof/>
                    </w:rPr>
                  </w:pPr>
                  <w:r w:rsidRPr="009D258A">
                    <w:rPr>
                      <w:b/>
                      <w:noProof/>
                    </w:rPr>
                    <w:t xml:space="preserve">Datan/tiedon tyyppi </w:t>
                  </w:r>
                </w:p>
              </w:tc>
              <w:tc>
                <w:tcPr>
                  <w:tcW w:w="3686" w:type="dxa"/>
                </w:tcPr>
                <w:p w14:paraId="35B0FBEB" w14:textId="77777777" w:rsidR="00AD6026" w:rsidRPr="009D258A" w:rsidRDefault="00AD6026" w:rsidP="00AD6026">
                  <w:pPr>
                    <w:jc w:val="left"/>
                    <w:rPr>
                      <w:b/>
                      <w:bCs/>
                      <w:noProof/>
                    </w:rPr>
                  </w:pPr>
                  <w:r w:rsidRPr="009D258A">
                    <w:rPr>
                      <w:b/>
                      <w:noProof/>
                    </w:rPr>
                    <w:t>Viittaus vaatimukseen</w:t>
                  </w:r>
                </w:p>
              </w:tc>
              <w:tc>
                <w:tcPr>
                  <w:tcW w:w="5324" w:type="dxa"/>
                </w:tcPr>
                <w:p w14:paraId="61BD3D10" w14:textId="77777777" w:rsidR="00AD6026" w:rsidRPr="009D258A" w:rsidRDefault="00AD6026" w:rsidP="00AD6026">
                  <w:pPr>
                    <w:jc w:val="left"/>
                    <w:rPr>
                      <w:b/>
                      <w:bCs/>
                      <w:noProof/>
                    </w:rPr>
                  </w:pPr>
                  <w:r w:rsidRPr="009D258A">
                    <w:rPr>
                      <w:b/>
                      <w:noProof/>
                    </w:rPr>
                    <w:t>Standardi ja/tai eritelmä (tapauksen mukaan)</w:t>
                  </w:r>
                </w:p>
              </w:tc>
            </w:tr>
            <w:tr w:rsidR="00AD6026" w:rsidRPr="009D258A" w14:paraId="4EA514EE" w14:textId="77777777" w:rsidTr="00A037B4">
              <w:tc>
                <w:tcPr>
                  <w:tcW w:w="5240" w:type="dxa"/>
                </w:tcPr>
                <w:p w14:paraId="2A9075DE" w14:textId="77777777" w:rsidR="00AD6026" w:rsidRPr="009D258A" w:rsidRDefault="00AD6026" w:rsidP="00AD6026">
                  <w:pPr>
                    <w:jc w:val="left"/>
                    <w:rPr>
                      <w:noProof/>
                    </w:rPr>
                  </w:pPr>
                  <w:r w:rsidRPr="009D258A">
                    <w:rPr>
                      <w:noProof/>
                    </w:rPr>
                    <w:t>Erityiset henkilötietoryhmät (jos käsittely on tarpeen vinoutumien havaitsemiseksi/korjaamiseksi)</w:t>
                  </w:r>
                </w:p>
              </w:tc>
              <w:tc>
                <w:tcPr>
                  <w:tcW w:w="3686" w:type="dxa"/>
                </w:tcPr>
                <w:p w14:paraId="03068425" w14:textId="250E8D2F" w:rsidR="00AD6026" w:rsidRPr="009D258A" w:rsidRDefault="00AD6026" w:rsidP="00AD6026">
                  <w:pPr>
                    <w:jc w:val="left"/>
                    <w:rPr>
                      <w:noProof/>
                    </w:rPr>
                  </w:pPr>
                  <w:r w:rsidRPr="009D258A">
                    <w:rPr>
                      <w:noProof/>
                    </w:rPr>
                    <w:t>1 artiklan 5 kohta</w:t>
                  </w:r>
                </w:p>
              </w:tc>
              <w:tc>
                <w:tcPr>
                  <w:tcW w:w="5324" w:type="dxa"/>
                </w:tcPr>
                <w:p w14:paraId="2C081F4A" w14:textId="77777777" w:rsidR="00AD6026" w:rsidRPr="009D258A" w:rsidRDefault="00AD6026" w:rsidP="00AD6026">
                  <w:pPr>
                    <w:jc w:val="left"/>
                    <w:rPr>
                      <w:noProof/>
                    </w:rPr>
                  </w:pPr>
                  <w:r w:rsidRPr="009D258A">
                    <w:rPr>
                      <w:noProof/>
                    </w:rPr>
                    <w:t>//</w:t>
                  </w:r>
                </w:p>
              </w:tc>
            </w:tr>
            <w:tr w:rsidR="00AD6026" w:rsidRPr="009D258A" w14:paraId="48ED6153" w14:textId="77777777" w:rsidTr="00A037B4">
              <w:tc>
                <w:tcPr>
                  <w:tcW w:w="5240" w:type="dxa"/>
                </w:tcPr>
                <w:p w14:paraId="2E20BE09" w14:textId="77777777" w:rsidR="00AD6026" w:rsidRPr="009D258A" w:rsidRDefault="00AD6026" w:rsidP="00AD6026">
                  <w:pPr>
                    <w:spacing w:line="259" w:lineRule="auto"/>
                    <w:jc w:val="left"/>
                    <w:rPr>
                      <w:noProof/>
                    </w:rPr>
                  </w:pPr>
                  <w:r w:rsidRPr="009D258A">
                    <w:rPr>
                      <w:noProof/>
                    </w:rPr>
                    <w:t>Suuririskisten tekoälyjärjestelmien tekninen dokumentaatio</w:t>
                  </w:r>
                </w:p>
              </w:tc>
              <w:tc>
                <w:tcPr>
                  <w:tcW w:w="3686" w:type="dxa"/>
                </w:tcPr>
                <w:p w14:paraId="3927355D" w14:textId="3A4B1B97" w:rsidR="00AD6026" w:rsidRPr="009D258A" w:rsidRDefault="00AD6026" w:rsidP="00AD6026">
                  <w:pPr>
                    <w:spacing w:line="259" w:lineRule="auto"/>
                    <w:jc w:val="left"/>
                    <w:rPr>
                      <w:noProof/>
                    </w:rPr>
                  </w:pPr>
                  <w:r w:rsidRPr="009D258A">
                    <w:rPr>
                      <w:noProof/>
                      <w:color w:val="000000" w:themeColor="text1"/>
                    </w:rPr>
                    <w:t>1 artiklan 8 kohta</w:t>
                  </w:r>
                </w:p>
              </w:tc>
              <w:tc>
                <w:tcPr>
                  <w:tcW w:w="5324" w:type="dxa"/>
                </w:tcPr>
                <w:p w14:paraId="3036FF50" w14:textId="77777777" w:rsidR="00AD6026" w:rsidRPr="009D258A" w:rsidRDefault="00AD6026" w:rsidP="00AD6026">
                  <w:pPr>
                    <w:jc w:val="left"/>
                    <w:rPr>
                      <w:noProof/>
                    </w:rPr>
                  </w:pPr>
                  <w:r w:rsidRPr="009D258A">
                    <w:rPr>
                      <w:noProof/>
                    </w:rPr>
                    <w:t xml:space="preserve">Teknisen dokumentaation on sisällettävä vähintään tekoälysäädöksen liitteessä IV tarkoitetut tietoelementit. Komissio laatii yksinkertaistetun teknisen dokumentaatiolomakkeen, joka on suunnattu pienten midcap-yritysten ja pk-yritysten tarpeisiin.   </w:t>
                  </w:r>
                </w:p>
              </w:tc>
            </w:tr>
            <w:tr w:rsidR="00AD6026" w:rsidRPr="009D258A" w14:paraId="108CD443" w14:textId="77777777" w:rsidTr="00A037B4">
              <w:trPr>
                <w:trHeight w:val="300"/>
              </w:trPr>
              <w:tc>
                <w:tcPr>
                  <w:tcW w:w="5240" w:type="dxa"/>
                </w:tcPr>
                <w:p w14:paraId="55BB8F02" w14:textId="77777777" w:rsidR="00AD6026" w:rsidRPr="009D258A" w:rsidRDefault="00AD6026" w:rsidP="00AD6026">
                  <w:pPr>
                    <w:spacing w:line="259" w:lineRule="auto"/>
                    <w:jc w:val="left"/>
                    <w:rPr>
                      <w:noProof/>
                    </w:rPr>
                  </w:pPr>
                  <w:r w:rsidRPr="009D258A">
                    <w:rPr>
                      <w:noProof/>
                    </w:rPr>
                    <w:t>Vaatimustenmukaisuuden arviointilaitosten nimeämishakemukset</w:t>
                  </w:r>
                </w:p>
              </w:tc>
              <w:tc>
                <w:tcPr>
                  <w:tcW w:w="3686" w:type="dxa"/>
                </w:tcPr>
                <w:p w14:paraId="176A221C" w14:textId="6E6E4FB0" w:rsidR="00AD6026" w:rsidRPr="009D258A" w:rsidRDefault="00AD6026" w:rsidP="00AD6026">
                  <w:pPr>
                    <w:spacing w:line="259" w:lineRule="auto"/>
                    <w:jc w:val="left"/>
                    <w:rPr>
                      <w:noProof/>
                      <w:color w:val="000000" w:themeColor="text1"/>
                    </w:rPr>
                  </w:pPr>
                  <w:r w:rsidRPr="009D258A">
                    <w:rPr>
                      <w:noProof/>
                      <w:color w:val="000000" w:themeColor="text1"/>
                    </w:rPr>
                    <w:t>1 artiklan 10 kohta</w:t>
                  </w:r>
                </w:p>
              </w:tc>
              <w:tc>
                <w:tcPr>
                  <w:tcW w:w="5324" w:type="dxa"/>
                </w:tcPr>
                <w:p w14:paraId="5DAB529A" w14:textId="77777777" w:rsidR="00AD6026" w:rsidRPr="009D258A" w:rsidRDefault="00AD6026" w:rsidP="00AD6026">
                  <w:pPr>
                    <w:jc w:val="left"/>
                    <w:rPr>
                      <w:noProof/>
                    </w:rPr>
                  </w:pPr>
                  <w:r w:rsidRPr="009D258A">
                    <w:rPr>
                      <w:noProof/>
                    </w:rPr>
                    <w:t>//</w:t>
                  </w:r>
                </w:p>
              </w:tc>
            </w:tr>
            <w:tr w:rsidR="00AD6026" w:rsidRPr="009D258A" w14:paraId="4D87E903" w14:textId="77777777" w:rsidTr="00A037B4">
              <w:trPr>
                <w:trHeight w:val="300"/>
              </w:trPr>
              <w:tc>
                <w:tcPr>
                  <w:tcW w:w="5240" w:type="dxa"/>
                </w:tcPr>
                <w:p w14:paraId="05B7BA8D" w14:textId="77777777" w:rsidR="00AD6026" w:rsidRPr="009D258A" w:rsidRDefault="00AD6026" w:rsidP="00AD6026">
                  <w:pPr>
                    <w:spacing w:line="259" w:lineRule="auto"/>
                    <w:jc w:val="left"/>
                    <w:rPr>
                      <w:noProof/>
                    </w:rPr>
                  </w:pPr>
                  <w:r w:rsidRPr="009D258A">
                    <w:rPr>
                      <w:noProof/>
                    </w:rPr>
                    <w:t>Vaatimustenmukaisuuden arviointilaitoksen ilmoittamista koskevat hakemukset</w:t>
                  </w:r>
                </w:p>
              </w:tc>
              <w:tc>
                <w:tcPr>
                  <w:tcW w:w="3686" w:type="dxa"/>
                </w:tcPr>
                <w:p w14:paraId="747C6D24" w14:textId="62A3EB08" w:rsidR="00AD6026" w:rsidRPr="009D258A" w:rsidRDefault="00AD6026" w:rsidP="00AD6026">
                  <w:pPr>
                    <w:spacing w:line="259" w:lineRule="auto"/>
                    <w:jc w:val="left"/>
                    <w:rPr>
                      <w:noProof/>
                      <w:color w:val="000000" w:themeColor="text1"/>
                    </w:rPr>
                  </w:pPr>
                  <w:r w:rsidRPr="009D258A">
                    <w:rPr>
                      <w:noProof/>
                      <w:color w:val="000000" w:themeColor="text1"/>
                    </w:rPr>
                    <w:t>1 artiklan 11 kohta</w:t>
                  </w:r>
                </w:p>
              </w:tc>
              <w:tc>
                <w:tcPr>
                  <w:tcW w:w="5324" w:type="dxa"/>
                </w:tcPr>
                <w:p w14:paraId="6473E793" w14:textId="77777777" w:rsidR="00AD6026" w:rsidRPr="009D258A" w:rsidRDefault="00AD6026" w:rsidP="00AD6026">
                  <w:pPr>
                    <w:jc w:val="left"/>
                    <w:rPr>
                      <w:noProof/>
                    </w:rPr>
                  </w:pPr>
                  <w:r w:rsidRPr="009D258A">
                    <w:rPr>
                      <w:noProof/>
                    </w:rPr>
                    <w:t>Ilmoitetun laitoksen on päivitettävä asiaankuuluva dokumentaatio aina, kun merkityksellisiä muutoksia esiintyy.</w:t>
                  </w:r>
                </w:p>
              </w:tc>
            </w:tr>
            <w:tr w:rsidR="00AD6026" w:rsidRPr="009D258A" w14:paraId="22B733EE" w14:textId="77777777" w:rsidTr="00A037B4">
              <w:trPr>
                <w:trHeight w:val="300"/>
              </w:trPr>
              <w:tc>
                <w:tcPr>
                  <w:tcW w:w="5240" w:type="dxa"/>
                </w:tcPr>
                <w:p w14:paraId="75E3383C" w14:textId="77777777" w:rsidR="00AD6026" w:rsidRPr="009D258A" w:rsidRDefault="00AD6026" w:rsidP="00AD6026">
                  <w:pPr>
                    <w:spacing w:line="259" w:lineRule="auto"/>
                    <w:jc w:val="left"/>
                    <w:rPr>
                      <w:noProof/>
                    </w:rPr>
                  </w:pPr>
                  <w:r w:rsidRPr="009D258A">
                    <w:rPr>
                      <w:noProof/>
                    </w:rPr>
                    <w:t>Komission arvion käytännesääntöjen riittävyydestä</w:t>
                  </w:r>
                </w:p>
              </w:tc>
              <w:tc>
                <w:tcPr>
                  <w:tcW w:w="3686" w:type="dxa"/>
                </w:tcPr>
                <w:p w14:paraId="28F14FB5" w14:textId="6FE1217A" w:rsidR="00AD6026" w:rsidRPr="009D258A" w:rsidRDefault="00AD6026" w:rsidP="00AD6026">
                  <w:pPr>
                    <w:spacing w:line="259" w:lineRule="auto"/>
                    <w:jc w:val="left"/>
                    <w:rPr>
                      <w:noProof/>
                      <w:color w:val="000000" w:themeColor="text1"/>
                    </w:rPr>
                  </w:pPr>
                  <w:r w:rsidRPr="009D258A">
                    <w:rPr>
                      <w:noProof/>
                      <w:color w:val="000000" w:themeColor="text1"/>
                    </w:rPr>
                    <w:t>1 artiklan 16 kohta</w:t>
                  </w:r>
                </w:p>
              </w:tc>
              <w:tc>
                <w:tcPr>
                  <w:tcW w:w="5324" w:type="dxa"/>
                </w:tcPr>
                <w:p w14:paraId="4C8B9A9C" w14:textId="77777777" w:rsidR="00AD6026" w:rsidRPr="009D258A" w:rsidRDefault="00AD6026" w:rsidP="00AD6026">
                  <w:pPr>
                    <w:jc w:val="left"/>
                    <w:rPr>
                      <w:noProof/>
                    </w:rPr>
                  </w:pPr>
                  <w:r w:rsidRPr="009D258A">
                    <w:rPr>
                      <w:noProof/>
                    </w:rPr>
                    <w:t>//</w:t>
                  </w:r>
                </w:p>
              </w:tc>
            </w:tr>
            <w:tr w:rsidR="00AD6026" w:rsidRPr="009D258A" w14:paraId="54DBA42D" w14:textId="77777777" w:rsidTr="00A037B4">
              <w:trPr>
                <w:trHeight w:val="300"/>
              </w:trPr>
              <w:tc>
                <w:tcPr>
                  <w:tcW w:w="5240" w:type="dxa"/>
                </w:tcPr>
                <w:p w14:paraId="69500275" w14:textId="38746868" w:rsidR="00AD6026" w:rsidRPr="009D258A" w:rsidRDefault="00F5098F" w:rsidP="00AD6026">
                  <w:pPr>
                    <w:spacing w:line="259" w:lineRule="auto"/>
                    <w:jc w:val="left"/>
                    <w:rPr>
                      <w:noProof/>
                    </w:rPr>
                  </w:pPr>
                  <w:r w:rsidRPr="009D258A">
                    <w:rPr>
                      <w:noProof/>
                    </w:rPr>
                    <w:t>Pyyntö saada tutustua tekoälyjärjestelmiä koskeviin tietoihin</w:t>
                  </w:r>
                </w:p>
              </w:tc>
              <w:tc>
                <w:tcPr>
                  <w:tcW w:w="3686" w:type="dxa"/>
                </w:tcPr>
                <w:p w14:paraId="3D7B29E8" w14:textId="56153851" w:rsidR="00AD6026" w:rsidRPr="009D258A" w:rsidRDefault="00AD6026" w:rsidP="00AD6026">
                  <w:pPr>
                    <w:spacing w:line="259" w:lineRule="auto"/>
                    <w:jc w:val="left"/>
                    <w:rPr>
                      <w:noProof/>
                      <w:color w:val="000000" w:themeColor="text1"/>
                    </w:rPr>
                  </w:pPr>
                  <w:r w:rsidRPr="009D258A">
                    <w:rPr>
                      <w:noProof/>
                      <w:color w:val="000000" w:themeColor="text1"/>
                    </w:rPr>
                    <w:t>1 artiklan 26 kohta</w:t>
                  </w:r>
                </w:p>
              </w:tc>
              <w:tc>
                <w:tcPr>
                  <w:tcW w:w="5324" w:type="dxa"/>
                </w:tcPr>
                <w:p w14:paraId="3903763C" w14:textId="77777777" w:rsidR="00AD6026" w:rsidRPr="009D258A" w:rsidRDefault="00AD6026" w:rsidP="00AD6026">
                  <w:pPr>
                    <w:jc w:val="left"/>
                    <w:rPr>
                      <w:noProof/>
                    </w:rPr>
                  </w:pPr>
                  <w:r w:rsidRPr="009D258A">
                    <w:rPr>
                      <w:noProof/>
                    </w:rPr>
                    <w:t>//</w:t>
                  </w:r>
                </w:p>
              </w:tc>
            </w:tr>
            <w:tr w:rsidR="00AD6026" w:rsidRPr="009D258A" w14:paraId="134428CD" w14:textId="77777777" w:rsidTr="00A037B4">
              <w:trPr>
                <w:trHeight w:val="300"/>
              </w:trPr>
              <w:tc>
                <w:tcPr>
                  <w:tcW w:w="5240" w:type="dxa"/>
                </w:tcPr>
                <w:p w14:paraId="09363E06" w14:textId="77777777" w:rsidR="00AD6026" w:rsidRPr="009D258A" w:rsidRDefault="00AD6026" w:rsidP="00AD6026">
                  <w:pPr>
                    <w:spacing w:line="259" w:lineRule="auto"/>
                    <w:jc w:val="left"/>
                    <w:rPr>
                      <w:noProof/>
                    </w:rPr>
                  </w:pPr>
                  <w:r w:rsidRPr="009D258A">
                    <w:rPr>
                      <w:noProof/>
                    </w:rPr>
                    <w:t>Perusoikeuksiin liittyvien velvoitteiden valvonnasta/täytäntöönpanosta vastaavien kansallisten viranomaisten/elinten pyytämä informaatio tai dokumentaatio</w:t>
                  </w:r>
                </w:p>
              </w:tc>
              <w:tc>
                <w:tcPr>
                  <w:tcW w:w="3686" w:type="dxa"/>
                </w:tcPr>
                <w:p w14:paraId="00F62055" w14:textId="35B095B9" w:rsidR="00AD6026" w:rsidRPr="009D258A" w:rsidRDefault="00AD6026" w:rsidP="00AD6026">
                  <w:pPr>
                    <w:spacing w:line="259" w:lineRule="auto"/>
                    <w:jc w:val="left"/>
                    <w:rPr>
                      <w:noProof/>
                      <w:color w:val="000000" w:themeColor="text1"/>
                    </w:rPr>
                  </w:pPr>
                  <w:r w:rsidRPr="009D258A">
                    <w:rPr>
                      <w:noProof/>
                      <w:color w:val="000000" w:themeColor="text1"/>
                    </w:rPr>
                    <w:t>1 artiklan 26 kohta</w:t>
                  </w:r>
                </w:p>
              </w:tc>
              <w:tc>
                <w:tcPr>
                  <w:tcW w:w="5324" w:type="dxa"/>
                </w:tcPr>
                <w:p w14:paraId="7D432089" w14:textId="77777777" w:rsidR="00AD6026" w:rsidRPr="009D258A" w:rsidRDefault="00AD6026" w:rsidP="00AD6026">
                  <w:pPr>
                    <w:jc w:val="left"/>
                    <w:rPr>
                      <w:noProof/>
                    </w:rPr>
                  </w:pPr>
                  <w:r w:rsidRPr="009D258A">
                    <w:rPr>
                      <w:noProof/>
                    </w:rPr>
                    <w:t>Toimitettava saavutettavalla kielellä ja saavutettavassa muodossa.</w:t>
                  </w:r>
                </w:p>
              </w:tc>
            </w:tr>
          </w:tbl>
          <w:p w14:paraId="63EB9739" w14:textId="77777777" w:rsidR="00AD6026" w:rsidRPr="009D258A" w:rsidRDefault="00AD6026" w:rsidP="00AD6026">
            <w:pPr>
              <w:rPr>
                <w:noProof/>
              </w:rPr>
            </w:pPr>
          </w:p>
          <w:p w14:paraId="60154923" w14:textId="77777777" w:rsidR="00AD6026" w:rsidRPr="009D258A" w:rsidRDefault="00AD6026" w:rsidP="00AD6026">
            <w:pPr>
              <w:rPr>
                <w:b/>
                <w:bCs/>
                <w:noProof/>
              </w:rPr>
            </w:pPr>
            <w:r w:rsidRPr="009D258A">
              <w:rPr>
                <w:b/>
                <w:noProof/>
              </w:rPr>
              <w:t>Yhdenmukaistaminen Euroopan datastrategian kanssa</w:t>
            </w:r>
          </w:p>
          <w:p w14:paraId="2BA39EFB" w14:textId="77777777" w:rsidR="00AD6026" w:rsidRPr="009D258A" w:rsidRDefault="00AD6026" w:rsidP="00AD6026">
            <w:pPr>
              <w:rPr>
                <w:i/>
                <w:iCs/>
                <w:noProof/>
              </w:rPr>
            </w:pPr>
            <w:r w:rsidRPr="009D258A">
              <w:rPr>
                <w:i/>
                <w:noProof/>
              </w:rPr>
              <w:t>Selvitys siitä, miten vaatimukset on sovitettu yhteen Euroopan datastrategian kanssa</w:t>
            </w:r>
          </w:p>
          <w:tbl>
            <w:tblPr>
              <w:tblStyle w:val="TableGrid"/>
              <w:tblW w:w="0" w:type="auto"/>
              <w:tblLook w:val="04A0" w:firstRow="1" w:lastRow="0" w:firstColumn="1" w:lastColumn="0" w:noHBand="0" w:noVBand="1"/>
            </w:tblPr>
            <w:tblGrid>
              <w:gridCol w:w="13994"/>
            </w:tblGrid>
            <w:tr w:rsidR="00AD6026" w:rsidRPr="009D258A" w14:paraId="66C8F349" w14:textId="77777777" w:rsidTr="00835FFC">
              <w:tc>
                <w:tcPr>
                  <w:tcW w:w="13994" w:type="dxa"/>
                </w:tcPr>
                <w:p w14:paraId="3F16BFCD" w14:textId="77777777" w:rsidR="00AD6026" w:rsidRPr="009D258A" w:rsidRDefault="00AD6026" w:rsidP="00AD6026">
                  <w:pPr>
                    <w:jc w:val="left"/>
                    <w:rPr>
                      <w:noProof/>
                    </w:rPr>
                  </w:pPr>
                  <w:r w:rsidRPr="009D258A">
                    <w:rPr>
                      <w:noProof/>
                    </w:rPr>
                    <w:t>Ehdotuksen 1 artiklan 4 kohdassa säädetään, että erityisten henkilötietoryhmien käsittelyyn sovelletaan luonnollisten henkilöiden perusoikeuksia ja -vapauksia koskevia asianmukaisia suojatoimia. Tämä on linjassa asetusten (EU) 2016/679 (yleinen tietosuoja-asetus) ja (EU) 2018/1725 (EU:n tietosuoja-asetus) kanssa.</w:t>
                  </w:r>
                </w:p>
              </w:tc>
            </w:tr>
          </w:tbl>
          <w:p w14:paraId="462A333A" w14:textId="77777777" w:rsidR="00AD6026" w:rsidRPr="009D258A" w:rsidRDefault="00AD6026" w:rsidP="00AD6026">
            <w:pPr>
              <w:rPr>
                <w:b/>
                <w:bCs/>
                <w:noProof/>
              </w:rPr>
            </w:pPr>
            <w:r w:rsidRPr="009D258A">
              <w:rPr>
                <w:b/>
                <w:noProof/>
              </w:rPr>
              <w:t>Yhdenmukaistaminen yhden kerran periaatteen kanssa</w:t>
            </w:r>
          </w:p>
          <w:p w14:paraId="5BFC0DA3" w14:textId="77777777" w:rsidR="00AD6026" w:rsidRPr="009D258A" w:rsidRDefault="00AD6026" w:rsidP="00AD6026">
            <w:pPr>
              <w:rPr>
                <w:i/>
                <w:iCs/>
                <w:noProof/>
              </w:rPr>
            </w:pPr>
            <w:r w:rsidRPr="009D258A">
              <w:rPr>
                <w:i/>
                <w:noProof/>
              </w:rPr>
              <w:t>Selvitys siitä, miten yhden kerran periaatetta on noudatettu ja olemassa olevan datan uudelleenkäyttömahdollisuuksia on tutkittu.</w:t>
            </w:r>
          </w:p>
          <w:tbl>
            <w:tblPr>
              <w:tblStyle w:val="TableGrid"/>
              <w:tblW w:w="0" w:type="auto"/>
              <w:tblLook w:val="04A0" w:firstRow="1" w:lastRow="0" w:firstColumn="1" w:lastColumn="0" w:noHBand="0" w:noVBand="1"/>
            </w:tblPr>
            <w:tblGrid>
              <w:gridCol w:w="13994"/>
            </w:tblGrid>
            <w:tr w:rsidR="00AD6026" w:rsidRPr="009D258A" w14:paraId="04210E0D" w14:textId="77777777" w:rsidTr="00835FFC">
              <w:tc>
                <w:tcPr>
                  <w:tcW w:w="13994" w:type="dxa"/>
                </w:tcPr>
                <w:p w14:paraId="6FA410AF" w14:textId="77777777" w:rsidR="00AD6026" w:rsidRPr="009D258A" w:rsidRDefault="00AD6026" w:rsidP="00AD6026">
                  <w:pPr>
                    <w:spacing w:line="259" w:lineRule="auto"/>
                    <w:rPr>
                      <w:noProof/>
                    </w:rPr>
                  </w:pPr>
                  <w:r w:rsidRPr="009D258A">
                    <w:rPr>
                      <w:noProof/>
                    </w:rPr>
                    <w:t xml:space="preserve">Asetuksen </w:t>
                  </w:r>
                  <w:r w:rsidRPr="009D258A">
                    <w:rPr>
                      <w:b/>
                      <w:noProof/>
                    </w:rPr>
                    <w:t>1 artiklan 10 kohdassa</w:t>
                  </w:r>
                  <w:r w:rsidRPr="009D258A">
                    <w:rPr>
                      <w:noProof/>
                    </w:rPr>
                    <w:t xml:space="preserve"> todetaan, että vaatimustenmukaisuuden arviointilaitoksille voidaan antaa mahdollisuus hakea nimeämistä yhdellä ja samalla hakemuksella ja yhden ja saman arviointimenettelyn kautta. </w:t>
                  </w:r>
                </w:p>
              </w:tc>
            </w:tr>
          </w:tbl>
          <w:p w14:paraId="0324C199" w14:textId="77777777" w:rsidR="00AD6026" w:rsidRPr="009D258A" w:rsidRDefault="00AD6026" w:rsidP="00AD6026">
            <w:pPr>
              <w:rPr>
                <w:i/>
                <w:iCs/>
                <w:noProof/>
              </w:rPr>
            </w:pPr>
            <w:r w:rsidRPr="009D258A">
              <w:rPr>
                <w:i/>
                <w:noProof/>
              </w:rPr>
              <w:t>Selvitys uuden datan/tiedon löydettävyydestä, saavutettavuudesta,</w:t>
            </w:r>
            <w:r w:rsidRPr="009D258A">
              <w:rPr>
                <w:noProof/>
              </w:rPr>
              <w:t xml:space="preserve"> </w:t>
            </w:r>
            <w:bookmarkStart w:id="53" w:name="_Int_0yBmPtw3"/>
            <w:r w:rsidRPr="009D258A">
              <w:rPr>
                <w:i/>
                <w:noProof/>
              </w:rPr>
              <w:t>yhteentoimivuudesta</w:t>
            </w:r>
            <w:bookmarkEnd w:id="53"/>
            <w:r w:rsidRPr="009D258A">
              <w:rPr>
                <w:i/>
                <w:noProof/>
              </w:rPr>
              <w:t xml:space="preserve"> ja uudelleenkäytettävyydestä ja siitä, että se täyttää korkeaa laatua koskevat vaatimukset</w:t>
            </w:r>
          </w:p>
          <w:tbl>
            <w:tblPr>
              <w:tblStyle w:val="TableGrid"/>
              <w:tblW w:w="0" w:type="auto"/>
              <w:tblLook w:val="04A0" w:firstRow="1" w:lastRow="0" w:firstColumn="1" w:lastColumn="0" w:noHBand="0" w:noVBand="1"/>
            </w:tblPr>
            <w:tblGrid>
              <w:gridCol w:w="13994"/>
            </w:tblGrid>
            <w:tr w:rsidR="00AD6026" w:rsidRPr="009D258A" w14:paraId="5978C00C" w14:textId="77777777" w:rsidTr="00835FFC">
              <w:tc>
                <w:tcPr>
                  <w:tcW w:w="13994" w:type="dxa"/>
                </w:tcPr>
                <w:p w14:paraId="3423B8E4" w14:textId="77777777" w:rsidR="00AD6026" w:rsidRPr="009D258A" w:rsidRDefault="00AD6026" w:rsidP="00AD6026">
                  <w:pPr>
                    <w:rPr>
                      <w:noProof/>
                    </w:rPr>
                  </w:pPr>
                  <w:r w:rsidRPr="009D258A">
                    <w:rPr>
                      <w:noProof/>
                    </w:rPr>
                    <w:t xml:space="preserve"> </w:t>
                  </w:r>
                </w:p>
              </w:tc>
            </w:tr>
          </w:tbl>
          <w:p w14:paraId="086C6634" w14:textId="77777777" w:rsidR="00AD6026" w:rsidRPr="009D258A" w:rsidRDefault="00AD6026" w:rsidP="00AD6026">
            <w:pPr>
              <w:rPr>
                <w:b/>
                <w:bCs/>
                <w:noProof/>
              </w:rPr>
            </w:pPr>
          </w:p>
          <w:p w14:paraId="41998433" w14:textId="77777777" w:rsidR="00AD6026" w:rsidRPr="009D258A" w:rsidRDefault="00AD6026" w:rsidP="00AD6026">
            <w:pPr>
              <w:tabs>
                <w:tab w:val="left" w:pos="5370"/>
              </w:tabs>
              <w:rPr>
                <w:b/>
                <w:bCs/>
                <w:noProof/>
              </w:rPr>
            </w:pPr>
            <w:r w:rsidRPr="009D258A">
              <w:rPr>
                <w:b/>
                <w:noProof/>
              </w:rPr>
              <w:t>Data-/tietovirrat</w:t>
            </w:r>
          </w:p>
          <w:p w14:paraId="397171EB" w14:textId="77777777" w:rsidR="00AD6026" w:rsidRPr="009D258A" w:rsidRDefault="00AD6026" w:rsidP="00AD6026">
            <w:pPr>
              <w:tabs>
                <w:tab w:val="left" w:pos="5370"/>
              </w:tabs>
              <w:rPr>
                <w:i/>
                <w:iCs/>
                <w:noProof/>
              </w:rPr>
            </w:pPr>
            <w:r w:rsidRPr="009D258A">
              <w:rPr>
                <w:i/>
                <w:noProof/>
              </w:rPr>
              <w:t>Ylätason kuvaus data-/tietovirroista</w:t>
            </w:r>
          </w:p>
          <w:tbl>
            <w:tblPr>
              <w:tblStyle w:val="TableGrid"/>
              <w:tblW w:w="14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7"/>
              <w:gridCol w:w="1341"/>
              <w:gridCol w:w="2891"/>
              <w:gridCol w:w="2891"/>
              <w:gridCol w:w="2812"/>
              <w:gridCol w:w="1779"/>
            </w:tblGrid>
            <w:tr w:rsidR="00AD6026" w:rsidRPr="009D258A" w14:paraId="0D2B8395" w14:textId="77777777" w:rsidTr="00AD6026">
              <w:trPr>
                <w:trHeight w:val="300"/>
              </w:trPr>
              <w:tc>
                <w:tcPr>
                  <w:tcW w:w="3930" w:type="dxa"/>
                </w:tcPr>
                <w:p w14:paraId="502C1298" w14:textId="77777777" w:rsidR="00AD6026" w:rsidRPr="009D258A" w:rsidRDefault="00AD6026" w:rsidP="00AD6026">
                  <w:pPr>
                    <w:jc w:val="left"/>
                    <w:rPr>
                      <w:b/>
                      <w:bCs/>
                      <w:noProof/>
                    </w:rPr>
                  </w:pPr>
                  <w:r w:rsidRPr="009D258A">
                    <w:rPr>
                      <w:b/>
                      <w:noProof/>
                    </w:rPr>
                    <w:t>Datan/tiedon tyyppi</w:t>
                  </w:r>
                </w:p>
              </w:tc>
              <w:tc>
                <w:tcPr>
                  <w:tcW w:w="1920" w:type="dxa"/>
                </w:tcPr>
                <w:p w14:paraId="45D24356" w14:textId="77777777" w:rsidR="00AD6026" w:rsidRPr="009D258A" w:rsidRDefault="00AD6026" w:rsidP="00AD6026">
                  <w:pPr>
                    <w:jc w:val="left"/>
                    <w:rPr>
                      <w:b/>
                      <w:bCs/>
                      <w:noProof/>
                    </w:rPr>
                  </w:pPr>
                  <w:r w:rsidRPr="009D258A">
                    <w:rPr>
                      <w:b/>
                      <w:noProof/>
                    </w:rPr>
                    <w:t>Viittaukset vaatimuksiin</w:t>
                  </w:r>
                </w:p>
              </w:tc>
              <w:tc>
                <w:tcPr>
                  <w:tcW w:w="1977" w:type="dxa"/>
                </w:tcPr>
                <w:p w14:paraId="2E6E0639" w14:textId="77777777" w:rsidR="00AD6026" w:rsidRPr="009D258A" w:rsidRDefault="00AD6026" w:rsidP="00AD6026">
                  <w:pPr>
                    <w:jc w:val="left"/>
                    <w:rPr>
                      <w:b/>
                      <w:bCs/>
                      <w:noProof/>
                    </w:rPr>
                  </w:pPr>
                  <w:r w:rsidRPr="009D258A">
                    <w:rPr>
                      <w:b/>
                      <w:noProof/>
                    </w:rPr>
                    <w:t>Datan/tiedon toimittaja</w:t>
                  </w:r>
                </w:p>
              </w:tc>
              <w:tc>
                <w:tcPr>
                  <w:tcW w:w="2139" w:type="dxa"/>
                </w:tcPr>
                <w:p w14:paraId="4DF1733A" w14:textId="77777777" w:rsidR="00AD6026" w:rsidRPr="009D258A" w:rsidRDefault="00AD6026" w:rsidP="00AD6026">
                  <w:pPr>
                    <w:jc w:val="left"/>
                    <w:rPr>
                      <w:b/>
                      <w:bCs/>
                      <w:noProof/>
                    </w:rPr>
                  </w:pPr>
                  <w:r w:rsidRPr="009D258A">
                    <w:rPr>
                      <w:b/>
                      <w:noProof/>
                    </w:rPr>
                    <w:t>Datan/tiedon vastaanottaja</w:t>
                  </w:r>
                </w:p>
              </w:tc>
              <w:tc>
                <w:tcPr>
                  <w:tcW w:w="2291" w:type="dxa"/>
                </w:tcPr>
                <w:p w14:paraId="42DE4C97" w14:textId="77777777" w:rsidR="00AD6026" w:rsidRPr="009D258A" w:rsidRDefault="00AD6026" w:rsidP="00AD6026">
                  <w:pPr>
                    <w:jc w:val="left"/>
                    <w:rPr>
                      <w:b/>
                      <w:bCs/>
                      <w:noProof/>
                    </w:rPr>
                  </w:pPr>
                  <w:r w:rsidRPr="009D258A">
                    <w:rPr>
                      <w:b/>
                      <w:noProof/>
                    </w:rPr>
                    <w:t>Datan-/tiedonvaihdon käynnistävä tekijä</w:t>
                  </w:r>
                </w:p>
              </w:tc>
              <w:tc>
                <w:tcPr>
                  <w:tcW w:w="1821" w:type="dxa"/>
                </w:tcPr>
                <w:p w14:paraId="652D127F" w14:textId="77777777" w:rsidR="00AD6026" w:rsidRPr="009D258A" w:rsidRDefault="00AD6026" w:rsidP="00AD6026">
                  <w:pPr>
                    <w:jc w:val="left"/>
                    <w:rPr>
                      <w:b/>
                      <w:bCs/>
                      <w:noProof/>
                    </w:rPr>
                  </w:pPr>
                  <w:r w:rsidRPr="009D258A">
                    <w:rPr>
                      <w:b/>
                      <w:noProof/>
                    </w:rPr>
                    <w:t>Toimittamistiheys (tarvittaessa)</w:t>
                  </w:r>
                </w:p>
              </w:tc>
            </w:tr>
            <w:tr w:rsidR="00AD6026" w:rsidRPr="009D258A" w14:paraId="381ED590" w14:textId="77777777" w:rsidTr="00AD6026">
              <w:trPr>
                <w:trHeight w:val="300"/>
              </w:trPr>
              <w:tc>
                <w:tcPr>
                  <w:tcW w:w="3930" w:type="dxa"/>
                </w:tcPr>
                <w:p w14:paraId="59639EC1" w14:textId="77777777" w:rsidR="00AD6026" w:rsidRPr="009D258A" w:rsidRDefault="00AD6026" w:rsidP="00AD6026">
                  <w:pPr>
                    <w:spacing w:line="259" w:lineRule="auto"/>
                    <w:jc w:val="left"/>
                    <w:rPr>
                      <w:noProof/>
                    </w:rPr>
                  </w:pPr>
                  <w:r w:rsidRPr="009D258A">
                    <w:rPr>
                      <w:noProof/>
                    </w:rPr>
                    <w:t>Vaatimustenmukaisuuden arviointilaitosten ilmoittamista koskevat hakemukset</w:t>
                  </w:r>
                </w:p>
              </w:tc>
              <w:tc>
                <w:tcPr>
                  <w:tcW w:w="1920" w:type="dxa"/>
                </w:tcPr>
                <w:p w14:paraId="5DCE31B8" w14:textId="2FA89D82" w:rsidR="00AD6026" w:rsidRPr="009D258A" w:rsidRDefault="00AD6026" w:rsidP="00AD6026">
                  <w:pPr>
                    <w:spacing w:line="259" w:lineRule="auto"/>
                    <w:jc w:val="left"/>
                    <w:rPr>
                      <w:noProof/>
                      <w:color w:val="000000" w:themeColor="text1"/>
                    </w:rPr>
                  </w:pPr>
                  <w:r w:rsidRPr="009D258A">
                    <w:rPr>
                      <w:noProof/>
                      <w:color w:val="000000" w:themeColor="text1"/>
                    </w:rPr>
                    <w:t>1 artiklan 11 kohta</w:t>
                  </w:r>
                </w:p>
              </w:tc>
              <w:tc>
                <w:tcPr>
                  <w:tcW w:w="1977" w:type="dxa"/>
                </w:tcPr>
                <w:p w14:paraId="4A56575B" w14:textId="77777777" w:rsidR="00AD6026" w:rsidRPr="009D258A" w:rsidRDefault="00AD6026" w:rsidP="00AD6026">
                  <w:pPr>
                    <w:spacing w:line="259" w:lineRule="auto"/>
                    <w:jc w:val="left"/>
                    <w:rPr>
                      <w:noProof/>
                    </w:rPr>
                  </w:pPr>
                  <w:r w:rsidRPr="009D258A">
                    <w:rPr>
                      <w:noProof/>
                    </w:rPr>
                    <w:t>Ilmoitetut laitokset, jotka on nimetty liitteessä I olevassa A jaksossa luetellun unionin yhdenmukaistamislainsäädännön nojalla</w:t>
                  </w:r>
                </w:p>
              </w:tc>
              <w:tc>
                <w:tcPr>
                  <w:tcW w:w="2139" w:type="dxa"/>
                </w:tcPr>
                <w:p w14:paraId="6D620D08" w14:textId="77777777" w:rsidR="00AD6026" w:rsidRPr="009D258A" w:rsidRDefault="00AD6026" w:rsidP="00AD6026">
                  <w:pPr>
                    <w:jc w:val="left"/>
                    <w:rPr>
                      <w:noProof/>
                    </w:rPr>
                  </w:pPr>
                  <w:r w:rsidRPr="009D258A">
                    <w:rPr>
                      <w:noProof/>
                    </w:rPr>
                    <w:t>Ilmoittamisesta vastaava viranomainen, joka on nimetty liitteessä I olevassa A jaksossa luetellun unionin yhdenmukaistamislainsäädännön mukaisesti</w:t>
                  </w:r>
                </w:p>
              </w:tc>
              <w:tc>
                <w:tcPr>
                  <w:tcW w:w="2291" w:type="dxa"/>
                </w:tcPr>
                <w:p w14:paraId="659AD6FA" w14:textId="77777777" w:rsidR="00AD6026" w:rsidRPr="009D258A" w:rsidRDefault="00AD6026" w:rsidP="00AD6026">
                  <w:pPr>
                    <w:jc w:val="left"/>
                    <w:rPr>
                      <w:noProof/>
                    </w:rPr>
                  </w:pPr>
                  <w:r w:rsidRPr="009D258A">
                    <w:rPr>
                      <w:noProof/>
                    </w:rPr>
                    <w:t>Yhdistettyä arviointia koskeva hakemus</w:t>
                  </w:r>
                </w:p>
              </w:tc>
              <w:tc>
                <w:tcPr>
                  <w:tcW w:w="1821" w:type="dxa"/>
                </w:tcPr>
                <w:p w14:paraId="00362465" w14:textId="77777777" w:rsidR="00AD6026" w:rsidRPr="009D258A" w:rsidRDefault="00AD6026" w:rsidP="00AD6026">
                  <w:pPr>
                    <w:jc w:val="left"/>
                    <w:rPr>
                      <w:noProof/>
                    </w:rPr>
                  </w:pPr>
                  <w:r w:rsidRPr="009D258A">
                    <w:rPr>
                      <w:noProof/>
                    </w:rPr>
                    <w:t>//</w:t>
                  </w:r>
                </w:p>
              </w:tc>
            </w:tr>
            <w:tr w:rsidR="00AD6026" w:rsidRPr="009D258A" w14:paraId="2218141E" w14:textId="77777777" w:rsidTr="00AD6026">
              <w:trPr>
                <w:trHeight w:val="300"/>
              </w:trPr>
              <w:tc>
                <w:tcPr>
                  <w:tcW w:w="3930" w:type="dxa"/>
                </w:tcPr>
                <w:p w14:paraId="11F3C8DD" w14:textId="77777777" w:rsidR="00AD6026" w:rsidRPr="009D258A" w:rsidRDefault="00AD6026" w:rsidP="00AD6026">
                  <w:pPr>
                    <w:spacing w:line="259" w:lineRule="auto"/>
                    <w:jc w:val="left"/>
                    <w:rPr>
                      <w:noProof/>
                    </w:rPr>
                  </w:pPr>
                  <w:r w:rsidRPr="009D258A">
                    <w:rPr>
                      <w:noProof/>
                    </w:rPr>
                    <w:t>Komission arvio käytännesääntöjen riittävyydestä</w:t>
                  </w:r>
                </w:p>
              </w:tc>
              <w:tc>
                <w:tcPr>
                  <w:tcW w:w="1920" w:type="dxa"/>
                </w:tcPr>
                <w:p w14:paraId="506D7617" w14:textId="484916EE" w:rsidR="00AD6026" w:rsidRPr="009D258A" w:rsidRDefault="00AD6026" w:rsidP="00AD6026">
                  <w:pPr>
                    <w:spacing w:line="259" w:lineRule="auto"/>
                    <w:jc w:val="left"/>
                    <w:rPr>
                      <w:noProof/>
                      <w:color w:val="000000" w:themeColor="text1"/>
                    </w:rPr>
                  </w:pPr>
                  <w:r w:rsidRPr="009D258A">
                    <w:rPr>
                      <w:noProof/>
                      <w:color w:val="000000" w:themeColor="text1"/>
                    </w:rPr>
                    <w:t>1 artiklan 16 kohta</w:t>
                  </w:r>
                </w:p>
              </w:tc>
              <w:tc>
                <w:tcPr>
                  <w:tcW w:w="1977" w:type="dxa"/>
                </w:tcPr>
                <w:p w14:paraId="125825DA" w14:textId="77777777" w:rsidR="00AD6026" w:rsidRPr="009D258A" w:rsidRDefault="00AD6026" w:rsidP="00AD6026">
                  <w:pPr>
                    <w:jc w:val="left"/>
                    <w:rPr>
                      <w:noProof/>
                    </w:rPr>
                  </w:pPr>
                  <w:r w:rsidRPr="009D258A">
                    <w:rPr>
                      <w:noProof/>
                    </w:rPr>
                    <w:t>Euroopan komissio</w:t>
                  </w:r>
                </w:p>
              </w:tc>
              <w:tc>
                <w:tcPr>
                  <w:tcW w:w="2139" w:type="dxa"/>
                </w:tcPr>
                <w:p w14:paraId="5AB0D956" w14:textId="77777777" w:rsidR="00AD6026" w:rsidRPr="009D258A" w:rsidRDefault="00AD6026" w:rsidP="00AD6026">
                  <w:pPr>
                    <w:jc w:val="left"/>
                    <w:rPr>
                      <w:noProof/>
                    </w:rPr>
                  </w:pPr>
                  <w:r w:rsidRPr="009D258A">
                    <w:rPr>
                      <w:noProof/>
                    </w:rPr>
                    <w:t>Suuri yleisö</w:t>
                  </w:r>
                </w:p>
              </w:tc>
              <w:tc>
                <w:tcPr>
                  <w:tcW w:w="2291" w:type="dxa"/>
                </w:tcPr>
                <w:p w14:paraId="4D8E9A79" w14:textId="77777777" w:rsidR="00AD6026" w:rsidRPr="009D258A" w:rsidRDefault="00AD6026" w:rsidP="00AD6026">
                  <w:pPr>
                    <w:jc w:val="left"/>
                    <w:rPr>
                      <w:noProof/>
                    </w:rPr>
                  </w:pPr>
                  <w:r w:rsidRPr="009D258A">
                    <w:rPr>
                      <w:noProof/>
                    </w:rPr>
                    <w:t xml:space="preserve">Käytännesääntöjä koskevan arvioinnin suorittaminen </w:t>
                  </w:r>
                </w:p>
              </w:tc>
              <w:tc>
                <w:tcPr>
                  <w:tcW w:w="1821" w:type="dxa"/>
                </w:tcPr>
                <w:p w14:paraId="72C8F2D0" w14:textId="77777777" w:rsidR="00AD6026" w:rsidRPr="009D258A" w:rsidRDefault="00AD6026" w:rsidP="00AD6026">
                  <w:pPr>
                    <w:jc w:val="left"/>
                    <w:rPr>
                      <w:noProof/>
                    </w:rPr>
                  </w:pPr>
                  <w:r w:rsidRPr="009D258A">
                    <w:rPr>
                      <w:noProof/>
                    </w:rPr>
                    <w:t>Säännöllisesti</w:t>
                  </w:r>
                </w:p>
              </w:tc>
            </w:tr>
            <w:tr w:rsidR="00AD6026" w:rsidRPr="009D258A" w14:paraId="415F5584" w14:textId="77777777" w:rsidTr="00AD6026">
              <w:trPr>
                <w:trHeight w:val="300"/>
              </w:trPr>
              <w:tc>
                <w:tcPr>
                  <w:tcW w:w="3930" w:type="dxa"/>
                </w:tcPr>
                <w:p w14:paraId="10C894CC" w14:textId="3701927C" w:rsidR="00AD6026" w:rsidRPr="009D258A" w:rsidRDefault="00AD6026" w:rsidP="00AD6026">
                  <w:pPr>
                    <w:spacing w:line="259" w:lineRule="auto"/>
                    <w:jc w:val="left"/>
                    <w:rPr>
                      <w:noProof/>
                    </w:rPr>
                  </w:pPr>
                  <w:r w:rsidRPr="009D258A">
                    <w:rPr>
                      <w:noProof/>
                    </w:rPr>
                    <w:t>Pyyntö saada tutustua tekoälyjärjestelmiä koskeviin tietoihin</w:t>
                  </w:r>
                </w:p>
              </w:tc>
              <w:tc>
                <w:tcPr>
                  <w:tcW w:w="1920" w:type="dxa"/>
                </w:tcPr>
                <w:p w14:paraId="7A011E0A" w14:textId="525D79B6" w:rsidR="00AD6026" w:rsidRPr="009D258A" w:rsidRDefault="00AD6026" w:rsidP="00AD6026">
                  <w:pPr>
                    <w:spacing w:line="259" w:lineRule="auto"/>
                    <w:jc w:val="left"/>
                    <w:rPr>
                      <w:noProof/>
                      <w:color w:val="000000" w:themeColor="text1"/>
                    </w:rPr>
                  </w:pPr>
                  <w:r w:rsidRPr="009D258A">
                    <w:rPr>
                      <w:noProof/>
                      <w:color w:val="000000" w:themeColor="text1"/>
                    </w:rPr>
                    <w:t>1 artiklan 26 kohta</w:t>
                  </w:r>
                </w:p>
              </w:tc>
              <w:tc>
                <w:tcPr>
                  <w:tcW w:w="1977" w:type="dxa"/>
                </w:tcPr>
                <w:p w14:paraId="17EA4DDC" w14:textId="77777777" w:rsidR="00AD6026" w:rsidRPr="009D258A" w:rsidRDefault="00AD6026" w:rsidP="00AD6026">
                  <w:pPr>
                    <w:jc w:val="left"/>
                    <w:rPr>
                      <w:noProof/>
                    </w:rPr>
                  </w:pPr>
                  <w:r w:rsidRPr="009D258A">
                    <w:rPr>
                      <w:noProof/>
                      <w:color w:val="000000" w:themeColor="text1"/>
                    </w:rPr>
                    <w:t>Kansalliset viranomaiset tai elimet, jotka valvovat tai panevat täytäntöön perusoikeuksien suojelua koskevan unionin oikeuden mukaisia velvoitteita</w:t>
                  </w:r>
                </w:p>
                <w:p w14:paraId="12B9BDE0" w14:textId="77777777" w:rsidR="00AD6026" w:rsidRPr="009D258A" w:rsidRDefault="00AD6026" w:rsidP="00AD6026">
                  <w:pPr>
                    <w:jc w:val="left"/>
                    <w:rPr>
                      <w:noProof/>
                      <w:color w:val="000000" w:themeColor="text1"/>
                    </w:rPr>
                  </w:pPr>
                </w:p>
              </w:tc>
              <w:tc>
                <w:tcPr>
                  <w:tcW w:w="2139" w:type="dxa"/>
                </w:tcPr>
                <w:p w14:paraId="7AB602C1" w14:textId="77777777" w:rsidR="00AD6026" w:rsidRPr="009D258A" w:rsidRDefault="00AD6026" w:rsidP="00AD6026">
                  <w:pPr>
                    <w:jc w:val="left"/>
                    <w:rPr>
                      <w:noProof/>
                    </w:rPr>
                  </w:pPr>
                  <w:r w:rsidRPr="009D258A">
                    <w:rPr>
                      <w:noProof/>
                    </w:rPr>
                    <w:t>Markkinavalvontaviranomainen</w:t>
                  </w:r>
                </w:p>
                <w:p w14:paraId="339491C9" w14:textId="77777777" w:rsidR="00AD6026" w:rsidRPr="009D258A" w:rsidRDefault="00AD6026" w:rsidP="00AD6026">
                  <w:pPr>
                    <w:jc w:val="left"/>
                    <w:rPr>
                      <w:noProof/>
                    </w:rPr>
                  </w:pPr>
                </w:p>
              </w:tc>
              <w:tc>
                <w:tcPr>
                  <w:tcW w:w="2291" w:type="dxa"/>
                </w:tcPr>
                <w:p w14:paraId="65A9A69B" w14:textId="77777777" w:rsidR="00AD6026" w:rsidRPr="009D258A" w:rsidRDefault="00AD6026" w:rsidP="00AD6026">
                  <w:pPr>
                    <w:jc w:val="left"/>
                    <w:rPr>
                      <w:noProof/>
                    </w:rPr>
                  </w:pPr>
                  <w:r w:rsidRPr="009D258A">
                    <w:rPr>
                      <w:noProof/>
                    </w:rPr>
                    <w:t>Kansalliset viranomaiset/elimet tarvitsevat tietoja tehtäviensä hoitamiseksi</w:t>
                  </w:r>
                </w:p>
              </w:tc>
              <w:tc>
                <w:tcPr>
                  <w:tcW w:w="1821" w:type="dxa"/>
                </w:tcPr>
                <w:p w14:paraId="3869794D" w14:textId="77777777" w:rsidR="00AD6026" w:rsidRPr="009D258A" w:rsidRDefault="00AD6026" w:rsidP="00AD6026">
                  <w:pPr>
                    <w:jc w:val="left"/>
                    <w:rPr>
                      <w:noProof/>
                    </w:rPr>
                  </w:pPr>
                  <w:r w:rsidRPr="009D258A">
                    <w:rPr>
                      <w:noProof/>
                    </w:rPr>
                    <w:t>//</w:t>
                  </w:r>
                </w:p>
              </w:tc>
            </w:tr>
            <w:tr w:rsidR="00AD6026" w:rsidRPr="009D258A" w14:paraId="5EA796F8" w14:textId="77777777" w:rsidTr="00AD6026">
              <w:trPr>
                <w:trHeight w:val="300"/>
              </w:trPr>
              <w:tc>
                <w:tcPr>
                  <w:tcW w:w="3930" w:type="dxa"/>
                </w:tcPr>
                <w:p w14:paraId="01607AEE" w14:textId="77777777" w:rsidR="00AD6026" w:rsidRPr="009D258A" w:rsidRDefault="00AD6026" w:rsidP="00AD6026">
                  <w:pPr>
                    <w:spacing w:line="259" w:lineRule="auto"/>
                    <w:jc w:val="left"/>
                    <w:rPr>
                      <w:noProof/>
                    </w:rPr>
                  </w:pPr>
                  <w:r w:rsidRPr="009D258A">
                    <w:rPr>
                      <w:noProof/>
                    </w:rPr>
                    <w:t>Perusoikeuksiin liittyvien velvoitteiden valvonnasta/täytäntöönpanosta vastaavien kansallisten viranomaisten/elinten pyytämä informaatio tai dokumentaatio</w:t>
                  </w:r>
                </w:p>
              </w:tc>
              <w:tc>
                <w:tcPr>
                  <w:tcW w:w="1920" w:type="dxa"/>
                </w:tcPr>
                <w:p w14:paraId="6D58A4FF" w14:textId="67130CB6" w:rsidR="00AD6026" w:rsidRPr="009D258A" w:rsidRDefault="00AD6026" w:rsidP="00AD6026">
                  <w:pPr>
                    <w:spacing w:line="259" w:lineRule="auto"/>
                    <w:jc w:val="left"/>
                    <w:rPr>
                      <w:noProof/>
                      <w:color w:val="000000" w:themeColor="text1"/>
                    </w:rPr>
                  </w:pPr>
                  <w:r w:rsidRPr="009D258A">
                    <w:rPr>
                      <w:noProof/>
                      <w:color w:val="000000" w:themeColor="text1"/>
                    </w:rPr>
                    <w:t>1 artiklan 26 kohta</w:t>
                  </w:r>
                </w:p>
              </w:tc>
              <w:tc>
                <w:tcPr>
                  <w:tcW w:w="1977" w:type="dxa"/>
                </w:tcPr>
                <w:p w14:paraId="7CBEAEBD" w14:textId="77777777" w:rsidR="00AD6026" w:rsidRPr="009D258A" w:rsidRDefault="00AD6026" w:rsidP="00AD6026">
                  <w:pPr>
                    <w:jc w:val="left"/>
                    <w:rPr>
                      <w:noProof/>
                    </w:rPr>
                  </w:pPr>
                  <w:r w:rsidRPr="009D258A">
                    <w:rPr>
                      <w:noProof/>
                    </w:rPr>
                    <w:t>Markkinavalvontaviranomainen</w:t>
                  </w:r>
                </w:p>
              </w:tc>
              <w:tc>
                <w:tcPr>
                  <w:tcW w:w="2139" w:type="dxa"/>
                </w:tcPr>
                <w:p w14:paraId="3A4287D0" w14:textId="77777777" w:rsidR="00AD6026" w:rsidRPr="009D258A" w:rsidRDefault="00AD6026" w:rsidP="00AD6026">
                  <w:pPr>
                    <w:jc w:val="left"/>
                    <w:rPr>
                      <w:noProof/>
                    </w:rPr>
                  </w:pPr>
                  <w:r w:rsidRPr="009D258A">
                    <w:rPr>
                      <w:noProof/>
                      <w:color w:val="000000" w:themeColor="text1"/>
                    </w:rPr>
                    <w:t>Kansalliset viranomaiset tai elimet, jotka valvovat tai panevat täytäntöön perusoikeuksien suojelua koskevan unionin oikeuden mukaisia velvoitteita</w:t>
                  </w:r>
                </w:p>
              </w:tc>
              <w:tc>
                <w:tcPr>
                  <w:tcW w:w="2291" w:type="dxa"/>
                </w:tcPr>
                <w:p w14:paraId="256119D8" w14:textId="77777777" w:rsidR="00AD6026" w:rsidRPr="009D258A" w:rsidRDefault="00AD6026" w:rsidP="00AD6026">
                  <w:pPr>
                    <w:jc w:val="left"/>
                    <w:rPr>
                      <w:noProof/>
                    </w:rPr>
                  </w:pPr>
                  <w:r w:rsidRPr="009D258A">
                    <w:rPr>
                      <w:noProof/>
                    </w:rPr>
                    <w:t>Tietoihin tutustumista koskevan perustellun pyynnön esittäminen</w:t>
                  </w:r>
                </w:p>
              </w:tc>
              <w:tc>
                <w:tcPr>
                  <w:tcW w:w="1821" w:type="dxa"/>
                </w:tcPr>
                <w:p w14:paraId="192940CC" w14:textId="77777777" w:rsidR="00AD6026" w:rsidRPr="009D258A" w:rsidRDefault="00AD6026" w:rsidP="00AD6026">
                  <w:pPr>
                    <w:jc w:val="left"/>
                    <w:rPr>
                      <w:noProof/>
                    </w:rPr>
                  </w:pPr>
                  <w:r w:rsidRPr="009D258A">
                    <w:rPr>
                      <w:noProof/>
                    </w:rPr>
                    <w:t>//</w:t>
                  </w:r>
                </w:p>
              </w:tc>
            </w:tr>
            <w:tr w:rsidR="00AD6026" w:rsidRPr="009D258A" w14:paraId="271C22E0" w14:textId="77777777" w:rsidTr="00AD6026">
              <w:trPr>
                <w:trHeight w:val="300"/>
              </w:trPr>
              <w:tc>
                <w:tcPr>
                  <w:tcW w:w="3930" w:type="dxa"/>
                </w:tcPr>
                <w:p w14:paraId="5E577F29" w14:textId="77777777" w:rsidR="00AD6026" w:rsidRPr="009D258A" w:rsidRDefault="00AD6026" w:rsidP="00AD6026">
                  <w:pPr>
                    <w:spacing w:line="259" w:lineRule="auto"/>
                    <w:jc w:val="left"/>
                    <w:rPr>
                      <w:noProof/>
                    </w:rPr>
                  </w:pPr>
                  <w:r w:rsidRPr="009D258A">
                    <w:rPr>
                      <w:noProof/>
                    </w:rPr>
                    <w:t>Markkinavalvontaviranomaisten pyytämä informaatio tai dokumentaatio</w:t>
                  </w:r>
                </w:p>
              </w:tc>
              <w:tc>
                <w:tcPr>
                  <w:tcW w:w="1920" w:type="dxa"/>
                </w:tcPr>
                <w:p w14:paraId="5DB62448" w14:textId="60DB9AE6" w:rsidR="00AD6026" w:rsidRPr="009D258A" w:rsidRDefault="00AD6026" w:rsidP="00AD6026">
                  <w:pPr>
                    <w:spacing w:line="259" w:lineRule="auto"/>
                    <w:jc w:val="left"/>
                    <w:rPr>
                      <w:noProof/>
                      <w:color w:val="000000" w:themeColor="text1"/>
                    </w:rPr>
                  </w:pPr>
                  <w:r w:rsidRPr="009D258A">
                    <w:rPr>
                      <w:noProof/>
                      <w:color w:val="000000" w:themeColor="text1"/>
                    </w:rPr>
                    <w:t>1 artiklan 26 kohta</w:t>
                  </w:r>
                </w:p>
              </w:tc>
              <w:tc>
                <w:tcPr>
                  <w:tcW w:w="1977" w:type="dxa"/>
                </w:tcPr>
                <w:p w14:paraId="2F9AB693" w14:textId="77777777" w:rsidR="00AD6026" w:rsidRPr="009D258A" w:rsidRDefault="00AD6026" w:rsidP="00AD6026">
                  <w:pPr>
                    <w:jc w:val="left"/>
                    <w:rPr>
                      <w:noProof/>
                      <w:color w:val="000000" w:themeColor="text1"/>
                    </w:rPr>
                  </w:pPr>
                  <w:r w:rsidRPr="009D258A">
                    <w:rPr>
                      <w:noProof/>
                      <w:color w:val="000000" w:themeColor="text1"/>
                    </w:rPr>
                    <w:t xml:space="preserve">Markkinavalvontaviranomaiset  </w:t>
                  </w:r>
                </w:p>
              </w:tc>
              <w:tc>
                <w:tcPr>
                  <w:tcW w:w="2139" w:type="dxa"/>
                </w:tcPr>
                <w:p w14:paraId="5D5AE5C4" w14:textId="77777777" w:rsidR="00AD6026" w:rsidRPr="009D258A" w:rsidRDefault="00AD6026" w:rsidP="00AD6026">
                  <w:pPr>
                    <w:jc w:val="left"/>
                    <w:rPr>
                      <w:noProof/>
                    </w:rPr>
                  </w:pPr>
                  <w:r w:rsidRPr="009D258A">
                    <w:rPr>
                      <w:noProof/>
                    </w:rPr>
                    <w:t>Tekoälyjärjestelmien tarjoajat/käyttöönottajat</w:t>
                  </w:r>
                </w:p>
              </w:tc>
              <w:tc>
                <w:tcPr>
                  <w:tcW w:w="2291" w:type="dxa"/>
                </w:tcPr>
                <w:p w14:paraId="032D6B2C" w14:textId="77777777" w:rsidR="00AD6026" w:rsidRPr="009D258A" w:rsidRDefault="00AD6026" w:rsidP="00AD6026">
                  <w:pPr>
                    <w:jc w:val="left"/>
                    <w:rPr>
                      <w:noProof/>
                      <w:color w:val="000000" w:themeColor="text1"/>
                    </w:rPr>
                  </w:pPr>
                  <w:r w:rsidRPr="009D258A">
                    <w:rPr>
                      <w:noProof/>
                      <w:color w:val="000000" w:themeColor="text1"/>
                    </w:rPr>
                    <w:t>Markkinavalvontaviranomainen tarvitsee tietoja</w:t>
                  </w:r>
                  <w:r w:rsidRPr="009D258A">
                    <w:rPr>
                      <w:noProof/>
                    </w:rPr>
                    <w:t xml:space="preserve"> voidakseen vastata perusoikeuksiin liittyvien velvoitteiden valvonnasta/täytäntöönpanosta vastaavien kansallisten viranomaisten/elinten pyyntöön</w:t>
                  </w:r>
                </w:p>
              </w:tc>
              <w:tc>
                <w:tcPr>
                  <w:tcW w:w="1821" w:type="dxa"/>
                </w:tcPr>
                <w:p w14:paraId="007517BB" w14:textId="77777777" w:rsidR="00AD6026" w:rsidRPr="009D258A" w:rsidRDefault="00AD6026" w:rsidP="00AD6026">
                  <w:pPr>
                    <w:jc w:val="left"/>
                    <w:rPr>
                      <w:noProof/>
                    </w:rPr>
                  </w:pPr>
                  <w:r w:rsidRPr="009D258A">
                    <w:rPr>
                      <w:noProof/>
                    </w:rPr>
                    <w:t>//</w:t>
                  </w:r>
                </w:p>
              </w:tc>
            </w:tr>
            <w:tr w:rsidR="00AD6026" w:rsidRPr="009D258A" w14:paraId="35FD0F7B" w14:textId="77777777" w:rsidTr="00AD6026">
              <w:trPr>
                <w:trHeight w:val="300"/>
              </w:trPr>
              <w:tc>
                <w:tcPr>
                  <w:tcW w:w="3930" w:type="dxa"/>
                </w:tcPr>
                <w:p w14:paraId="7D72AFDA" w14:textId="77777777" w:rsidR="00AD6026" w:rsidRPr="009D258A" w:rsidRDefault="00AD6026" w:rsidP="00AD6026">
                  <w:pPr>
                    <w:spacing w:line="259" w:lineRule="auto"/>
                    <w:jc w:val="left"/>
                    <w:rPr>
                      <w:noProof/>
                    </w:rPr>
                  </w:pPr>
                  <w:r w:rsidRPr="009D258A">
                    <w:rPr>
                      <w:noProof/>
                    </w:rPr>
                    <w:t>Tiedonvaihto osana markkinavalvontaviranomaisten ja perusoikeuksiin liittyvien velvoitteiden valvonnasta/täytäntöönpanosta vastaavien viranomaisten/elinten yhteistyötä</w:t>
                  </w:r>
                </w:p>
              </w:tc>
              <w:tc>
                <w:tcPr>
                  <w:tcW w:w="1920" w:type="dxa"/>
                </w:tcPr>
                <w:p w14:paraId="33D12C01" w14:textId="63D26243" w:rsidR="00AD6026" w:rsidRPr="009D258A" w:rsidRDefault="00AD6026" w:rsidP="00AD6026">
                  <w:pPr>
                    <w:spacing w:line="259" w:lineRule="auto"/>
                    <w:jc w:val="left"/>
                    <w:rPr>
                      <w:noProof/>
                      <w:color w:val="000000" w:themeColor="text1"/>
                    </w:rPr>
                  </w:pPr>
                  <w:r w:rsidRPr="009D258A">
                    <w:rPr>
                      <w:noProof/>
                      <w:color w:val="000000" w:themeColor="text1"/>
                    </w:rPr>
                    <w:t>1 artiklan 26 kohta</w:t>
                  </w:r>
                </w:p>
              </w:tc>
              <w:tc>
                <w:tcPr>
                  <w:tcW w:w="1977" w:type="dxa"/>
                </w:tcPr>
                <w:p w14:paraId="7A91F083" w14:textId="77777777" w:rsidR="00AD6026" w:rsidRPr="009D258A" w:rsidRDefault="00AD6026" w:rsidP="00AD6026">
                  <w:pPr>
                    <w:jc w:val="left"/>
                    <w:rPr>
                      <w:noProof/>
                      <w:color w:val="000000" w:themeColor="text1"/>
                    </w:rPr>
                  </w:pPr>
                  <w:r w:rsidRPr="009D258A">
                    <w:rPr>
                      <w:noProof/>
                      <w:color w:val="000000" w:themeColor="text1"/>
                    </w:rPr>
                    <w:t xml:space="preserve">Markkinavalvontaviranomaiset  </w:t>
                  </w:r>
                </w:p>
                <w:p w14:paraId="4BC4BCBD" w14:textId="77777777" w:rsidR="00AD6026" w:rsidRPr="009D258A" w:rsidRDefault="00AD6026" w:rsidP="00AD6026">
                  <w:pPr>
                    <w:jc w:val="left"/>
                    <w:rPr>
                      <w:noProof/>
                      <w:color w:val="000000" w:themeColor="text1"/>
                    </w:rPr>
                  </w:pPr>
                  <w:r w:rsidRPr="009D258A">
                    <w:rPr>
                      <w:noProof/>
                      <w:color w:val="000000" w:themeColor="text1"/>
                    </w:rPr>
                    <w:t>/ muut viranomaiset/elimet</w:t>
                  </w:r>
                </w:p>
              </w:tc>
              <w:tc>
                <w:tcPr>
                  <w:tcW w:w="2139" w:type="dxa"/>
                </w:tcPr>
                <w:p w14:paraId="55896EE8" w14:textId="77777777" w:rsidR="00AD6026" w:rsidRPr="009D258A" w:rsidRDefault="00AD6026" w:rsidP="00AD6026">
                  <w:pPr>
                    <w:jc w:val="left"/>
                    <w:rPr>
                      <w:noProof/>
                      <w:color w:val="000000" w:themeColor="text1"/>
                    </w:rPr>
                  </w:pPr>
                  <w:r w:rsidRPr="009D258A">
                    <w:rPr>
                      <w:noProof/>
                      <w:color w:val="000000" w:themeColor="text1"/>
                    </w:rPr>
                    <w:t xml:space="preserve">Markkinavalvontaviranomaiset  </w:t>
                  </w:r>
                </w:p>
                <w:p w14:paraId="1470A8BB" w14:textId="77777777" w:rsidR="00AD6026" w:rsidRPr="009D258A" w:rsidRDefault="00AD6026" w:rsidP="00AD6026">
                  <w:pPr>
                    <w:jc w:val="left"/>
                    <w:rPr>
                      <w:noProof/>
                      <w:color w:val="000000" w:themeColor="text1"/>
                    </w:rPr>
                  </w:pPr>
                  <w:r w:rsidRPr="009D258A">
                    <w:rPr>
                      <w:noProof/>
                      <w:color w:val="000000" w:themeColor="text1"/>
                    </w:rPr>
                    <w:t>/ muut viranomaiset/elimet</w:t>
                  </w:r>
                </w:p>
                <w:p w14:paraId="4105B75F" w14:textId="77777777" w:rsidR="00AD6026" w:rsidRPr="009D258A" w:rsidRDefault="00AD6026" w:rsidP="00AD6026">
                  <w:pPr>
                    <w:jc w:val="left"/>
                    <w:rPr>
                      <w:noProof/>
                    </w:rPr>
                  </w:pPr>
                </w:p>
              </w:tc>
              <w:tc>
                <w:tcPr>
                  <w:tcW w:w="2291" w:type="dxa"/>
                </w:tcPr>
                <w:p w14:paraId="13587C26" w14:textId="77777777" w:rsidR="00AD6026" w:rsidRPr="009D258A" w:rsidRDefault="00AD6026" w:rsidP="00AD6026">
                  <w:pPr>
                    <w:jc w:val="left"/>
                    <w:rPr>
                      <w:noProof/>
                    </w:rPr>
                  </w:pPr>
                  <w:r w:rsidRPr="009D258A">
                    <w:rPr>
                      <w:noProof/>
                    </w:rPr>
                    <w:t>Yhteistyön ja keskinäisen avunannon yhteydessä ilmennyt tarve vaihtaa tietoja</w:t>
                  </w:r>
                </w:p>
              </w:tc>
              <w:tc>
                <w:tcPr>
                  <w:tcW w:w="1821" w:type="dxa"/>
                </w:tcPr>
                <w:p w14:paraId="449F7FF7" w14:textId="77777777" w:rsidR="00AD6026" w:rsidRPr="009D258A" w:rsidRDefault="00AD6026" w:rsidP="00AD6026">
                  <w:pPr>
                    <w:jc w:val="left"/>
                    <w:rPr>
                      <w:noProof/>
                    </w:rPr>
                  </w:pPr>
                  <w:r w:rsidRPr="009D258A">
                    <w:rPr>
                      <w:noProof/>
                    </w:rPr>
                    <w:t>//</w:t>
                  </w:r>
                </w:p>
              </w:tc>
            </w:tr>
          </w:tbl>
          <w:p w14:paraId="4847B8FA" w14:textId="77777777" w:rsidR="009C3EE2" w:rsidRPr="009D258A" w:rsidRDefault="009C3EE2" w:rsidP="001D5920">
            <w:pPr>
              <w:rPr>
                <w:noProof/>
                <w:color w:val="0000FF"/>
              </w:rPr>
            </w:pPr>
          </w:p>
        </w:tc>
      </w:tr>
    </w:tbl>
    <w:p w14:paraId="6D38A6CD" w14:textId="77777777" w:rsidR="00A037B4" w:rsidRPr="009D258A" w:rsidRDefault="00A037B4" w:rsidP="00A037B4">
      <w:pPr>
        <w:rPr>
          <w:b/>
          <w:bCs/>
          <w:noProof/>
        </w:rPr>
      </w:pPr>
      <w:r w:rsidRPr="009D258A">
        <w:rPr>
          <w:b/>
          <w:noProof/>
        </w:rPr>
        <w:t>4.3. Digitaaliset ratkaisut</w:t>
      </w:r>
    </w:p>
    <w:p w14:paraId="3163EE54" w14:textId="77777777" w:rsidR="00A037B4" w:rsidRPr="009D258A" w:rsidRDefault="00A037B4" w:rsidP="00A037B4">
      <w:pPr>
        <w:rPr>
          <w:i/>
          <w:iCs/>
          <w:noProof/>
        </w:rPr>
      </w:pPr>
      <w:r w:rsidRPr="009D258A">
        <w:rPr>
          <w:i/>
          <w:noProof/>
        </w:rPr>
        <w:t>Ylätason kuvaus digitaalisista ratkaisuista</w:t>
      </w:r>
    </w:p>
    <w:tbl>
      <w:tblPr>
        <w:tblStyle w:val="TableGrid"/>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1647"/>
        <w:gridCol w:w="1882"/>
        <w:gridCol w:w="1497"/>
        <w:gridCol w:w="1825"/>
        <w:gridCol w:w="2496"/>
        <w:gridCol w:w="2550"/>
      </w:tblGrid>
      <w:tr w:rsidR="00A037B4" w:rsidRPr="009D258A" w14:paraId="09A63F53" w14:textId="77777777" w:rsidTr="00A037B4">
        <w:trPr>
          <w:trHeight w:val="300"/>
        </w:trPr>
        <w:tc>
          <w:tcPr>
            <w:tcW w:w="1612" w:type="dxa"/>
            <w:vAlign w:val="center"/>
          </w:tcPr>
          <w:p w14:paraId="61BACDA0" w14:textId="77777777" w:rsidR="00A037B4" w:rsidRPr="009D258A" w:rsidRDefault="00A037B4" w:rsidP="00835FFC">
            <w:pPr>
              <w:spacing w:before="0" w:after="0"/>
              <w:jc w:val="center"/>
              <w:rPr>
                <w:b/>
                <w:bCs/>
                <w:noProof/>
                <w:color w:val="000000"/>
              </w:rPr>
            </w:pPr>
            <w:r w:rsidRPr="009D258A">
              <w:rPr>
                <w:b/>
                <w:noProof/>
                <w:color w:val="000000" w:themeColor="text1"/>
              </w:rPr>
              <w:t>Digitaalinen ratkaisu</w:t>
            </w:r>
          </w:p>
        </w:tc>
        <w:tc>
          <w:tcPr>
            <w:tcW w:w="1860" w:type="dxa"/>
            <w:vAlign w:val="center"/>
          </w:tcPr>
          <w:p w14:paraId="566F6D68" w14:textId="77777777" w:rsidR="00A037B4" w:rsidRPr="009D258A" w:rsidRDefault="00A037B4" w:rsidP="00835FFC">
            <w:pPr>
              <w:jc w:val="center"/>
              <w:rPr>
                <w:b/>
                <w:bCs/>
                <w:noProof/>
              </w:rPr>
            </w:pPr>
            <w:r w:rsidRPr="009D258A">
              <w:rPr>
                <w:b/>
                <w:noProof/>
              </w:rPr>
              <w:t>Viittaukset vaatimuksiin</w:t>
            </w:r>
          </w:p>
        </w:tc>
        <w:tc>
          <w:tcPr>
            <w:tcW w:w="2760" w:type="dxa"/>
            <w:vAlign w:val="center"/>
          </w:tcPr>
          <w:p w14:paraId="0BC51968" w14:textId="77777777" w:rsidR="00A037B4" w:rsidRPr="009D258A" w:rsidRDefault="00A037B4" w:rsidP="00835FFC">
            <w:pPr>
              <w:spacing w:before="0" w:after="0"/>
              <w:jc w:val="center"/>
              <w:rPr>
                <w:b/>
                <w:bCs/>
                <w:noProof/>
                <w:color w:val="000000"/>
              </w:rPr>
            </w:pPr>
            <w:r w:rsidRPr="009D258A">
              <w:rPr>
                <w:b/>
                <w:noProof/>
                <w:color w:val="000000" w:themeColor="text1"/>
              </w:rPr>
              <w:t>Pääasialliset ratkaisulta odotettavat toiminnot</w:t>
            </w:r>
          </w:p>
        </w:tc>
        <w:tc>
          <w:tcPr>
            <w:tcW w:w="2233" w:type="dxa"/>
            <w:vAlign w:val="center"/>
          </w:tcPr>
          <w:p w14:paraId="236C7077" w14:textId="77777777" w:rsidR="00A037B4" w:rsidRPr="009D258A" w:rsidRDefault="00A037B4" w:rsidP="00835FFC">
            <w:pPr>
              <w:jc w:val="center"/>
              <w:rPr>
                <w:b/>
                <w:bCs/>
                <w:noProof/>
                <w:color w:val="000000" w:themeColor="text1"/>
              </w:rPr>
            </w:pPr>
            <w:r w:rsidRPr="009D258A">
              <w:rPr>
                <w:b/>
                <w:noProof/>
                <w:color w:val="000000" w:themeColor="text1"/>
              </w:rPr>
              <w:t>Vastaava taho</w:t>
            </w:r>
          </w:p>
        </w:tc>
        <w:tc>
          <w:tcPr>
            <w:tcW w:w="1989" w:type="dxa"/>
            <w:vAlign w:val="center"/>
          </w:tcPr>
          <w:p w14:paraId="12235C3A" w14:textId="77777777" w:rsidR="00A037B4" w:rsidRPr="009D258A" w:rsidRDefault="00A037B4" w:rsidP="00835FFC">
            <w:pPr>
              <w:spacing w:before="0" w:after="0"/>
              <w:jc w:val="center"/>
              <w:rPr>
                <w:b/>
                <w:bCs/>
                <w:noProof/>
                <w:color w:val="000000"/>
              </w:rPr>
            </w:pPr>
            <w:r w:rsidRPr="009D258A">
              <w:rPr>
                <w:b/>
                <w:noProof/>
                <w:color w:val="000000" w:themeColor="text1"/>
              </w:rPr>
              <w:t>Miten saavutettavuus on huomioitu?</w:t>
            </w:r>
          </w:p>
        </w:tc>
        <w:tc>
          <w:tcPr>
            <w:tcW w:w="2025" w:type="dxa"/>
            <w:vAlign w:val="center"/>
          </w:tcPr>
          <w:p w14:paraId="7195CC1F" w14:textId="77777777" w:rsidR="00A037B4" w:rsidRPr="009D258A" w:rsidRDefault="00A037B4" w:rsidP="00835FFC">
            <w:pPr>
              <w:spacing w:before="0" w:after="0"/>
              <w:jc w:val="center"/>
              <w:rPr>
                <w:b/>
                <w:bCs/>
                <w:noProof/>
                <w:color w:val="000000"/>
              </w:rPr>
            </w:pPr>
            <w:r w:rsidRPr="009D258A">
              <w:rPr>
                <w:b/>
                <w:noProof/>
                <w:color w:val="000000" w:themeColor="text1"/>
              </w:rPr>
              <w:t>Miten uudelleenkäytettävyys on huomioitu?</w:t>
            </w:r>
          </w:p>
        </w:tc>
        <w:tc>
          <w:tcPr>
            <w:tcW w:w="1514" w:type="dxa"/>
            <w:vAlign w:val="center"/>
          </w:tcPr>
          <w:p w14:paraId="1AC4C42A" w14:textId="77777777" w:rsidR="00A037B4" w:rsidRPr="009D258A" w:rsidRDefault="00A037B4" w:rsidP="00835FFC">
            <w:pPr>
              <w:spacing w:before="0" w:after="0"/>
              <w:jc w:val="center"/>
              <w:rPr>
                <w:b/>
                <w:bCs/>
                <w:noProof/>
                <w:color w:val="000000"/>
              </w:rPr>
            </w:pPr>
            <w:r w:rsidRPr="009D258A">
              <w:rPr>
                <w:b/>
                <w:noProof/>
                <w:color w:val="000000" w:themeColor="text1"/>
              </w:rPr>
              <w:t>Tekoälyteknologioiden käyttö (tapauksen mukaan)</w:t>
            </w:r>
          </w:p>
        </w:tc>
      </w:tr>
      <w:tr w:rsidR="00A037B4" w:rsidRPr="009D258A" w14:paraId="58F431D1" w14:textId="77777777" w:rsidTr="00A037B4">
        <w:trPr>
          <w:trHeight w:val="300"/>
        </w:trPr>
        <w:tc>
          <w:tcPr>
            <w:tcW w:w="1612" w:type="dxa"/>
          </w:tcPr>
          <w:p w14:paraId="49D8123E" w14:textId="77777777" w:rsidR="00A037B4" w:rsidRPr="009D258A" w:rsidRDefault="729CAE24" w:rsidP="00835FFC">
            <w:pPr>
              <w:spacing w:line="259" w:lineRule="auto"/>
              <w:jc w:val="left"/>
              <w:rPr>
                <w:rFonts w:eastAsia="Calibri"/>
                <w:noProof/>
                <w:szCs w:val="24"/>
              </w:rPr>
            </w:pPr>
            <w:r w:rsidRPr="009D258A">
              <w:rPr>
                <w:noProof/>
              </w:rPr>
              <w:t>Ei sovelleta (tekoälysäädökseen ehdotetut muutokset eivät edellytä uusien digitaalisten ratkaisujen käyttöönottoa)</w:t>
            </w:r>
          </w:p>
        </w:tc>
        <w:tc>
          <w:tcPr>
            <w:tcW w:w="1860" w:type="dxa"/>
          </w:tcPr>
          <w:p w14:paraId="0140AC1E" w14:textId="77777777" w:rsidR="00A037B4" w:rsidRPr="009D258A" w:rsidRDefault="00A037B4" w:rsidP="00835FFC">
            <w:pPr>
              <w:jc w:val="left"/>
              <w:rPr>
                <w:noProof/>
              </w:rPr>
            </w:pPr>
          </w:p>
        </w:tc>
        <w:tc>
          <w:tcPr>
            <w:tcW w:w="2760" w:type="dxa"/>
          </w:tcPr>
          <w:p w14:paraId="2917BB57" w14:textId="77777777" w:rsidR="00A037B4" w:rsidRPr="009D258A" w:rsidRDefault="00A037B4" w:rsidP="00835FFC">
            <w:pPr>
              <w:jc w:val="left"/>
              <w:rPr>
                <w:noProof/>
              </w:rPr>
            </w:pPr>
          </w:p>
        </w:tc>
        <w:tc>
          <w:tcPr>
            <w:tcW w:w="2233" w:type="dxa"/>
          </w:tcPr>
          <w:p w14:paraId="0E7AB42E" w14:textId="77777777" w:rsidR="00A037B4" w:rsidRPr="009D258A" w:rsidRDefault="00A037B4" w:rsidP="00835FFC">
            <w:pPr>
              <w:jc w:val="left"/>
              <w:rPr>
                <w:noProof/>
              </w:rPr>
            </w:pPr>
          </w:p>
        </w:tc>
        <w:tc>
          <w:tcPr>
            <w:tcW w:w="1989" w:type="dxa"/>
          </w:tcPr>
          <w:p w14:paraId="145EF0D7" w14:textId="77777777" w:rsidR="00A037B4" w:rsidRPr="009D258A" w:rsidRDefault="00A037B4" w:rsidP="00835FFC">
            <w:pPr>
              <w:jc w:val="left"/>
              <w:rPr>
                <w:noProof/>
              </w:rPr>
            </w:pPr>
          </w:p>
        </w:tc>
        <w:tc>
          <w:tcPr>
            <w:tcW w:w="2025" w:type="dxa"/>
          </w:tcPr>
          <w:p w14:paraId="194A12B4" w14:textId="77777777" w:rsidR="00A037B4" w:rsidRPr="009D258A" w:rsidRDefault="00A037B4" w:rsidP="00835FFC">
            <w:pPr>
              <w:jc w:val="left"/>
              <w:rPr>
                <w:noProof/>
                <w:highlight w:val="green"/>
              </w:rPr>
            </w:pPr>
          </w:p>
        </w:tc>
        <w:tc>
          <w:tcPr>
            <w:tcW w:w="1514" w:type="dxa"/>
          </w:tcPr>
          <w:p w14:paraId="49BC5420" w14:textId="77777777" w:rsidR="00A037B4" w:rsidRPr="009D258A" w:rsidRDefault="00A037B4" w:rsidP="00835FFC">
            <w:pPr>
              <w:jc w:val="left"/>
              <w:rPr>
                <w:noProof/>
              </w:rPr>
            </w:pPr>
          </w:p>
        </w:tc>
      </w:tr>
    </w:tbl>
    <w:p w14:paraId="2B280D86" w14:textId="77777777" w:rsidR="00A037B4" w:rsidRPr="009D258A" w:rsidRDefault="00A037B4" w:rsidP="00A037B4">
      <w:pPr>
        <w:rPr>
          <w:i/>
          <w:iCs/>
          <w:noProof/>
        </w:rPr>
      </w:pPr>
      <w:r w:rsidRPr="009D258A">
        <w:rPr>
          <w:i/>
          <w:noProof/>
        </w:rPr>
        <w:t>Kunkin digitaalisen ratkaisun osalta selvitys siitä, miten digitaalinen ratkaisu on sovellettavien digitaalipolitiikkojen ja -säädösten mukainen</w:t>
      </w:r>
    </w:p>
    <w:p w14:paraId="3A9B850D" w14:textId="77777777" w:rsidR="00A037B4" w:rsidRPr="009D258A" w:rsidRDefault="00A037B4" w:rsidP="00A037B4">
      <w:pPr>
        <w:rPr>
          <w:i/>
          <w:iCs/>
          <w:noProof/>
        </w:rPr>
      </w:pPr>
    </w:p>
    <w:p w14:paraId="7B4C267A" w14:textId="77777777" w:rsidR="00A037B4" w:rsidRPr="009D258A" w:rsidRDefault="00A037B4" w:rsidP="00A037B4">
      <w:pPr>
        <w:spacing w:line="259" w:lineRule="auto"/>
        <w:rPr>
          <w:noProof/>
        </w:rPr>
      </w:pPr>
      <w:r w:rsidRPr="009D258A">
        <w:rPr>
          <w:b/>
          <w:noProof/>
          <w:u w:val="single"/>
        </w:rPr>
        <w:t>Digitaalinen ratkaisu #1</w:t>
      </w:r>
    </w:p>
    <w:tbl>
      <w:tblPr>
        <w:tblStyle w:val="TableGrid"/>
        <w:tblW w:w="1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8962"/>
      </w:tblGrid>
      <w:tr w:rsidR="00A037B4" w:rsidRPr="009D258A" w14:paraId="5BEE7769" w14:textId="77777777" w:rsidTr="00A037B4">
        <w:tc>
          <w:tcPr>
            <w:tcW w:w="5115" w:type="dxa"/>
          </w:tcPr>
          <w:p w14:paraId="336CFF98" w14:textId="77777777" w:rsidR="00A037B4" w:rsidRPr="009D258A" w:rsidRDefault="00A037B4" w:rsidP="00835FFC">
            <w:pPr>
              <w:jc w:val="left"/>
              <w:rPr>
                <w:b/>
                <w:bCs/>
                <w:noProof/>
              </w:rPr>
            </w:pPr>
            <w:r w:rsidRPr="009D258A">
              <w:rPr>
                <w:b/>
                <w:noProof/>
              </w:rPr>
              <w:t>Digitaalinen ja/tai alakohtainen politiikka (tarvittaessa)</w:t>
            </w:r>
          </w:p>
        </w:tc>
        <w:tc>
          <w:tcPr>
            <w:tcW w:w="8962" w:type="dxa"/>
          </w:tcPr>
          <w:p w14:paraId="77964BFF" w14:textId="77777777" w:rsidR="00A037B4" w:rsidRPr="009D258A" w:rsidRDefault="00A037B4" w:rsidP="00835FFC">
            <w:pPr>
              <w:jc w:val="left"/>
              <w:rPr>
                <w:b/>
                <w:bCs/>
                <w:noProof/>
              </w:rPr>
            </w:pPr>
            <w:r w:rsidRPr="009D258A">
              <w:rPr>
                <w:b/>
                <w:noProof/>
              </w:rPr>
              <w:t>Selvitys vastaavuudesta</w:t>
            </w:r>
          </w:p>
        </w:tc>
      </w:tr>
      <w:tr w:rsidR="00A037B4" w:rsidRPr="009D258A" w14:paraId="675D150E" w14:textId="77777777" w:rsidTr="00A037B4">
        <w:tc>
          <w:tcPr>
            <w:tcW w:w="5115" w:type="dxa"/>
          </w:tcPr>
          <w:p w14:paraId="6667E80F" w14:textId="77777777" w:rsidR="00A037B4" w:rsidRPr="009D258A" w:rsidRDefault="00A037B4" w:rsidP="00835FFC">
            <w:pPr>
              <w:jc w:val="left"/>
              <w:rPr>
                <w:b/>
                <w:bCs/>
                <w:i/>
                <w:iCs/>
                <w:noProof/>
              </w:rPr>
            </w:pPr>
            <w:r w:rsidRPr="009D258A">
              <w:rPr>
                <w:b/>
                <w:i/>
                <w:noProof/>
              </w:rPr>
              <w:t>Tekoälysäädös</w:t>
            </w:r>
          </w:p>
        </w:tc>
        <w:tc>
          <w:tcPr>
            <w:tcW w:w="8962" w:type="dxa"/>
          </w:tcPr>
          <w:p w14:paraId="3B3E7D63" w14:textId="77777777" w:rsidR="00A037B4" w:rsidRPr="009D258A" w:rsidRDefault="00A037B4" w:rsidP="00835FFC">
            <w:pPr>
              <w:spacing w:line="259" w:lineRule="auto"/>
              <w:jc w:val="left"/>
              <w:rPr>
                <w:noProof/>
              </w:rPr>
            </w:pPr>
          </w:p>
        </w:tc>
      </w:tr>
      <w:tr w:rsidR="00A037B4" w:rsidRPr="009D258A" w14:paraId="0B41FD90" w14:textId="77777777" w:rsidTr="00A037B4">
        <w:tc>
          <w:tcPr>
            <w:tcW w:w="5115" w:type="dxa"/>
          </w:tcPr>
          <w:p w14:paraId="78FDAEF9" w14:textId="77777777" w:rsidR="00A037B4" w:rsidRPr="009D258A" w:rsidRDefault="00A037B4" w:rsidP="00835FFC">
            <w:pPr>
              <w:jc w:val="left"/>
              <w:rPr>
                <w:b/>
                <w:bCs/>
                <w:i/>
                <w:iCs/>
                <w:noProof/>
              </w:rPr>
            </w:pPr>
            <w:r w:rsidRPr="009D258A">
              <w:rPr>
                <w:b/>
                <w:i/>
                <w:noProof/>
              </w:rPr>
              <w:t>EU:n kyberturvallisuuskehys</w:t>
            </w:r>
          </w:p>
        </w:tc>
        <w:tc>
          <w:tcPr>
            <w:tcW w:w="8962" w:type="dxa"/>
          </w:tcPr>
          <w:p w14:paraId="372E6E15" w14:textId="77777777" w:rsidR="00A037B4" w:rsidRPr="009D258A" w:rsidRDefault="00A037B4" w:rsidP="00835FFC">
            <w:pPr>
              <w:jc w:val="left"/>
              <w:rPr>
                <w:noProof/>
              </w:rPr>
            </w:pPr>
          </w:p>
        </w:tc>
      </w:tr>
      <w:tr w:rsidR="00A037B4" w:rsidRPr="009D258A" w14:paraId="6C569CEA" w14:textId="77777777" w:rsidTr="00A037B4">
        <w:tc>
          <w:tcPr>
            <w:tcW w:w="5115" w:type="dxa"/>
          </w:tcPr>
          <w:p w14:paraId="7DA9404C" w14:textId="77777777" w:rsidR="00A037B4" w:rsidRPr="009D258A" w:rsidRDefault="00A037B4" w:rsidP="00835FFC">
            <w:pPr>
              <w:jc w:val="left"/>
              <w:rPr>
                <w:b/>
                <w:bCs/>
                <w:i/>
                <w:iCs/>
                <w:noProof/>
              </w:rPr>
            </w:pPr>
            <w:r w:rsidRPr="009D258A">
              <w:rPr>
                <w:b/>
                <w:i/>
                <w:noProof/>
              </w:rPr>
              <w:t>eIDAS</w:t>
            </w:r>
          </w:p>
        </w:tc>
        <w:tc>
          <w:tcPr>
            <w:tcW w:w="8962" w:type="dxa"/>
          </w:tcPr>
          <w:p w14:paraId="61148C48" w14:textId="77777777" w:rsidR="00A037B4" w:rsidRPr="009D258A" w:rsidRDefault="00A037B4" w:rsidP="00835FFC">
            <w:pPr>
              <w:jc w:val="left"/>
              <w:rPr>
                <w:noProof/>
              </w:rPr>
            </w:pPr>
          </w:p>
        </w:tc>
      </w:tr>
      <w:tr w:rsidR="00A037B4" w:rsidRPr="009D258A" w14:paraId="741AE1D8" w14:textId="77777777" w:rsidTr="00A037B4">
        <w:tc>
          <w:tcPr>
            <w:tcW w:w="5115" w:type="dxa"/>
          </w:tcPr>
          <w:p w14:paraId="51CEB963" w14:textId="77777777" w:rsidR="00A037B4" w:rsidRPr="009D258A" w:rsidRDefault="00A037B4" w:rsidP="00835FFC">
            <w:pPr>
              <w:jc w:val="left"/>
              <w:rPr>
                <w:b/>
                <w:bCs/>
                <w:i/>
                <w:iCs/>
                <w:noProof/>
              </w:rPr>
            </w:pPr>
            <w:r w:rsidRPr="009D258A">
              <w:rPr>
                <w:b/>
                <w:i/>
                <w:noProof/>
              </w:rPr>
              <w:t>Yhteinen digitaalinen palveluväylä ja IMI</w:t>
            </w:r>
          </w:p>
        </w:tc>
        <w:tc>
          <w:tcPr>
            <w:tcW w:w="8962" w:type="dxa"/>
          </w:tcPr>
          <w:p w14:paraId="02AAF8E4" w14:textId="77777777" w:rsidR="00A037B4" w:rsidRPr="009D258A" w:rsidRDefault="00A037B4" w:rsidP="00835FFC">
            <w:pPr>
              <w:jc w:val="left"/>
              <w:rPr>
                <w:noProof/>
              </w:rPr>
            </w:pPr>
          </w:p>
        </w:tc>
      </w:tr>
      <w:tr w:rsidR="00A037B4" w:rsidRPr="009D258A" w14:paraId="547BEC10" w14:textId="77777777" w:rsidTr="00A037B4">
        <w:tc>
          <w:tcPr>
            <w:tcW w:w="5115" w:type="dxa"/>
          </w:tcPr>
          <w:p w14:paraId="46572351" w14:textId="77777777" w:rsidR="00A037B4" w:rsidRPr="009D258A" w:rsidRDefault="00A037B4" w:rsidP="00835FFC">
            <w:pPr>
              <w:jc w:val="left"/>
              <w:rPr>
                <w:b/>
                <w:bCs/>
                <w:i/>
                <w:iCs/>
                <w:noProof/>
              </w:rPr>
            </w:pPr>
            <w:r w:rsidRPr="009D258A">
              <w:rPr>
                <w:b/>
                <w:i/>
                <w:noProof/>
              </w:rPr>
              <w:t>Muut</w:t>
            </w:r>
          </w:p>
        </w:tc>
        <w:tc>
          <w:tcPr>
            <w:tcW w:w="8962" w:type="dxa"/>
          </w:tcPr>
          <w:p w14:paraId="17F2B0F9" w14:textId="77777777" w:rsidR="00A037B4" w:rsidRPr="009D258A" w:rsidRDefault="00A037B4" w:rsidP="00835FFC">
            <w:pPr>
              <w:jc w:val="left"/>
              <w:rPr>
                <w:rFonts w:eastAsia="Calibri"/>
                <w:noProof/>
              </w:rPr>
            </w:pPr>
          </w:p>
        </w:tc>
      </w:tr>
    </w:tbl>
    <w:p w14:paraId="311C1714" w14:textId="77777777" w:rsidR="00A037B4" w:rsidRPr="009D258A" w:rsidRDefault="00A037B4" w:rsidP="00A037B4">
      <w:pPr>
        <w:rPr>
          <w:noProof/>
        </w:rPr>
      </w:pPr>
    </w:p>
    <w:p w14:paraId="1DAE1802" w14:textId="77777777" w:rsidR="00A037B4" w:rsidRPr="009D258A" w:rsidRDefault="00A037B4" w:rsidP="00A037B4">
      <w:pPr>
        <w:rPr>
          <w:b/>
          <w:bCs/>
          <w:noProof/>
        </w:rPr>
      </w:pPr>
      <w:r w:rsidRPr="009D258A">
        <w:rPr>
          <w:b/>
          <w:noProof/>
        </w:rPr>
        <w:t>4.4. Yhteentoimivuusarviointi</w:t>
      </w:r>
    </w:p>
    <w:p w14:paraId="3ADBD1FA" w14:textId="77777777" w:rsidR="00A037B4" w:rsidRPr="009D258A" w:rsidRDefault="00A037B4" w:rsidP="00A037B4">
      <w:pPr>
        <w:rPr>
          <w:i/>
          <w:iCs/>
          <w:noProof/>
        </w:rPr>
      </w:pPr>
      <w:r w:rsidRPr="009D258A">
        <w:rPr>
          <w:i/>
          <w:noProof/>
        </w:rPr>
        <w:t>Ylätason kuvaus digitaalisista julkisista palveluista, joihin vaatimukset vaikuttavat</w:t>
      </w:r>
    </w:p>
    <w:tbl>
      <w:tblPr>
        <w:tblStyle w:val="TableGrid"/>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2268"/>
        <w:gridCol w:w="2685"/>
        <w:gridCol w:w="3694"/>
      </w:tblGrid>
      <w:tr w:rsidR="00A037B4" w:rsidRPr="009D258A" w14:paraId="46E472F6" w14:textId="77777777" w:rsidTr="00A037B4">
        <w:trPr>
          <w:trHeight w:val="1320"/>
        </w:trPr>
        <w:tc>
          <w:tcPr>
            <w:tcW w:w="2263" w:type="dxa"/>
          </w:tcPr>
          <w:p w14:paraId="1E134814" w14:textId="77777777" w:rsidR="00A037B4" w:rsidRPr="009D258A" w:rsidRDefault="00A037B4" w:rsidP="00835FFC">
            <w:pPr>
              <w:spacing w:before="0" w:after="0"/>
              <w:jc w:val="left"/>
              <w:rPr>
                <w:b/>
                <w:bCs/>
                <w:noProof/>
                <w:color w:val="000000"/>
              </w:rPr>
            </w:pPr>
            <w:r w:rsidRPr="009D258A">
              <w:rPr>
                <w:b/>
                <w:noProof/>
                <w:color w:val="000000" w:themeColor="text1"/>
              </w:rPr>
              <w:t>Digitaalinen julkinen palvelu tai digitaalisten julkisten palvelujen ryhmä</w:t>
            </w:r>
          </w:p>
        </w:tc>
        <w:tc>
          <w:tcPr>
            <w:tcW w:w="3544" w:type="dxa"/>
          </w:tcPr>
          <w:p w14:paraId="64C0DC17" w14:textId="77777777" w:rsidR="00A037B4" w:rsidRPr="009D258A" w:rsidRDefault="00A037B4" w:rsidP="00835FFC">
            <w:pPr>
              <w:jc w:val="left"/>
              <w:rPr>
                <w:b/>
                <w:bCs/>
                <w:noProof/>
              </w:rPr>
            </w:pPr>
            <w:r w:rsidRPr="009D258A">
              <w:rPr>
                <w:b/>
                <w:noProof/>
              </w:rPr>
              <w:t>Kuvaus</w:t>
            </w:r>
          </w:p>
        </w:tc>
        <w:tc>
          <w:tcPr>
            <w:tcW w:w="2268" w:type="dxa"/>
          </w:tcPr>
          <w:p w14:paraId="55C83A5E" w14:textId="77777777" w:rsidR="00A037B4" w:rsidRPr="009D258A" w:rsidRDefault="00A037B4" w:rsidP="00835FFC">
            <w:pPr>
              <w:jc w:val="left"/>
              <w:rPr>
                <w:b/>
                <w:bCs/>
                <w:noProof/>
              </w:rPr>
            </w:pPr>
            <w:r w:rsidRPr="009D258A">
              <w:rPr>
                <w:b/>
                <w:noProof/>
              </w:rPr>
              <w:t>Viittaukset vaatimuksiin</w:t>
            </w:r>
          </w:p>
        </w:tc>
        <w:tc>
          <w:tcPr>
            <w:tcW w:w="2685" w:type="dxa"/>
            <w:shd w:val="clear" w:color="auto" w:fill="7F7F7F" w:themeFill="text1" w:themeFillTint="80"/>
          </w:tcPr>
          <w:p w14:paraId="7D740415" w14:textId="77777777" w:rsidR="00A037B4" w:rsidRPr="009D258A" w:rsidRDefault="00A037B4" w:rsidP="00835FFC">
            <w:pPr>
              <w:jc w:val="left"/>
              <w:rPr>
                <w:b/>
                <w:bCs/>
                <w:noProof/>
              </w:rPr>
            </w:pPr>
            <w:r w:rsidRPr="009D258A">
              <w:rPr>
                <w:b/>
                <w:noProof/>
              </w:rPr>
              <w:t xml:space="preserve">Yhteentoimiva Eurooppa -ratkaisut </w:t>
            </w:r>
          </w:p>
          <w:p w14:paraId="66CD94F5" w14:textId="77777777" w:rsidR="00A037B4" w:rsidRPr="009D258A" w:rsidRDefault="00A037B4" w:rsidP="00835FFC">
            <w:pPr>
              <w:jc w:val="left"/>
              <w:rPr>
                <w:b/>
                <w:bCs/>
                <w:noProof/>
              </w:rPr>
            </w:pPr>
            <w:r w:rsidRPr="009D258A">
              <w:rPr>
                <w:b/>
                <w:noProof/>
              </w:rPr>
              <w:t>(EI SOVELLETA)</w:t>
            </w:r>
          </w:p>
        </w:tc>
        <w:tc>
          <w:tcPr>
            <w:tcW w:w="3694" w:type="dxa"/>
          </w:tcPr>
          <w:p w14:paraId="77D87A9B" w14:textId="77777777" w:rsidR="00A037B4" w:rsidRPr="009D258A" w:rsidRDefault="00A037B4" w:rsidP="00835FFC">
            <w:pPr>
              <w:jc w:val="left"/>
              <w:rPr>
                <w:b/>
                <w:bCs/>
                <w:noProof/>
              </w:rPr>
            </w:pPr>
            <w:r w:rsidRPr="009D258A">
              <w:rPr>
                <w:b/>
                <w:noProof/>
              </w:rPr>
              <w:t>Muut yhteentoimivuusratkaisut</w:t>
            </w:r>
          </w:p>
        </w:tc>
      </w:tr>
      <w:tr w:rsidR="00A037B4" w:rsidRPr="009D258A" w14:paraId="4C86C22E" w14:textId="77777777" w:rsidTr="00A037B4">
        <w:trPr>
          <w:trHeight w:val="300"/>
        </w:trPr>
        <w:tc>
          <w:tcPr>
            <w:tcW w:w="2263" w:type="dxa"/>
          </w:tcPr>
          <w:p w14:paraId="451B1B83" w14:textId="77777777" w:rsidR="00A037B4" w:rsidRPr="009D258A" w:rsidRDefault="4ED0C3B4" w:rsidP="00835FFC">
            <w:pPr>
              <w:spacing w:line="259" w:lineRule="auto"/>
              <w:jc w:val="left"/>
              <w:rPr>
                <w:rFonts w:eastAsia="Calibri"/>
                <w:noProof/>
              </w:rPr>
            </w:pPr>
            <w:r w:rsidRPr="009D258A">
              <w:rPr>
                <w:noProof/>
              </w:rPr>
              <w:t>Ei sovelleta (tekoälysäädökseen ehdotetut muutokset eivät vaikuta digitaalisiin julkisiin palveluihin)</w:t>
            </w:r>
          </w:p>
        </w:tc>
        <w:tc>
          <w:tcPr>
            <w:tcW w:w="3544" w:type="dxa"/>
          </w:tcPr>
          <w:p w14:paraId="3BFB49C1" w14:textId="77777777" w:rsidR="00A037B4" w:rsidRPr="009D258A" w:rsidRDefault="00A037B4" w:rsidP="00835FFC">
            <w:pPr>
              <w:jc w:val="left"/>
              <w:rPr>
                <w:rFonts w:eastAsia="Calibri"/>
                <w:noProof/>
                <w:highlight w:val="green"/>
              </w:rPr>
            </w:pPr>
          </w:p>
        </w:tc>
        <w:tc>
          <w:tcPr>
            <w:tcW w:w="2268" w:type="dxa"/>
          </w:tcPr>
          <w:p w14:paraId="324950CC" w14:textId="77777777" w:rsidR="00A037B4" w:rsidRPr="009D258A" w:rsidRDefault="00A037B4" w:rsidP="00835FFC">
            <w:pPr>
              <w:jc w:val="left"/>
              <w:rPr>
                <w:noProof/>
              </w:rPr>
            </w:pPr>
          </w:p>
        </w:tc>
        <w:tc>
          <w:tcPr>
            <w:tcW w:w="2685" w:type="dxa"/>
            <w:shd w:val="clear" w:color="auto" w:fill="7F7F7F" w:themeFill="text1" w:themeFillTint="80"/>
          </w:tcPr>
          <w:p w14:paraId="41AD7A3A" w14:textId="77777777" w:rsidR="00A037B4" w:rsidRPr="009D258A" w:rsidRDefault="00A037B4" w:rsidP="00835FFC">
            <w:pPr>
              <w:jc w:val="left"/>
              <w:rPr>
                <w:noProof/>
              </w:rPr>
            </w:pPr>
          </w:p>
        </w:tc>
        <w:tc>
          <w:tcPr>
            <w:tcW w:w="3694" w:type="dxa"/>
          </w:tcPr>
          <w:p w14:paraId="3736CDED" w14:textId="77777777" w:rsidR="00A037B4" w:rsidRPr="009D258A" w:rsidRDefault="00A037B4" w:rsidP="00835FFC">
            <w:pPr>
              <w:jc w:val="left"/>
              <w:rPr>
                <w:noProof/>
              </w:rPr>
            </w:pPr>
          </w:p>
        </w:tc>
      </w:tr>
    </w:tbl>
    <w:p w14:paraId="68D44AAE" w14:textId="77777777" w:rsidR="00A037B4" w:rsidRPr="009D258A" w:rsidRDefault="00A037B4" w:rsidP="00A037B4">
      <w:pPr>
        <w:rPr>
          <w:i/>
          <w:iCs/>
          <w:noProof/>
        </w:rPr>
      </w:pPr>
    </w:p>
    <w:p w14:paraId="3341EB99" w14:textId="77777777" w:rsidR="00A037B4" w:rsidRPr="009D258A" w:rsidRDefault="00A037B4" w:rsidP="00A037B4">
      <w:pPr>
        <w:rPr>
          <w:b/>
          <w:bCs/>
          <w:noProof/>
          <w:u w:val="single"/>
        </w:rPr>
      </w:pPr>
      <w:r w:rsidRPr="009D258A">
        <w:rPr>
          <w:i/>
          <w:noProof/>
        </w:rPr>
        <w:t>Digitaalisen julkisen palvelun vaatimusten vaikutus rajat ylittävään yhteentoimivuuteen</w:t>
      </w:r>
    </w:p>
    <w:p w14:paraId="02F82620" w14:textId="77777777" w:rsidR="00A037B4" w:rsidRPr="009D258A" w:rsidRDefault="00A037B4" w:rsidP="00A037B4">
      <w:pPr>
        <w:spacing w:line="259" w:lineRule="auto"/>
        <w:rPr>
          <w:b/>
          <w:bCs/>
          <w:noProof/>
          <w:u w:val="single"/>
        </w:rPr>
      </w:pPr>
      <w:r w:rsidRPr="009D258A">
        <w:rPr>
          <w:b/>
          <w:noProof/>
          <w:u w:val="single"/>
        </w:rPr>
        <w:t>Digitaalinen julkinen palvelu #1</w:t>
      </w:r>
    </w:p>
    <w:tbl>
      <w:tblPr>
        <w:tblStyle w:val="TableGrid"/>
        <w:tblW w:w="14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0"/>
        <w:gridCol w:w="7365"/>
        <w:gridCol w:w="3364"/>
      </w:tblGrid>
      <w:tr w:rsidR="00A037B4" w:rsidRPr="009D258A" w14:paraId="70CFDFC0" w14:textId="77777777" w:rsidTr="00A037B4">
        <w:trPr>
          <w:trHeight w:val="300"/>
        </w:trPr>
        <w:tc>
          <w:tcPr>
            <w:tcW w:w="3750" w:type="dxa"/>
          </w:tcPr>
          <w:p w14:paraId="04DB4F6D" w14:textId="77777777" w:rsidR="00A037B4" w:rsidRPr="009D258A" w:rsidRDefault="00A037B4" w:rsidP="00835FFC">
            <w:pPr>
              <w:jc w:val="left"/>
              <w:rPr>
                <w:b/>
                <w:bCs/>
                <w:noProof/>
              </w:rPr>
            </w:pPr>
            <w:r w:rsidRPr="009D258A">
              <w:rPr>
                <w:b/>
                <w:noProof/>
              </w:rPr>
              <w:t>Arvio</w:t>
            </w:r>
          </w:p>
        </w:tc>
        <w:tc>
          <w:tcPr>
            <w:tcW w:w="7365" w:type="dxa"/>
          </w:tcPr>
          <w:p w14:paraId="6C82CC1C" w14:textId="77777777" w:rsidR="00A037B4" w:rsidRPr="009D258A" w:rsidRDefault="00A037B4" w:rsidP="00835FFC">
            <w:pPr>
              <w:jc w:val="left"/>
              <w:rPr>
                <w:b/>
                <w:bCs/>
                <w:noProof/>
              </w:rPr>
            </w:pPr>
            <w:r w:rsidRPr="009D258A">
              <w:rPr>
                <w:b/>
                <w:noProof/>
              </w:rPr>
              <w:t>Toimenpiteet</w:t>
            </w:r>
          </w:p>
        </w:tc>
        <w:tc>
          <w:tcPr>
            <w:tcW w:w="3364" w:type="dxa"/>
          </w:tcPr>
          <w:p w14:paraId="70DD31E4" w14:textId="77777777" w:rsidR="00A037B4" w:rsidRPr="009D258A" w:rsidRDefault="00A037B4" w:rsidP="00835FFC">
            <w:pPr>
              <w:jc w:val="left"/>
              <w:rPr>
                <w:b/>
                <w:bCs/>
                <w:noProof/>
              </w:rPr>
            </w:pPr>
            <w:r w:rsidRPr="009D258A">
              <w:rPr>
                <w:b/>
                <w:noProof/>
              </w:rPr>
              <w:t>Mahdolliset jäljellä olevat esteet (tapauksen mukaan)</w:t>
            </w:r>
          </w:p>
        </w:tc>
      </w:tr>
      <w:tr w:rsidR="00A037B4" w:rsidRPr="009D258A" w14:paraId="7C41582F" w14:textId="77777777" w:rsidTr="00A037B4">
        <w:trPr>
          <w:trHeight w:val="300"/>
        </w:trPr>
        <w:tc>
          <w:tcPr>
            <w:tcW w:w="3750" w:type="dxa"/>
          </w:tcPr>
          <w:p w14:paraId="71C7C68D" w14:textId="77777777" w:rsidR="00A037B4" w:rsidRPr="009D258A" w:rsidRDefault="00A037B4" w:rsidP="00835FFC">
            <w:pPr>
              <w:spacing w:before="0"/>
              <w:jc w:val="left"/>
              <w:rPr>
                <w:rFonts w:eastAsiaTheme="minorEastAsia"/>
                <w:b/>
                <w:bCs/>
                <w:noProof/>
              </w:rPr>
            </w:pPr>
            <w:r w:rsidRPr="009D258A">
              <w:rPr>
                <w:b/>
                <w:noProof/>
              </w:rPr>
              <w:t xml:space="preserve">Yhdenmukaisuus nykyisten digitaali- ja alakohtaisten politiikkojen kanssa </w:t>
            </w:r>
          </w:p>
          <w:p w14:paraId="18190E87" w14:textId="77777777" w:rsidR="00A037B4" w:rsidRPr="009D258A" w:rsidRDefault="00A037B4" w:rsidP="00835FFC">
            <w:pPr>
              <w:spacing w:before="0"/>
              <w:jc w:val="left"/>
              <w:rPr>
                <w:b/>
                <w:bCs/>
                <w:noProof/>
              </w:rPr>
            </w:pPr>
            <w:r w:rsidRPr="009D258A">
              <w:rPr>
                <w:b/>
                <w:noProof/>
              </w:rPr>
              <w:t>Luetelkaa yksilöidyt sovellettavat digitaali- ja alakohtaiset politiikat</w:t>
            </w:r>
          </w:p>
        </w:tc>
        <w:tc>
          <w:tcPr>
            <w:tcW w:w="7365" w:type="dxa"/>
          </w:tcPr>
          <w:p w14:paraId="144F1BE6" w14:textId="77777777" w:rsidR="00A037B4" w:rsidRPr="009D258A" w:rsidRDefault="00A037B4" w:rsidP="00835FFC">
            <w:pPr>
              <w:spacing w:line="259" w:lineRule="auto"/>
              <w:jc w:val="left"/>
              <w:rPr>
                <w:rFonts w:eastAsia="Calibri"/>
                <w:noProof/>
              </w:rPr>
            </w:pPr>
          </w:p>
        </w:tc>
        <w:tc>
          <w:tcPr>
            <w:tcW w:w="3364" w:type="dxa"/>
          </w:tcPr>
          <w:p w14:paraId="39EE0BA4" w14:textId="77777777" w:rsidR="00A037B4" w:rsidRPr="009D258A" w:rsidRDefault="00A037B4" w:rsidP="00835FFC">
            <w:pPr>
              <w:jc w:val="left"/>
              <w:rPr>
                <w:rFonts w:eastAsia="Calibri"/>
                <w:noProof/>
              </w:rPr>
            </w:pPr>
          </w:p>
        </w:tc>
      </w:tr>
      <w:tr w:rsidR="00A037B4" w:rsidRPr="009D258A" w14:paraId="5FB1C137" w14:textId="77777777" w:rsidTr="00A037B4">
        <w:trPr>
          <w:trHeight w:val="1830"/>
        </w:trPr>
        <w:tc>
          <w:tcPr>
            <w:tcW w:w="3750" w:type="dxa"/>
          </w:tcPr>
          <w:p w14:paraId="71E0F975" w14:textId="77777777" w:rsidR="00A037B4" w:rsidRPr="009D258A" w:rsidRDefault="00A037B4" w:rsidP="00835FFC">
            <w:pPr>
              <w:jc w:val="left"/>
              <w:rPr>
                <w:rFonts w:eastAsiaTheme="minorEastAsia"/>
                <w:b/>
                <w:bCs/>
                <w:noProof/>
              </w:rPr>
            </w:pPr>
            <w:r w:rsidRPr="009D258A">
              <w:rPr>
                <w:b/>
                <w:noProof/>
              </w:rPr>
              <w:t>Organisatoriset toimenpiteet, joilla edistetään digitaalisten julkisten palvelujen sujuvaa tarjoamista rajojen yli</w:t>
            </w:r>
          </w:p>
          <w:p w14:paraId="5ECEFD68" w14:textId="77777777" w:rsidR="00A037B4" w:rsidRPr="009D258A" w:rsidRDefault="00A037B4" w:rsidP="00835FFC">
            <w:pPr>
              <w:jc w:val="left"/>
              <w:rPr>
                <w:b/>
                <w:bCs/>
                <w:noProof/>
              </w:rPr>
            </w:pPr>
            <w:r w:rsidRPr="009D258A">
              <w:rPr>
                <w:b/>
                <w:noProof/>
              </w:rPr>
              <w:t>Luetelkaa suunnitellut hallinnolliset toimenpiteet</w:t>
            </w:r>
          </w:p>
        </w:tc>
        <w:tc>
          <w:tcPr>
            <w:tcW w:w="7365" w:type="dxa"/>
          </w:tcPr>
          <w:p w14:paraId="45DC5B05" w14:textId="77777777" w:rsidR="00A037B4" w:rsidRPr="009D258A" w:rsidRDefault="00A037B4" w:rsidP="00835FFC">
            <w:pPr>
              <w:spacing w:after="0"/>
              <w:jc w:val="left"/>
              <w:rPr>
                <w:rFonts w:eastAsia="Calibri"/>
                <w:noProof/>
              </w:rPr>
            </w:pPr>
          </w:p>
        </w:tc>
        <w:tc>
          <w:tcPr>
            <w:tcW w:w="3364" w:type="dxa"/>
          </w:tcPr>
          <w:p w14:paraId="319C994C" w14:textId="77777777" w:rsidR="00A037B4" w:rsidRPr="009D258A" w:rsidRDefault="00A037B4" w:rsidP="00835FFC">
            <w:pPr>
              <w:jc w:val="left"/>
              <w:rPr>
                <w:rFonts w:eastAsia="Calibri"/>
                <w:noProof/>
              </w:rPr>
            </w:pPr>
          </w:p>
        </w:tc>
      </w:tr>
      <w:tr w:rsidR="00A037B4" w:rsidRPr="009D258A" w14:paraId="3CD7E0BB" w14:textId="77777777" w:rsidTr="00A037B4">
        <w:trPr>
          <w:trHeight w:val="300"/>
        </w:trPr>
        <w:tc>
          <w:tcPr>
            <w:tcW w:w="3750" w:type="dxa"/>
          </w:tcPr>
          <w:p w14:paraId="414E3532" w14:textId="77777777" w:rsidR="00A037B4" w:rsidRPr="009D258A" w:rsidRDefault="00A037B4" w:rsidP="00835FFC">
            <w:pPr>
              <w:jc w:val="left"/>
              <w:rPr>
                <w:rFonts w:eastAsiaTheme="minorEastAsia"/>
                <w:b/>
                <w:bCs/>
                <w:noProof/>
              </w:rPr>
            </w:pPr>
            <w:r w:rsidRPr="009D258A">
              <w:rPr>
                <w:b/>
                <w:noProof/>
              </w:rPr>
              <w:t>Toteutetut toimenpiteet sen varmistamiseksi, että datasta/tiedosta on yhteinen käsitys</w:t>
            </w:r>
          </w:p>
          <w:p w14:paraId="705B8D50" w14:textId="77777777" w:rsidR="00A037B4" w:rsidRPr="009D258A" w:rsidRDefault="00A037B4" w:rsidP="00835FFC">
            <w:pPr>
              <w:jc w:val="left"/>
              <w:rPr>
                <w:b/>
                <w:bCs/>
                <w:noProof/>
              </w:rPr>
            </w:pPr>
            <w:r w:rsidRPr="009D258A">
              <w:rPr>
                <w:b/>
                <w:noProof/>
              </w:rPr>
              <w:t>Luetelkaa tällaiset toimenpiteet</w:t>
            </w:r>
          </w:p>
        </w:tc>
        <w:tc>
          <w:tcPr>
            <w:tcW w:w="7365" w:type="dxa"/>
          </w:tcPr>
          <w:p w14:paraId="03492137" w14:textId="77777777" w:rsidR="00A037B4" w:rsidRPr="009D258A" w:rsidRDefault="00A037B4" w:rsidP="00835FFC">
            <w:pPr>
              <w:jc w:val="left"/>
              <w:rPr>
                <w:rFonts w:eastAsia="Calibri"/>
                <w:i/>
                <w:iCs/>
                <w:noProof/>
              </w:rPr>
            </w:pPr>
          </w:p>
        </w:tc>
        <w:tc>
          <w:tcPr>
            <w:tcW w:w="3364" w:type="dxa"/>
          </w:tcPr>
          <w:p w14:paraId="278BE4DE" w14:textId="77777777" w:rsidR="00A037B4" w:rsidRPr="009D258A" w:rsidRDefault="00A037B4" w:rsidP="00835FFC">
            <w:pPr>
              <w:jc w:val="left"/>
              <w:rPr>
                <w:rFonts w:eastAsia="Calibri"/>
                <w:noProof/>
              </w:rPr>
            </w:pPr>
          </w:p>
        </w:tc>
      </w:tr>
      <w:tr w:rsidR="00A037B4" w:rsidRPr="009D258A" w14:paraId="4187942F" w14:textId="77777777" w:rsidTr="00A037B4">
        <w:trPr>
          <w:trHeight w:val="300"/>
        </w:trPr>
        <w:tc>
          <w:tcPr>
            <w:tcW w:w="3750" w:type="dxa"/>
          </w:tcPr>
          <w:p w14:paraId="40D54CBC" w14:textId="77777777" w:rsidR="00A037B4" w:rsidRPr="009D258A" w:rsidRDefault="00A037B4" w:rsidP="00835FFC">
            <w:pPr>
              <w:jc w:val="left"/>
              <w:rPr>
                <w:rFonts w:eastAsiaTheme="minorEastAsia"/>
                <w:b/>
                <w:bCs/>
                <w:noProof/>
              </w:rPr>
            </w:pPr>
            <w:r w:rsidRPr="009D258A">
              <w:rPr>
                <w:b/>
                <w:noProof/>
              </w:rPr>
              <w:t>Yhteisesti sovittujen avointen teknisten eritelmien ja standardien käyttö</w:t>
            </w:r>
          </w:p>
          <w:p w14:paraId="51EDAA3A" w14:textId="77777777" w:rsidR="00A037B4" w:rsidRPr="009D258A" w:rsidRDefault="00A037B4" w:rsidP="00835FFC">
            <w:pPr>
              <w:jc w:val="left"/>
              <w:rPr>
                <w:b/>
                <w:bCs/>
                <w:noProof/>
              </w:rPr>
            </w:pPr>
            <w:r w:rsidRPr="009D258A">
              <w:rPr>
                <w:b/>
                <w:noProof/>
              </w:rPr>
              <w:t>Luetelkaa tällaiset toimenpiteet</w:t>
            </w:r>
          </w:p>
        </w:tc>
        <w:tc>
          <w:tcPr>
            <w:tcW w:w="7365" w:type="dxa"/>
          </w:tcPr>
          <w:p w14:paraId="25A85C6C" w14:textId="77777777" w:rsidR="00A037B4" w:rsidRPr="009D258A" w:rsidRDefault="00A037B4" w:rsidP="00835FFC">
            <w:pPr>
              <w:jc w:val="left"/>
              <w:rPr>
                <w:rFonts w:eastAsia="Calibri"/>
                <w:noProof/>
              </w:rPr>
            </w:pPr>
          </w:p>
        </w:tc>
        <w:tc>
          <w:tcPr>
            <w:tcW w:w="3364" w:type="dxa"/>
          </w:tcPr>
          <w:p w14:paraId="46EE5D8C" w14:textId="77777777" w:rsidR="00A037B4" w:rsidRPr="009D258A" w:rsidRDefault="00A037B4" w:rsidP="00835FFC">
            <w:pPr>
              <w:tabs>
                <w:tab w:val="left" w:pos="5678"/>
              </w:tabs>
              <w:jc w:val="left"/>
              <w:rPr>
                <w:rFonts w:eastAsia="Calibri"/>
                <w:noProof/>
              </w:rPr>
            </w:pPr>
          </w:p>
        </w:tc>
      </w:tr>
    </w:tbl>
    <w:p w14:paraId="094C9E21" w14:textId="77777777" w:rsidR="00A037B4" w:rsidRPr="009D258A" w:rsidRDefault="00A037B4" w:rsidP="00A037B4">
      <w:pPr>
        <w:rPr>
          <w:noProof/>
        </w:rPr>
      </w:pPr>
    </w:p>
    <w:p w14:paraId="5B5AFD4D" w14:textId="77777777" w:rsidR="00A037B4" w:rsidRPr="009D258A" w:rsidRDefault="00A037B4" w:rsidP="00A037B4">
      <w:pPr>
        <w:rPr>
          <w:b/>
          <w:bCs/>
          <w:noProof/>
        </w:rPr>
      </w:pPr>
      <w:r w:rsidRPr="009D258A">
        <w:rPr>
          <w:b/>
          <w:noProof/>
        </w:rPr>
        <w:t>4.5. Toimenpiteet digitaalisen täytäntöönpanon tukemiseksi</w:t>
      </w:r>
    </w:p>
    <w:p w14:paraId="4CB45E58" w14:textId="77777777" w:rsidR="00A037B4" w:rsidRPr="009D258A" w:rsidRDefault="00A037B4" w:rsidP="00A037B4">
      <w:pPr>
        <w:rPr>
          <w:i/>
          <w:iCs/>
          <w:noProof/>
        </w:rPr>
      </w:pPr>
      <w:r w:rsidRPr="009D258A">
        <w:rPr>
          <w:i/>
          <w:noProof/>
        </w:rPr>
        <w:t>Ylätason kuvaus digitaalista täytäntöönpanoa tukevista toimenpiteistä</w:t>
      </w:r>
    </w:p>
    <w:tbl>
      <w:tblPr>
        <w:tblStyle w:val="TableGrid"/>
        <w:tblW w:w="14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265"/>
        <w:gridCol w:w="2100"/>
        <w:gridCol w:w="2520"/>
        <w:gridCol w:w="3315"/>
      </w:tblGrid>
      <w:tr w:rsidR="00A037B4" w:rsidRPr="009D258A" w14:paraId="1DE2A761" w14:textId="77777777" w:rsidTr="00A037B4">
        <w:trPr>
          <w:trHeight w:val="300"/>
        </w:trPr>
        <w:tc>
          <w:tcPr>
            <w:tcW w:w="4248" w:type="dxa"/>
          </w:tcPr>
          <w:p w14:paraId="3E943AF9" w14:textId="77777777" w:rsidR="00A037B4" w:rsidRPr="009D258A" w:rsidRDefault="00A037B4" w:rsidP="00835FFC">
            <w:pPr>
              <w:jc w:val="left"/>
              <w:rPr>
                <w:b/>
                <w:bCs/>
                <w:noProof/>
                <w:color w:val="000000"/>
              </w:rPr>
            </w:pPr>
            <w:r w:rsidRPr="009D258A">
              <w:rPr>
                <w:b/>
                <w:noProof/>
              </w:rPr>
              <w:t>Toimenpiteen</w:t>
            </w:r>
            <w:r w:rsidRPr="009D258A">
              <w:rPr>
                <w:b/>
                <w:noProof/>
                <w:color w:val="000000" w:themeColor="text1"/>
              </w:rPr>
              <w:t xml:space="preserve"> kuvaus</w:t>
            </w:r>
          </w:p>
        </w:tc>
        <w:tc>
          <w:tcPr>
            <w:tcW w:w="2265" w:type="dxa"/>
          </w:tcPr>
          <w:p w14:paraId="57A7369A" w14:textId="77777777" w:rsidR="00A037B4" w:rsidRPr="009D258A" w:rsidRDefault="00A037B4" w:rsidP="00835FFC">
            <w:pPr>
              <w:jc w:val="left"/>
              <w:rPr>
                <w:b/>
                <w:bCs/>
                <w:noProof/>
              </w:rPr>
            </w:pPr>
            <w:r w:rsidRPr="009D258A">
              <w:rPr>
                <w:b/>
                <w:noProof/>
              </w:rPr>
              <w:t xml:space="preserve">Viittaukset vaatimuksiin </w:t>
            </w:r>
          </w:p>
        </w:tc>
        <w:tc>
          <w:tcPr>
            <w:tcW w:w="2100" w:type="dxa"/>
          </w:tcPr>
          <w:p w14:paraId="44E68B1C" w14:textId="77777777" w:rsidR="00A037B4" w:rsidRPr="009D258A" w:rsidRDefault="00A037B4" w:rsidP="00835FFC">
            <w:pPr>
              <w:jc w:val="left"/>
              <w:rPr>
                <w:b/>
                <w:bCs/>
                <w:noProof/>
              </w:rPr>
            </w:pPr>
            <w:r w:rsidRPr="009D258A">
              <w:rPr>
                <w:b/>
                <w:noProof/>
              </w:rPr>
              <w:t xml:space="preserve">Komission tehtävä </w:t>
            </w:r>
          </w:p>
          <w:p w14:paraId="5B7390DB" w14:textId="77777777" w:rsidR="00A037B4" w:rsidRPr="009D258A" w:rsidRDefault="00A037B4" w:rsidP="00835FFC">
            <w:pPr>
              <w:jc w:val="left"/>
              <w:rPr>
                <w:b/>
                <w:bCs/>
                <w:noProof/>
              </w:rPr>
            </w:pPr>
            <w:r w:rsidRPr="009D258A">
              <w:rPr>
                <w:noProof/>
              </w:rPr>
              <w:t>(tapauksen mukaan)</w:t>
            </w:r>
          </w:p>
        </w:tc>
        <w:tc>
          <w:tcPr>
            <w:tcW w:w="2520" w:type="dxa"/>
          </w:tcPr>
          <w:p w14:paraId="7B88F9AC" w14:textId="77777777" w:rsidR="00A037B4" w:rsidRPr="009D258A" w:rsidRDefault="00A037B4" w:rsidP="00835FFC">
            <w:pPr>
              <w:jc w:val="left"/>
              <w:rPr>
                <w:b/>
                <w:bCs/>
                <w:noProof/>
              </w:rPr>
            </w:pPr>
            <w:r w:rsidRPr="009D258A">
              <w:rPr>
                <w:b/>
                <w:noProof/>
              </w:rPr>
              <w:t>Mukana olevat toimijat</w:t>
            </w:r>
          </w:p>
          <w:p w14:paraId="50DF2CB3" w14:textId="77777777" w:rsidR="00A037B4" w:rsidRPr="009D258A" w:rsidRDefault="00A037B4" w:rsidP="00835FFC">
            <w:pPr>
              <w:jc w:val="left"/>
              <w:rPr>
                <w:noProof/>
              </w:rPr>
            </w:pPr>
            <w:r w:rsidRPr="009D258A">
              <w:rPr>
                <w:noProof/>
              </w:rPr>
              <w:t>(tapauksen mukaan)</w:t>
            </w:r>
          </w:p>
        </w:tc>
        <w:tc>
          <w:tcPr>
            <w:tcW w:w="3315" w:type="dxa"/>
          </w:tcPr>
          <w:p w14:paraId="1CC2BA8D" w14:textId="77777777" w:rsidR="00A037B4" w:rsidRPr="009D258A" w:rsidRDefault="00A037B4" w:rsidP="00835FFC">
            <w:pPr>
              <w:jc w:val="left"/>
              <w:rPr>
                <w:b/>
                <w:bCs/>
                <w:noProof/>
              </w:rPr>
            </w:pPr>
            <w:r w:rsidRPr="009D258A">
              <w:rPr>
                <w:b/>
                <w:noProof/>
              </w:rPr>
              <w:t>Suunniteltu aikataulu</w:t>
            </w:r>
          </w:p>
          <w:p w14:paraId="757B7FCC" w14:textId="77777777" w:rsidR="00A037B4" w:rsidRPr="009D258A" w:rsidRDefault="00A037B4" w:rsidP="00835FFC">
            <w:pPr>
              <w:jc w:val="left"/>
              <w:rPr>
                <w:noProof/>
              </w:rPr>
            </w:pPr>
            <w:r w:rsidRPr="009D258A">
              <w:rPr>
                <w:noProof/>
              </w:rPr>
              <w:t>(tapauksen mukaan)</w:t>
            </w:r>
          </w:p>
        </w:tc>
      </w:tr>
      <w:tr w:rsidR="00A037B4" w:rsidRPr="009D258A" w14:paraId="182A633D" w14:textId="77777777" w:rsidTr="00A037B4">
        <w:trPr>
          <w:trHeight w:val="300"/>
        </w:trPr>
        <w:tc>
          <w:tcPr>
            <w:tcW w:w="4248" w:type="dxa"/>
          </w:tcPr>
          <w:p w14:paraId="1B3BE7DE" w14:textId="77777777" w:rsidR="00A037B4" w:rsidRPr="009D258A" w:rsidRDefault="0295FE56" w:rsidP="00835FFC">
            <w:pPr>
              <w:spacing w:line="259" w:lineRule="auto"/>
              <w:jc w:val="left"/>
              <w:rPr>
                <w:noProof/>
              </w:rPr>
            </w:pPr>
            <w:r w:rsidRPr="009D258A">
              <w:rPr>
                <w:noProof/>
              </w:rPr>
              <w:t>ei sovelleta</w:t>
            </w:r>
          </w:p>
        </w:tc>
        <w:tc>
          <w:tcPr>
            <w:tcW w:w="2265" w:type="dxa"/>
          </w:tcPr>
          <w:p w14:paraId="643AE8E4" w14:textId="77777777" w:rsidR="00A037B4" w:rsidRPr="009D258A" w:rsidRDefault="00A037B4" w:rsidP="00835FFC">
            <w:pPr>
              <w:jc w:val="left"/>
              <w:rPr>
                <w:noProof/>
              </w:rPr>
            </w:pPr>
          </w:p>
        </w:tc>
        <w:tc>
          <w:tcPr>
            <w:tcW w:w="2100" w:type="dxa"/>
          </w:tcPr>
          <w:p w14:paraId="43056A57" w14:textId="77777777" w:rsidR="00A037B4" w:rsidRPr="009D258A" w:rsidRDefault="00A037B4" w:rsidP="00835FFC">
            <w:pPr>
              <w:jc w:val="left"/>
              <w:rPr>
                <w:noProof/>
              </w:rPr>
            </w:pPr>
          </w:p>
        </w:tc>
        <w:tc>
          <w:tcPr>
            <w:tcW w:w="2520" w:type="dxa"/>
          </w:tcPr>
          <w:p w14:paraId="41CD5A95" w14:textId="77777777" w:rsidR="00A037B4" w:rsidRPr="009D258A" w:rsidRDefault="00A037B4" w:rsidP="00835FFC">
            <w:pPr>
              <w:jc w:val="left"/>
              <w:rPr>
                <w:noProof/>
              </w:rPr>
            </w:pPr>
          </w:p>
        </w:tc>
        <w:tc>
          <w:tcPr>
            <w:tcW w:w="3315" w:type="dxa"/>
          </w:tcPr>
          <w:p w14:paraId="7E18CAD6" w14:textId="77777777" w:rsidR="00A037B4" w:rsidRPr="009D258A" w:rsidRDefault="00A037B4" w:rsidP="00835FFC">
            <w:pPr>
              <w:jc w:val="left"/>
              <w:rPr>
                <w:noProof/>
              </w:rPr>
            </w:pPr>
          </w:p>
        </w:tc>
      </w:tr>
    </w:tbl>
    <w:p w14:paraId="2D2DD96D" w14:textId="77777777" w:rsidR="009C3EE2" w:rsidRPr="009D258A" w:rsidRDefault="009C3EE2" w:rsidP="00262856">
      <w:pPr>
        <w:rPr>
          <w:noProof/>
        </w:rPr>
      </w:pPr>
    </w:p>
    <w:sectPr w:rsidR="009C3EE2" w:rsidRPr="009D258A" w:rsidSect="0053045F">
      <w:pgSz w:w="16839" w:h="11907" w:orient="landscape"/>
      <w:pgMar w:top="1417" w:right="1134" w:bottom="1417"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3A3B6" w14:textId="77777777" w:rsidR="00B11204" w:rsidRPr="00F81955" w:rsidRDefault="00B11204" w:rsidP="009C3EE2">
      <w:pPr>
        <w:spacing w:before="0" w:after="0"/>
      </w:pPr>
      <w:r>
        <w:separator/>
      </w:r>
    </w:p>
    <w:p w14:paraId="20DC7275" w14:textId="77777777" w:rsidR="00B11204" w:rsidRPr="00F81955" w:rsidRDefault="00B11204"/>
  </w:endnote>
  <w:endnote w:type="continuationSeparator" w:id="0">
    <w:p w14:paraId="0FC4821D" w14:textId="77777777" w:rsidR="00B11204" w:rsidRPr="00F81955" w:rsidRDefault="00B11204" w:rsidP="009C3EE2">
      <w:pPr>
        <w:spacing w:before="0" w:after="0"/>
      </w:pPr>
      <w:r>
        <w:continuationSeparator/>
      </w:r>
    </w:p>
    <w:p w14:paraId="00C050CE" w14:textId="77777777" w:rsidR="00B11204" w:rsidRPr="00F81955" w:rsidRDefault="00B11204"/>
  </w:endnote>
  <w:endnote w:type="continuationNotice" w:id="1">
    <w:p w14:paraId="33544C7D" w14:textId="77777777" w:rsidR="00B11204" w:rsidRPr="00F81955" w:rsidRDefault="00B11204">
      <w:pPr>
        <w:spacing w:before="0" w:after="0"/>
      </w:pPr>
    </w:p>
    <w:p w14:paraId="44071A79" w14:textId="77777777" w:rsidR="00B11204" w:rsidRPr="00F81955" w:rsidRDefault="00B11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Albertina">
    <w:altName w:val="Calibri"/>
    <w:charset w:val="00"/>
    <w:family w:val="auto"/>
    <w:pitch w:val="variable"/>
    <w:sig w:usb0="800002EF" w:usb1="1000E0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73706" w14:textId="202955BF" w:rsidR="0053045F" w:rsidRPr="0053045F" w:rsidRDefault="0053045F" w:rsidP="0053045F">
    <w:pPr>
      <w:pStyle w:val="Footer"/>
      <w:rPr>
        <w:rFonts w:ascii="Arial" w:hAnsi="Arial" w:cs="Arial"/>
        <w:b/>
        <w:sz w:val="48"/>
      </w:rPr>
    </w:pPr>
    <w:r w:rsidRPr="0053045F">
      <w:rPr>
        <w:rFonts w:ascii="Arial" w:hAnsi="Arial" w:cs="Arial"/>
        <w:b/>
        <w:sz w:val="48"/>
      </w:rPr>
      <w:t>FI</w:t>
    </w:r>
    <w:r w:rsidRPr="0053045F">
      <w:rPr>
        <w:rFonts w:ascii="Arial" w:hAnsi="Arial" w:cs="Arial"/>
        <w:b/>
        <w:sz w:val="48"/>
      </w:rPr>
      <w:tab/>
    </w:r>
    <w:r w:rsidRPr="0053045F">
      <w:rPr>
        <w:rFonts w:ascii="Arial" w:hAnsi="Arial" w:cs="Arial"/>
        <w:b/>
        <w:sz w:val="48"/>
      </w:rPr>
      <w:tab/>
    </w:r>
    <w:r w:rsidRPr="0053045F">
      <w:tab/>
    </w:r>
    <w:r w:rsidRPr="0053045F">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DF2B9" w14:textId="2A8632F9" w:rsidR="0053045F" w:rsidRPr="0053045F" w:rsidRDefault="0053045F" w:rsidP="0053045F">
    <w:pPr>
      <w:pStyle w:val="Footer"/>
      <w:rPr>
        <w:rFonts w:ascii="Arial" w:hAnsi="Arial" w:cs="Arial"/>
        <w:b/>
        <w:sz w:val="48"/>
      </w:rPr>
    </w:pPr>
    <w:r w:rsidRPr="0053045F">
      <w:rPr>
        <w:rFonts w:ascii="Arial" w:hAnsi="Arial" w:cs="Arial"/>
        <w:b/>
        <w:sz w:val="48"/>
      </w:rPr>
      <w:t>FI</w:t>
    </w:r>
    <w:r w:rsidRPr="0053045F">
      <w:rPr>
        <w:rFonts w:ascii="Arial" w:hAnsi="Arial" w:cs="Arial"/>
        <w:b/>
        <w:sz w:val="48"/>
      </w:rPr>
      <w:tab/>
    </w:r>
    <w:r w:rsidRPr="0053045F">
      <w:rPr>
        <w:rFonts w:ascii="Arial" w:hAnsi="Arial" w:cs="Arial"/>
        <w:b/>
        <w:sz w:val="48"/>
      </w:rPr>
      <w:tab/>
    </w:r>
    <w:r w:rsidRPr="0053045F">
      <w:tab/>
    </w:r>
    <w:r w:rsidRPr="0053045F">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BD8C7" w14:textId="77777777" w:rsidR="0053045F" w:rsidRDefault="005304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769D" w14:textId="2991C077" w:rsidR="0053045F" w:rsidRPr="0053045F" w:rsidRDefault="0053045F" w:rsidP="0053045F">
    <w:pPr>
      <w:pStyle w:val="Footer"/>
      <w:rPr>
        <w:rFonts w:ascii="Arial" w:hAnsi="Arial" w:cs="Arial"/>
        <w:b/>
        <w:sz w:val="48"/>
      </w:rPr>
    </w:pPr>
    <w:r w:rsidRPr="0053045F">
      <w:rPr>
        <w:rFonts w:ascii="Arial" w:hAnsi="Arial" w:cs="Arial"/>
        <w:b/>
        <w:sz w:val="48"/>
      </w:rPr>
      <w:t>FI</w:t>
    </w:r>
    <w:r w:rsidRPr="0053045F">
      <w:rPr>
        <w:rFonts w:ascii="Arial" w:hAnsi="Arial" w:cs="Arial"/>
        <w:b/>
        <w:sz w:val="48"/>
      </w:rPr>
      <w:tab/>
    </w:r>
    <w:r>
      <w:fldChar w:fldCharType="begin"/>
    </w:r>
    <w:r>
      <w:instrText xml:space="preserve"> PAGE  \* MERGEFORMAT </w:instrText>
    </w:r>
    <w:r>
      <w:fldChar w:fldCharType="separate"/>
    </w:r>
    <w:r w:rsidR="0083300D">
      <w:rPr>
        <w:noProof/>
      </w:rPr>
      <w:t>38</w:t>
    </w:r>
    <w:r>
      <w:fldChar w:fldCharType="end"/>
    </w:r>
    <w:r>
      <w:tab/>
    </w:r>
    <w:r w:rsidRPr="0053045F">
      <w:tab/>
    </w:r>
    <w:r w:rsidRPr="0053045F">
      <w:rPr>
        <w:rFonts w:ascii="Arial" w:hAnsi="Arial" w:cs="Arial"/>
        <w:b/>
        <w:sz w:val="48"/>
      </w:rPr>
      <w:t>FI</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E1723" w14:textId="77777777" w:rsidR="0053045F" w:rsidRDefault="0053045F" w:rsidP="0053045F">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471C8" w14:textId="6E2D80DF" w:rsidR="0053045F" w:rsidRPr="0053045F" w:rsidRDefault="0053045F" w:rsidP="0053045F">
    <w:pPr>
      <w:pStyle w:val="FooterLandscape"/>
      <w:rPr>
        <w:rFonts w:ascii="Arial" w:hAnsi="Arial" w:cs="Arial"/>
        <w:b/>
        <w:sz w:val="48"/>
      </w:rPr>
    </w:pPr>
    <w:r w:rsidRPr="0053045F">
      <w:rPr>
        <w:rFonts w:ascii="Arial" w:hAnsi="Arial" w:cs="Arial"/>
        <w:b/>
        <w:sz w:val="48"/>
      </w:rPr>
      <w:t>FI</w:t>
    </w:r>
    <w:r w:rsidRPr="0053045F">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53045F">
      <w:tab/>
    </w:r>
    <w:r w:rsidRPr="0053045F">
      <w:rPr>
        <w:rFonts w:ascii="Arial" w:hAnsi="Arial" w:cs="Arial"/>
        <w:b/>
        <w:sz w:val="48"/>
      </w:rPr>
      <w:t>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517D3" w14:textId="77777777" w:rsidR="00B11204" w:rsidRPr="00F81955" w:rsidRDefault="00B11204" w:rsidP="009C3EE2">
      <w:pPr>
        <w:spacing w:before="0" w:after="0"/>
      </w:pPr>
      <w:r>
        <w:separator/>
      </w:r>
    </w:p>
    <w:p w14:paraId="0F7FE46E" w14:textId="77777777" w:rsidR="00B11204" w:rsidRPr="00F81955" w:rsidRDefault="00B11204"/>
  </w:footnote>
  <w:footnote w:type="continuationSeparator" w:id="0">
    <w:p w14:paraId="7B811C17" w14:textId="77777777" w:rsidR="00B11204" w:rsidRPr="00F81955" w:rsidRDefault="00B11204" w:rsidP="009C3EE2">
      <w:pPr>
        <w:spacing w:before="0" w:after="0"/>
      </w:pPr>
      <w:r>
        <w:continuationSeparator/>
      </w:r>
    </w:p>
    <w:p w14:paraId="231F9AE3" w14:textId="77777777" w:rsidR="00B11204" w:rsidRPr="00F81955" w:rsidRDefault="00B11204"/>
  </w:footnote>
  <w:footnote w:type="continuationNotice" w:id="1">
    <w:p w14:paraId="3DF41940" w14:textId="77777777" w:rsidR="00B11204" w:rsidRPr="00F81955" w:rsidRDefault="00B11204">
      <w:pPr>
        <w:spacing w:before="0" w:after="0"/>
      </w:pPr>
    </w:p>
    <w:p w14:paraId="5879863D" w14:textId="77777777" w:rsidR="00B11204" w:rsidRPr="00F81955" w:rsidRDefault="00B11204"/>
  </w:footnote>
  <w:footnote w:id="2">
    <w:p w14:paraId="29211FCA" w14:textId="77777777" w:rsidR="0027691B" w:rsidRPr="009D258A" w:rsidRDefault="0027691B" w:rsidP="0027691B">
      <w:pPr>
        <w:pStyle w:val="FootnoteText"/>
        <w:rPr>
          <w:lang w:val="en-IE"/>
        </w:rPr>
      </w:pPr>
      <w:r>
        <w:rPr>
          <w:rStyle w:val="FootnoteReference"/>
        </w:rPr>
        <w:footnoteRef/>
      </w:r>
      <w:r w:rsidRPr="009D258A">
        <w:rPr>
          <w:lang w:val="en-IE"/>
        </w:rPr>
        <w:tab/>
        <w:t>COM(2025) 47 final.</w:t>
      </w:r>
    </w:p>
  </w:footnote>
  <w:footnote w:id="3">
    <w:p w14:paraId="76CD5D0C" w14:textId="77777777" w:rsidR="001B474A" w:rsidRPr="009D258A" w:rsidRDefault="001B474A">
      <w:pPr>
        <w:pStyle w:val="FootnoteText"/>
        <w:rPr>
          <w:lang w:val="en-IE"/>
        </w:rPr>
      </w:pPr>
      <w:r>
        <w:rPr>
          <w:rStyle w:val="FootnoteReference"/>
        </w:rPr>
        <w:footnoteRef/>
      </w:r>
      <w:r w:rsidRPr="009D258A">
        <w:rPr>
          <w:lang w:val="en-IE"/>
        </w:rPr>
        <w:tab/>
        <w:t>COM(2025) 165 final.</w:t>
      </w:r>
    </w:p>
  </w:footnote>
  <w:footnote w:id="4">
    <w:p w14:paraId="3F779F4D" w14:textId="77777777" w:rsidR="00CE678D" w:rsidRPr="009D258A" w:rsidRDefault="00CE678D">
      <w:pPr>
        <w:pStyle w:val="FootnoteText"/>
        <w:rPr>
          <w:lang w:val="en-IE"/>
        </w:rPr>
      </w:pPr>
      <w:r>
        <w:rPr>
          <w:rStyle w:val="FootnoteReference"/>
        </w:rPr>
        <w:footnoteRef/>
      </w:r>
      <w:r w:rsidRPr="009D258A">
        <w:rPr>
          <w:lang w:val="en-IE"/>
        </w:rPr>
        <w:tab/>
        <w:t>COM(2025) 723 final.</w:t>
      </w:r>
    </w:p>
  </w:footnote>
  <w:footnote w:id="5">
    <w:p w14:paraId="6B27363F" w14:textId="77777777" w:rsidR="00DA4870" w:rsidRPr="009D258A" w:rsidRDefault="00DA4870">
      <w:pPr>
        <w:pStyle w:val="FootnoteText"/>
        <w:rPr>
          <w:lang w:val="en-IE"/>
        </w:rPr>
      </w:pPr>
      <w:r>
        <w:rPr>
          <w:rStyle w:val="FootnoteReference"/>
        </w:rPr>
        <w:footnoteRef/>
      </w:r>
      <w:r w:rsidRPr="009D258A">
        <w:rPr>
          <w:lang w:val="en-IE"/>
        </w:rPr>
        <w:tab/>
        <w:t xml:space="preserve">https://ai-act-service-desk.ec.europa.eu/. </w:t>
      </w:r>
    </w:p>
  </w:footnote>
  <w:footnote w:id="6">
    <w:p w14:paraId="5A58F098" w14:textId="71C4DAF0" w:rsidR="00476246" w:rsidRPr="00F81955" w:rsidRDefault="00476246" w:rsidP="00476246">
      <w:pPr>
        <w:pStyle w:val="FootnoteText"/>
      </w:pPr>
      <w:r>
        <w:rPr>
          <w:rStyle w:val="FootnoteReference"/>
        </w:rPr>
        <w:footnoteRef/>
      </w:r>
      <w:r>
        <w:tab/>
        <w:t xml:space="preserve">Euroopan komissio (2025) </w:t>
      </w:r>
      <w:r>
        <w:rPr>
          <w:i/>
        </w:rPr>
        <w:t>Kannanottopyyntö tekoälyn käyttöä koskevasta strategiasta</w:t>
      </w:r>
      <w:r>
        <w:t xml:space="preserve">. Saatavilla osoitteessa: </w:t>
      </w:r>
      <w:hyperlink r:id="rId1" w:history="1">
        <w:r>
          <w:rPr>
            <w:rStyle w:val="Hyperlink"/>
          </w:rPr>
          <w:t>Tekoälyn soveltamisstrategia – tekoälyn maanosan vahvistaminen</w:t>
        </w:r>
      </w:hyperlink>
      <w:r w:rsidR="0069479E">
        <w:t>.</w:t>
      </w:r>
    </w:p>
  </w:footnote>
  <w:footnote w:id="7">
    <w:p w14:paraId="2112CBAA" w14:textId="77777777" w:rsidR="00476246" w:rsidRPr="00F81955" w:rsidRDefault="00476246" w:rsidP="00476246">
      <w:pPr>
        <w:pStyle w:val="FootnoteText"/>
      </w:pPr>
      <w:r>
        <w:rPr>
          <w:rStyle w:val="FootnoteReference"/>
        </w:rPr>
        <w:footnoteRef/>
      </w:r>
      <w:r>
        <w:tab/>
        <w:t xml:space="preserve">Euroopan komissio (2025) </w:t>
      </w:r>
      <w:r>
        <w:rPr>
          <w:i/>
        </w:rPr>
        <w:t>Kannanottopyyntö kyberturvallisuusasetuksen tarkistamisesta</w:t>
      </w:r>
      <w:r>
        <w:t>.</w:t>
      </w:r>
      <w:r>
        <w:rPr>
          <w:i/>
        </w:rPr>
        <w:t xml:space="preserve"> </w:t>
      </w:r>
      <w:r>
        <w:t xml:space="preserve">Saatavilla osoitteessa: </w:t>
      </w:r>
      <w:hyperlink r:id="rId2" w:history="1">
        <w:r>
          <w:rPr>
            <w:rStyle w:val="Hyperlink"/>
          </w:rPr>
          <w:t>EU:n kyberturvallisuusasetus</w:t>
        </w:r>
      </w:hyperlink>
      <w:r>
        <w:t>.</w:t>
      </w:r>
    </w:p>
  </w:footnote>
  <w:footnote w:id="8">
    <w:p w14:paraId="691C076E" w14:textId="4DAB44D2" w:rsidR="00476246" w:rsidRPr="00F81955" w:rsidRDefault="00476246" w:rsidP="00476246">
      <w:pPr>
        <w:pStyle w:val="FootnoteText"/>
      </w:pPr>
      <w:r>
        <w:rPr>
          <w:rStyle w:val="FootnoteReference"/>
        </w:rPr>
        <w:footnoteRef/>
      </w:r>
      <w:r>
        <w:tab/>
        <w:t xml:space="preserve">Euroopan komissio (2025) </w:t>
      </w:r>
      <w:r>
        <w:rPr>
          <w:i/>
        </w:rPr>
        <w:t>Kannanottopyyntö eurooppalaista dataunionia koskevasta strategiasta</w:t>
      </w:r>
      <w:r>
        <w:t xml:space="preserve">. Saatavilla osoitteessa: </w:t>
      </w:r>
      <w:hyperlink r:id="rId3" w:history="1">
        <w:r>
          <w:rPr>
            <w:rStyle w:val="Hyperlink"/>
          </w:rPr>
          <w:t>European Data Union Strategy</w:t>
        </w:r>
      </w:hyperlink>
      <w:r w:rsidR="0069479E">
        <w:t>.</w:t>
      </w:r>
    </w:p>
  </w:footnote>
  <w:footnote w:id="9">
    <w:p w14:paraId="7355FC85" w14:textId="7B0855E3" w:rsidR="00476246" w:rsidRPr="00F81955" w:rsidRDefault="00476246" w:rsidP="00476246">
      <w:pPr>
        <w:pStyle w:val="FootnoteText"/>
      </w:pPr>
      <w:r>
        <w:rPr>
          <w:rStyle w:val="FootnoteReference"/>
        </w:rPr>
        <w:footnoteRef/>
      </w:r>
      <w:r>
        <w:tab/>
        <w:t xml:space="preserve">Euroopan komissio (2025) </w:t>
      </w:r>
      <w:r>
        <w:rPr>
          <w:i/>
        </w:rPr>
        <w:t>Kannanottopyyntö digitaalialan yksinkertaistamispaketista</w:t>
      </w:r>
      <w:r>
        <w:t>. Saatavilla osoitteessa:</w:t>
      </w:r>
      <w:r w:rsidR="00D36F06">
        <w:t xml:space="preserve"> </w:t>
      </w:r>
      <w:hyperlink r:id="rId4" w:history="1">
        <w:r>
          <w:rPr>
            <w:rStyle w:val="Hyperlink"/>
          </w:rPr>
          <w:t>Yksinkertaistaminen – digitaalipaketti ja koontiasetus</w:t>
        </w:r>
      </w:hyperlink>
      <w:r>
        <w:t>.</w:t>
      </w:r>
    </w:p>
  </w:footnote>
  <w:footnote w:id="10">
    <w:p w14:paraId="44C57A4B" w14:textId="77777777" w:rsidR="00583BD9" w:rsidRPr="00F81955" w:rsidRDefault="00583BD9" w:rsidP="00583BD9">
      <w:pPr>
        <w:pStyle w:val="FootnoteText"/>
      </w:pPr>
      <w:r>
        <w:rPr>
          <w:rStyle w:val="FootnoteReference"/>
        </w:rPr>
        <w:footnoteRef/>
      </w:r>
      <w:r>
        <w:tab/>
        <w:t>Tarkemmin: oikeus ihmisarvoon (1 artikla), yksityiselämän kunnioittaminen ja henkilötietojen suoja (7 ja 8 artikla), syrjimättömyys (21 artikla) ja naisten ja miesten tasa-arvo (23 artikla), sananvapaus (11 artikla) ja kokoontumisvapaus (12 artikla), oikeus tehokkaisiin oikeussuojakeinoihin ja puolueettomaan oikeudenkäyntiin, oikeus puolustukseen ja syyttömyysolettama (47 ja 48 artikla), oikeus ympäristönsuojelun korkeaan tasoon ja ympäristön laadun parantaminen (37 artikla).</w:t>
      </w:r>
    </w:p>
  </w:footnote>
  <w:footnote w:id="11">
    <w:p w14:paraId="66F17260" w14:textId="77777777" w:rsidR="00583BD9" w:rsidRPr="00F81955" w:rsidRDefault="00583BD9" w:rsidP="00583BD9">
      <w:pPr>
        <w:pStyle w:val="FootnoteText"/>
      </w:pPr>
      <w:r>
        <w:rPr>
          <w:rStyle w:val="FootnoteReference"/>
        </w:rPr>
        <w:footnoteRef/>
      </w:r>
      <w:r>
        <w:tab/>
        <w:t>Tarkemmin: työntekijöiden oikeudet oikeudenmukaisiin ja kohtuullisiin työoloihin ja työehtoihin (31 artikla), kuluttajansuojan korkea taso (28 artikla), lapsen oikeudet (24 artikla) ja vammaisten henkilöiden integrointi yhteiskuntaan (26 artikla).</w:t>
      </w:r>
    </w:p>
  </w:footnote>
  <w:footnote w:id="12">
    <w:p w14:paraId="57BDB2A0" w14:textId="77777777" w:rsidR="00583BD9" w:rsidRPr="00F81955" w:rsidRDefault="00583BD9" w:rsidP="00583BD9">
      <w:pPr>
        <w:pStyle w:val="FootnoteText"/>
      </w:pPr>
      <w:r>
        <w:rPr>
          <w:rStyle w:val="FootnoteReference"/>
        </w:rPr>
        <w:footnoteRef/>
      </w:r>
      <w:r>
        <w:tab/>
        <w:t>Tarkemmin: elinkeinovapaus (16 artikla) ja taiteen ja tieteen vapaus (13 artikla).</w:t>
      </w:r>
    </w:p>
  </w:footnote>
  <w:footnote w:id="13">
    <w:p w14:paraId="237A9797" w14:textId="77777777" w:rsidR="009C3EE2" w:rsidRPr="00F81955" w:rsidRDefault="009C3EE2" w:rsidP="0002735A">
      <w:pPr>
        <w:pStyle w:val="FootnoteText"/>
      </w:pPr>
      <w:r>
        <w:rPr>
          <w:rStyle w:val="FootnoteReference"/>
        </w:rPr>
        <w:footnoteRef/>
      </w:r>
      <w:r>
        <w:tab/>
        <w:t>EUVL C , , s. .</w:t>
      </w:r>
    </w:p>
  </w:footnote>
  <w:footnote w:id="14">
    <w:p w14:paraId="3116522D" w14:textId="77777777" w:rsidR="009C3EE2" w:rsidRPr="00F81955" w:rsidRDefault="009C3EE2" w:rsidP="0002735A">
      <w:pPr>
        <w:pStyle w:val="FootnoteText"/>
      </w:pPr>
      <w:r>
        <w:rPr>
          <w:rStyle w:val="FootnoteReference"/>
        </w:rPr>
        <w:footnoteRef/>
      </w:r>
      <w:r>
        <w:tab/>
        <w:t>EUVL C , , s. .</w:t>
      </w:r>
    </w:p>
  </w:footnote>
  <w:footnote w:id="15">
    <w:p w14:paraId="405B456A" w14:textId="77777777" w:rsidR="001E3BF0" w:rsidRPr="00F81955" w:rsidRDefault="001E3BF0" w:rsidP="001E3BF0">
      <w:pPr>
        <w:pStyle w:val="FootnoteText"/>
      </w:pPr>
      <w:r>
        <w:rPr>
          <w:rStyle w:val="FootnoteReference"/>
        </w:rPr>
        <w:footnoteRef/>
      </w:r>
      <w:r>
        <w:tab/>
        <w:t>Euroopan parlamentin ja neuvoston asetus (EU) 2024/1689, annettu 13 päivänä kesäkuuta 2024, tekoälyä koskevista yhdenmukaistetuista säännöistä ja asetusten (EY) N:o 300/2008, (EU) N:o 167/2013, (EU) N:o 168/2013, (EU) 2018/858, (EU) 2018/1139 ja (EU) 2019/2144 sekä direktiivien 2014/90/EU, (EU) 2016/797 ja (EU) 2020/1828 muuttamisesta (tekoälysäädös) (EUVL L, 2024/1689, 12.7.2024, ELI: http://data.europa.eu/eli/reg/2024/1689/oj).</w:t>
      </w:r>
    </w:p>
  </w:footnote>
  <w:footnote w:id="16">
    <w:p w14:paraId="0882CEC6" w14:textId="77777777" w:rsidR="00904AB8" w:rsidRPr="00F81955" w:rsidRDefault="00904AB8" w:rsidP="00904AB8">
      <w:pPr>
        <w:pStyle w:val="FootnoteText"/>
      </w:pPr>
      <w:r>
        <w:rPr>
          <w:rStyle w:val="FootnoteReference"/>
        </w:rPr>
        <w:footnoteRef/>
      </w:r>
      <w:r>
        <w:tab/>
        <w:t>Komission suositus, annettu 6 päivänä toukokuuta 2003, mikroyritysten sekä pienten ja keskisuurten yritysten määritelmästä (EUVL L 124, 20.5.2003, s. 36, ELI: http://data.europa.eu/eli/reco/2003/361/oj).</w:t>
      </w:r>
    </w:p>
  </w:footnote>
  <w:footnote w:id="17">
    <w:p w14:paraId="1D433E8D" w14:textId="77777777" w:rsidR="00DA228A" w:rsidRPr="00F81955" w:rsidRDefault="00DA228A" w:rsidP="00DA228A">
      <w:pPr>
        <w:pStyle w:val="FootnoteText"/>
      </w:pPr>
      <w:r>
        <w:rPr>
          <w:rStyle w:val="FootnoteReference"/>
        </w:rPr>
        <w:footnoteRef/>
      </w:r>
      <w:r>
        <w:tab/>
        <w:t>Komission suositus (EU) 2025/1099, annettu 21 päivänä toukokuuta 2025, pienten midcap-yritysten määritelmästä (EUVL L, 2025/1099, 28.5.2025, ELI: http://data.europa.eu/eli/reco/2025/1099/oj).</w:t>
      </w:r>
    </w:p>
  </w:footnote>
  <w:footnote w:id="18">
    <w:p w14:paraId="37C358AD" w14:textId="77777777" w:rsidR="00123D2E" w:rsidRPr="00F81955" w:rsidRDefault="00123D2E" w:rsidP="00123D2E">
      <w:pPr>
        <w:pStyle w:val="FootnoteText"/>
      </w:pPr>
      <w:r>
        <w:rPr>
          <w:rStyle w:val="FootnoteReference"/>
        </w:rPr>
        <w:footnoteRef/>
      </w:r>
      <w:r>
        <w:tab/>
        <w:t>Euroopan parlamentin ja neuvoston asetus (EU) 2016/679, annettu 27 päivänä huhtikuuta 2016, luonnollisten henkilöiden suojelusta henkilötietojen käsittelyssä sekä näiden tietojen vapaasta liikkuvuudesta ja direktiivin 95/46/EY kumoamisesta (yleinen tietosuoja-asetus) (EUVL L 119, 4.5.2016, s. 1, ELI: http://data.europa.eu/eli/reg/2016/679/oj).</w:t>
      </w:r>
    </w:p>
  </w:footnote>
  <w:footnote w:id="19">
    <w:p w14:paraId="5C2DBA31" w14:textId="77777777" w:rsidR="00045F0F" w:rsidRPr="00F81955" w:rsidRDefault="00045F0F" w:rsidP="00045F0F">
      <w:pPr>
        <w:pStyle w:val="FootnoteText"/>
      </w:pPr>
      <w:r>
        <w:rPr>
          <w:rStyle w:val="FootnoteReference"/>
        </w:rPr>
        <w:footnoteRef/>
      </w:r>
      <w:r>
        <w:tab/>
        <w:t>Euroopan parlamentin ja neuvoston asetus (EU) 2018/1725, annettu 23 päivänä lokakuuta 2018, luonnollisten henkilöiden suojelusta unionin toimielinten, elinten ja laitosten suorittamassa henkilötietojen käsittelyssä ja näiden tietojen vapaasta liikkuvuudesta sekä asetuksen (EY) N:o 45/2001 ja päätöksen N:o 1247/2002/EY kumoamisesta (EUVL L 295, 21.11.2018, s. 39, ELI: http://data.europa.eu/eli/reg/2018/1725/oj).</w:t>
      </w:r>
    </w:p>
  </w:footnote>
  <w:footnote w:id="20">
    <w:p w14:paraId="614CBF5E" w14:textId="77777777" w:rsidR="00026F0C" w:rsidRPr="00F81955" w:rsidRDefault="00026F0C" w:rsidP="00EA2724">
      <w:pPr>
        <w:pStyle w:val="FootnoteText"/>
      </w:pPr>
      <w:r>
        <w:rPr>
          <w:rStyle w:val="FootnoteReference"/>
        </w:rPr>
        <w:footnoteRef/>
      </w:r>
      <w:r>
        <w:tab/>
        <w:t>Euroopan parlamentin ja neuvoston direktiivi (EU) 2016/680, annettu 27 päivänä huhtikuuta 2016, luonnollisten henkilöiden suojelusta toimivaltaisten viranomaisten suorittamassa henkilötietojen käsittelyssä rikosten ennalta estämistä, tutkimista, paljastamista tai rikoksiin liittyviä syytetoimia tai rikosoikeudellisten seuraamusten täytäntöönpanoa varten sekä näiden tietojen vapaasta liikkuvuudesta ja neuvoston puitepäätöksen 2008/977/YOS kumoamisesta (EUVL L 119, 4.5.2016, s. 89, ELI: http://data.europa.eu/eli/dir/2016/680/oj).</w:t>
      </w:r>
    </w:p>
  </w:footnote>
  <w:footnote w:id="21">
    <w:p w14:paraId="5856639F" w14:textId="77777777" w:rsidR="004B327A" w:rsidRPr="00F81955" w:rsidRDefault="004B327A" w:rsidP="004B327A">
      <w:pPr>
        <w:pStyle w:val="FootnoteText"/>
      </w:pPr>
      <w:r>
        <w:rPr>
          <w:rStyle w:val="FootnoteReference"/>
        </w:rPr>
        <w:footnoteRef/>
      </w:r>
      <w:r>
        <w:tab/>
        <w:t>Euroopan parlamentin ja neuvoston asetus (EU) 2017/745, annettu 5 päivänä huhtikuuta 2017, lääkinnällisistä laitteista, direktiivin 2001/83/EY, asetuksen (EY) N:o 178/2002 ja asetuksen (EY) N:o 1223/2009 muuttamisesta sekä neuvoston direktiivien 90/385/ETY ja 93/42/ETY kumoamisesta (EUVL L 117, 5.5.2017, s. 1, ELI: http://data.europa.eu/eli/reg/2017/745/oj).</w:t>
      </w:r>
    </w:p>
  </w:footnote>
  <w:footnote w:id="22">
    <w:p w14:paraId="0538A8E0" w14:textId="77777777" w:rsidR="00EE707A" w:rsidRPr="00F81955" w:rsidRDefault="00EE707A" w:rsidP="00EE707A">
      <w:pPr>
        <w:pStyle w:val="FootnoteText"/>
      </w:pPr>
      <w:r>
        <w:rPr>
          <w:rStyle w:val="FootnoteReference"/>
        </w:rPr>
        <w:footnoteRef/>
      </w:r>
      <w:r>
        <w:tab/>
        <w:t xml:space="preserve">Euroopan parlamentin ja neuvoston asetus (EU) 2017/746, annettu 5 päivänä huhtikuuta 2017, </w:t>
      </w:r>
      <w:r>
        <w:rPr>
          <w:i/>
          <w:iCs/>
        </w:rPr>
        <w:t>in vitro</w:t>
      </w:r>
      <w:r>
        <w:t xml:space="preserve"> -diagnostiikkaan tarkoitetuista lääkinnällisistä laitteista sekä direktiivin 98/79/EY ja komission päätöksen 2010/227/EU kumoamisesta (EUVL L 117, 5.5.2017, s. 176, ELI: http://data.europa.eu/eli/reg/2017/746/oj).</w:t>
      </w:r>
    </w:p>
  </w:footnote>
  <w:footnote w:id="23">
    <w:p w14:paraId="1F670F8F" w14:textId="77777777" w:rsidR="00E65101" w:rsidRPr="00F81955" w:rsidRDefault="00E65101" w:rsidP="00E65101">
      <w:pPr>
        <w:pStyle w:val="FootnoteText"/>
      </w:pPr>
      <w:r>
        <w:rPr>
          <w:rStyle w:val="FootnoteReference"/>
        </w:rPr>
        <w:footnoteRef/>
      </w:r>
      <w:r>
        <w:tab/>
        <w:t>Euroopan parlamentin ja neuvoston asetus (EU) 2019/1020, annettu 20 päivänä kesäkuuta 2019, markkinavalvonnasta ja tuotteiden vaatimustenmukaisuudesta sekä direktiivin 2004/42/EY ja asetusten (EY) N:o 765/2008 ja (EU) N:o 305/2011 muuttamisesta (EUVL L 169, 25.6.2019, s. 1, ELI: http://data.europa.eu/eli/reg/2019/1020/oj).</w:t>
      </w:r>
    </w:p>
  </w:footnote>
  <w:footnote w:id="24">
    <w:p w14:paraId="4FCC9E2A" w14:textId="77777777" w:rsidR="001D699D" w:rsidRPr="00F81955" w:rsidRDefault="001D699D" w:rsidP="001D699D">
      <w:pPr>
        <w:pStyle w:val="FootnoteText"/>
      </w:pPr>
      <w:r>
        <w:rPr>
          <w:rStyle w:val="FootnoteReference"/>
        </w:rPr>
        <w:footnoteRef/>
      </w:r>
      <w:r>
        <w:tab/>
        <w:t>Euroopan parlamentin ja neuvoston asetus (EU) 2022/2065, annettu 19 päivänä lokakuuta 2022, digitaalisten palvelujen sisämarkkinoista ja direktiivin 2000/31/EY muuttamisesta (digipalvelusäädös) (EUVL L 277, 27.10.2022, s. 1, ELI: http://data.europa.eu/eli/reg/2022/2065/oj).</w:t>
      </w:r>
    </w:p>
    <w:p w14:paraId="77DC9A74" w14:textId="77777777" w:rsidR="001D699D" w:rsidRPr="00F81955" w:rsidRDefault="001D699D" w:rsidP="001D699D">
      <w:pPr>
        <w:pStyle w:val="FootnoteText"/>
      </w:pPr>
    </w:p>
  </w:footnote>
  <w:footnote w:id="25">
    <w:p w14:paraId="651E553D" w14:textId="5516836D" w:rsidR="00151A99" w:rsidRPr="00F81955" w:rsidRDefault="00151A99">
      <w:pPr>
        <w:pStyle w:val="FootnoteText"/>
      </w:pPr>
      <w:r>
        <w:rPr>
          <w:rStyle w:val="FootnoteReference"/>
        </w:rPr>
        <w:footnoteRef/>
      </w:r>
      <w:r>
        <w:tab/>
        <w:t>Euroopan parlamentin ja neuvoston asetus (EU) 2018/1139, annettu 4 päivänä heinäkuuta 2018, yhteisistä siviili-ilmailua koskevista säännöistä ja Euroopan unionin lentoturvallisuusviraston perustamisesta, Euroopan parlamentin ja neuvoston asetusten (EY) N:o 2111/2005, (EY) N:o 1008/2008, (EU) N:o 996/2010, (EU) N:o 376/2014 ja direktiivien 2014/30/EU ja 2014/53/EU muuttamisesta sekä Euroopan parlamentin ja neuvoston asetusten (EY) N:o 552/2004, (EY) N:o 216/2008 ja neuvoston asetuksen (ETY) N:o 3922/91 kumoamisesta (EUVL L 212, 22.8.2018, s. 1, ELI: http://data.europa.eu/eli/reg/2018/1139/oj)</w:t>
      </w:r>
      <w:r w:rsidR="009E3A3F">
        <w:t>.</w:t>
      </w:r>
    </w:p>
  </w:footnote>
  <w:footnote w:id="26">
    <w:p w14:paraId="6FE19486" w14:textId="77777777" w:rsidR="003B49D1" w:rsidRPr="00F81955" w:rsidRDefault="003B49D1">
      <w:pPr>
        <w:pStyle w:val="FootnoteText"/>
      </w:pPr>
      <w:r>
        <w:rPr>
          <w:rStyle w:val="FootnoteReference"/>
        </w:rPr>
        <w:footnoteRef/>
      </w:r>
      <w:r>
        <w:tab/>
        <w:t>Euroopan parlamentin ja neuvoston asetus (EU) 2024/1689, annettu 13 päivänä kesäkuuta 2024, tekoälyä koskevista yhdenmukaistetuista säännöistä ja asetusten (EY) N:o 300/2008, (EU) N:o 167/2013, (EU) N:o 168/2013, (EU) 2018/858, (EU) 2018/1139 ja (EU) 2019/2144 sekä direktiivien 2014/90/EU, (EU) 2016/797 ja (EU) 2020/1828 muuttamisesta (tekoälysäädös) (EUVL L, 2024/1689, 12.7.2024, ELI: http://data.europa.eu/eli/reg/2024/1689/oj).</w:t>
      </w:r>
    </w:p>
  </w:footnote>
  <w:footnote w:id="27">
    <w:p w14:paraId="3C0BCDA5" w14:textId="77777777" w:rsidR="009C3EE2" w:rsidRPr="00F81955" w:rsidRDefault="009C3EE2" w:rsidP="0002735A">
      <w:pPr>
        <w:pStyle w:val="FootnoteText"/>
      </w:pPr>
      <w:r>
        <w:rPr>
          <w:rStyle w:val="FootnoteReference"/>
        </w:rPr>
        <w:footnoteRef/>
      </w:r>
      <w:r>
        <w:tab/>
        <w:t>Sellaisina kuin nämä on määritelty varainhoitoasetuksen 58 artiklan 2 kohdan a ja b alakohdassa.</w:t>
      </w:r>
    </w:p>
  </w:footnote>
  <w:footnote w:id="28">
    <w:p w14:paraId="2BDCFB40" w14:textId="77777777" w:rsidR="00C90C9C" w:rsidRPr="00F81955" w:rsidRDefault="00C90C9C" w:rsidP="00C90C9C">
      <w:pPr>
        <w:pStyle w:val="FootnoteText"/>
        <w:rPr>
          <w:szCs w:val="24"/>
        </w:rPr>
      </w:pPr>
      <w:r>
        <w:rPr>
          <w:rStyle w:val="FootnoteReference"/>
        </w:rPr>
        <w:footnoteRef/>
      </w:r>
      <w:r>
        <w:tab/>
        <w:t>JM = jaksotetut määrärahat; EI-JM = jaksottamattomat määrärahat.</w:t>
      </w:r>
    </w:p>
  </w:footnote>
  <w:footnote w:id="29">
    <w:p w14:paraId="579F8497" w14:textId="77777777" w:rsidR="00C90C9C" w:rsidRPr="00F81955" w:rsidRDefault="00C90C9C" w:rsidP="00C90C9C">
      <w:pPr>
        <w:pStyle w:val="FootnoteText"/>
        <w:rPr>
          <w:szCs w:val="24"/>
        </w:rPr>
      </w:pPr>
      <w:r>
        <w:rPr>
          <w:rStyle w:val="FootnoteReference"/>
        </w:rPr>
        <w:footnoteRef/>
      </w:r>
      <w:r>
        <w:tab/>
        <w:t xml:space="preserve">EFTA: Euroopan vapaakauppaliitto. </w:t>
      </w:r>
    </w:p>
  </w:footnote>
  <w:footnote w:id="30">
    <w:p w14:paraId="1DAE737E" w14:textId="77777777" w:rsidR="00C90C9C" w:rsidRPr="00F81955" w:rsidRDefault="00C90C9C" w:rsidP="00C90C9C">
      <w:pPr>
        <w:pStyle w:val="FootnoteText"/>
        <w:rPr>
          <w:szCs w:val="24"/>
        </w:rPr>
      </w:pPr>
      <w:r>
        <w:rPr>
          <w:rStyle w:val="FootnoteReference"/>
        </w:rPr>
        <w:footnoteRef/>
      </w:r>
      <w:r>
        <w:tab/>
        <w:t>Ehdokasmaat ja soveltuvin osin Länsi-Balkanin mahdolliset ehdokasmaat.</w:t>
      </w:r>
    </w:p>
  </w:footnote>
  <w:footnote w:id="31">
    <w:p w14:paraId="48916C0F" w14:textId="77777777" w:rsidR="005061E6" w:rsidRPr="00F81955" w:rsidRDefault="005061E6" w:rsidP="005061E6">
      <w:pPr>
        <w:pStyle w:val="FootnoteText"/>
      </w:pPr>
      <w:r>
        <w:rPr>
          <w:rStyle w:val="FootnoteReference"/>
        </w:rPr>
        <w:footnoteRef/>
      </w:r>
      <w:r>
        <w:tab/>
        <w:t>Nämä määrärahat on jo korvamerkitty tekoälytoimistolle Digitaalinen Eurooppa -ohjelman työohjelmassa 2026–2027.</w:t>
      </w:r>
    </w:p>
  </w:footnote>
  <w:footnote w:id="32">
    <w:p w14:paraId="0DEB59A3" w14:textId="77777777" w:rsidR="005061E6" w:rsidRPr="00F81955" w:rsidRDefault="005061E6" w:rsidP="005061E6">
      <w:pPr>
        <w:pStyle w:val="FootnoteText"/>
      </w:pPr>
      <w:r>
        <w:rPr>
          <w:rStyle w:val="FootnoteReference"/>
        </w:rPr>
        <w:footnoteRef/>
      </w:r>
      <w:r>
        <w:tab/>
        <w:t>Nämä määrärahat on jo korvamerkitty tekoälytoimistolle Digitaalinen Eurooppa -ohjelman työohjelmassa 2026–2027.</w:t>
      </w:r>
    </w:p>
    <w:p w14:paraId="18DA820E" w14:textId="77777777" w:rsidR="005061E6" w:rsidRPr="00F81955" w:rsidRDefault="005061E6" w:rsidP="005061E6">
      <w:pPr>
        <w:pStyle w:val="FootnoteText"/>
      </w:pPr>
    </w:p>
  </w:footnote>
  <w:footnote w:id="33">
    <w:p w14:paraId="11BC23A3" w14:textId="77777777" w:rsidR="005061E6" w:rsidRPr="00F81955" w:rsidRDefault="005061E6" w:rsidP="005061E6">
      <w:pPr>
        <w:pStyle w:val="FootnoteText"/>
        <w:rPr>
          <w:b/>
          <w:bCs/>
        </w:rPr>
      </w:pPr>
      <w:r>
        <w:rPr>
          <w:rStyle w:val="FootnoteReference"/>
        </w:rPr>
        <w:footnoteRef/>
      </w:r>
      <w:r>
        <w:tab/>
        <w:t xml:space="preserve">Nämä määrärahat vastaavat [48] kokoaikaista työntekijää lisää kuudeksi kuukaudeksi [(43 sopimussuhteista toimihenkilöä ja 5 kansallista asiantuntijaa)], ja </w:t>
      </w:r>
      <w:r>
        <w:rPr>
          <w:b/>
        </w:rPr>
        <w:t>perustaso on vuoden 2026 talousarviomenettelyssä sovittu henkilöstömäärä</w:t>
      </w:r>
      <w:r>
        <w:t>.</w:t>
      </w:r>
      <w:r>
        <w:rPr>
          <w:b/>
        </w:rPr>
        <w:t xml:space="preserve"> </w:t>
      </w:r>
      <w:bookmarkStart w:id="17" w:name="_Hlk212548753"/>
      <w:r>
        <w:t xml:space="preserve">Määrärahat kohdennetaan uudelleen Digitaalinen Eurooppa -ohjelman hallintomäärärahoista lisäkustannusten kattamiseksi. </w:t>
      </w:r>
      <w:bookmarkEnd w:id="17"/>
    </w:p>
  </w:footnote>
  <w:footnote w:id="34">
    <w:p w14:paraId="79AFE1CD" w14:textId="77777777" w:rsidR="005061E6" w:rsidRPr="00F81955" w:rsidRDefault="005061E6" w:rsidP="005061E6">
      <w:pPr>
        <w:pStyle w:val="FootnoteText"/>
      </w:pPr>
      <w:r>
        <w:rPr>
          <w:rStyle w:val="FootnoteReference"/>
        </w:rPr>
        <w:footnoteRef/>
      </w:r>
      <w:r>
        <w:tab/>
        <w:t xml:space="preserve">Määrä kohdennetaan uudelleen budjettikohdasta 02.0403 (SO2 tekoäly) vuonna 2027, pyyntö esitetään vuoden 2027 talousarviomenettelyssä. </w:t>
      </w:r>
    </w:p>
    <w:p w14:paraId="6B768183" w14:textId="77777777" w:rsidR="005061E6" w:rsidRPr="00F81955" w:rsidRDefault="005061E6" w:rsidP="005061E6">
      <w:pPr>
        <w:pStyle w:val="FootnoteText"/>
      </w:pPr>
    </w:p>
  </w:footnote>
  <w:footnote w:id="35">
    <w:p w14:paraId="3C536B29" w14:textId="77777777" w:rsidR="005061E6" w:rsidRPr="00F81955" w:rsidRDefault="005061E6" w:rsidP="005061E6">
      <w:pPr>
        <w:pStyle w:val="FootnoteText"/>
      </w:pPr>
      <w:r>
        <w:rPr>
          <w:rStyle w:val="FootnoteReference"/>
        </w:rPr>
        <w:footnoteRef/>
      </w:r>
      <w:r>
        <w:tab/>
        <w:t>Nämä määrärahat on jo korvamerkitty tekoälytoimistolle Digitaalinen Eurooppa -ohjelman työohjelmassa 2026–2027.</w:t>
      </w:r>
    </w:p>
  </w:footnote>
  <w:footnote w:id="36">
    <w:p w14:paraId="6742E560" w14:textId="77777777" w:rsidR="005061E6" w:rsidRPr="00F81955" w:rsidRDefault="005061E6" w:rsidP="005061E6">
      <w:pPr>
        <w:pStyle w:val="FootnoteText"/>
      </w:pPr>
      <w:r>
        <w:rPr>
          <w:rStyle w:val="FootnoteReference"/>
        </w:rPr>
        <w:footnoteRef/>
      </w:r>
      <w:r>
        <w:tab/>
        <w:t>Nämä määrärahat on jo korvamerkitty tekoälytoimistolle Digitaalinen Eurooppa -ohjelman työohjelmassa 2026–2027.</w:t>
      </w:r>
    </w:p>
    <w:p w14:paraId="0C6679C8" w14:textId="77777777" w:rsidR="005061E6" w:rsidRPr="00F81955" w:rsidRDefault="005061E6" w:rsidP="005061E6">
      <w:pPr>
        <w:pStyle w:val="FootnoteText"/>
      </w:pPr>
    </w:p>
  </w:footnote>
  <w:footnote w:id="37">
    <w:p w14:paraId="525AA254" w14:textId="77777777" w:rsidR="005061E6" w:rsidRPr="00F81955" w:rsidRDefault="005061E6" w:rsidP="005061E6">
      <w:pPr>
        <w:pStyle w:val="FootnoteText"/>
        <w:rPr>
          <w:b/>
          <w:bCs/>
        </w:rPr>
      </w:pPr>
      <w:r>
        <w:rPr>
          <w:rStyle w:val="FootnoteReference"/>
        </w:rPr>
        <w:footnoteRef/>
      </w:r>
      <w:r>
        <w:tab/>
        <w:t xml:space="preserve">Nämä määrärahat vastaavat 48 kokoaikaista työntekijää lisää kuudeksi kuukaudeksi (43 sopimussuhteista toimihenkilöä ja 5 kansallista asiantuntijaa), ja </w:t>
      </w:r>
      <w:r>
        <w:rPr>
          <w:b/>
        </w:rPr>
        <w:t>perustaso on vuoden 2026 talousarviomenettelyssä sovittu henkilöstömäärä</w:t>
      </w:r>
      <w:r>
        <w:t>.</w:t>
      </w:r>
      <w:r>
        <w:rPr>
          <w:b/>
        </w:rPr>
        <w:t xml:space="preserve"> </w:t>
      </w:r>
      <w:r>
        <w:t xml:space="preserve">Määrärahat kohdennetaan uudelleen Digitaalinen Eurooppa -ohjelman hallintomäärärahoista lisäkustannusten kattamiseksi. </w:t>
      </w:r>
    </w:p>
  </w:footnote>
  <w:footnote w:id="38">
    <w:p w14:paraId="7A1264F3" w14:textId="77777777" w:rsidR="005061E6" w:rsidRPr="00F81955" w:rsidRDefault="005061E6" w:rsidP="005061E6">
      <w:pPr>
        <w:pStyle w:val="FootnoteText"/>
      </w:pPr>
      <w:r>
        <w:rPr>
          <w:rStyle w:val="FootnoteReference"/>
        </w:rPr>
        <w:footnoteRef/>
      </w:r>
      <w:r>
        <w:tab/>
        <w:t xml:space="preserve">Määrä kohdennetaan uudelleen budjettikohdasta 02.0403 (SO2 tekoäly) vuonna 2027, pyyntö esitetään vuoden 2027 talousarviomenettelyssä. </w:t>
      </w:r>
    </w:p>
    <w:p w14:paraId="2EB7C8D2" w14:textId="77777777" w:rsidR="005061E6" w:rsidRPr="00F81955" w:rsidRDefault="005061E6" w:rsidP="005061E6">
      <w:pPr>
        <w:pStyle w:val="FootnoteText"/>
      </w:pPr>
    </w:p>
  </w:footnote>
  <w:footnote w:id="39">
    <w:p w14:paraId="5B9FF495" w14:textId="77777777" w:rsidR="005061E6" w:rsidRPr="00F81955" w:rsidRDefault="005061E6" w:rsidP="005061E6">
      <w:pPr>
        <w:pStyle w:val="FootnoteText"/>
        <w:rPr>
          <w:szCs w:val="24"/>
        </w:rPr>
      </w:pPr>
      <w:r>
        <w:rPr>
          <w:rStyle w:val="FootnoteReference"/>
        </w:rPr>
        <w:footnoteRef/>
      </w:r>
      <w:r>
        <w:tab/>
        <w:t>Tuotokset ovat tuloksena olevia tuotteita ja palveluita (esim. rahoitettujen opiskelijavaihtojen määrä tai rakennetut tiekilometrit).</w:t>
      </w:r>
    </w:p>
  </w:footnote>
  <w:footnote w:id="40">
    <w:p w14:paraId="2276DF3B" w14:textId="731E537B" w:rsidR="005061E6" w:rsidRPr="00F81955" w:rsidRDefault="005061E6" w:rsidP="005061E6">
      <w:pPr>
        <w:pStyle w:val="FootnoteText"/>
        <w:rPr>
          <w:szCs w:val="24"/>
        </w:rPr>
      </w:pPr>
      <w:r>
        <w:rPr>
          <w:rStyle w:val="FootnoteReference"/>
        </w:rPr>
        <w:footnoteRef/>
      </w:r>
      <w:r>
        <w:tab/>
        <w:t>Kuten kuvattu kohdassa 1.3.2 ”Erityistavoite (Erityistavoitteet)”</w:t>
      </w:r>
      <w:r w:rsidR="009E3A3F">
        <w:t>.</w:t>
      </w:r>
    </w:p>
  </w:footnote>
  <w:footnote w:id="41">
    <w:p w14:paraId="455EB1E0" w14:textId="77777777" w:rsidR="005061E6" w:rsidRDefault="005061E6" w:rsidP="005061E6">
      <w:pPr>
        <w:pStyle w:val="FootnoteText"/>
        <w:rPr>
          <w:szCs w:val="24"/>
        </w:rPr>
      </w:pPr>
      <w:r>
        <w:rPr>
          <w:rStyle w:val="FootnoteReference"/>
        </w:rPr>
        <w:footnoteRef/>
      </w:r>
      <w:r>
        <w:tab/>
        <w:t>Perinteiset omat varat (tulli- ja sokerimaksut) on ilmoitettava nettomääräisinä eli bruttomäärästä on vähennettävä kantokuluja vastaava 20 prosentin osuus.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EA5D" w14:textId="77777777" w:rsidR="0053045F" w:rsidRDefault="00530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24A23" w14:textId="77777777" w:rsidR="0053045F" w:rsidRDefault="0053045F" w:rsidP="0053045F">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7C20A" w14:textId="77777777" w:rsidR="0053045F" w:rsidRPr="0053045F" w:rsidRDefault="0053045F" w:rsidP="0053045F">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61F644B"/>
    <w:multiLevelType w:val="hybridMultilevel"/>
    <w:tmpl w:val="EA66D5F8"/>
    <w:lvl w:ilvl="0" w:tplc="0F3023B0">
      <w:start w:val="1"/>
      <w:numFmt w:val="bullet"/>
      <w:lvlText w:val=""/>
      <w:lvlJc w:val="left"/>
      <w:pPr>
        <w:ind w:left="720" w:hanging="360"/>
      </w:pPr>
      <w:rPr>
        <w:rFonts w:ascii="Symbol" w:hAnsi="Symbol" w:hint="default"/>
      </w:rPr>
    </w:lvl>
    <w:lvl w:ilvl="1" w:tplc="6860ADFA">
      <w:start w:val="1"/>
      <w:numFmt w:val="bullet"/>
      <w:lvlText w:val="o"/>
      <w:lvlJc w:val="left"/>
      <w:pPr>
        <w:ind w:left="1440" w:hanging="360"/>
      </w:pPr>
      <w:rPr>
        <w:rFonts w:ascii="Courier New" w:hAnsi="Courier New" w:hint="default"/>
      </w:rPr>
    </w:lvl>
    <w:lvl w:ilvl="2" w:tplc="BF4EA296">
      <w:start w:val="1"/>
      <w:numFmt w:val="bullet"/>
      <w:lvlText w:val=""/>
      <w:lvlJc w:val="left"/>
      <w:pPr>
        <w:ind w:left="2160" w:hanging="360"/>
      </w:pPr>
      <w:rPr>
        <w:rFonts w:ascii="Wingdings" w:hAnsi="Wingdings" w:hint="default"/>
      </w:rPr>
    </w:lvl>
    <w:lvl w:ilvl="3" w:tplc="DAE40400">
      <w:start w:val="1"/>
      <w:numFmt w:val="bullet"/>
      <w:lvlText w:val=""/>
      <w:lvlJc w:val="left"/>
      <w:pPr>
        <w:ind w:left="2880" w:hanging="360"/>
      </w:pPr>
      <w:rPr>
        <w:rFonts w:ascii="Symbol" w:hAnsi="Symbol" w:hint="default"/>
      </w:rPr>
    </w:lvl>
    <w:lvl w:ilvl="4" w:tplc="F03E2040">
      <w:start w:val="1"/>
      <w:numFmt w:val="bullet"/>
      <w:lvlText w:val="o"/>
      <w:lvlJc w:val="left"/>
      <w:pPr>
        <w:ind w:left="3600" w:hanging="360"/>
      </w:pPr>
      <w:rPr>
        <w:rFonts w:ascii="Courier New" w:hAnsi="Courier New" w:hint="default"/>
      </w:rPr>
    </w:lvl>
    <w:lvl w:ilvl="5" w:tplc="896A249E">
      <w:start w:val="1"/>
      <w:numFmt w:val="bullet"/>
      <w:lvlText w:val=""/>
      <w:lvlJc w:val="left"/>
      <w:pPr>
        <w:ind w:left="4320" w:hanging="360"/>
      </w:pPr>
      <w:rPr>
        <w:rFonts w:ascii="Wingdings" w:hAnsi="Wingdings" w:hint="default"/>
      </w:rPr>
    </w:lvl>
    <w:lvl w:ilvl="6" w:tplc="304A012E">
      <w:start w:val="1"/>
      <w:numFmt w:val="bullet"/>
      <w:lvlText w:val=""/>
      <w:lvlJc w:val="left"/>
      <w:pPr>
        <w:ind w:left="5040" w:hanging="360"/>
      </w:pPr>
      <w:rPr>
        <w:rFonts w:ascii="Symbol" w:hAnsi="Symbol" w:hint="default"/>
      </w:rPr>
    </w:lvl>
    <w:lvl w:ilvl="7" w:tplc="7D1643C8">
      <w:start w:val="1"/>
      <w:numFmt w:val="bullet"/>
      <w:lvlText w:val="o"/>
      <w:lvlJc w:val="left"/>
      <w:pPr>
        <w:ind w:left="5760" w:hanging="360"/>
      </w:pPr>
      <w:rPr>
        <w:rFonts w:ascii="Courier New" w:hAnsi="Courier New" w:hint="default"/>
      </w:rPr>
    </w:lvl>
    <w:lvl w:ilvl="8" w:tplc="B18E07F2">
      <w:start w:val="1"/>
      <w:numFmt w:val="bullet"/>
      <w:lvlText w:val=""/>
      <w:lvlJc w:val="left"/>
      <w:pPr>
        <w:ind w:left="6480" w:hanging="360"/>
      </w:pPr>
      <w:rPr>
        <w:rFonts w:ascii="Wingdings" w:hAnsi="Wingdings"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8"/>
  </w:num>
  <w:num w:numId="4">
    <w:abstractNumId w:val="17"/>
  </w:num>
  <w:num w:numId="5">
    <w:abstractNumId w:val="16"/>
  </w:num>
  <w:num w:numId="6">
    <w:abstractNumId w:val="28"/>
  </w:num>
  <w:num w:numId="7">
    <w:abstractNumId w:val="25"/>
  </w:num>
  <w:num w:numId="8">
    <w:abstractNumId w:val="29"/>
  </w:num>
  <w:num w:numId="9">
    <w:abstractNumId w:val="30"/>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7"/>
  </w:num>
  <w:num w:numId="17">
    <w:abstractNumId w:val="20"/>
  </w:num>
  <w:num w:numId="18">
    <w:abstractNumId w:val="15"/>
    <w:lvlOverride w:ilvl="0">
      <w:startOverride w:val="1"/>
    </w:lvlOverride>
  </w:num>
  <w:num w:numId="19">
    <w:abstractNumId w:val="15"/>
    <w:lvlOverride w:ilvl="0">
      <w:startOverride w:val="1"/>
    </w:lvlOverride>
  </w:num>
  <w:num w:numId="20">
    <w:abstractNumId w:val="22"/>
    <w:lvlOverride w:ilvl="0">
      <w:startOverride w:val="1"/>
    </w:lvlOverride>
  </w:num>
  <w:num w:numId="21">
    <w:abstractNumId w:val="31"/>
    <w:lvlOverride w:ilvl="0">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2"/>
  </w:num>
  <w:num w:numId="25">
    <w:abstractNumId w:val="27"/>
  </w:num>
  <w:num w:numId="26">
    <w:abstractNumId w:val="6"/>
  </w:num>
  <w:num w:numId="27">
    <w:abstractNumId w:val="13"/>
  </w:num>
  <w:num w:numId="28">
    <w:abstractNumId w:val="14"/>
  </w:num>
  <w:num w:numId="29">
    <w:abstractNumId w:val="4"/>
  </w:num>
  <w:num w:numId="30">
    <w:abstractNumId w:val="26"/>
  </w:num>
  <w:num w:numId="31">
    <w:abstractNumId w:val="3"/>
  </w:num>
  <w:num w:numId="32">
    <w:abstractNumId w:val="15"/>
  </w:num>
  <w:num w:numId="33">
    <w:abstractNumId w:val="22"/>
  </w:num>
  <w:num w:numId="34">
    <w:abstractNumId w:val="23"/>
  </w:num>
  <w:num w:numId="35">
    <w:abstractNumId w:val="5"/>
  </w:num>
  <w:num w:numId="36">
    <w:abstractNumId w:val="19"/>
  </w:num>
  <w:num w:numId="37">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6-01-15 16.01.1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FigNum" w:val="1"/>
    <w:docVar w:name="LW_CORRIGENDUM" w:val="&lt;UNUSED&gt;"/>
    <w:docVar w:name="LW_COVERPAGE_EXISTS" w:val="True"/>
    <w:docVar w:name="LW_COVERPAGE_GUID" w:val="AF32A199-CE8E-400D-B196-AABE6019A726"/>
    <w:docVar w:name="LW_COVERPAGE_TYPE" w:val="1"/>
    <w:docVar w:name="LW_CreatedUtc" w:val="2025-10-22T15:46:57.4638261Z"/>
    <w:docVar w:name="LW_CROSSREFERENCE" w:val="{SWD(2025) 836}"/>
    <w:docVar w:name="LW_DocType" w:val="COM"/>
    <w:docVar w:name="LW_EMISSION" w:val="19.11.2025"/>
    <w:docVar w:name="LW_EMISSION_ISODATE" w:val="2025-11-19"/>
    <w:docVar w:name="LW_EMISSION_LOCATION" w:val="BRX"/>
    <w:docVar w:name="LW_EMISSION_PREFIX" w:val="Bryssel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ETA:n kannalta merkityksellinen teksti)"/>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COD"/>
    <w:docVar w:name="LW_REF.II.NEW.CP_NUMBER" w:val="0359"/>
    <w:docVar w:name="LW_REF.II.NEW.CP_YEAR" w:val="2025"/>
    <w:docVar w:name="LW_REF.INST.NEW" w:val="COM"/>
    <w:docVar w:name="LW_REF.INST.NEW_ADOPTED" w:val="final"/>
    <w:docVar w:name="LW_REF.INST.NEW_TEXT" w:val="(2025) 83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hdotus"/>
    <w:docVar w:name="LW_SUPERTITRE" w:val="&lt;UNUSED&gt;"/>
    <w:docVar w:name="LW_TITRE.OBJ.CP" w:val="asetusten (EU) 2024/1689 ja (EU) 2018/1139 muuttamisesta tekoälyä koskevien yhdenmukaistettujen sääntöjen täytäntöönpanon yksinkertaistamiseksi (tekoälyä koskeva digitaalialan koontiasetus)"/>
    <w:docVar w:name="LW_TYPE.DOC.CP" w:val="EUROOPAN PARLAMENTIN JA NEUVOSTON ASETUS"/>
    <w:docVar w:name="LwApiVersions" w:val="LW4CoDe 1.24.5.0; LW 9.2, Build 20251112"/>
  </w:docVars>
  <w:rsids>
    <w:rsidRoot w:val="009C3EE2"/>
    <w:rsid w:val="0000001F"/>
    <w:rsid w:val="00000152"/>
    <w:rsid w:val="000004BD"/>
    <w:rsid w:val="00000EE2"/>
    <w:rsid w:val="00001A3F"/>
    <w:rsid w:val="00001A47"/>
    <w:rsid w:val="00001AD4"/>
    <w:rsid w:val="00001E30"/>
    <w:rsid w:val="00001F65"/>
    <w:rsid w:val="000022C9"/>
    <w:rsid w:val="00002905"/>
    <w:rsid w:val="00002ECD"/>
    <w:rsid w:val="000030C5"/>
    <w:rsid w:val="0000320E"/>
    <w:rsid w:val="00003462"/>
    <w:rsid w:val="000034F3"/>
    <w:rsid w:val="00003810"/>
    <w:rsid w:val="00003ADB"/>
    <w:rsid w:val="000061B3"/>
    <w:rsid w:val="00006A29"/>
    <w:rsid w:val="000101B4"/>
    <w:rsid w:val="00010207"/>
    <w:rsid w:val="000102A9"/>
    <w:rsid w:val="00010451"/>
    <w:rsid w:val="00010708"/>
    <w:rsid w:val="00010988"/>
    <w:rsid w:val="0001105B"/>
    <w:rsid w:val="00011386"/>
    <w:rsid w:val="00011417"/>
    <w:rsid w:val="00011B02"/>
    <w:rsid w:val="0001218A"/>
    <w:rsid w:val="000133E0"/>
    <w:rsid w:val="00013568"/>
    <w:rsid w:val="0001375F"/>
    <w:rsid w:val="0001384E"/>
    <w:rsid w:val="00014200"/>
    <w:rsid w:val="000144A8"/>
    <w:rsid w:val="00014ED0"/>
    <w:rsid w:val="00015049"/>
    <w:rsid w:val="0001567D"/>
    <w:rsid w:val="0001569C"/>
    <w:rsid w:val="000160FD"/>
    <w:rsid w:val="00016BEA"/>
    <w:rsid w:val="00017251"/>
    <w:rsid w:val="0001794D"/>
    <w:rsid w:val="00017E79"/>
    <w:rsid w:val="00017ED4"/>
    <w:rsid w:val="00020C03"/>
    <w:rsid w:val="000212BB"/>
    <w:rsid w:val="00021A48"/>
    <w:rsid w:val="00021B73"/>
    <w:rsid w:val="00022034"/>
    <w:rsid w:val="000220FA"/>
    <w:rsid w:val="00022559"/>
    <w:rsid w:val="000227D4"/>
    <w:rsid w:val="0002280F"/>
    <w:rsid w:val="00022862"/>
    <w:rsid w:val="00022922"/>
    <w:rsid w:val="00022BB1"/>
    <w:rsid w:val="00022CB4"/>
    <w:rsid w:val="00022EFE"/>
    <w:rsid w:val="00023077"/>
    <w:rsid w:val="000233AE"/>
    <w:rsid w:val="00023585"/>
    <w:rsid w:val="000242C1"/>
    <w:rsid w:val="000247AA"/>
    <w:rsid w:val="0002562A"/>
    <w:rsid w:val="00026874"/>
    <w:rsid w:val="00026B91"/>
    <w:rsid w:val="00026F0C"/>
    <w:rsid w:val="00026F20"/>
    <w:rsid w:val="00027033"/>
    <w:rsid w:val="00027197"/>
    <w:rsid w:val="0002735A"/>
    <w:rsid w:val="00027707"/>
    <w:rsid w:val="00027EDB"/>
    <w:rsid w:val="00027FC0"/>
    <w:rsid w:val="00027FC6"/>
    <w:rsid w:val="00030366"/>
    <w:rsid w:val="000306E6"/>
    <w:rsid w:val="00031374"/>
    <w:rsid w:val="000316EE"/>
    <w:rsid w:val="00031939"/>
    <w:rsid w:val="00031F47"/>
    <w:rsid w:val="00032373"/>
    <w:rsid w:val="00032DE7"/>
    <w:rsid w:val="00032EBB"/>
    <w:rsid w:val="00033451"/>
    <w:rsid w:val="000334FB"/>
    <w:rsid w:val="000348F3"/>
    <w:rsid w:val="00034BC9"/>
    <w:rsid w:val="00034DBF"/>
    <w:rsid w:val="00034DC1"/>
    <w:rsid w:val="00035991"/>
    <w:rsid w:val="00035A50"/>
    <w:rsid w:val="000369F1"/>
    <w:rsid w:val="00036E71"/>
    <w:rsid w:val="000374C0"/>
    <w:rsid w:val="00037A16"/>
    <w:rsid w:val="00037EF2"/>
    <w:rsid w:val="000405A0"/>
    <w:rsid w:val="00040633"/>
    <w:rsid w:val="000408B9"/>
    <w:rsid w:val="00040C2C"/>
    <w:rsid w:val="00040D9F"/>
    <w:rsid w:val="00041C52"/>
    <w:rsid w:val="00041E60"/>
    <w:rsid w:val="000427D4"/>
    <w:rsid w:val="00042B42"/>
    <w:rsid w:val="00042D77"/>
    <w:rsid w:val="00042F45"/>
    <w:rsid w:val="00042F55"/>
    <w:rsid w:val="0004488B"/>
    <w:rsid w:val="00044AA5"/>
    <w:rsid w:val="00044C9C"/>
    <w:rsid w:val="00044CA5"/>
    <w:rsid w:val="0004524E"/>
    <w:rsid w:val="0004578F"/>
    <w:rsid w:val="00045E01"/>
    <w:rsid w:val="00045F0F"/>
    <w:rsid w:val="00046D61"/>
    <w:rsid w:val="00047259"/>
    <w:rsid w:val="00047C62"/>
    <w:rsid w:val="00047D49"/>
    <w:rsid w:val="00047F8C"/>
    <w:rsid w:val="0005002A"/>
    <w:rsid w:val="000501E8"/>
    <w:rsid w:val="000505E2"/>
    <w:rsid w:val="000510C1"/>
    <w:rsid w:val="00051394"/>
    <w:rsid w:val="000514B1"/>
    <w:rsid w:val="00051535"/>
    <w:rsid w:val="000526A5"/>
    <w:rsid w:val="00052F2B"/>
    <w:rsid w:val="000530C1"/>
    <w:rsid w:val="00053810"/>
    <w:rsid w:val="00053B4E"/>
    <w:rsid w:val="0005417F"/>
    <w:rsid w:val="00055918"/>
    <w:rsid w:val="000559EE"/>
    <w:rsid w:val="000560BC"/>
    <w:rsid w:val="00056228"/>
    <w:rsid w:val="000563E8"/>
    <w:rsid w:val="00056B8D"/>
    <w:rsid w:val="000570B0"/>
    <w:rsid w:val="0005777A"/>
    <w:rsid w:val="00057C77"/>
    <w:rsid w:val="00057E1F"/>
    <w:rsid w:val="00060314"/>
    <w:rsid w:val="00060457"/>
    <w:rsid w:val="00061999"/>
    <w:rsid w:val="00061A0D"/>
    <w:rsid w:val="00061C68"/>
    <w:rsid w:val="0006205A"/>
    <w:rsid w:val="000623A5"/>
    <w:rsid w:val="0006259C"/>
    <w:rsid w:val="00062717"/>
    <w:rsid w:val="00063406"/>
    <w:rsid w:val="00063511"/>
    <w:rsid w:val="0006482B"/>
    <w:rsid w:val="000648A1"/>
    <w:rsid w:val="000649D0"/>
    <w:rsid w:val="0006525F"/>
    <w:rsid w:val="00065DFA"/>
    <w:rsid w:val="000660E2"/>
    <w:rsid w:val="0006708A"/>
    <w:rsid w:val="00067769"/>
    <w:rsid w:val="000677BC"/>
    <w:rsid w:val="00067A58"/>
    <w:rsid w:val="00067C61"/>
    <w:rsid w:val="00070917"/>
    <w:rsid w:val="000726DA"/>
    <w:rsid w:val="00072A03"/>
    <w:rsid w:val="00072A2E"/>
    <w:rsid w:val="00072B40"/>
    <w:rsid w:val="0007368D"/>
    <w:rsid w:val="000745D5"/>
    <w:rsid w:val="000747A5"/>
    <w:rsid w:val="00074E68"/>
    <w:rsid w:val="000751B8"/>
    <w:rsid w:val="000752C2"/>
    <w:rsid w:val="0007634F"/>
    <w:rsid w:val="00076AF9"/>
    <w:rsid w:val="00076B88"/>
    <w:rsid w:val="00077D85"/>
    <w:rsid w:val="00080123"/>
    <w:rsid w:val="000801EA"/>
    <w:rsid w:val="00080639"/>
    <w:rsid w:val="00080992"/>
    <w:rsid w:val="000809CA"/>
    <w:rsid w:val="00081DAC"/>
    <w:rsid w:val="00081F0C"/>
    <w:rsid w:val="00082502"/>
    <w:rsid w:val="000825BF"/>
    <w:rsid w:val="000829C7"/>
    <w:rsid w:val="00082DF0"/>
    <w:rsid w:val="00083E80"/>
    <w:rsid w:val="00083F54"/>
    <w:rsid w:val="000842D8"/>
    <w:rsid w:val="00084885"/>
    <w:rsid w:val="00084EF9"/>
    <w:rsid w:val="000852BC"/>
    <w:rsid w:val="0008530F"/>
    <w:rsid w:val="00085A3F"/>
    <w:rsid w:val="00085A68"/>
    <w:rsid w:val="00085D01"/>
    <w:rsid w:val="0008604D"/>
    <w:rsid w:val="0008668B"/>
    <w:rsid w:val="00086FA7"/>
    <w:rsid w:val="000872A4"/>
    <w:rsid w:val="000873F3"/>
    <w:rsid w:val="00087440"/>
    <w:rsid w:val="000879B1"/>
    <w:rsid w:val="00087AD8"/>
    <w:rsid w:val="00090955"/>
    <w:rsid w:val="000909AE"/>
    <w:rsid w:val="00090B61"/>
    <w:rsid w:val="00090E29"/>
    <w:rsid w:val="00092C21"/>
    <w:rsid w:val="00092E92"/>
    <w:rsid w:val="0009308F"/>
    <w:rsid w:val="00093981"/>
    <w:rsid w:val="00093C78"/>
    <w:rsid w:val="0009465D"/>
    <w:rsid w:val="00094C3B"/>
    <w:rsid w:val="00094DD1"/>
    <w:rsid w:val="000951C5"/>
    <w:rsid w:val="00095491"/>
    <w:rsid w:val="00095B2E"/>
    <w:rsid w:val="00095B85"/>
    <w:rsid w:val="00097322"/>
    <w:rsid w:val="000974E4"/>
    <w:rsid w:val="00097691"/>
    <w:rsid w:val="00097760"/>
    <w:rsid w:val="00097F36"/>
    <w:rsid w:val="000A01BE"/>
    <w:rsid w:val="000A0916"/>
    <w:rsid w:val="000A1B33"/>
    <w:rsid w:val="000A215A"/>
    <w:rsid w:val="000A2196"/>
    <w:rsid w:val="000A2773"/>
    <w:rsid w:val="000A2C6C"/>
    <w:rsid w:val="000A31D5"/>
    <w:rsid w:val="000A3679"/>
    <w:rsid w:val="000A3D45"/>
    <w:rsid w:val="000A3DF8"/>
    <w:rsid w:val="000A3FA1"/>
    <w:rsid w:val="000A57FC"/>
    <w:rsid w:val="000A633C"/>
    <w:rsid w:val="000A669C"/>
    <w:rsid w:val="000A6CE2"/>
    <w:rsid w:val="000A754A"/>
    <w:rsid w:val="000B039B"/>
    <w:rsid w:val="000B0E6F"/>
    <w:rsid w:val="000B0F9E"/>
    <w:rsid w:val="000B22EC"/>
    <w:rsid w:val="000B276F"/>
    <w:rsid w:val="000B2DED"/>
    <w:rsid w:val="000B31C4"/>
    <w:rsid w:val="000B3431"/>
    <w:rsid w:val="000B4167"/>
    <w:rsid w:val="000B417F"/>
    <w:rsid w:val="000B429A"/>
    <w:rsid w:val="000B53A0"/>
    <w:rsid w:val="000B53E1"/>
    <w:rsid w:val="000B5B2D"/>
    <w:rsid w:val="000B5C3E"/>
    <w:rsid w:val="000B5FB0"/>
    <w:rsid w:val="000B6729"/>
    <w:rsid w:val="000B696F"/>
    <w:rsid w:val="000B7653"/>
    <w:rsid w:val="000B7B3B"/>
    <w:rsid w:val="000B7C58"/>
    <w:rsid w:val="000B7DD1"/>
    <w:rsid w:val="000C00D8"/>
    <w:rsid w:val="000C016F"/>
    <w:rsid w:val="000C086A"/>
    <w:rsid w:val="000C1045"/>
    <w:rsid w:val="000C1701"/>
    <w:rsid w:val="000C31D1"/>
    <w:rsid w:val="000C35D1"/>
    <w:rsid w:val="000C3E42"/>
    <w:rsid w:val="000C4E95"/>
    <w:rsid w:val="000C5686"/>
    <w:rsid w:val="000C584D"/>
    <w:rsid w:val="000C6440"/>
    <w:rsid w:val="000C6960"/>
    <w:rsid w:val="000C6CB1"/>
    <w:rsid w:val="000C6D8D"/>
    <w:rsid w:val="000C7222"/>
    <w:rsid w:val="000C7C63"/>
    <w:rsid w:val="000D1053"/>
    <w:rsid w:val="000D1930"/>
    <w:rsid w:val="000D1A58"/>
    <w:rsid w:val="000D1B60"/>
    <w:rsid w:val="000D2A21"/>
    <w:rsid w:val="000D35AC"/>
    <w:rsid w:val="000D3747"/>
    <w:rsid w:val="000D39C1"/>
    <w:rsid w:val="000D3B97"/>
    <w:rsid w:val="000D4167"/>
    <w:rsid w:val="000D438D"/>
    <w:rsid w:val="000D446D"/>
    <w:rsid w:val="000D451C"/>
    <w:rsid w:val="000D6042"/>
    <w:rsid w:val="000D6864"/>
    <w:rsid w:val="000D6C77"/>
    <w:rsid w:val="000D6F89"/>
    <w:rsid w:val="000D7603"/>
    <w:rsid w:val="000D78E3"/>
    <w:rsid w:val="000D7C36"/>
    <w:rsid w:val="000D7D3A"/>
    <w:rsid w:val="000E0502"/>
    <w:rsid w:val="000E054B"/>
    <w:rsid w:val="000E07BF"/>
    <w:rsid w:val="000E0968"/>
    <w:rsid w:val="000E0A6B"/>
    <w:rsid w:val="000E0F1A"/>
    <w:rsid w:val="000E11EA"/>
    <w:rsid w:val="000E120F"/>
    <w:rsid w:val="000E1323"/>
    <w:rsid w:val="000E1D3C"/>
    <w:rsid w:val="000E2487"/>
    <w:rsid w:val="000E2989"/>
    <w:rsid w:val="000E2FD0"/>
    <w:rsid w:val="000E309D"/>
    <w:rsid w:val="000E327E"/>
    <w:rsid w:val="000E3D28"/>
    <w:rsid w:val="000E3E90"/>
    <w:rsid w:val="000E3EE2"/>
    <w:rsid w:val="000E3FF9"/>
    <w:rsid w:val="000E4344"/>
    <w:rsid w:val="000E4DAD"/>
    <w:rsid w:val="000E4F44"/>
    <w:rsid w:val="000E52F4"/>
    <w:rsid w:val="000E5521"/>
    <w:rsid w:val="000E5998"/>
    <w:rsid w:val="000E5C9D"/>
    <w:rsid w:val="000E5F5A"/>
    <w:rsid w:val="000E6510"/>
    <w:rsid w:val="000E6756"/>
    <w:rsid w:val="000E6BC9"/>
    <w:rsid w:val="000F0198"/>
    <w:rsid w:val="000F0547"/>
    <w:rsid w:val="000F0DB9"/>
    <w:rsid w:val="000F13CF"/>
    <w:rsid w:val="000F14C5"/>
    <w:rsid w:val="000F175A"/>
    <w:rsid w:val="000F1BCE"/>
    <w:rsid w:val="000F2000"/>
    <w:rsid w:val="000F22DB"/>
    <w:rsid w:val="000F2306"/>
    <w:rsid w:val="000F2680"/>
    <w:rsid w:val="000F27E4"/>
    <w:rsid w:val="000F28FD"/>
    <w:rsid w:val="000F2B18"/>
    <w:rsid w:val="000F2BA7"/>
    <w:rsid w:val="000F38E7"/>
    <w:rsid w:val="000F40CA"/>
    <w:rsid w:val="000F572A"/>
    <w:rsid w:val="000F68E6"/>
    <w:rsid w:val="000F69D6"/>
    <w:rsid w:val="000F6A06"/>
    <w:rsid w:val="000F6BCB"/>
    <w:rsid w:val="000F6CF2"/>
    <w:rsid w:val="000F6CF7"/>
    <w:rsid w:val="000F6E8B"/>
    <w:rsid w:val="000F74AC"/>
    <w:rsid w:val="000F79CC"/>
    <w:rsid w:val="000F7E27"/>
    <w:rsid w:val="000F7EF3"/>
    <w:rsid w:val="000F7F8C"/>
    <w:rsid w:val="00100049"/>
    <w:rsid w:val="001000D3"/>
    <w:rsid w:val="00100E14"/>
    <w:rsid w:val="0010152A"/>
    <w:rsid w:val="00101CB7"/>
    <w:rsid w:val="0010281B"/>
    <w:rsid w:val="0010281D"/>
    <w:rsid w:val="00102F1C"/>
    <w:rsid w:val="001031C9"/>
    <w:rsid w:val="00104557"/>
    <w:rsid w:val="00104598"/>
    <w:rsid w:val="001048E9"/>
    <w:rsid w:val="00104E79"/>
    <w:rsid w:val="00105530"/>
    <w:rsid w:val="0010583E"/>
    <w:rsid w:val="00105BB1"/>
    <w:rsid w:val="0010654E"/>
    <w:rsid w:val="001065AA"/>
    <w:rsid w:val="001065F5"/>
    <w:rsid w:val="0010714D"/>
    <w:rsid w:val="00107E36"/>
    <w:rsid w:val="00107EA4"/>
    <w:rsid w:val="0011025E"/>
    <w:rsid w:val="00110A13"/>
    <w:rsid w:val="00110AB0"/>
    <w:rsid w:val="00111364"/>
    <w:rsid w:val="00111C09"/>
    <w:rsid w:val="00111F16"/>
    <w:rsid w:val="001122D1"/>
    <w:rsid w:val="00112F07"/>
    <w:rsid w:val="00113A86"/>
    <w:rsid w:val="00113BE2"/>
    <w:rsid w:val="00113D21"/>
    <w:rsid w:val="00113F84"/>
    <w:rsid w:val="00114332"/>
    <w:rsid w:val="00114BBE"/>
    <w:rsid w:val="00114BEC"/>
    <w:rsid w:val="00114C45"/>
    <w:rsid w:val="0011507D"/>
    <w:rsid w:val="00115A9B"/>
    <w:rsid w:val="00115D88"/>
    <w:rsid w:val="001162F1"/>
    <w:rsid w:val="00116737"/>
    <w:rsid w:val="0011696A"/>
    <w:rsid w:val="00120602"/>
    <w:rsid w:val="00120F49"/>
    <w:rsid w:val="0012102D"/>
    <w:rsid w:val="00121575"/>
    <w:rsid w:val="00121D4C"/>
    <w:rsid w:val="00123208"/>
    <w:rsid w:val="00123412"/>
    <w:rsid w:val="001235E3"/>
    <w:rsid w:val="001238EF"/>
    <w:rsid w:val="00123BCE"/>
    <w:rsid w:val="00123D2E"/>
    <w:rsid w:val="001249B7"/>
    <w:rsid w:val="00124B1F"/>
    <w:rsid w:val="00124CAF"/>
    <w:rsid w:val="0012518A"/>
    <w:rsid w:val="00125225"/>
    <w:rsid w:val="00125D2A"/>
    <w:rsid w:val="001261E8"/>
    <w:rsid w:val="0013060E"/>
    <w:rsid w:val="00130FB3"/>
    <w:rsid w:val="00130FDF"/>
    <w:rsid w:val="00131583"/>
    <w:rsid w:val="00131978"/>
    <w:rsid w:val="00131EFA"/>
    <w:rsid w:val="00132279"/>
    <w:rsid w:val="001329C0"/>
    <w:rsid w:val="00132DC0"/>
    <w:rsid w:val="00132E11"/>
    <w:rsid w:val="00133168"/>
    <w:rsid w:val="00133696"/>
    <w:rsid w:val="00133A71"/>
    <w:rsid w:val="00133D96"/>
    <w:rsid w:val="001342C1"/>
    <w:rsid w:val="00135328"/>
    <w:rsid w:val="001356B8"/>
    <w:rsid w:val="00135AAE"/>
    <w:rsid w:val="00135B92"/>
    <w:rsid w:val="0013632A"/>
    <w:rsid w:val="0013680A"/>
    <w:rsid w:val="001375BA"/>
    <w:rsid w:val="0013789E"/>
    <w:rsid w:val="00137AED"/>
    <w:rsid w:val="00137C69"/>
    <w:rsid w:val="00140252"/>
    <w:rsid w:val="001405ED"/>
    <w:rsid w:val="0014074C"/>
    <w:rsid w:val="001409D2"/>
    <w:rsid w:val="00140E71"/>
    <w:rsid w:val="00141852"/>
    <w:rsid w:val="0014238A"/>
    <w:rsid w:val="00143796"/>
    <w:rsid w:val="00143981"/>
    <w:rsid w:val="00143F26"/>
    <w:rsid w:val="00144340"/>
    <w:rsid w:val="001443F6"/>
    <w:rsid w:val="0014489F"/>
    <w:rsid w:val="00144A22"/>
    <w:rsid w:val="00144AB2"/>
    <w:rsid w:val="00144CEA"/>
    <w:rsid w:val="00145494"/>
    <w:rsid w:val="001454E9"/>
    <w:rsid w:val="00145745"/>
    <w:rsid w:val="00145CDF"/>
    <w:rsid w:val="001460C1"/>
    <w:rsid w:val="001472DA"/>
    <w:rsid w:val="00147FA8"/>
    <w:rsid w:val="00150324"/>
    <w:rsid w:val="0015053F"/>
    <w:rsid w:val="001505A4"/>
    <w:rsid w:val="001508AD"/>
    <w:rsid w:val="0015098C"/>
    <w:rsid w:val="001509BB"/>
    <w:rsid w:val="00151558"/>
    <w:rsid w:val="00151A99"/>
    <w:rsid w:val="0015217F"/>
    <w:rsid w:val="0015293A"/>
    <w:rsid w:val="00152EFF"/>
    <w:rsid w:val="00153530"/>
    <w:rsid w:val="001536F8"/>
    <w:rsid w:val="001539B9"/>
    <w:rsid w:val="00153ED7"/>
    <w:rsid w:val="001540E3"/>
    <w:rsid w:val="00154AA4"/>
    <w:rsid w:val="00155365"/>
    <w:rsid w:val="00155E5C"/>
    <w:rsid w:val="00156A86"/>
    <w:rsid w:val="00156E96"/>
    <w:rsid w:val="00160698"/>
    <w:rsid w:val="00160862"/>
    <w:rsid w:val="0016132F"/>
    <w:rsid w:val="001617E5"/>
    <w:rsid w:val="0016190A"/>
    <w:rsid w:val="00161D41"/>
    <w:rsid w:val="00161EEB"/>
    <w:rsid w:val="00161FE7"/>
    <w:rsid w:val="001620AA"/>
    <w:rsid w:val="001621C4"/>
    <w:rsid w:val="00162585"/>
    <w:rsid w:val="001625D2"/>
    <w:rsid w:val="00162A51"/>
    <w:rsid w:val="00162C68"/>
    <w:rsid w:val="00162ECE"/>
    <w:rsid w:val="001630F7"/>
    <w:rsid w:val="00163611"/>
    <w:rsid w:val="001647C8"/>
    <w:rsid w:val="001657BB"/>
    <w:rsid w:val="0016589E"/>
    <w:rsid w:val="001659A5"/>
    <w:rsid w:val="00166F9E"/>
    <w:rsid w:val="001670FF"/>
    <w:rsid w:val="001675E9"/>
    <w:rsid w:val="00167929"/>
    <w:rsid w:val="00167B2C"/>
    <w:rsid w:val="00167B2F"/>
    <w:rsid w:val="00167ECB"/>
    <w:rsid w:val="00171779"/>
    <w:rsid w:val="00171BDC"/>
    <w:rsid w:val="001722E1"/>
    <w:rsid w:val="00172545"/>
    <w:rsid w:val="00172BCE"/>
    <w:rsid w:val="0017305E"/>
    <w:rsid w:val="0017343F"/>
    <w:rsid w:val="0017348A"/>
    <w:rsid w:val="0017354A"/>
    <w:rsid w:val="00173C6B"/>
    <w:rsid w:val="00173CF9"/>
    <w:rsid w:val="001741B3"/>
    <w:rsid w:val="0017424F"/>
    <w:rsid w:val="00175212"/>
    <w:rsid w:val="0017546B"/>
    <w:rsid w:val="00175666"/>
    <w:rsid w:val="001756CE"/>
    <w:rsid w:val="00175C43"/>
    <w:rsid w:val="00175C74"/>
    <w:rsid w:val="00176194"/>
    <w:rsid w:val="001766C7"/>
    <w:rsid w:val="001769F0"/>
    <w:rsid w:val="00177060"/>
    <w:rsid w:val="00177843"/>
    <w:rsid w:val="00180B00"/>
    <w:rsid w:val="0018185D"/>
    <w:rsid w:val="001820EC"/>
    <w:rsid w:val="00182310"/>
    <w:rsid w:val="00182560"/>
    <w:rsid w:val="00182902"/>
    <w:rsid w:val="00184A8D"/>
    <w:rsid w:val="00184B46"/>
    <w:rsid w:val="00184E9B"/>
    <w:rsid w:val="001854A5"/>
    <w:rsid w:val="00185782"/>
    <w:rsid w:val="00185B49"/>
    <w:rsid w:val="00186425"/>
    <w:rsid w:val="00186ADE"/>
    <w:rsid w:val="00186C56"/>
    <w:rsid w:val="00187780"/>
    <w:rsid w:val="00187ED9"/>
    <w:rsid w:val="001906FA"/>
    <w:rsid w:val="00190C3F"/>
    <w:rsid w:val="0019115D"/>
    <w:rsid w:val="001912AE"/>
    <w:rsid w:val="001913A3"/>
    <w:rsid w:val="00191C4D"/>
    <w:rsid w:val="00191D80"/>
    <w:rsid w:val="00191E16"/>
    <w:rsid w:val="001922CD"/>
    <w:rsid w:val="001925CA"/>
    <w:rsid w:val="00192A9A"/>
    <w:rsid w:val="00192D8E"/>
    <w:rsid w:val="00192E80"/>
    <w:rsid w:val="00192EF0"/>
    <w:rsid w:val="00192F7C"/>
    <w:rsid w:val="001938E6"/>
    <w:rsid w:val="00193BC5"/>
    <w:rsid w:val="00193D49"/>
    <w:rsid w:val="00193F2B"/>
    <w:rsid w:val="001944E7"/>
    <w:rsid w:val="001945BC"/>
    <w:rsid w:val="00194B6C"/>
    <w:rsid w:val="00194D8F"/>
    <w:rsid w:val="001950BB"/>
    <w:rsid w:val="00195418"/>
    <w:rsid w:val="001959C4"/>
    <w:rsid w:val="00196CA5"/>
    <w:rsid w:val="00196E8F"/>
    <w:rsid w:val="00196FFC"/>
    <w:rsid w:val="0019725D"/>
    <w:rsid w:val="00197608"/>
    <w:rsid w:val="00197613"/>
    <w:rsid w:val="001A046B"/>
    <w:rsid w:val="001A05E8"/>
    <w:rsid w:val="001A0A1F"/>
    <w:rsid w:val="001A0C4C"/>
    <w:rsid w:val="001A110D"/>
    <w:rsid w:val="001A17BB"/>
    <w:rsid w:val="001A1802"/>
    <w:rsid w:val="001A1C7E"/>
    <w:rsid w:val="001A2FD9"/>
    <w:rsid w:val="001A3420"/>
    <w:rsid w:val="001A3C45"/>
    <w:rsid w:val="001A41A4"/>
    <w:rsid w:val="001A44E8"/>
    <w:rsid w:val="001A4E4C"/>
    <w:rsid w:val="001A4E81"/>
    <w:rsid w:val="001A523F"/>
    <w:rsid w:val="001A56CA"/>
    <w:rsid w:val="001A57F9"/>
    <w:rsid w:val="001A5E15"/>
    <w:rsid w:val="001A6485"/>
    <w:rsid w:val="001A66A1"/>
    <w:rsid w:val="001A6795"/>
    <w:rsid w:val="001A6DE7"/>
    <w:rsid w:val="001A6E5A"/>
    <w:rsid w:val="001A76DC"/>
    <w:rsid w:val="001A7FDB"/>
    <w:rsid w:val="001B00DE"/>
    <w:rsid w:val="001B075C"/>
    <w:rsid w:val="001B0AA4"/>
    <w:rsid w:val="001B0ABF"/>
    <w:rsid w:val="001B0DE4"/>
    <w:rsid w:val="001B166C"/>
    <w:rsid w:val="001B1FB6"/>
    <w:rsid w:val="001B20E8"/>
    <w:rsid w:val="001B28BD"/>
    <w:rsid w:val="001B29E7"/>
    <w:rsid w:val="001B2A0B"/>
    <w:rsid w:val="001B3DAB"/>
    <w:rsid w:val="001B4519"/>
    <w:rsid w:val="001B474A"/>
    <w:rsid w:val="001B556B"/>
    <w:rsid w:val="001B61E7"/>
    <w:rsid w:val="001B6A40"/>
    <w:rsid w:val="001B6B2D"/>
    <w:rsid w:val="001B729C"/>
    <w:rsid w:val="001B7411"/>
    <w:rsid w:val="001B7554"/>
    <w:rsid w:val="001B75BF"/>
    <w:rsid w:val="001B78FD"/>
    <w:rsid w:val="001B7BC4"/>
    <w:rsid w:val="001C0B17"/>
    <w:rsid w:val="001C108A"/>
    <w:rsid w:val="001C13AC"/>
    <w:rsid w:val="001C1B52"/>
    <w:rsid w:val="001C1FE0"/>
    <w:rsid w:val="001C2285"/>
    <w:rsid w:val="001C2DBD"/>
    <w:rsid w:val="001C38B2"/>
    <w:rsid w:val="001C4C92"/>
    <w:rsid w:val="001C538C"/>
    <w:rsid w:val="001C5425"/>
    <w:rsid w:val="001C58FB"/>
    <w:rsid w:val="001C5947"/>
    <w:rsid w:val="001C6084"/>
    <w:rsid w:val="001C60C3"/>
    <w:rsid w:val="001C7088"/>
    <w:rsid w:val="001C741B"/>
    <w:rsid w:val="001C7447"/>
    <w:rsid w:val="001C7AE4"/>
    <w:rsid w:val="001C7B65"/>
    <w:rsid w:val="001D01D8"/>
    <w:rsid w:val="001D02DD"/>
    <w:rsid w:val="001D0706"/>
    <w:rsid w:val="001D09AA"/>
    <w:rsid w:val="001D11E6"/>
    <w:rsid w:val="001D14D7"/>
    <w:rsid w:val="001D15CE"/>
    <w:rsid w:val="001D1E05"/>
    <w:rsid w:val="001D1E33"/>
    <w:rsid w:val="001D1FBB"/>
    <w:rsid w:val="001D2320"/>
    <w:rsid w:val="001D23EF"/>
    <w:rsid w:val="001D2B93"/>
    <w:rsid w:val="001D310A"/>
    <w:rsid w:val="001D3436"/>
    <w:rsid w:val="001D39C9"/>
    <w:rsid w:val="001D3CD8"/>
    <w:rsid w:val="001D4021"/>
    <w:rsid w:val="001D452F"/>
    <w:rsid w:val="001D49DC"/>
    <w:rsid w:val="001D4A1F"/>
    <w:rsid w:val="001D52B5"/>
    <w:rsid w:val="001D5920"/>
    <w:rsid w:val="001D699D"/>
    <w:rsid w:val="001D6BAD"/>
    <w:rsid w:val="001D6FEE"/>
    <w:rsid w:val="001D7CA1"/>
    <w:rsid w:val="001E0357"/>
    <w:rsid w:val="001E039F"/>
    <w:rsid w:val="001E0729"/>
    <w:rsid w:val="001E079C"/>
    <w:rsid w:val="001E0EC0"/>
    <w:rsid w:val="001E11E9"/>
    <w:rsid w:val="001E146B"/>
    <w:rsid w:val="001E196C"/>
    <w:rsid w:val="001E1B04"/>
    <w:rsid w:val="001E1D5D"/>
    <w:rsid w:val="001E25E7"/>
    <w:rsid w:val="001E2675"/>
    <w:rsid w:val="001E29BE"/>
    <w:rsid w:val="001E2DDB"/>
    <w:rsid w:val="001E2EB1"/>
    <w:rsid w:val="001E30F8"/>
    <w:rsid w:val="001E33D6"/>
    <w:rsid w:val="001E393D"/>
    <w:rsid w:val="001E3BF0"/>
    <w:rsid w:val="001E3DA8"/>
    <w:rsid w:val="001E5077"/>
    <w:rsid w:val="001E536F"/>
    <w:rsid w:val="001E542B"/>
    <w:rsid w:val="001E5B87"/>
    <w:rsid w:val="001E63A8"/>
    <w:rsid w:val="001E65D8"/>
    <w:rsid w:val="001E6FEB"/>
    <w:rsid w:val="001E7025"/>
    <w:rsid w:val="001E76C2"/>
    <w:rsid w:val="001E7C83"/>
    <w:rsid w:val="001F06B6"/>
    <w:rsid w:val="001F09D6"/>
    <w:rsid w:val="001F0A99"/>
    <w:rsid w:val="001F0EE7"/>
    <w:rsid w:val="001F11C4"/>
    <w:rsid w:val="001F14A5"/>
    <w:rsid w:val="001F157B"/>
    <w:rsid w:val="001F16E6"/>
    <w:rsid w:val="001F26A4"/>
    <w:rsid w:val="001F2992"/>
    <w:rsid w:val="001F2A04"/>
    <w:rsid w:val="001F2ADD"/>
    <w:rsid w:val="001F2C16"/>
    <w:rsid w:val="001F2D21"/>
    <w:rsid w:val="001F43A4"/>
    <w:rsid w:val="001F5127"/>
    <w:rsid w:val="001F52F8"/>
    <w:rsid w:val="001F5B6E"/>
    <w:rsid w:val="001F667A"/>
    <w:rsid w:val="001F6979"/>
    <w:rsid w:val="001F6EED"/>
    <w:rsid w:val="001F7201"/>
    <w:rsid w:val="001F7ED5"/>
    <w:rsid w:val="002014AD"/>
    <w:rsid w:val="002016DF"/>
    <w:rsid w:val="002018D6"/>
    <w:rsid w:val="00201D61"/>
    <w:rsid w:val="00202C13"/>
    <w:rsid w:val="00202EEC"/>
    <w:rsid w:val="00203052"/>
    <w:rsid w:val="0020312A"/>
    <w:rsid w:val="00203423"/>
    <w:rsid w:val="002035C5"/>
    <w:rsid w:val="00203D30"/>
    <w:rsid w:val="00204169"/>
    <w:rsid w:val="0020469B"/>
    <w:rsid w:val="0020507C"/>
    <w:rsid w:val="0020557A"/>
    <w:rsid w:val="00205C66"/>
    <w:rsid w:val="00206858"/>
    <w:rsid w:val="00206AC3"/>
    <w:rsid w:val="00206B24"/>
    <w:rsid w:val="00206B6D"/>
    <w:rsid w:val="00206C47"/>
    <w:rsid w:val="002070EC"/>
    <w:rsid w:val="0020723A"/>
    <w:rsid w:val="0021144B"/>
    <w:rsid w:val="00211882"/>
    <w:rsid w:val="00211D74"/>
    <w:rsid w:val="002121AC"/>
    <w:rsid w:val="002122C3"/>
    <w:rsid w:val="002122C6"/>
    <w:rsid w:val="002129FA"/>
    <w:rsid w:val="00212A6A"/>
    <w:rsid w:val="00213192"/>
    <w:rsid w:val="0021385B"/>
    <w:rsid w:val="00213F6A"/>
    <w:rsid w:val="00213FC3"/>
    <w:rsid w:val="00214359"/>
    <w:rsid w:val="002146E7"/>
    <w:rsid w:val="002149B2"/>
    <w:rsid w:val="002149CB"/>
    <w:rsid w:val="00214BB5"/>
    <w:rsid w:val="00214C25"/>
    <w:rsid w:val="00215A8F"/>
    <w:rsid w:val="00215AF4"/>
    <w:rsid w:val="00216674"/>
    <w:rsid w:val="00217672"/>
    <w:rsid w:val="00217A74"/>
    <w:rsid w:val="00217CF4"/>
    <w:rsid w:val="002203D8"/>
    <w:rsid w:val="0022070C"/>
    <w:rsid w:val="002214C8"/>
    <w:rsid w:val="00221BA3"/>
    <w:rsid w:val="00221D52"/>
    <w:rsid w:val="00221FC2"/>
    <w:rsid w:val="002222A4"/>
    <w:rsid w:val="00222530"/>
    <w:rsid w:val="002228F4"/>
    <w:rsid w:val="002231C3"/>
    <w:rsid w:val="00223DBD"/>
    <w:rsid w:val="00224794"/>
    <w:rsid w:val="00224C28"/>
    <w:rsid w:val="00224F49"/>
    <w:rsid w:val="00225068"/>
    <w:rsid w:val="002254EA"/>
    <w:rsid w:val="002264A5"/>
    <w:rsid w:val="002268A1"/>
    <w:rsid w:val="00226B4E"/>
    <w:rsid w:val="00226F22"/>
    <w:rsid w:val="00227049"/>
    <w:rsid w:val="002274FE"/>
    <w:rsid w:val="00227C87"/>
    <w:rsid w:val="00227EDD"/>
    <w:rsid w:val="00227F36"/>
    <w:rsid w:val="00230164"/>
    <w:rsid w:val="002302F0"/>
    <w:rsid w:val="0023098B"/>
    <w:rsid w:val="00230D6D"/>
    <w:rsid w:val="00230E0B"/>
    <w:rsid w:val="002316DF"/>
    <w:rsid w:val="002326BD"/>
    <w:rsid w:val="00232B27"/>
    <w:rsid w:val="0023379F"/>
    <w:rsid w:val="00233B48"/>
    <w:rsid w:val="00233C02"/>
    <w:rsid w:val="00233DC7"/>
    <w:rsid w:val="00234549"/>
    <w:rsid w:val="00234A6E"/>
    <w:rsid w:val="00235535"/>
    <w:rsid w:val="0023574E"/>
    <w:rsid w:val="00235DAB"/>
    <w:rsid w:val="002369A2"/>
    <w:rsid w:val="002369EF"/>
    <w:rsid w:val="00236B10"/>
    <w:rsid w:val="00236E0E"/>
    <w:rsid w:val="00236F1F"/>
    <w:rsid w:val="0023705A"/>
    <w:rsid w:val="0023733D"/>
    <w:rsid w:val="002373F6"/>
    <w:rsid w:val="002379A4"/>
    <w:rsid w:val="002407AD"/>
    <w:rsid w:val="00240EBB"/>
    <w:rsid w:val="00241416"/>
    <w:rsid w:val="00241DD5"/>
    <w:rsid w:val="00242862"/>
    <w:rsid w:val="002430BA"/>
    <w:rsid w:val="00243123"/>
    <w:rsid w:val="00243D7B"/>
    <w:rsid w:val="002441AB"/>
    <w:rsid w:val="00244593"/>
    <w:rsid w:val="00244EB2"/>
    <w:rsid w:val="00244FDC"/>
    <w:rsid w:val="00245495"/>
    <w:rsid w:val="00245D4D"/>
    <w:rsid w:val="00245DDF"/>
    <w:rsid w:val="00246037"/>
    <w:rsid w:val="002460F0"/>
    <w:rsid w:val="002464F8"/>
    <w:rsid w:val="00246A76"/>
    <w:rsid w:val="00246B97"/>
    <w:rsid w:val="00246C3A"/>
    <w:rsid w:val="002471F1"/>
    <w:rsid w:val="00247248"/>
    <w:rsid w:val="00247691"/>
    <w:rsid w:val="00247779"/>
    <w:rsid w:val="002504D3"/>
    <w:rsid w:val="0025135D"/>
    <w:rsid w:val="0025173C"/>
    <w:rsid w:val="00251A47"/>
    <w:rsid w:val="00251D42"/>
    <w:rsid w:val="00251F56"/>
    <w:rsid w:val="0025213D"/>
    <w:rsid w:val="00252E29"/>
    <w:rsid w:val="002542CC"/>
    <w:rsid w:val="00254AED"/>
    <w:rsid w:val="00254B0E"/>
    <w:rsid w:val="0025589B"/>
    <w:rsid w:val="00255E45"/>
    <w:rsid w:val="0025630F"/>
    <w:rsid w:val="002564B8"/>
    <w:rsid w:val="0025686A"/>
    <w:rsid w:val="0025707D"/>
    <w:rsid w:val="002577BC"/>
    <w:rsid w:val="0025794B"/>
    <w:rsid w:val="00257AED"/>
    <w:rsid w:val="00257D5A"/>
    <w:rsid w:val="00257E12"/>
    <w:rsid w:val="0026004A"/>
    <w:rsid w:val="002605C3"/>
    <w:rsid w:val="00261055"/>
    <w:rsid w:val="002610C1"/>
    <w:rsid w:val="00261EDA"/>
    <w:rsid w:val="00262309"/>
    <w:rsid w:val="00262667"/>
    <w:rsid w:val="00262856"/>
    <w:rsid w:val="002630A9"/>
    <w:rsid w:val="002631D6"/>
    <w:rsid w:val="002637D9"/>
    <w:rsid w:val="002639A7"/>
    <w:rsid w:val="00263B32"/>
    <w:rsid w:val="00263B99"/>
    <w:rsid w:val="00263C23"/>
    <w:rsid w:val="00264209"/>
    <w:rsid w:val="00264321"/>
    <w:rsid w:val="00264CDB"/>
    <w:rsid w:val="00265D0B"/>
    <w:rsid w:val="002663AF"/>
    <w:rsid w:val="00266431"/>
    <w:rsid w:val="00266DA1"/>
    <w:rsid w:val="002672A5"/>
    <w:rsid w:val="002672B9"/>
    <w:rsid w:val="002679B4"/>
    <w:rsid w:val="00267B05"/>
    <w:rsid w:val="00270385"/>
    <w:rsid w:val="002709AB"/>
    <w:rsid w:val="002713A4"/>
    <w:rsid w:val="00271FB2"/>
    <w:rsid w:val="00272046"/>
    <w:rsid w:val="0027222C"/>
    <w:rsid w:val="0027284E"/>
    <w:rsid w:val="0027302C"/>
    <w:rsid w:val="00273381"/>
    <w:rsid w:val="00273525"/>
    <w:rsid w:val="00273646"/>
    <w:rsid w:val="002739F8"/>
    <w:rsid w:val="00273FC7"/>
    <w:rsid w:val="002748DB"/>
    <w:rsid w:val="00274DA0"/>
    <w:rsid w:val="0027521B"/>
    <w:rsid w:val="00275963"/>
    <w:rsid w:val="00275AAA"/>
    <w:rsid w:val="00275C5C"/>
    <w:rsid w:val="00275F16"/>
    <w:rsid w:val="002764A9"/>
    <w:rsid w:val="0027691B"/>
    <w:rsid w:val="00276944"/>
    <w:rsid w:val="00276AE9"/>
    <w:rsid w:val="00276FA8"/>
    <w:rsid w:val="00277744"/>
    <w:rsid w:val="00277AB0"/>
    <w:rsid w:val="00277B6A"/>
    <w:rsid w:val="00281BCA"/>
    <w:rsid w:val="00281EE8"/>
    <w:rsid w:val="00282817"/>
    <w:rsid w:val="0028299D"/>
    <w:rsid w:val="00282F09"/>
    <w:rsid w:val="00283078"/>
    <w:rsid w:val="002831D8"/>
    <w:rsid w:val="002836A5"/>
    <w:rsid w:val="0028447A"/>
    <w:rsid w:val="0028476C"/>
    <w:rsid w:val="002856C6"/>
    <w:rsid w:val="00285AEB"/>
    <w:rsid w:val="00285BEE"/>
    <w:rsid w:val="00285FE2"/>
    <w:rsid w:val="002863E5"/>
    <w:rsid w:val="00286823"/>
    <w:rsid w:val="00286927"/>
    <w:rsid w:val="00286AAA"/>
    <w:rsid w:val="00286AC8"/>
    <w:rsid w:val="00287359"/>
    <w:rsid w:val="00287B94"/>
    <w:rsid w:val="0029013E"/>
    <w:rsid w:val="00290238"/>
    <w:rsid w:val="00290319"/>
    <w:rsid w:val="002908DB"/>
    <w:rsid w:val="00291559"/>
    <w:rsid w:val="002920DD"/>
    <w:rsid w:val="00293A95"/>
    <w:rsid w:val="00293ECA"/>
    <w:rsid w:val="0029452E"/>
    <w:rsid w:val="00294EC4"/>
    <w:rsid w:val="002951ED"/>
    <w:rsid w:val="0029533F"/>
    <w:rsid w:val="002955D1"/>
    <w:rsid w:val="00295F70"/>
    <w:rsid w:val="00296313"/>
    <w:rsid w:val="0029631D"/>
    <w:rsid w:val="00296391"/>
    <w:rsid w:val="002963DC"/>
    <w:rsid w:val="00296944"/>
    <w:rsid w:val="0029699F"/>
    <w:rsid w:val="00296C6F"/>
    <w:rsid w:val="00296F57"/>
    <w:rsid w:val="00297266"/>
    <w:rsid w:val="002972F2"/>
    <w:rsid w:val="00297E4F"/>
    <w:rsid w:val="002A041A"/>
    <w:rsid w:val="002A1101"/>
    <w:rsid w:val="002A11CE"/>
    <w:rsid w:val="002A158C"/>
    <w:rsid w:val="002A1AFF"/>
    <w:rsid w:val="002A20AC"/>
    <w:rsid w:val="002A2822"/>
    <w:rsid w:val="002A2DDD"/>
    <w:rsid w:val="002A3AAE"/>
    <w:rsid w:val="002A3B9F"/>
    <w:rsid w:val="002A4135"/>
    <w:rsid w:val="002A5645"/>
    <w:rsid w:val="002A5938"/>
    <w:rsid w:val="002A5B80"/>
    <w:rsid w:val="002A69DC"/>
    <w:rsid w:val="002A6CA4"/>
    <w:rsid w:val="002A73B7"/>
    <w:rsid w:val="002A73DA"/>
    <w:rsid w:val="002B0EC2"/>
    <w:rsid w:val="002B141C"/>
    <w:rsid w:val="002B17FF"/>
    <w:rsid w:val="002B1E4B"/>
    <w:rsid w:val="002B2019"/>
    <w:rsid w:val="002B25F2"/>
    <w:rsid w:val="002B2711"/>
    <w:rsid w:val="002B28D3"/>
    <w:rsid w:val="002B2D98"/>
    <w:rsid w:val="002B2FBA"/>
    <w:rsid w:val="002B30AF"/>
    <w:rsid w:val="002B3763"/>
    <w:rsid w:val="002B3791"/>
    <w:rsid w:val="002B52B5"/>
    <w:rsid w:val="002B59DD"/>
    <w:rsid w:val="002B67E4"/>
    <w:rsid w:val="002B6A93"/>
    <w:rsid w:val="002B7B42"/>
    <w:rsid w:val="002C01D3"/>
    <w:rsid w:val="002C0756"/>
    <w:rsid w:val="002C1A4B"/>
    <w:rsid w:val="002C229A"/>
    <w:rsid w:val="002C2D30"/>
    <w:rsid w:val="002C2E8F"/>
    <w:rsid w:val="002C31C3"/>
    <w:rsid w:val="002C32EA"/>
    <w:rsid w:val="002C349C"/>
    <w:rsid w:val="002C35B1"/>
    <w:rsid w:val="002C364F"/>
    <w:rsid w:val="002C3928"/>
    <w:rsid w:val="002C3DAA"/>
    <w:rsid w:val="002C4693"/>
    <w:rsid w:val="002C5973"/>
    <w:rsid w:val="002C5A3F"/>
    <w:rsid w:val="002C603D"/>
    <w:rsid w:val="002C60F5"/>
    <w:rsid w:val="002C6598"/>
    <w:rsid w:val="002C67EA"/>
    <w:rsid w:val="002C6AA7"/>
    <w:rsid w:val="002C6ACA"/>
    <w:rsid w:val="002C734D"/>
    <w:rsid w:val="002C7A15"/>
    <w:rsid w:val="002D01B6"/>
    <w:rsid w:val="002D0480"/>
    <w:rsid w:val="002D049F"/>
    <w:rsid w:val="002D06EE"/>
    <w:rsid w:val="002D1402"/>
    <w:rsid w:val="002D1EB5"/>
    <w:rsid w:val="002D235A"/>
    <w:rsid w:val="002D31EB"/>
    <w:rsid w:val="002D3231"/>
    <w:rsid w:val="002D3CE9"/>
    <w:rsid w:val="002D3F6A"/>
    <w:rsid w:val="002D48DA"/>
    <w:rsid w:val="002D4A57"/>
    <w:rsid w:val="002D5668"/>
    <w:rsid w:val="002D586D"/>
    <w:rsid w:val="002D5DEA"/>
    <w:rsid w:val="002D5E8E"/>
    <w:rsid w:val="002D5FCC"/>
    <w:rsid w:val="002D655C"/>
    <w:rsid w:val="002D6EDB"/>
    <w:rsid w:val="002D75A1"/>
    <w:rsid w:val="002D7B0B"/>
    <w:rsid w:val="002E0432"/>
    <w:rsid w:val="002E1025"/>
    <w:rsid w:val="002E1491"/>
    <w:rsid w:val="002E1508"/>
    <w:rsid w:val="002E1A03"/>
    <w:rsid w:val="002E2590"/>
    <w:rsid w:val="002E25C7"/>
    <w:rsid w:val="002E28E8"/>
    <w:rsid w:val="002E2EB5"/>
    <w:rsid w:val="002E3392"/>
    <w:rsid w:val="002E37E2"/>
    <w:rsid w:val="002E3BD0"/>
    <w:rsid w:val="002E4E24"/>
    <w:rsid w:val="002E5485"/>
    <w:rsid w:val="002E548C"/>
    <w:rsid w:val="002E548D"/>
    <w:rsid w:val="002E5A6E"/>
    <w:rsid w:val="002E5FBE"/>
    <w:rsid w:val="002E692E"/>
    <w:rsid w:val="002E6DC0"/>
    <w:rsid w:val="002E73D4"/>
    <w:rsid w:val="002E7A19"/>
    <w:rsid w:val="002E7FA9"/>
    <w:rsid w:val="002F01DD"/>
    <w:rsid w:val="002F0E17"/>
    <w:rsid w:val="002F0F65"/>
    <w:rsid w:val="002F1CC5"/>
    <w:rsid w:val="002F1D78"/>
    <w:rsid w:val="002F1F47"/>
    <w:rsid w:val="002F237B"/>
    <w:rsid w:val="002F23BA"/>
    <w:rsid w:val="002F254B"/>
    <w:rsid w:val="002F2595"/>
    <w:rsid w:val="002F2D78"/>
    <w:rsid w:val="002F4347"/>
    <w:rsid w:val="002F48CC"/>
    <w:rsid w:val="002F4966"/>
    <w:rsid w:val="002F4E44"/>
    <w:rsid w:val="002F5CF0"/>
    <w:rsid w:val="002F61C3"/>
    <w:rsid w:val="002F6490"/>
    <w:rsid w:val="002F779A"/>
    <w:rsid w:val="002F7AC8"/>
    <w:rsid w:val="00300B9A"/>
    <w:rsid w:val="00300C26"/>
    <w:rsid w:val="00300FDC"/>
    <w:rsid w:val="003020AA"/>
    <w:rsid w:val="00302E0B"/>
    <w:rsid w:val="0030301F"/>
    <w:rsid w:val="003035A8"/>
    <w:rsid w:val="003038D0"/>
    <w:rsid w:val="00303B15"/>
    <w:rsid w:val="0030425D"/>
    <w:rsid w:val="00304404"/>
    <w:rsid w:val="00305AC3"/>
    <w:rsid w:val="00306310"/>
    <w:rsid w:val="00306311"/>
    <w:rsid w:val="0030633C"/>
    <w:rsid w:val="003064D1"/>
    <w:rsid w:val="00307447"/>
    <w:rsid w:val="00307A2C"/>
    <w:rsid w:val="00307BEA"/>
    <w:rsid w:val="00307D75"/>
    <w:rsid w:val="00307E01"/>
    <w:rsid w:val="003109F9"/>
    <w:rsid w:val="0031111A"/>
    <w:rsid w:val="0031287B"/>
    <w:rsid w:val="00313046"/>
    <w:rsid w:val="00313067"/>
    <w:rsid w:val="003131AB"/>
    <w:rsid w:val="00313FAD"/>
    <w:rsid w:val="00314741"/>
    <w:rsid w:val="00314997"/>
    <w:rsid w:val="0031540F"/>
    <w:rsid w:val="00315844"/>
    <w:rsid w:val="003166C6"/>
    <w:rsid w:val="00317AA8"/>
    <w:rsid w:val="003208C5"/>
    <w:rsid w:val="00320BA7"/>
    <w:rsid w:val="00320EEE"/>
    <w:rsid w:val="00320F3D"/>
    <w:rsid w:val="00321715"/>
    <w:rsid w:val="00321F09"/>
    <w:rsid w:val="00322204"/>
    <w:rsid w:val="0032269F"/>
    <w:rsid w:val="00322767"/>
    <w:rsid w:val="0032278A"/>
    <w:rsid w:val="003229D2"/>
    <w:rsid w:val="0032311B"/>
    <w:rsid w:val="0032348D"/>
    <w:rsid w:val="00323640"/>
    <w:rsid w:val="00323E68"/>
    <w:rsid w:val="00323F9A"/>
    <w:rsid w:val="00324152"/>
    <w:rsid w:val="00324213"/>
    <w:rsid w:val="003248B3"/>
    <w:rsid w:val="00324DAC"/>
    <w:rsid w:val="00324E95"/>
    <w:rsid w:val="00325733"/>
    <w:rsid w:val="003257D2"/>
    <w:rsid w:val="00325841"/>
    <w:rsid w:val="00325914"/>
    <w:rsid w:val="0032603A"/>
    <w:rsid w:val="00326313"/>
    <w:rsid w:val="0032673B"/>
    <w:rsid w:val="003267BC"/>
    <w:rsid w:val="00327B40"/>
    <w:rsid w:val="00327B56"/>
    <w:rsid w:val="00327E4D"/>
    <w:rsid w:val="00330265"/>
    <w:rsid w:val="003305FB"/>
    <w:rsid w:val="0033077B"/>
    <w:rsid w:val="00330ADC"/>
    <w:rsid w:val="00330FF0"/>
    <w:rsid w:val="00331EAE"/>
    <w:rsid w:val="00331F08"/>
    <w:rsid w:val="00332177"/>
    <w:rsid w:val="003323CF"/>
    <w:rsid w:val="003326F9"/>
    <w:rsid w:val="00332A05"/>
    <w:rsid w:val="00332A09"/>
    <w:rsid w:val="0033344A"/>
    <w:rsid w:val="00333D72"/>
    <w:rsid w:val="0033406C"/>
    <w:rsid w:val="003345A0"/>
    <w:rsid w:val="003345E3"/>
    <w:rsid w:val="00334835"/>
    <w:rsid w:val="00335AD3"/>
    <w:rsid w:val="00335BC5"/>
    <w:rsid w:val="003360CF"/>
    <w:rsid w:val="003361D6"/>
    <w:rsid w:val="003367CF"/>
    <w:rsid w:val="00336B0A"/>
    <w:rsid w:val="00336CB7"/>
    <w:rsid w:val="00337075"/>
    <w:rsid w:val="0033743D"/>
    <w:rsid w:val="00337CB4"/>
    <w:rsid w:val="00337D13"/>
    <w:rsid w:val="00340180"/>
    <w:rsid w:val="00340725"/>
    <w:rsid w:val="003415A7"/>
    <w:rsid w:val="0034208D"/>
    <w:rsid w:val="003426E3"/>
    <w:rsid w:val="00343197"/>
    <w:rsid w:val="0034388F"/>
    <w:rsid w:val="00343E83"/>
    <w:rsid w:val="003444E6"/>
    <w:rsid w:val="00344ACE"/>
    <w:rsid w:val="00345170"/>
    <w:rsid w:val="003453A5"/>
    <w:rsid w:val="003464C6"/>
    <w:rsid w:val="0034739C"/>
    <w:rsid w:val="00352132"/>
    <w:rsid w:val="00352293"/>
    <w:rsid w:val="00352C7F"/>
    <w:rsid w:val="00353684"/>
    <w:rsid w:val="00353EA9"/>
    <w:rsid w:val="003546B6"/>
    <w:rsid w:val="003550B2"/>
    <w:rsid w:val="0035519F"/>
    <w:rsid w:val="00355252"/>
    <w:rsid w:val="00355972"/>
    <w:rsid w:val="0035614F"/>
    <w:rsid w:val="0035628F"/>
    <w:rsid w:val="003569B7"/>
    <w:rsid w:val="00356ABB"/>
    <w:rsid w:val="00357656"/>
    <w:rsid w:val="003577DE"/>
    <w:rsid w:val="00357A9B"/>
    <w:rsid w:val="0036017B"/>
    <w:rsid w:val="00361C00"/>
    <w:rsid w:val="00362AA4"/>
    <w:rsid w:val="00363715"/>
    <w:rsid w:val="00363DF3"/>
    <w:rsid w:val="00364471"/>
    <w:rsid w:val="00364667"/>
    <w:rsid w:val="00364F83"/>
    <w:rsid w:val="0036577D"/>
    <w:rsid w:val="003660A9"/>
    <w:rsid w:val="00367794"/>
    <w:rsid w:val="00367E42"/>
    <w:rsid w:val="00370390"/>
    <w:rsid w:val="0037049D"/>
    <w:rsid w:val="00370C0E"/>
    <w:rsid w:val="00370FF1"/>
    <w:rsid w:val="003711FB"/>
    <w:rsid w:val="003716A3"/>
    <w:rsid w:val="003719BE"/>
    <w:rsid w:val="00371C03"/>
    <w:rsid w:val="00371C43"/>
    <w:rsid w:val="00371F0E"/>
    <w:rsid w:val="0037260E"/>
    <w:rsid w:val="00372632"/>
    <w:rsid w:val="00372CE7"/>
    <w:rsid w:val="00372E20"/>
    <w:rsid w:val="003735D2"/>
    <w:rsid w:val="00374198"/>
    <w:rsid w:val="00374255"/>
    <w:rsid w:val="00374829"/>
    <w:rsid w:val="003749F1"/>
    <w:rsid w:val="0037564B"/>
    <w:rsid w:val="003759C4"/>
    <w:rsid w:val="00375DCC"/>
    <w:rsid w:val="00376005"/>
    <w:rsid w:val="0037603F"/>
    <w:rsid w:val="00376244"/>
    <w:rsid w:val="0037627B"/>
    <w:rsid w:val="00376507"/>
    <w:rsid w:val="003765D8"/>
    <w:rsid w:val="00376816"/>
    <w:rsid w:val="003772AC"/>
    <w:rsid w:val="003777C8"/>
    <w:rsid w:val="0037794B"/>
    <w:rsid w:val="00377AE1"/>
    <w:rsid w:val="00377E84"/>
    <w:rsid w:val="00377F48"/>
    <w:rsid w:val="003804ED"/>
    <w:rsid w:val="00380EDF"/>
    <w:rsid w:val="003813BD"/>
    <w:rsid w:val="003817DA"/>
    <w:rsid w:val="00381A50"/>
    <w:rsid w:val="00381BFE"/>
    <w:rsid w:val="00381EE3"/>
    <w:rsid w:val="003823B8"/>
    <w:rsid w:val="00382B19"/>
    <w:rsid w:val="003833D4"/>
    <w:rsid w:val="003836C7"/>
    <w:rsid w:val="00383993"/>
    <w:rsid w:val="00383B73"/>
    <w:rsid w:val="00383D54"/>
    <w:rsid w:val="003853B4"/>
    <w:rsid w:val="00385801"/>
    <w:rsid w:val="00385D15"/>
    <w:rsid w:val="003867D5"/>
    <w:rsid w:val="003874ED"/>
    <w:rsid w:val="00387607"/>
    <w:rsid w:val="00387982"/>
    <w:rsid w:val="00387BE7"/>
    <w:rsid w:val="00387F5C"/>
    <w:rsid w:val="0039039A"/>
    <w:rsid w:val="003909FE"/>
    <w:rsid w:val="00390D8C"/>
    <w:rsid w:val="00390E16"/>
    <w:rsid w:val="00390E58"/>
    <w:rsid w:val="003911A1"/>
    <w:rsid w:val="00391BE6"/>
    <w:rsid w:val="003921A2"/>
    <w:rsid w:val="00392D35"/>
    <w:rsid w:val="00393E11"/>
    <w:rsid w:val="00394505"/>
    <w:rsid w:val="00394CA9"/>
    <w:rsid w:val="00395557"/>
    <w:rsid w:val="00395782"/>
    <w:rsid w:val="00395AE3"/>
    <w:rsid w:val="00395D63"/>
    <w:rsid w:val="00396392"/>
    <w:rsid w:val="003965BA"/>
    <w:rsid w:val="00397E1E"/>
    <w:rsid w:val="003A074A"/>
    <w:rsid w:val="003A0758"/>
    <w:rsid w:val="003A1DDB"/>
    <w:rsid w:val="003A22C5"/>
    <w:rsid w:val="003A335C"/>
    <w:rsid w:val="003A338C"/>
    <w:rsid w:val="003A3B5E"/>
    <w:rsid w:val="003A3B7B"/>
    <w:rsid w:val="003A3EEA"/>
    <w:rsid w:val="003A4834"/>
    <w:rsid w:val="003A543D"/>
    <w:rsid w:val="003A5E22"/>
    <w:rsid w:val="003A613C"/>
    <w:rsid w:val="003A69DB"/>
    <w:rsid w:val="003A6A27"/>
    <w:rsid w:val="003B07C6"/>
    <w:rsid w:val="003B08E9"/>
    <w:rsid w:val="003B0D1A"/>
    <w:rsid w:val="003B0E3D"/>
    <w:rsid w:val="003B1103"/>
    <w:rsid w:val="003B1155"/>
    <w:rsid w:val="003B1650"/>
    <w:rsid w:val="003B189F"/>
    <w:rsid w:val="003B191E"/>
    <w:rsid w:val="003B1FEB"/>
    <w:rsid w:val="003B2118"/>
    <w:rsid w:val="003B26B1"/>
    <w:rsid w:val="003B357E"/>
    <w:rsid w:val="003B3648"/>
    <w:rsid w:val="003B391B"/>
    <w:rsid w:val="003B3E48"/>
    <w:rsid w:val="003B4058"/>
    <w:rsid w:val="003B49D1"/>
    <w:rsid w:val="003B4B4C"/>
    <w:rsid w:val="003B4F59"/>
    <w:rsid w:val="003B54AF"/>
    <w:rsid w:val="003B5A56"/>
    <w:rsid w:val="003B6734"/>
    <w:rsid w:val="003B678B"/>
    <w:rsid w:val="003B7C89"/>
    <w:rsid w:val="003C0A89"/>
    <w:rsid w:val="003C1FE8"/>
    <w:rsid w:val="003C205D"/>
    <w:rsid w:val="003C2524"/>
    <w:rsid w:val="003C2528"/>
    <w:rsid w:val="003C3183"/>
    <w:rsid w:val="003C3543"/>
    <w:rsid w:val="003C3DEA"/>
    <w:rsid w:val="003C4907"/>
    <w:rsid w:val="003C4E93"/>
    <w:rsid w:val="003C523B"/>
    <w:rsid w:val="003C5D4C"/>
    <w:rsid w:val="003C6429"/>
    <w:rsid w:val="003C66A9"/>
    <w:rsid w:val="003C70B8"/>
    <w:rsid w:val="003C70EA"/>
    <w:rsid w:val="003C7963"/>
    <w:rsid w:val="003C7E53"/>
    <w:rsid w:val="003C7EB4"/>
    <w:rsid w:val="003D043E"/>
    <w:rsid w:val="003D04BB"/>
    <w:rsid w:val="003D08EC"/>
    <w:rsid w:val="003D0E83"/>
    <w:rsid w:val="003D1181"/>
    <w:rsid w:val="003D1410"/>
    <w:rsid w:val="003D1694"/>
    <w:rsid w:val="003D1D75"/>
    <w:rsid w:val="003D1E7D"/>
    <w:rsid w:val="003D1EDC"/>
    <w:rsid w:val="003D2EC0"/>
    <w:rsid w:val="003D3117"/>
    <w:rsid w:val="003D31C3"/>
    <w:rsid w:val="003D340D"/>
    <w:rsid w:val="003D34F5"/>
    <w:rsid w:val="003D36F9"/>
    <w:rsid w:val="003D3B4B"/>
    <w:rsid w:val="003D57A4"/>
    <w:rsid w:val="003D618B"/>
    <w:rsid w:val="003D622C"/>
    <w:rsid w:val="003D77E9"/>
    <w:rsid w:val="003E08FB"/>
    <w:rsid w:val="003E0937"/>
    <w:rsid w:val="003E1834"/>
    <w:rsid w:val="003E19CA"/>
    <w:rsid w:val="003E1C4E"/>
    <w:rsid w:val="003E2B3E"/>
    <w:rsid w:val="003E32A4"/>
    <w:rsid w:val="003E375C"/>
    <w:rsid w:val="003E3CF8"/>
    <w:rsid w:val="003E3EBC"/>
    <w:rsid w:val="003E45AD"/>
    <w:rsid w:val="003E4887"/>
    <w:rsid w:val="003E488E"/>
    <w:rsid w:val="003E4950"/>
    <w:rsid w:val="003E5B83"/>
    <w:rsid w:val="003E607F"/>
    <w:rsid w:val="003E6940"/>
    <w:rsid w:val="003E6982"/>
    <w:rsid w:val="003E6C9A"/>
    <w:rsid w:val="003E729F"/>
    <w:rsid w:val="003E7A2B"/>
    <w:rsid w:val="003E7F5A"/>
    <w:rsid w:val="003F0771"/>
    <w:rsid w:val="003F07C6"/>
    <w:rsid w:val="003F0AC1"/>
    <w:rsid w:val="003F0B92"/>
    <w:rsid w:val="003F0BF4"/>
    <w:rsid w:val="003F0D07"/>
    <w:rsid w:val="003F0DD9"/>
    <w:rsid w:val="003F17EB"/>
    <w:rsid w:val="003F23B9"/>
    <w:rsid w:val="003F2CB5"/>
    <w:rsid w:val="003F30C4"/>
    <w:rsid w:val="003F3A5E"/>
    <w:rsid w:val="003F3BEE"/>
    <w:rsid w:val="003F3FAF"/>
    <w:rsid w:val="003F4763"/>
    <w:rsid w:val="003F51E9"/>
    <w:rsid w:val="003F581D"/>
    <w:rsid w:val="003F5C3A"/>
    <w:rsid w:val="003F6E7B"/>
    <w:rsid w:val="003F72DB"/>
    <w:rsid w:val="003F7306"/>
    <w:rsid w:val="003F7C7E"/>
    <w:rsid w:val="003F7F41"/>
    <w:rsid w:val="004007DE"/>
    <w:rsid w:val="00400A7D"/>
    <w:rsid w:val="00400A8A"/>
    <w:rsid w:val="004012B4"/>
    <w:rsid w:val="004019CC"/>
    <w:rsid w:val="00401E63"/>
    <w:rsid w:val="00402108"/>
    <w:rsid w:val="00402E0B"/>
    <w:rsid w:val="004032E4"/>
    <w:rsid w:val="00403AA7"/>
    <w:rsid w:val="00405845"/>
    <w:rsid w:val="00405B51"/>
    <w:rsid w:val="004060D4"/>
    <w:rsid w:val="00406759"/>
    <w:rsid w:val="00407738"/>
    <w:rsid w:val="00407F99"/>
    <w:rsid w:val="00410376"/>
    <w:rsid w:val="00410646"/>
    <w:rsid w:val="00410D0D"/>
    <w:rsid w:val="004114CA"/>
    <w:rsid w:val="004125EC"/>
    <w:rsid w:val="00412908"/>
    <w:rsid w:val="00412A5E"/>
    <w:rsid w:val="0041349B"/>
    <w:rsid w:val="0041350C"/>
    <w:rsid w:val="00413775"/>
    <w:rsid w:val="00413BE9"/>
    <w:rsid w:val="00413EFC"/>
    <w:rsid w:val="00414055"/>
    <w:rsid w:val="00414411"/>
    <w:rsid w:val="0041547D"/>
    <w:rsid w:val="00415580"/>
    <w:rsid w:val="004156C8"/>
    <w:rsid w:val="004162EB"/>
    <w:rsid w:val="00416982"/>
    <w:rsid w:val="00416A83"/>
    <w:rsid w:val="00416D29"/>
    <w:rsid w:val="00416E5E"/>
    <w:rsid w:val="004170AF"/>
    <w:rsid w:val="004171C8"/>
    <w:rsid w:val="00417681"/>
    <w:rsid w:val="00420053"/>
    <w:rsid w:val="004209CB"/>
    <w:rsid w:val="00420EC5"/>
    <w:rsid w:val="00420F61"/>
    <w:rsid w:val="0042137B"/>
    <w:rsid w:val="00421387"/>
    <w:rsid w:val="00421683"/>
    <w:rsid w:val="004217FB"/>
    <w:rsid w:val="00422FC5"/>
    <w:rsid w:val="004233CA"/>
    <w:rsid w:val="00423758"/>
    <w:rsid w:val="00423E3D"/>
    <w:rsid w:val="00424255"/>
    <w:rsid w:val="004244A8"/>
    <w:rsid w:val="00424945"/>
    <w:rsid w:val="00424A45"/>
    <w:rsid w:val="00424D73"/>
    <w:rsid w:val="0042537F"/>
    <w:rsid w:val="00425AF6"/>
    <w:rsid w:val="00425C92"/>
    <w:rsid w:val="004263DF"/>
    <w:rsid w:val="0042648E"/>
    <w:rsid w:val="00430014"/>
    <w:rsid w:val="004300EA"/>
    <w:rsid w:val="004304F8"/>
    <w:rsid w:val="00430658"/>
    <w:rsid w:val="00430A11"/>
    <w:rsid w:val="00430F92"/>
    <w:rsid w:val="00431B98"/>
    <w:rsid w:val="00432298"/>
    <w:rsid w:val="00433288"/>
    <w:rsid w:val="004339A1"/>
    <w:rsid w:val="00434261"/>
    <w:rsid w:val="0043447A"/>
    <w:rsid w:val="00434F1D"/>
    <w:rsid w:val="00434F95"/>
    <w:rsid w:val="00436429"/>
    <w:rsid w:val="00436F14"/>
    <w:rsid w:val="0043726A"/>
    <w:rsid w:val="004372F6"/>
    <w:rsid w:val="00440206"/>
    <w:rsid w:val="00440BE3"/>
    <w:rsid w:val="00440D46"/>
    <w:rsid w:val="00440E6B"/>
    <w:rsid w:val="00442360"/>
    <w:rsid w:val="004428DC"/>
    <w:rsid w:val="00442C2B"/>
    <w:rsid w:val="00442DF7"/>
    <w:rsid w:val="00442DFC"/>
    <w:rsid w:val="0044328C"/>
    <w:rsid w:val="004435AB"/>
    <w:rsid w:val="0044365C"/>
    <w:rsid w:val="00444699"/>
    <w:rsid w:val="00444866"/>
    <w:rsid w:val="0044521B"/>
    <w:rsid w:val="004454D7"/>
    <w:rsid w:val="004456F2"/>
    <w:rsid w:val="00445BC8"/>
    <w:rsid w:val="0044662C"/>
    <w:rsid w:val="004469BB"/>
    <w:rsid w:val="00446CDF"/>
    <w:rsid w:val="00446EFB"/>
    <w:rsid w:val="00447070"/>
    <w:rsid w:val="00447D67"/>
    <w:rsid w:val="0045039B"/>
    <w:rsid w:val="00450496"/>
    <w:rsid w:val="004507CF"/>
    <w:rsid w:val="004511D1"/>
    <w:rsid w:val="004512BA"/>
    <w:rsid w:val="0045143F"/>
    <w:rsid w:val="004514AA"/>
    <w:rsid w:val="00451D31"/>
    <w:rsid w:val="0045211D"/>
    <w:rsid w:val="00452AED"/>
    <w:rsid w:val="00452DC4"/>
    <w:rsid w:val="00454BFC"/>
    <w:rsid w:val="0045504A"/>
    <w:rsid w:val="00455635"/>
    <w:rsid w:val="004565F6"/>
    <w:rsid w:val="004576F5"/>
    <w:rsid w:val="00457ECE"/>
    <w:rsid w:val="00460C78"/>
    <w:rsid w:val="00460DA0"/>
    <w:rsid w:val="00460E98"/>
    <w:rsid w:val="0046164D"/>
    <w:rsid w:val="00461674"/>
    <w:rsid w:val="00461729"/>
    <w:rsid w:val="00461B16"/>
    <w:rsid w:val="0046325B"/>
    <w:rsid w:val="00463334"/>
    <w:rsid w:val="00463527"/>
    <w:rsid w:val="00463F2C"/>
    <w:rsid w:val="00463F84"/>
    <w:rsid w:val="00465332"/>
    <w:rsid w:val="00465609"/>
    <w:rsid w:val="00465BFE"/>
    <w:rsid w:val="004661E0"/>
    <w:rsid w:val="004665FB"/>
    <w:rsid w:val="00466A2C"/>
    <w:rsid w:val="00466AFD"/>
    <w:rsid w:val="00466D4E"/>
    <w:rsid w:val="0046706B"/>
    <w:rsid w:val="004671CF"/>
    <w:rsid w:val="00467382"/>
    <w:rsid w:val="00467580"/>
    <w:rsid w:val="0046786D"/>
    <w:rsid w:val="0047025F"/>
    <w:rsid w:val="0047070F"/>
    <w:rsid w:val="0047093E"/>
    <w:rsid w:val="00470FD7"/>
    <w:rsid w:val="00471C6F"/>
    <w:rsid w:val="00472180"/>
    <w:rsid w:val="00472CB7"/>
    <w:rsid w:val="00473139"/>
    <w:rsid w:val="00473EAA"/>
    <w:rsid w:val="00474230"/>
    <w:rsid w:val="004761A7"/>
    <w:rsid w:val="00476246"/>
    <w:rsid w:val="00477E1C"/>
    <w:rsid w:val="004805C1"/>
    <w:rsid w:val="004809E6"/>
    <w:rsid w:val="00481321"/>
    <w:rsid w:val="00481987"/>
    <w:rsid w:val="00481B4B"/>
    <w:rsid w:val="00481D14"/>
    <w:rsid w:val="004836ED"/>
    <w:rsid w:val="00483BF2"/>
    <w:rsid w:val="00483F0F"/>
    <w:rsid w:val="004844F4"/>
    <w:rsid w:val="00484883"/>
    <w:rsid w:val="004860D2"/>
    <w:rsid w:val="0048615B"/>
    <w:rsid w:val="004861F8"/>
    <w:rsid w:val="00486646"/>
    <w:rsid w:val="00486A37"/>
    <w:rsid w:val="00487011"/>
    <w:rsid w:val="0048723C"/>
    <w:rsid w:val="00487478"/>
    <w:rsid w:val="00490072"/>
    <w:rsid w:val="0049031D"/>
    <w:rsid w:val="00490466"/>
    <w:rsid w:val="00490A0F"/>
    <w:rsid w:val="00490A26"/>
    <w:rsid w:val="00490A31"/>
    <w:rsid w:val="00490CD5"/>
    <w:rsid w:val="00491B3F"/>
    <w:rsid w:val="0049269E"/>
    <w:rsid w:val="00492D73"/>
    <w:rsid w:val="00493562"/>
    <w:rsid w:val="004936D2"/>
    <w:rsid w:val="00493AD4"/>
    <w:rsid w:val="00494403"/>
    <w:rsid w:val="00494869"/>
    <w:rsid w:val="00494903"/>
    <w:rsid w:val="00494AE0"/>
    <w:rsid w:val="00494C0F"/>
    <w:rsid w:val="00494E12"/>
    <w:rsid w:val="0049542F"/>
    <w:rsid w:val="00495B22"/>
    <w:rsid w:val="004962DE"/>
    <w:rsid w:val="00496484"/>
    <w:rsid w:val="0049671A"/>
    <w:rsid w:val="00496BCD"/>
    <w:rsid w:val="00497650"/>
    <w:rsid w:val="004976E8"/>
    <w:rsid w:val="00497A45"/>
    <w:rsid w:val="00497F4C"/>
    <w:rsid w:val="004A0056"/>
    <w:rsid w:val="004A03E8"/>
    <w:rsid w:val="004A0452"/>
    <w:rsid w:val="004A04CB"/>
    <w:rsid w:val="004A04F6"/>
    <w:rsid w:val="004A0546"/>
    <w:rsid w:val="004A0970"/>
    <w:rsid w:val="004A1AAF"/>
    <w:rsid w:val="004A1D51"/>
    <w:rsid w:val="004A1F65"/>
    <w:rsid w:val="004A2AE2"/>
    <w:rsid w:val="004A38AF"/>
    <w:rsid w:val="004A4DC4"/>
    <w:rsid w:val="004A4E82"/>
    <w:rsid w:val="004A57E9"/>
    <w:rsid w:val="004A5BAE"/>
    <w:rsid w:val="004A5C26"/>
    <w:rsid w:val="004A5C63"/>
    <w:rsid w:val="004A5F94"/>
    <w:rsid w:val="004A6003"/>
    <w:rsid w:val="004A62C5"/>
    <w:rsid w:val="004A6399"/>
    <w:rsid w:val="004A64CC"/>
    <w:rsid w:val="004A6667"/>
    <w:rsid w:val="004A66CF"/>
    <w:rsid w:val="004A678E"/>
    <w:rsid w:val="004A6A9F"/>
    <w:rsid w:val="004A74F0"/>
    <w:rsid w:val="004A7F25"/>
    <w:rsid w:val="004A7F60"/>
    <w:rsid w:val="004B03F7"/>
    <w:rsid w:val="004B073B"/>
    <w:rsid w:val="004B0763"/>
    <w:rsid w:val="004B0C8D"/>
    <w:rsid w:val="004B0DBB"/>
    <w:rsid w:val="004B1A2A"/>
    <w:rsid w:val="004B1C67"/>
    <w:rsid w:val="004B274D"/>
    <w:rsid w:val="004B2EF3"/>
    <w:rsid w:val="004B3133"/>
    <w:rsid w:val="004B327A"/>
    <w:rsid w:val="004B34F4"/>
    <w:rsid w:val="004B43A9"/>
    <w:rsid w:val="004B4419"/>
    <w:rsid w:val="004B5217"/>
    <w:rsid w:val="004B55E6"/>
    <w:rsid w:val="004B58E6"/>
    <w:rsid w:val="004B6089"/>
    <w:rsid w:val="004B67D1"/>
    <w:rsid w:val="004B6909"/>
    <w:rsid w:val="004B69B8"/>
    <w:rsid w:val="004B750A"/>
    <w:rsid w:val="004B78ED"/>
    <w:rsid w:val="004B7C60"/>
    <w:rsid w:val="004C0B57"/>
    <w:rsid w:val="004C121D"/>
    <w:rsid w:val="004C1684"/>
    <w:rsid w:val="004C188C"/>
    <w:rsid w:val="004C2621"/>
    <w:rsid w:val="004C28A1"/>
    <w:rsid w:val="004C3E63"/>
    <w:rsid w:val="004C44B8"/>
    <w:rsid w:val="004C4AFA"/>
    <w:rsid w:val="004C4F87"/>
    <w:rsid w:val="004C603F"/>
    <w:rsid w:val="004C6665"/>
    <w:rsid w:val="004C66BB"/>
    <w:rsid w:val="004C717D"/>
    <w:rsid w:val="004C7C10"/>
    <w:rsid w:val="004D08D3"/>
    <w:rsid w:val="004D0BF8"/>
    <w:rsid w:val="004D12FE"/>
    <w:rsid w:val="004D26D2"/>
    <w:rsid w:val="004D2DA2"/>
    <w:rsid w:val="004D419A"/>
    <w:rsid w:val="004D46CC"/>
    <w:rsid w:val="004D4FBA"/>
    <w:rsid w:val="004D5472"/>
    <w:rsid w:val="004D5576"/>
    <w:rsid w:val="004D5AB8"/>
    <w:rsid w:val="004D5F0E"/>
    <w:rsid w:val="004D619E"/>
    <w:rsid w:val="004D6D00"/>
    <w:rsid w:val="004D730C"/>
    <w:rsid w:val="004E12AE"/>
    <w:rsid w:val="004E13EE"/>
    <w:rsid w:val="004E17DE"/>
    <w:rsid w:val="004E18D3"/>
    <w:rsid w:val="004E2150"/>
    <w:rsid w:val="004E2460"/>
    <w:rsid w:val="004E29A1"/>
    <w:rsid w:val="004E2E27"/>
    <w:rsid w:val="004E33AD"/>
    <w:rsid w:val="004E34DC"/>
    <w:rsid w:val="004E39A4"/>
    <w:rsid w:val="004E3A7F"/>
    <w:rsid w:val="004E4A32"/>
    <w:rsid w:val="004E4E88"/>
    <w:rsid w:val="004E56BB"/>
    <w:rsid w:val="004E5D25"/>
    <w:rsid w:val="004E5D40"/>
    <w:rsid w:val="004E662F"/>
    <w:rsid w:val="004E6C8A"/>
    <w:rsid w:val="004F02F0"/>
    <w:rsid w:val="004F0559"/>
    <w:rsid w:val="004F129D"/>
    <w:rsid w:val="004F1759"/>
    <w:rsid w:val="004F192F"/>
    <w:rsid w:val="004F1D1A"/>
    <w:rsid w:val="004F20DA"/>
    <w:rsid w:val="004F2A08"/>
    <w:rsid w:val="004F3122"/>
    <w:rsid w:val="004F39EF"/>
    <w:rsid w:val="004F414F"/>
    <w:rsid w:val="004F4186"/>
    <w:rsid w:val="004F493A"/>
    <w:rsid w:val="004F4A7C"/>
    <w:rsid w:val="004F4CFC"/>
    <w:rsid w:val="004F4D64"/>
    <w:rsid w:val="004F53E8"/>
    <w:rsid w:val="004F5BFA"/>
    <w:rsid w:val="004F62FD"/>
    <w:rsid w:val="004F65E1"/>
    <w:rsid w:val="004F6CC9"/>
    <w:rsid w:val="004F71F4"/>
    <w:rsid w:val="004F7215"/>
    <w:rsid w:val="004F7E80"/>
    <w:rsid w:val="00500498"/>
    <w:rsid w:val="00500595"/>
    <w:rsid w:val="005009DF"/>
    <w:rsid w:val="0050199F"/>
    <w:rsid w:val="00501A08"/>
    <w:rsid w:val="0050248F"/>
    <w:rsid w:val="005037E8"/>
    <w:rsid w:val="00503C85"/>
    <w:rsid w:val="00503E94"/>
    <w:rsid w:val="00504A3C"/>
    <w:rsid w:val="00505D96"/>
    <w:rsid w:val="00505F64"/>
    <w:rsid w:val="00506002"/>
    <w:rsid w:val="005061E6"/>
    <w:rsid w:val="005069CD"/>
    <w:rsid w:val="00506C5A"/>
    <w:rsid w:val="00507245"/>
    <w:rsid w:val="005074F7"/>
    <w:rsid w:val="00507651"/>
    <w:rsid w:val="00507C7E"/>
    <w:rsid w:val="00510DE0"/>
    <w:rsid w:val="00511463"/>
    <w:rsid w:val="005115EF"/>
    <w:rsid w:val="00511836"/>
    <w:rsid w:val="00511BE2"/>
    <w:rsid w:val="00512DBE"/>
    <w:rsid w:val="0051339A"/>
    <w:rsid w:val="00514088"/>
    <w:rsid w:val="0051437F"/>
    <w:rsid w:val="00514C39"/>
    <w:rsid w:val="0051502D"/>
    <w:rsid w:val="005150E4"/>
    <w:rsid w:val="00515219"/>
    <w:rsid w:val="0051540C"/>
    <w:rsid w:val="00515776"/>
    <w:rsid w:val="00515EC8"/>
    <w:rsid w:val="00516030"/>
    <w:rsid w:val="005161A2"/>
    <w:rsid w:val="00516C50"/>
    <w:rsid w:val="00516DF3"/>
    <w:rsid w:val="00516F6B"/>
    <w:rsid w:val="00516FF8"/>
    <w:rsid w:val="00520050"/>
    <w:rsid w:val="00520C76"/>
    <w:rsid w:val="00520DE5"/>
    <w:rsid w:val="0052166D"/>
    <w:rsid w:val="00521E69"/>
    <w:rsid w:val="00522334"/>
    <w:rsid w:val="00522AC1"/>
    <w:rsid w:val="00522E7D"/>
    <w:rsid w:val="00523785"/>
    <w:rsid w:val="00523A8B"/>
    <w:rsid w:val="00523C55"/>
    <w:rsid w:val="00523DF9"/>
    <w:rsid w:val="00524842"/>
    <w:rsid w:val="005249AC"/>
    <w:rsid w:val="00524B7E"/>
    <w:rsid w:val="00525365"/>
    <w:rsid w:val="00525D69"/>
    <w:rsid w:val="00525E9A"/>
    <w:rsid w:val="005267D1"/>
    <w:rsid w:val="0052690B"/>
    <w:rsid w:val="00526CFF"/>
    <w:rsid w:val="00526EF1"/>
    <w:rsid w:val="00526FBE"/>
    <w:rsid w:val="005274D8"/>
    <w:rsid w:val="005276DE"/>
    <w:rsid w:val="005301C8"/>
    <w:rsid w:val="0053045F"/>
    <w:rsid w:val="00530B37"/>
    <w:rsid w:val="005313BD"/>
    <w:rsid w:val="005314CB"/>
    <w:rsid w:val="00531748"/>
    <w:rsid w:val="00531EB3"/>
    <w:rsid w:val="00532DF5"/>
    <w:rsid w:val="00533D21"/>
    <w:rsid w:val="00533E43"/>
    <w:rsid w:val="005341A0"/>
    <w:rsid w:val="00534A9D"/>
    <w:rsid w:val="00534BD8"/>
    <w:rsid w:val="005352FE"/>
    <w:rsid w:val="00535741"/>
    <w:rsid w:val="005359BB"/>
    <w:rsid w:val="00535C1F"/>
    <w:rsid w:val="005360B0"/>
    <w:rsid w:val="005364B8"/>
    <w:rsid w:val="005372FE"/>
    <w:rsid w:val="00540A76"/>
    <w:rsid w:val="00540C72"/>
    <w:rsid w:val="005413AD"/>
    <w:rsid w:val="005414A2"/>
    <w:rsid w:val="005415AE"/>
    <w:rsid w:val="0054251E"/>
    <w:rsid w:val="005426A0"/>
    <w:rsid w:val="00542E4E"/>
    <w:rsid w:val="005447ED"/>
    <w:rsid w:val="00544976"/>
    <w:rsid w:val="00544FD8"/>
    <w:rsid w:val="0054543C"/>
    <w:rsid w:val="00545E87"/>
    <w:rsid w:val="005462BF"/>
    <w:rsid w:val="005463D4"/>
    <w:rsid w:val="00546EDF"/>
    <w:rsid w:val="00547167"/>
    <w:rsid w:val="0054726E"/>
    <w:rsid w:val="0054776E"/>
    <w:rsid w:val="005477A0"/>
    <w:rsid w:val="005477A4"/>
    <w:rsid w:val="005502C6"/>
    <w:rsid w:val="005502F7"/>
    <w:rsid w:val="00550A15"/>
    <w:rsid w:val="00551525"/>
    <w:rsid w:val="00551944"/>
    <w:rsid w:val="00551C8C"/>
    <w:rsid w:val="0055238C"/>
    <w:rsid w:val="00553439"/>
    <w:rsid w:val="005534DA"/>
    <w:rsid w:val="00553856"/>
    <w:rsid w:val="00553CC4"/>
    <w:rsid w:val="00554059"/>
    <w:rsid w:val="00554494"/>
    <w:rsid w:val="005547A4"/>
    <w:rsid w:val="00554D3A"/>
    <w:rsid w:val="00555AB5"/>
    <w:rsid w:val="00556291"/>
    <w:rsid w:val="0055654A"/>
    <w:rsid w:val="00556878"/>
    <w:rsid w:val="00556E84"/>
    <w:rsid w:val="00557794"/>
    <w:rsid w:val="00557F7F"/>
    <w:rsid w:val="005601E2"/>
    <w:rsid w:val="00560511"/>
    <w:rsid w:val="00560980"/>
    <w:rsid w:val="00560F63"/>
    <w:rsid w:val="005610B5"/>
    <w:rsid w:val="0056130D"/>
    <w:rsid w:val="00561D43"/>
    <w:rsid w:val="00561DAA"/>
    <w:rsid w:val="005623E7"/>
    <w:rsid w:val="005641B0"/>
    <w:rsid w:val="00564530"/>
    <w:rsid w:val="0056475B"/>
    <w:rsid w:val="005647D6"/>
    <w:rsid w:val="005650D4"/>
    <w:rsid w:val="00565ABC"/>
    <w:rsid w:val="005678CE"/>
    <w:rsid w:val="00570BED"/>
    <w:rsid w:val="00571FE2"/>
    <w:rsid w:val="00572CAC"/>
    <w:rsid w:val="00572EBC"/>
    <w:rsid w:val="005736A5"/>
    <w:rsid w:val="00573A0C"/>
    <w:rsid w:val="00573C87"/>
    <w:rsid w:val="005745A2"/>
    <w:rsid w:val="0057485F"/>
    <w:rsid w:val="00574936"/>
    <w:rsid w:val="00575D9E"/>
    <w:rsid w:val="00576A57"/>
    <w:rsid w:val="0057707C"/>
    <w:rsid w:val="005770A8"/>
    <w:rsid w:val="005773F9"/>
    <w:rsid w:val="0057781A"/>
    <w:rsid w:val="0057783E"/>
    <w:rsid w:val="00577925"/>
    <w:rsid w:val="00577B0B"/>
    <w:rsid w:val="0058008D"/>
    <w:rsid w:val="005802A7"/>
    <w:rsid w:val="0058051A"/>
    <w:rsid w:val="00581214"/>
    <w:rsid w:val="005815E3"/>
    <w:rsid w:val="0058166A"/>
    <w:rsid w:val="0058169E"/>
    <w:rsid w:val="00581CC8"/>
    <w:rsid w:val="0058288E"/>
    <w:rsid w:val="00582993"/>
    <w:rsid w:val="0058332F"/>
    <w:rsid w:val="00583608"/>
    <w:rsid w:val="005839E5"/>
    <w:rsid w:val="00583BD9"/>
    <w:rsid w:val="00583FF1"/>
    <w:rsid w:val="00584883"/>
    <w:rsid w:val="00584895"/>
    <w:rsid w:val="00584927"/>
    <w:rsid w:val="00585C75"/>
    <w:rsid w:val="00585E35"/>
    <w:rsid w:val="005860CC"/>
    <w:rsid w:val="0058617F"/>
    <w:rsid w:val="005863F3"/>
    <w:rsid w:val="00586987"/>
    <w:rsid w:val="00586992"/>
    <w:rsid w:val="00586C38"/>
    <w:rsid w:val="00587A3A"/>
    <w:rsid w:val="00587B7F"/>
    <w:rsid w:val="00587CA0"/>
    <w:rsid w:val="005900DC"/>
    <w:rsid w:val="0059014E"/>
    <w:rsid w:val="00590C3A"/>
    <w:rsid w:val="005916FC"/>
    <w:rsid w:val="00591972"/>
    <w:rsid w:val="00591D9D"/>
    <w:rsid w:val="0059201C"/>
    <w:rsid w:val="005920F8"/>
    <w:rsid w:val="00592133"/>
    <w:rsid w:val="00592C71"/>
    <w:rsid w:val="00593C58"/>
    <w:rsid w:val="00594141"/>
    <w:rsid w:val="00594432"/>
    <w:rsid w:val="0059469C"/>
    <w:rsid w:val="0059499D"/>
    <w:rsid w:val="00594C57"/>
    <w:rsid w:val="00594DC9"/>
    <w:rsid w:val="00594EB1"/>
    <w:rsid w:val="005952AD"/>
    <w:rsid w:val="005955EB"/>
    <w:rsid w:val="00595B9E"/>
    <w:rsid w:val="00595EDA"/>
    <w:rsid w:val="00595EEC"/>
    <w:rsid w:val="0059610D"/>
    <w:rsid w:val="005964DC"/>
    <w:rsid w:val="00596911"/>
    <w:rsid w:val="00596FAC"/>
    <w:rsid w:val="00597056"/>
    <w:rsid w:val="005A0715"/>
    <w:rsid w:val="005A1169"/>
    <w:rsid w:val="005A11D6"/>
    <w:rsid w:val="005A1413"/>
    <w:rsid w:val="005A146E"/>
    <w:rsid w:val="005A1765"/>
    <w:rsid w:val="005A1907"/>
    <w:rsid w:val="005A1E6A"/>
    <w:rsid w:val="005A23A1"/>
    <w:rsid w:val="005A28D6"/>
    <w:rsid w:val="005A2972"/>
    <w:rsid w:val="005A2D0C"/>
    <w:rsid w:val="005A3286"/>
    <w:rsid w:val="005A3646"/>
    <w:rsid w:val="005A3B40"/>
    <w:rsid w:val="005A52D5"/>
    <w:rsid w:val="005A5384"/>
    <w:rsid w:val="005A6611"/>
    <w:rsid w:val="005A6647"/>
    <w:rsid w:val="005B022C"/>
    <w:rsid w:val="005B0626"/>
    <w:rsid w:val="005B08D5"/>
    <w:rsid w:val="005B1EB6"/>
    <w:rsid w:val="005B2965"/>
    <w:rsid w:val="005B2D49"/>
    <w:rsid w:val="005B31F7"/>
    <w:rsid w:val="005B33D6"/>
    <w:rsid w:val="005B33D7"/>
    <w:rsid w:val="005B349E"/>
    <w:rsid w:val="005B3853"/>
    <w:rsid w:val="005B3F40"/>
    <w:rsid w:val="005B4398"/>
    <w:rsid w:val="005B4CFE"/>
    <w:rsid w:val="005B4F7E"/>
    <w:rsid w:val="005B5457"/>
    <w:rsid w:val="005B57F8"/>
    <w:rsid w:val="005B5B9A"/>
    <w:rsid w:val="005B5F8E"/>
    <w:rsid w:val="005B6A3D"/>
    <w:rsid w:val="005B7275"/>
    <w:rsid w:val="005B75F4"/>
    <w:rsid w:val="005B7796"/>
    <w:rsid w:val="005B7C21"/>
    <w:rsid w:val="005B7F28"/>
    <w:rsid w:val="005C0A70"/>
    <w:rsid w:val="005C13B6"/>
    <w:rsid w:val="005C14D5"/>
    <w:rsid w:val="005C17D5"/>
    <w:rsid w:val="005C1849"/>
    <w:rsid w:val="005C1A9F"/>
    <w:rsid w:val="005C1B64"/>
    <w:rsid w:val="005C22C9"/>
    <w:rsid w:val="005C2684"/>
    <w:rsid w:val="005C276A"/>
    <w:rsid w:val="005C276D"/>
    <w:rsid w:val="005C289C"/>
    <w:rsid w:val="005C294F"/>
    <w:rsid w:val="005C3305"/>
    <w:rsid w:val="005C34D6"/>
    <w:rsid w:val="005C3887"/>
    <w:rsid w:val="005C41C7"/>
    <w:rsid w:val="005C4697"/>
    <w:rsid w:val="005C47E1"/>
    <w:rsid w:val="005C546B"/>
    <w:rsid w:val="005C5CAA"/>
    <w:rsid w:val="005C681F"/>
    <w:rsid w:val="005C68E5"/>
    <w:rsid w:val="005C7271"/>
    <w:rsid w:val="005C7468"/>
    <w:rsid w:val="005C7BB8"/>
    <w:rsid w:val="005C7D1B"/>
    <w:rsid w:val="005D0AE7"/>
    <w:rsid w:val="005D10E3"/>
    <w:rsid w:val="005D1110"/>
    <w:rsid w:val="005D1B77"/>
    <w:rsid w:val="005D1EBC"/>
    <w:rsid w:val="005D31FC"/>
    <w:rsid w:val="005D4030"/>
    <w:rsid w:val="005D44DD"/>
    <w:rsid w:val="005D4AE8"/>
    <w:rsid w:val="005D5193"/>
    <w:rsid w:val="005D5DED"/>
    <w:rsid w:val="005D6082"/>
    <w:rsid w:val="005D6290"/>
    <w:rsid w:val="005D6D0A"/>
    <w:rsid w:val="005D6DFA"/>
    <w:rsid w:val="005D728E"/>
    <w:rsid w:val="005D7D7A"/>
    <w:rsid w:val="005E047B"/>
    <w:rsid w:val="005E0518"/>
    <w:rsid w:val="005E0682"/>
    <w:rsid w:val="005E0E35"/>
    <w:rsid w:val="005E0F78"/>
    <w:rsid w:val="005E0F7D"/>
    <w:rsid w:val="005E1632"/>
    <w:rsid w:val="005E1BB0"/>
    <w:rsid w:val="005E2194"/>
    <w:rsid w:val="005E2951"/>
    <w:rsid w:val="005E2A9D"/>
    <w:rsid w:val="005E2B6D"/>
    <w:rsid w:val="005E2CBE"/>
    <w:rsid w:val="005E336A"/>
    <w:rsid w:val="005E33B4"/>
    <w:rsid w:val="005E399D"/>
    <w:rsid w:val="005E3FBC"/>
    <w:rsid w:val="005E410F"/>
    <w:rsid w:val="005E42D0"/>
    <w:rsid w:val="005E4315"/>
    <w:rsid w:val="005E439C"/>
    <w:rsid w:val="005E4958"/>
    <w:rsid w:val="005E4BAE"/>
    <w:rsid w:val="005E4F46"/>
    <w:rsid w:val="005E51A3"/>
    <w:rsid w:val="005E5338"/>
    <w:rsid w:val="005E54E8"/>
    <w:rsid w:val="005E5522"/>
    <w:rsid w:val="005E5919"/>
    <w:rsid w:val="005E61FB"/>
    <w:rsid w:val="005E6389"/>
    <w:rsid w:val="005E6CDE"/>
    <w:rsid w:val="005E74AC"/>
    <w:rsid w:val="005E752C"/>
    <w:rsid w:val="005E77A2"/>
    <w:rsid w:val="005F0011"/>
    <w:rsid w:val="005F0CD1"/>
    <w:rsid w:val="005F0CE3"/>
    <w:rsid w:val="005F1818"/>
    <w:rsid w:val="005F1B57"/>
    <w:rsid w:val="005F1E57"/>
    <w:rsid w:val="005F21E5"/>
    <w:rsid w:val="005F28D3"/>
    <w:rsid w:val="005F293F"/>
    <w:rsid w:val="005F2A1B"/>
    <w:rsid w:val="005F2B43"/>
    <w:rsid w:val="005F3485"/>
    <w:rsid w:val="005F3BC0"/>
    <w:rsid w:val="005F3E40"/>
    <w:rsid w:val="005F46CC"/>
    <w:rsid w:val="005F4B86"/>
    <w:rsid w:val="005F57FC"/>
    <w:rsid w:val="005F5AD9"/>
    <w:rsid w:val="005F620C"/>
    <w:rsid w:val="005F6576"/>
    <w:rsid w:val="005F6837"/>
    <w:rsid w:val="005F7396"/>
    <w:rsid w:val="005F76D3"/>
    <w:rsid w:val="0060043C"/>
    <w:rsid w:val="0060097C"/>
    <w:rsid w:val="00601C74"/>
    <w:rsid w:val="0060294A"/>
    <w:rsid w:val="00602A0A"/>
    <w:rsid w:val="00604032"/>
    <w:rsid w:val="006047CB"/>
    <w:rsid w:val="00604FE4"/>
    <w:rsid w:val="006059DA"/>
    <w:rsid w:val="00606173"/>
    <w:rsid w:val="006067E0"/>
    <w:rsid w:val="00607225"/>
    <w:rsid w:val="006077F4"/>
    <w:rsid w:val="00607DBF"/>
    <w:rsid w:val="00607EBC"/>
    <w:rsid w:val="0061040A"/>
    <w:rsid w:val="0061089B"/>
    <w:rsid w:val="0061145D"/>
    <w:rsid w:val="00611BB4"/>
    <w:rsid w:val="00611D0E"/>
    <w:rsid w:val="00611E63"/>
    <w:rsid w:val="00612658"/>
    <w:rsid w:val="006126E3"/>
    <w:rsid w:val="00613504"/>
    <w:rsid w:val="00613E72"/>
    <w:rsid w:val="00613EF0"/>
    <w:rsid w:val="006140D5"/>
    <w:rsid w:val="006141CB"/>
    <w:rsid w:val="00614C6C"/>
    <w:rsid w:val="0061535B"/>
    <w:rsid w:val="00615402"/>
    <w:rsid w:val="006160F9"/>
    <w:rsid w:val="00616249"/>
    <w:rsid w:val="006164CA"/>
    <w:rsid w:val="00616855"/>
    <w:rsid w:val="00617588"/>
    <w:rsid w:val="006175D8"/>
    <w:rsid w:val="0061783D"/>
    <w:rsid w:val="0062086A"/>
    <w:rsid w:val="00620B2F"/>
    <w:rsid w:val="00620CCF"/>
    <w:rsid w:val="00621A6B"/>
    <w:rsid w:val="0062202C"/>
    <w:rsid w:val="00623412"/>
    <w:rsid w:val="00623EA0"/>
    <w:rsid w:val="006263BE"/>
    <w:rsid w:val="006265E8"/>
    <w:rsid w:val="00626FF3"/>
    <w:rsid w:val="0062756E"/>
    <w:rsid w:val="006277EA"/>
    <w:rsid w:val="00630130"/>
    <w:rsid w:val="006307EC"/>
    <w:rsid w:val="00631C45"/>
    <w:rsid w:val="00632274"/>
    <w:rsid w:val="00632F3E"/>
    <w:rsid w:val="00633143"/>
    <w:rsid w:val="00633B64"/>
    <w:rsid w:val="0063494C"/>
    <w:rsid w:val="00635117"/>
    <w:rsid w:val="006351C6"/>
    <w:rsid w:val="006355AB"/>
    <w:rsid w:val="00635B9B"/>
    <w:rsid w:val="00635D3C"/>
    <w:rsid w:val="006364D1"/>
    <w:rsid w:val="006365D1"/>
    <w:rsid w:val="00636E0F"/>
    <w:rsid w:val="00637043"/>
    <w:rsid w:val="0063783E"/>
    <w:rsid w:val="00637B3C"/>
    <w:rsid w:val="00637F6A"/>
    <w:rsid w:val="00637F86"/>
    <w:rsid w:val="00640062"/>
    <w:rsid w:val="00640856"/>
    <w:rsid w:val="006409EA"/>
    <w:rsid w:val="00640AAD"/>
    <w:rsid w:val="00640AEE"/>
    <w:rsid w:val="0064167F"/>
    <w:rsid w:val="006417F2"/>
    <w:rsid w:val="006427AF"/>
    <w:rsid w:val="00642C04"/>
    <w:rsid w:val="00643404"/>
    <w:rsid w:val="006438D8"/>
    <w:rsid w:val="00644234"/>
    <w:rsid w:val="00644442"/>
    <w:rsid w:val="00644F28"/>
    <w:rsid w:val="006461E4"/>
    <w:rsid w:val="00647403"/>
    <w:rsid w:val="0064774F"/>
    <w:rsid w:val="00647864"/>
    <w:rsid w:val="00650082"/>
    <w:rsid w:val="006504E6"/>
    <w:rsid w:val="00650874"/>
    <w:rsid w:val="00650B4D"/>
    <w:rsid w:val="00650EAE"/>
    <w:rsid w:val="0065161A"/>
    <w:rsid w:val="00653051"/>
    <w:rsid w:val="006536B9"/>
    <w:rsid w:val="00653C48"/>
    <w:rsid w:val="0065427B"/>
    <w:rsid w:val="0065469B"/>
    <w:rsid w:val="00654A45"/>
    <w:rsid w:val="00654C69"/>
    <w:rsid w:val="00655382"/>
    <w:rsid w:val="006556D3"/>
    <w:rsid w:val="00655D6C"/>
    <w:rsid w:val="0065695F"/>
    <w:rsid w:val="00656987"/>
    <w:rsid w:val="00656F35"/>
    <w:rsid w:val="00657369"/>
    <w:rsid w:val="006576E4"/>
    <w:rsid w:val="00660269"/>
    <w:rsid w:val="006607DF"/>
    <w:rsid w:val="0066087E"/>
    <w:rsid w:val="00660E5D"/>
    <w:rsid w:val="00663758"/>
    <w:rsid w:val="00663989"/>
    <w:rsid w:val="00663D33"/>
    <w:rsid w:val="00663DC2"/>
    <w:rsid w:val="00664F10"/>
    <w:rsid w:val="0066592F"/>
    <w:rsid w:val="00665B9A"/>
    <w:rsid w:val="0066606C"/>
    <w:rsid w:val="00666152"/>
    <w:rsid w:val="00666469"/>
    <w:rsid w:val="00667B9C"/>
    <w:rsid w:val="006700CC"/>
    <w:rsid w:val="00670CAB"/>
    <w:rsid w:val="00671375"/>
    <w:rsid w:val="00671CEF"/>
    <w:rsid w:val="00671D17"/>
    <w:rsid w:val="00671D86"/>
    <w:rsid w:val="006722C9"/>
    <w:rsid w:val="006725E8"/>
    <w:rsid w:val="0067284C"/>
    <w:rsid w:val="006729C9"/>
    <w:rsid w:val="00672E09"/>
    <w:rsid w:val="00672EB0"/>
    <w:rsid w:val="00673627"/>
    <w:rsid w:val="00673F45"/>
    <w:rsid w:val="006741A4"/>
    <w:rsid w:val="0067454B"/>
    <w:rsid w:val="00674C00"/>
    <w:rsid w:val="00675333"/>
    <w:rsid w:val="00675563"/>
    <w:rsid w:val="00675E40"/>
    <w:rsid w:val="00676100"/>
    <w:rsid w:val="006762A9"/>
    <w:rsid w:val="00676653"/>
    <w:rsid w:val="0067670E"/>
    <w:rsid w:val="006769D2"/>
    <w:rsid w:val="00676C14"/>
    <w:rsid w:val="00676EE2"/>
    <w:rsid w:val="006772FE"/>
    <w:rsid w:val="00677509"/>
    <w:rsid w:val="00677570"/>
    <w:rsid w:val="00680320"/>
    <w:rsid w:val="006808C4"/>
    <w:rsid w:val="00680E44"/>
    <w:rsid w:val="00681273"/>
    <w:rsid w:val="00681CCD"/>
    <w:rsid w:val="00682B19"/>
    <w:rsid w:val="00682DCB"/>
    <w:rsid w:val="00683188"/>
    <w:rsid w:val="006833B4"/>
    <w:rsid w:val="006833DD"/>
    <w:rsid w:val="00683F95"/>
    <w:rsid w:val="00684008"/>
    <w:rsid w:val="00684125"/>
    <w:rsid w:val="00684ADE"/>
    <w:rsid w:val="00684E53"/>
    <w:rsid w:val="006859D7"/>
    <w:rsid w:val="006859DF"/>
    <w:rsid w:val="00685F04"/>
    <w:rsid w:val="00686088"/>
    <w:rsid w:val="006865C1"/>
    <w:rsid w:val="00687B13"/>
    <w:rsid w:val="006901BA"/>
    <w:rsid w:val="0069037C"/>
    <w:rsid w:val="0069053E"/>
    <w:rsid w:val="00690CBD"/>
    <w:rsid w:val="006910A1"/>
    <w:rsid w:val="00691190"/>
    <w:rsid w:val="0069127F"/>
    <w:rsid w:val="00691585"/>
    <w:rsid w:val="0069176D"/>
    <w:rsid w:val="00691880"/>
    <w:rsid w:val="00691FDD"/>
    <w:rsid w:val="00692997"/>
    <w:rsid w:val="00692FD6"/>
    <w:rsid w:val="006933DF"/>
    <w:rsid w:val="00693B6E"/>
    <w:rsid w:val="00694084"/>
    <w:rsid w:val="006943B4"/>
    <w:rsid w:val="0069479E"/>
    <w:rsid w:val="00694A03"/>
    <w:rsid w:val="00694A30"/>
    <w:rsid w:val="00694DFD"/>
    <w:rsid w:val="00694ECF"/>
    <w:rsid w:val="006958B0"/>
    <w:rsid w:val="00695CEE"/>
    <w:rsid w:val="006964C3"/>
    <w:rsid w:val="006969B2"/>
    <w:rsid w:val="00697D20"/>
    <w:rsid w:val="00697FEF"/>
    <w:rsid w:val="006A0549"/>
    <w:rsid w:val="006A06F5"/>
    <w:rsid w:val="006A1A58"/>
    <w:rsid w:val="006A200A"/>
    <w:rsid w:val="006A20E7"/>
    <w:rsid w:val="006A28BB"/>
    <w:rsid w:val="006A2D9C"/>
    <w:rsid w:val="006A2E95"/>
    <w:rsid w:val="006A2FF0"/>
    <w:rsid w:val="006A3362"/>
    <w:rsid w:val="006A3B5E"/>
    <w:rsid w:val="006A41E3"/>
    <w:rsid w:val="006A451C"/>
    <w:rsid w:val="006A45E8"/>
    <w:rsid w:val="006A4EE6"/>
    <w:rsid w:val="006A5517"/>
    <w:rsid w:val="006A5D02"/>
    <w:rsid w:val="006A70F1"/>
    <w:rsid w:val="006A76E5"/>
    <w:rsid w:val="006A7C17"/>
    <w:rsid w:val="006A7D28"/>
    <w:rsid w:val="006A7F84"/>
    <w:rsid w:val="006B0B80"/>
    <w:rsid w:val="006B0EEF"/>
    <w:rsid w:val="006B1867"/>
    <w:rsid w:val="006B1B85"/>
    <w:rsid w:val="006B23EE"/>
    <w:rsid w:val="006B3BBD"/>
    <w:rsid w:val="006B3EF7"/>
    <w:rsid w:val="006B3F10"/>
    <w:rsid w:val="006B4E6A"/>
    <w:rsid w:val="006B5A9C"/>
    <w:rsid w:val="006B5C04"/>
    <w:rsid w:val="006B5D8B"/>
    <w:rsid w:val="006B63BC"/>
    <w:rsid w:val="006B6638"/>
    <w:rsid w:val="006B6776"/>
    <w:rsid w:val="006B6B91"/>
    <w:rsid w:val="006B7A5A"/>
    <w:rsid w:val="006B7CD0"/>
    <w:rsid w:val="006B7DB8"/>
    <w:rsid w:val="006C01D6"/>
    <w:rsid w:val="006C05A3"/>
    <w:rsid w:val="006C0EF5"/>
    <w:rsid w:val="006C1019"/>
    <w:rsid w:val="006C104E"/>
    <w:rsid w:val="006C1A32"/>
    <w:rsid w:val="006C1A4B"/>
    <w:rsid w:val="006C2512"/>
    <w:rsid w:val="006C2D2D"/>
    <w:rsid w:val="006C2D83"/>
    <w:rsid w:val="006C30B8"/>
    <w:rsid w:val="006C326B"/>
    <w:rsid w:val="006C36D9"/>
    <w:rsid w:val="006C4754"/>
    <w:rsid w:val="006C533E"/>
    <w:rsid w:val="006C5892"/>
    <w:rsid w:val="006C6077"/>
    <w:rsid w:val="006C67E6"/>
    <w:rsid w:val="006C769B"/>
    <w:rsid w:val="006C793D"/>
    <w:rsid w:val="006C7D6C"/>
    <w:rsid w:val="006D1E9D"/>
    <w:rsid w:val="006D2646"/>
    <w:rsid w:val="006D29BD"/>
    <w:rsid w:val="006D31B0"/>
    <w:rsid w:val="006D37D0"/>
    <w:rsid w:val="006D3D35"/>
    <w:rsid w:val="006D44F3"/>
    <w:rsid w:val="006D4611"/>
    <w:rsid w:val="006D46CA"/>
    <w:rsid w:val="006D5635"/>
    <w:rsid w:val="006D5BC5"/>
    <w:rsid w:val="006D65E3"/>
    <w:rsid w:val="006D691B"/>
    <w:rsid w:val="006D74A0"/>
    <w:rsid w:val="006D75B1"/>
    <w:rsid w:val="006E0085"/>
    <w:rsid w:val="006E024A"/>
    <w:rsid w:val="006E0774"/>
    <w:rsid w:val="006E0ACC"/>
    <w:rsid w:val="006E16FE"/>
    <w:rsid w:val="006E24FB"/>
    <w:rsid w:val="006E28E6"/>
    <w:rsid w:val="006E2D8C"/>
    <w:rsid w:val="006E2E0C"/>
    <w:rsid w:val="006E30E1"/>
    <w:rsid w:val="006E41D2"/>
    <w:rsid w:val="006E44FA"/>
    <w:rsid w:val="006E49FF"/>
    <w:rsid w:val="006E5175"/>
    <w:rsid w:val="006E59A6"/>
    <w:rsid w:val="006E64BE"/>
    <w:rsid w:val="006E6E3A"/>
    <w:rsid w:val="006E7119"/>
    <w:rsid w:val="006E7A8E"/>
    <w:rsid w:val="006E7CB2"/>
    <w:rsid w:val="006E7FB6"/>
    <w:rsid w:val="006F0ED5"/>
    <w:rsid w:val="006F109C"/>
    <w:rsid w:val="006F20EB"/>
    <w:rsid w:val="006F20F9"/>
    <w:rsid w:val="006F2429"/>
    <w:rsid w:val="006F28DE"/>
    <w:rsid w:val="006F2FAD"/>
    <w:rsid w:val="006F385A"/>
    <w:rsid w:val="006F3A57"/>
    <w:rsid w:val="006F3A79"/>
    <w:rsid w:val="006F4158"/>
    <w:rsid w:val="006F425E"/>
    <w:rsid w:val="006F4517"/>
    <w:rsid w:val="006F4BDF"/>
    <w:rsid w:val="006F4E14"/>
    <w:rsid w:val="006F4E19"/>
    <w:rsid w:val="006F5440"/>
    <w:rsid w:val="006F566C"/>
    <w:rsid w:val="006F5A76"/>
    <w:rsid w:val="006F5F02"/>
    <w:rsid w:val="006F6406"/>
    <w:rsid w:val="006F67CF"/>
    <w:rsid w:val="006F6B7D"/>
    <w:rsid w:val="006F6C63"/>
    <w:rsid w:val="006F6E27"/>
    <w:rsid w:val="006F7001"/>
    <w:rsid w:val="006F7D56"/>
    <w:rsid w:val="00700695"/>
    <w:rsid w:val="00700A0D"/>
    <w:rsid w:val="00701759"/>
    <w:rsid w:val="007020D9"/>
    <w:rsid w:val="007023A0"/>
    <w:rsid w:val="0070270A"/>
    <w:rsid w:val="007030E8"/>
    <w:rsid w:val="00703AC5"/>
    <w:rsid w:val="007049B3"/>
    <w:rsid w:val="00704C9E"/>
    <w:rsid w:val="00704CDD"/>
    <w:rsid w:val="00705354"/>
    <w:rsid w:val="00705560"/>
    <w:rsid w:val="00706A32"/>
    <w:rsid w:val="00706FB9"/>
    <w:rsid w:val="00707DC2"/>
    <w:rsid w:val="007108A4"/>
    <w:rsid w:val="00711111"/>
    <w:rsid w:val="00711AAF"/>
    <w:rsid w:val="007123B1"/>
    <w:rsid w:val="00712AAA"/>
    <w:rsid w:val="00712F91"/>
    <w:rsid w:val="00713064"/>
    <w:rsid w:val="00713890"/>
    <w:rsid w:val="0071411F"/>
    <w:rsid w:val="0071492A"/>
    <w:rsid w:val="0071515C"/>
    <w:rsid w:val="00715BBC"/>
    <w:rsid w:val="00715C39"/>
    <w:rsid w:val="00715E0C"/>
    <w:rsid w:val="00716631"/>
    <w:rsid w:val="007167C3"/>
    <w:rsid w:val="00716D0D"/>
    <w:rsid w:val="007178BF"/>
    <w:rsid w:val="007203E4"/>
    <w:rsid w:val="00720A24"/>
    <w:rsid w:val="00720C29"/>
    <w:rsid w:val="00720F6F"/>
    <w:rsid w:val="0072124F"/>
    <w:rsid w:val="007214BF"/>
    <w:rsid w:val="007218BE"/>
    <w:rsid w:val="00722B11"/>
    <w:rsid w:val="007235B9"/>
    <w:rsid w:val="007235DC"/>
    <w:rsid w:val="00723AB5"/>
    <w:rsid w:val="00723CEE"/>
    <w:rsid w:val="00723E87"/>
    <w:rsid w:val="00724027"/>
    <w:rsid w:val="007242B2"/>
    <w:rsid w:val="00724763"/>
    <w:rsid w:val="00725A93"/>
    <w:rsid w:val="00725B9B"/>
    <w:rsid w:val="00725DE4"/>
    <w:rsid w:val="00726225"/>
    <w:rsid w:val="00726783"/>
    <w:rsid w:val="00726972"/>
    <w:rsid w:val="00726A4D"/>
    <w:rsid w:val="00726F24"/>
    <w:rsid w:val="00726F7A"/>
    <w:rsid w:val="007301A7"/>
    <w:rsid w:val="00730BD1"/>
    <w:rsid w:val="00731096"/>
    <w:rsid w:val="00731B54"/>
    <w:rsid w:val="00731CD2"/>
    <w:rsid w:val="00732128"/>
    <w:rsid w:val="00732209"/>
    <w:rsid w:val="007328D4"/>
    <w:rsid w:val="00732C08"/>
    <w:rsid w:val="0073303D"/>
    <w:rsid w:val="007335F0"/>
    <w:rsid w:val="007339AD"/>
    <w:rsid w:val="00734400"/>
    <w:rsid w:val="00734546"/>
    <w:rsid w:val="00734649"/>
    <w:rsid w:val="00734928"/>
    <w:rsid w:val="00734C30"/>
    <w:rsid w:val="00734ECB"/>
    <w:rsid w:val="00735523"/>
    <w:rsid w:val="00735C16"/>
    <w:rsid w:val="0073629D"/>
    <w:rsid w:val="00736337"/>
    <w:rsid w:val="00736C68"/>
    <w:rsid w:val="00736D9D"/>
    <w:rsid w:val="00736FEE"/>
    <w:rsid w:val="00737130"/>
    <w:rsid w:val="00737B33"/>
    <w:rsid w:val="007401CE"/>
    <w:rsid w:val="00740326"/>
    <w:rsid w:val="00740474"/>
    <w:rsid w:val="007405FE"/>
    <w:rsid w:val="00740C46"/>
    <w:rsid w:val="0074189A"/>
    <w:rsid w:val="00741E10"/>
    <w:rsid w:val="00741FF6"/>
    <w:rsid w:val="00742673"/>
    <w:rsid w:val="00742994"/>
    <w:rsid w:val="00742FA4"/>
    <w:rsid w:val="007433A0"/>
    <w:rsid w:val="00743557"/>
    <w:rsid w:val="00745419"/>
    <w:rsid w:val="00745DD8"/>
    <w:rsid w:val="0074601A"/>
    <w:rsid w:val="007468E3"/>
    <w:rsid w:val="00746CE6"/>
    <w:rsid w:val="007472C7"/>
    <w:rsid w:val="00747A81"/>
    <w:rsid w:val="0075023E"/>
    <w:rsid w:val="0075087B"/>
    <w:rsid w:val="00750B1F"/>
    <w:rsid w:val="00751058"/>
    <w:rsid w:val="00752B02"/>
    <w:rsid w:val="00752BD2"/>
    <w:rsid w:val="0075320C"/>
    <w:rsid w:val="007533C1"/>
    <w:rsid w:val="007539B3"/>
    <w:rsid w:val="00753AB0"/>
    <w:rsid w:val="007545C1"/>
    <w:rsid w:val="0075481F"/>
    <w:rsid w:val="00755930"/>
    <w:rsid w:val="007562A9"/>
    <w:rsid w:val="00756660"/>
    <w:rsid w:val="007569F7"/>
    <w:rsid w:val="0075778C"/>
    <w:rsid w:val="00757AB0"/>
    <w:rsid w:val="00757C1B"/>
    <w:rsid w:val="00757E71"/>
    <w:rsid w:val="00760123"/>
    <w:rsid w:val="00760142"/>
    <w:rsid w:val="00761760"/>
    <w:rsid w:val="00761A41"/>
    <w:rsid w:val="00761A46"/>
    <w:rsid w:val="00761E43"/>
    <w:rsid w:val="00762670"/>
    <w:rsid w:val="00762CA7"/>
    <w:rsid w:val="00763196"/>
    <w:rsid w:val="007636B7"/>
    <w:rsid w:val="00763B74"/>
    <w:rsid w:val="00763EB4"/>
    <w:rsid w:val="0076416C"/>
    <w:rsid w:val="00764194"/>
    <w:rsid w:val="007645C1"/>
    <w:rsid w:val="00764613"/>
    <w:rsid w:val="00764B32"/>
    <w:rsid w:val="0076526D"/>
    <w:rsid w:val="00765B03"/>
    <w:rsid w:val="007668AB"/>
    <w:rsid w:val="00767469"/>
    <w:rsid w:val="00767507"/>
    <w:rsid w:val="007675E4"/>
    <w:rsid w:val="00767D66"/>
    <w:rsid w:val="00770AB6"/>
    <w:rsid w:val="0077109D"/>
    <w:rsid w:val="0077119F"/>
    <w:rsid w:val="0077166F"/>
    <w:rsid w:val="00772171"/>
    <w:rsid w:val="007722C6"/>
    <w:rsid w:val="0077240C"/>
    <w:rsid w:val="00772811"/>
    <w:rsid w:val="0077306C"/>
    <w:rsid w:val="0077309A"/>
    <w:rsid w:val="00773136"/>
    <w:rsid w:val="00773331"/>
    <w:rsid w:val="00773758"/>
    <w:rsid w:val="007737DC"/>
    <w:rsid w:val="00773D5D"/>
    <w:rsid w:val="00774977"/>
    <w:rsid w:val="00774AC1"/>
    <w:rsid w:val="00774F58"/>
    <w:rsid w:val="007766F5"/>
    <w:rsid w:val="00776850"/>
    <w:rsid w:val="00776EB8"/>
    <w:rsid w:val="007772C7"/>
    <w:rsid w:val="007773E6"/>
    <w:rsid w:val="00777734"/>
    <w:rsid w:val="007777AD"/>
    <w:rsid w:val="00777A6A"/>
    <w:rsid w:val="00780953"/>
    <w:rsid w:val="0078099D"/>
    <w:rsid w:val="00780B35"/>
    <w:rsid w:val="00780C74"/>
    <w:rsid w:val="00780D0E"/>
    <w:rsid w:val="007814C5"/>
    <w:rsid w:val="00781A82"/>
    <w:rsid w:val="00781B5C"/>
    <w:rsid w:val="00781BB0"/>
    <w:rsid w:val="00781F52"/>
    <w:rsid w:val="007827FE"/>
    <w:rsid w:val="00782CFC"/>
    <w:rsid w:val="0078318B"/>
    <w:rsid w:val="00784119"/>
    <w:rsid w:val="007846A7"/>
    <w:rsid w:val="00784ACF"/>
    <w:rsid w:val="00784B4C"/>
    <w:rsid w:val="00784D06"/>
    <w:rsid w:val="00784D1A"/>
    <w:rsid w:val="007851BF"/>
    <w:rsid w:val="007852F9"/>
    <w:rsid w:val="007853E6"/>
    <w:rsid w:val="007856FC"/>
    <w:rsid w:val="0078575C"/>
    <w:rsid w:val="0078585D"/>
    <w:rsid w:val="00785996"/>
    <w:rsid w:val="00786285"/>
    <w:rsid w:val="00786309"/>
    <w:rsid w:val="00786D7C"/>
    <w:rsid w:val="00787447"/>
    <w:rsid w:val="007875FA"/>
    <w:rsid w:val="007900E2"/>
    <w:rsid w:val="007904A3"/>
    <w:rsid w:val="00790883"/>
    <w:rsid w:val="00790918"/>
    <w:rsid w:val="00791283"/>
    <w:rsid w:val="007912B6"/>
    <w:rsid w:val="007919B8"/>
    <w:rsid w:val="00791D3F"/>
    <w:rsid w:val="00791D8C"/>
    <w:rsid w:val="00792053"/>
    <w:rsid w:val="007921A5"/>
    <w:rsid w:val="007926B7"/>
    <w:rsid w:val="007931EA"/>
    <w:rsid w:val="007932EF"/>
    <w:rsid w:val="0079336D"/>
    <w:rsid w:val="00793A71"/>
    <w:rsid w:val="00794E63"/>
    <w:rsid w:val="00796150"/>
    <w:rsid w:val="00796788"/>
    <w:rsid w:val="00797681"/>
    <w:rsid w:val="00797945"/>
    <w:rsid w:val="007A0799"/>
    <w:rsid w:val="007A15F6"/>
    <w:rsid w:val="007A1A47"/>
    <w:rsid w:val="007A22C7"/>
    <w:rsid w:val="007A29FA"/>
    <w:rsid w:val="007A2E91"/>
    <w:rsid w:val="007A315C"/>
    <w:rsid w:val="007A3385"/>
    <w:rsid w:val="007A3627"/>
    <w:rsid w:val="007A38F8"/>
    <w:rsid w:val="007A40A1"/>
    <w:rsid w:val="007A4777"/>
    <w:rsid w:val="007A490E"/>
    <w:rsid w:val="007A4D97"/>
    <w:rsid w:val="007A5009"/>
    <w:rsid w:val="007A5071"/>
    <w:rsid w:val="007A52B1"/>
    <w:rsid w:val="007A55AE"/>
    <w:rsid w:val="007A57A6"/>
    <w:rsid w:val="007A5814"/>
    <w:rsid w:val="007A58A4"/>
    <w:rsid w:val="007A5A27"/>
    <w:rsid w:val="007A5AE7"/>
    <w:rsid w:val="007A6540"/>
    <w:rsid w:val="007A6C24"/>
    <w:rsid w:val="007A7175"/>
    <w:rsid w:val="007A7432"/>
    <w:rsid w:val="007A7635"/>
    <w:rsid w:val="007A7997"/>
    <w:rsid w:val="007A7F98"/>
    <w:rsid w:val="007B0B4E"/>
    <w:rsid w:val="007B165D"/>
    <w:rsid w:val="007B19F6"/>
    <w:rsid w:val="007B257E"/>
    <w:rsid w:val="007B2D0A"/>
    <w:rsid w:val="007B2EE1"/>
    <w:rsid w:val="007B3299"/>
    <w:rsid w:val="007B3335"/>
    <w:rsid w:val="007B38CD"/>
    <w:rsid w:val="007B38DD"/>
    <w:rsid w:val="007B39D4"/>
    <w:rsid w:val="007B3BB6"/>
    <w:rsid w:val="007B3C65"/>
    <w:rsid w:val="007B3DE6"/>
    <w:rsid w:val="007B4702"/>
    <w:rsid w:val="007B5C3E"/>
    <w:rsid w:val="007B5FBC"/>
    <w:rsid w:val="007B6244"/>
    <w:rsid w:val="007B627F"/>
    <w:rsid w:val="007B6330"/>
    <w:rsid w:val="007B6D15"/>
    <w:rsid w:val="007B7BA9"/>
    <w:rsid w:val="007B7F63"/>
    <w:rsid w:val="007C0682"/>
    <w:rsid w:val="007C0A70"/>
    <w:rsid w:val="007C13B7"/>
    <w:rsid w:val="007C14AA"/>
    <w:rsid w:val="007C1630"/>
    <w:rsid w:val="007C1E4E"/>
    <w:rsid w:val="007C1E8C"/>
    <w:rsid w:val="007C1ECB"/>
    <w:rsid w:val="007C1FFC"/>
    <w:rsid w:val="007C2EC4"/>
    <w:rsid w:val="007C30CF"/>
    <w:rsid w:val="007C31B5"/>
    <w:rsid w:val="007C321C"/>
    <w:rsid w:val="007C363D"/>
    <w:rsid w:val="007C373D"/>
    <w:rsid w:val="007C3C40"/>
    <w:rsid w:val="007C3E1C"/>
    <w:rsid w:val="007C3E99"/>
    <w:rsid w:val="007C4008"/>
    <w:rsid w:val="007C40FD"/>
    <w:rsid w:val="007C4BC1"/>
    <w:rsid w:val="007C5E2E"/>
    <w:rsid w:val="007C7811"/>
    <w:rsid w:val="007C79BF"/>
    <w:rsid w:val="007C79C1"/>
    <w:rsid w:val="007C7E8D"/>
    <w:rsid w:val="007D10D8"/>
    <w:rsid w:val="007D185D"/>
    <w:rsid w:val="007D2D7C"/>
    <w:rsid w:val="007D3DD1"/>
    <w:rsid w:val="007D415B"/>
    <w:rsid w:val="007D47D6"/>
    <w:rsid w:val="007D49BA"/>
    <w:rsid w:val="007D5116"/>
    <w:rsid w:val="007D5A6D"/>
    <w:rsid w:val="007D6041"/>
    <w:rsid w:val="007D62A8"/>
    <w:rsid w:val="007D63E7"/>
    <w:rsid w:val="007D6762"/>
    <w:rsid w:val="007D6CC2"/>
    <w:rsid w:val="007D6DA4"/>
    <w:rsid w:val="007D6F51"/>
    <w:rsid w:val="007D7257"/>
    <w:rsid w:val="007D7C24"/>
    <w:rsid w:val="007E00EE"/>
    <w:rsid w:val="007E05B0"/>
    <w:rsid w:val="007E1E78"/>
    <w:rsid w:val="007E2650"/>
    <w:rsid w:val="007E2881"/>
    <w:rsid w:val="007E2C8C"/>
    <w:rsid w:val="007E3D49"/>
    <w:rsid w:val="007E3DD2"/>
    <w:rsid w:val="007E524B"/>
    <w:rsid w:val="007E5AA2"/>
    <w:rsid w:val="007E5F98"/>
    <w:rsid w:val="007E60F7"/>
    <w:rsid w:val="007E621D"/>
    <w:rsid w:val="007E6593"/>
    <w:rsid w:val="007E6887"/>
    <w:rsid w:val="007E6A90"/>
    <w:rsid w:val="007E6E87"/>
    <w:rsid w:val="007E7652"/>
    <w:rsid w:val="007E7808"/>
    <w:rsid w:val="007E7954"/>
    <w:rsid w:val="007F01D7"/>
    <w:rsid w:val="007F05F5"/>
    <w:rsid w:val="007F0729"/>
    <w:rsid w:val="007F0ACC"/>
    <w:rsid w:val="007F0D1A"/>
    <w:rsid w:val="007F0E50"/>
    <w:rsid w:val="007F15C7"/>
    <w:rsid w:val="007F1890"/>
    <w:rsid w:val="007F1D6F"/>
    <w:rsid w:val="007F22F2"/>
    <w:rsid w:val="007F22FC"/>
    <w:rsid w:val="007F2BAB"/>
    <w:rsid w:val="007F3DA8"/>
    <w:rsid w:val="007F4025"/>
    <w:rsid w:val="007F4D97"/>
    <w:rsid w:val="007F5445"/>
    <w:rsid w:val="007F5564"/>
    <w:rsid w:val="007F5834"/>
    <w:rsid w:val="007F6151"/>
    <w:rsid w:val="007F62D4"/>
    <w:rsid w:val="007F66A0"/>
    <w:rsid w:val="007F7267"/>
    <w:rsid w:val="007F72CE"/>
    <w:rsid w:val="007F7CD3"/>
    <w:rsid w:val="008005BD"/>
    <w:rsid w:val="0080104B"/>
    <w:rsid w:val="008017E4"/>
    <w:rsid w:val="0080225C"/>
    <w:rsid w:val="0080226A"/>
    <w:rsid w:val="00802374"/>
    <w:rsid w:val="008023FE"/>
    <w:rsid w:val="008025FE"/>
    <w:rsid w:val="008026F3"/>
    <w:rsid w:val="008027B4"/>
    <w:rsid w:val="00803230"/>
    <w:rsid w:val="00803672"/>
    <w:rsid w:val="008036BE"/>
    <w:rsid w:val="008036CD"/>
    <w:rsid w:val="008036E1"/>
    <w:rsid w:val="00803824"/>
    <w:rsid w:val="0080383C"/>
    <w:rsid w:val="00803E60"/>
    <w:rsid w:val="008051F1"/>
    <w:rsid w:val="0080533F"/>
    <w:rsid w:val="00805BF4"/>
    <w:rsid w:val="00805D76"/>
    <w:rsid w:val="00805E75"/>
    <w:rsid w:val="00806CE2"/>
    <w:rsid w:val="00807481"/>
    <w:rsid w:val="008075DC"/>
    <w:rsid w:val="008078EE"/>
    <w:rsid w:val="00807CA6"/>
    <w:rsid w:val="008102B6"/>
    <w:rsid w:val="008130CF"/>
    <w:rsid w:val="00813A12"/>
    <w:rsid w:val="00813D28"/>
    <w:rsid w:val="00814254"/>
    <w:rsid w:val="00815249"/>
    <w:rsid w:val="00815449"/>
    <w:rsid w:val="00815CED"/>
    <w:rsid w:val="0081600A"/>
    <w:rsid w:val="00816B75"/>
    <w:rsid w:val="00816F22"/>
    <w:rsid w:val="0081740D"/>
    <w:rsid w:val="008175A5"/>
    <w:rsid w:val="00817702"/>
    <w:rsid w:val="008178E7"/>
    <w:rsid w:val="00817DF4"/>
    <w:rsid w:val="00817E33"/>
    <w:rsid w:val="00820EEA"/>
    <w:rsid w:val="008210DD"/>
    <w:rsid w:val="00821D74"/>
    <w:rsid w:val="00821DE7"/>
    <w:rsid w:val="00821F11"/>
    <w:rsid w:val="00822AAD"/>
    <w:rsid w:val="00823075"/>
    <w:rsid w:val="00823AC6"/>
    <w:rsid w:val="00823FE4"/>
    <w:rsid w:val="0082440E"/>
    <w:rsid w:val="0082448E"/>
    <w:rsid w:val="00824805"/>
    <w:rsid w:val="00824CF6"/>
    <w:rsid w:val="00825669"/>
    <w:rsid w:val="0082593C"/>
    <w:rsid w:val="0082670B"/>
    <w:rsid w:val="00827A72"/>
    <w:rsid w:val="00827DFF"/>
    <w:rsid w:val="00827F1A"/>
    <w:rsid w:val="00827FEB"/>
    <w:rsid w:val="00830036"/>
    <w:rsid w:val="00830220"/>
    <w:rsid w:val="00830336"/>
    <w:rsid w:val="0083033E"/>
    <w:rsid w:val="00830386"/>
    <w:rsid w:val="00830483"/>
    <w:rsid w:val="00830710"/>
    <w:rsid w:val="008309E1"/>
    <w:rsid w:val="00830A4F"/>
    <w:rsid w:val="00830B8A"/>
    <w:rsid w:val="008310DD"/>
    <w:rsid w:val="008321A1"/>
    <w:rsid w:val="008329BA"/>
    <w:rsid w:val="00832FB4"/>
    <w:rsid w:val="00832FDB"/>
    <w:rsid w:val="0083300D"/>
    <w:rsid w:val="008330FC"/>
    <w:rsid w:val="0083387C"/>
    <w:rsid w:val="00833F22"/>
    <w:rsid w:val="008349A9"/>
    <w:rsid w:val="00834F4F"/>
    <w:rsid w:val="008359FB"/>
    <w:rsid w:val="00835BBB"/>
    <w:rsid w:val="00835FFC"/>
    <w:rsid w:val="008360CE"/>
    <w:rsid w:val="008368CC"/>
    <w:rsid w:val="00836BB5"/>
    <w:rsid w:val="00837865"/>
    <w:rsid w:val="00837E04"/>
    <w:rsid w:val="00840BFB"/>
    <w:rsid w:val="00841073"/>
    <w:rsid w:val="008417FA"/>
    <w:rsid w:val="00841D3E"/>
    <w:rsid w:val="00842E2B"/>
    <w:rsid w:val="00843191"/>
    <w:rsid w:val="008433E3"/>
    <w:rsid w:val="00843554"/>
    <w:rsid w:val="00843EEB"/>
    <w:rsid w:val="008456D9"/>
    <w:rsid w:val="00845976"/>
    <w:rsid w:val="008459F3"/>
    <w:rsid w:val="00846168"/>
    <w:rsid w:val="008467E9"/>
    <w:rsid w:val="00846D80"/>
    <w:rsid w:val="00846FE9"/>
    <w:rsid w:val="0084715C"/>
    <w:rsid w:val="008477A0"/>
    <w:rsid w:val="00847A08"/>
    <w:rsid w:val="00847F05"/>
    <w:rsid w:val="0085039C"/>
    <w:rsid w:val="00850EFC"/>
    <w:rsid w:val="008510C4"/>
    <w:rsid w:val="00851223"/>
    <w:rsid w:val="00852019"/>
    <w:rsid w:val="008520DD"/>
    <w:rsid w:val="00852AA5"/>
    <w:rsid w:val="00852C78"/>
    <w:rsid w:val="00853107"/>
    <w:rsid w:val="00853B14"/>
    <w:rsid w:val="00853FD7"/>
    <w:rsid w:val="008542B1"/>
    <w:rsid w:val="008544B6"/>
    <w:rsid w:val="00854A34"/>
    <w:rsid w:val="00855060"/>
    <w:rsid w:val="008550CD"/>
    <w:rsid w:val="00856107"/>
    <w:rsid w:val="00856168"/>
    <w:rsid w:val="00856261"/>
    <w:rsid w:val="008564D1"/>
    <w:rsid w:val="00856EF2"/>
    <w:rsid w:val="008571A9"/>
    <w:rsid w:val="00857692"/>
    <w:rsid w:val="00857904"/>
    <w:rsid w:val="00857FD1"/>
    <w:rsid w:val="008609AC"/>
    <w:rsid w:val="0086107E"/>
    <w:rsid w:val="008612F1"/>
    <w:rsid w:val="008616BB"/>
    <w:rsid w:val="008616F5"/>
    <w:rsid w:val="00861FB1"/>
    <w:rsid w:val="00862008"/>
    <w:rsid w:val="0086234E"/>
    <w:rsid w:val="008623F4"/>
    <w:rsid w:val="00862B50"/>
    <w:rsid w:val="0086361D"/>
    <w:rsid w:val="00863DFC"/>
    <w:rsid w:val="008654C5"/>
    <w:rsid w:val="00865CF2"/>
    <w:rsid w:val="00865E14"/>
    <w:rsid w:val="0086628D"/>
    <w:rsid w:val="008668A2"/>
    <w:rsid w:val="00866C45"/>
    <w:rsid w:val="00867818"/>
    <w:rsid w:val="00870181"/>
    <w:rsid w:val="00870E94"/>
    <w:rsid w:val="00870FC5"/>
    <w:rsid w:val="00871E11"/>
    <w:rsid w:val="008726FF"/>
    <w:rsid w:val="00872F10"/>
    <w:rsid w:val="008737C5"/>
    <w:rsid w:val="00873B96"/>
    <w:rsid w:val="00873BBB"/>
    <w:rsid w:val="008745F1"/>
    <w:rsid w:val="0087490C"/>
    <w:rsid w:val="00874D22"/>
    <w:rsid w:val="00874DEA"/>
    <w:rsid w:val="00875A65"/>
    <w:rsid w:val="00875B40"/>
    <w:rsid w:val="0087604E"/>
    <w:rsid w:val="0087684E"/>
    <w:rsid w:val="0087748F"/>
    <w:rsid w:val="00877552"/>
    <w:rsid w:val="0087770D"/>
    <w:rsid w:val="00877860"/>
    <w:rsid w:val="00877DF7"/>
    <w:rsid w:val="00877F98"/>
    <w:rsid w:val="008809AA"/>
    <w:rsid w:val="00880E78"/>
    <w:rsid w:val="008814E6"/>
    <w:rsid w:val="00881502"/>
    <w:rsid w:val="00881648"/>
    <w:rsid w:val="008817D1"/>
    <w:rsid w:val="008817DD"/>
    <w:rsid w:val="0088239F"/>
    <w:rsid w:val="00882DFF"/>
    <w:rsid w:val="00882F12"/>
    <w:rsid w:val="008830E3"/>
    <w:rsid w:val="0088347C"/>
    <w:rsid w:val="008834AF"/>
    <w:rsid w:val="00883E05"/>
    <w:rsid w:val="0088427B"/>
    <w:rsid w:val="00884532"/>
    <w:rsid w:val="00884764"/>
    <w:rsid w:val="00884D2E"/>
    <w:rsid w:val="00885090"/>
    <w:rsid w:val="00885EE4"/>
    <w:rsid w:val="008862CB"/>
    <w:rsid w:val="008875DB"/>
    <w:rsid w:val="008879DB"/>
    <w:rsid w:val="00887A95"/>
    <w:rsid w:val="00887AEA"/>
    <w:rsid w:val="0089006B"/>
    <w:rsid w:val="00890B01"/>
    <w:rsid w:val="00890DBC"/>
    <w:rsid w:val="0089125E"/>
    <w:rsid w:val="008913BC"/>
    <w:rsid w:val="008914BB"/>
    <w:rsid w:val="008921C9"/>
    <w:rsid w:val="008925B6"/>
    <w:rsid w:val="00892BAF"/>
    <w:rsid w:val="0089307F"/>
    <w:rsid w:val="00893759"/>
    <w:rsid w:val="00893C43"/>
    <w:rsid w:val="00894004"/>
    <w:rsid w:val="00894AC7"/>
    <w:rsid w:val="00895533"/>
    <w:rsid w:val="00895897"/>
    <w:rsid w:val="00896781"/>
    <w:rsid w:val="00896FE7"/>
    <w:rsid w:val="0089738C"/>
    <w:rsid w:val="008A0051"/>
    <w:rsid w:val="008A0B17"/>
    <w:rsid w:val="008A1B73"/>
    <w:rsid w:val="008A21E6"/>
    <w:rsid w:val="008A2822"/>
    <w:rsid w:val="008A2914"/>
    <w:rsid w:val="008A293B"/>
    <w:rsid w:val="008A3425"/>
    <w:rsid w:val="008A3746"/>
    <w:rsid w:val="008A44FE"/>
    <w:rsid w:val="008A4945"/>
    <w:rsid w:val="008A4ADD"/>
    <w:rsid w:val="008A58CC"/>
    <w:rsid w:val="008A62AD"/>
    <w:rsid w:val="008A68D7"/>
    <w:rsid w:val="008A6A28"/>
    <w:rsid w:val="008A73A6"/>
    <w:rsid w:val="008A74D5"/>
    <w:rsid w:val="008B04DE"/>
    <w:rsid w:val="008B0C5B"/>
    <w:rsid w:val="008B106A"/>
    <w:rsid w:val="008B1696"/>
    <w:rsid w:val="008B1790"/>
    <w:rsid w:val="008B1912"/>
    <w:rsid w:val="008B1CAF"/>
    <w:rsid w:val="008B2CCA"/>
    <w:rsid w:val="008B3198"/>
    <w:rsid w:val="008B3223"/>
    <w:rsid w:val="008B3472"/>
    <w:rsid w:val="008B34F0"/>
    <w:rsid w:val="008B3710"/>
    <w:rsid w:val="008B3F0B"/>
    <w:rsid w:val="008B4151"/>
    <w:rsid w:val="008B4221"/>
    <w:rsid w:val="008B50EB"/>
    <w:rsid w:val="008B5B1B"/>
    <w:rsid w:val="008B6EED"/>
    <w:rsid w:val="008B6F83"/>
    <w:rsid w:val="008B6FE3"/>
    <w:rsid w:val="008B70BB"/>
    <w:rsid w:val="008B78E9"/>
    <w:rsid w:val="008C0972"/>
    <w:rsid w:val="008C212C"/>
    <w:rsid w:val="008C21DE"/>
    <w:rsid w:val="008C21F7"/>
    <w:rsid w:val="008C2393"/>
    <w:rsid w:val="008C2575"/>
    <w:rsid w:val="008C2FCA"/>
    <w:rsid w:val="008C305A"/>
    <w:rsid w:val="008C3464"/>
    <w:rsid w:val="008C3988"/>
    <w:rsid w:val="008C3ACD"/>
    <w:rsid w:val="008C4299"/>
    <w:rsid w:val="008C49FA"/>
    <w:rsid w:val="008C55C9"/>
    <w:rsid w:val="008C5CB1"/>
    <w:rsid w:val="008C662A"/>
    <w:rsid w:val="008C687C"/>
    <w:rsid w:val="008C6887"/>
    <w:rsid w:val="008C7945"/>
    <w:rsid w:val="008C7C33"/>
    <w:rsid w:val="008C7CF6"/>
    <w:rsid w:val="008D017C"/>
    <w:rsid w:val="008D0586"/>
    <w:rsid w:val="008D06FE"/>
    <w:rsid w:val="008D0D93"/>
    <w:rsid w:val="008D0F1B"/>
    <w:rsid w:val="008D19C5"/>
    <w:rsid w:val="008D304D"/>
    <w:rsid w:val="008D3915"/>
    <w:rsid w:val="008D3BDE"/>
    <w:rsid w:val="008D42DF"/>
    <w:rsid w:val="008D43D5"/>
    <w:rsid w:val="008D44CD"/>
    <w:rsid w:val="008D49B4"/>
    <w:rsid w:val="008D5040"/>
    <w:rsid w:val="008D5188"/>
    <w:rsid w:val="008D5275"/>
    <w:rsid w:val="008D5A8C"/>
    <w:rsid w:val="008D5BAF"/>
    <w:rsid w:val="008D6FF0"/>
    <w:rsid w:val="008D78EA"/>
    <w:rsid w:val="008D7A2B"/>
    <w:rsid w:val="008D7BBE"/>
    <w:rsid w:val="008D7FDD"/>
    <w:rsid w:val="008E008E"/>
    <w:rsid w:val="008E00DF"/>
    <w:rsid w:val="008E05CC"/>
    <w:rsid w:val="008E11B7"/>
    <w:rsid w:val="008E19CD"/>
    <w:rsid w:val="008E1B09"/>
    <w:rsid w:val="008E1E38"/>
    <w:rsid w:val="008E23F5"/>
    <w:rsid w:val="008E297A"/>
    <w:rsid w:val="008E3445"/>
    <w:rsid w:val="008E3884"/>
    <w:rsid w:val="008E397D"/>
    <w:rsid w:val="008E401F"/>
    <w:rsid w:val="008E4D8E"/>
    <w:rsid w:val="008E4F11"/>
    <w:rsid w:val="008E5821"/>
    <w:rsid w:val="008E5DF6"/>
    <w:rsid w:val="008E6064"/>
    <w:rsid w:val="008E6745"/>
    <w:rsid w:val="008E685E"/>
    <w:rsid w:val="008E6B5A"/>
    <w:rsid w:val="008E77FF"/>
    <w:rsid w:val="008E7813"/>
    <w:rsid w:val="008E7C01"/>
    <w:rsid w:val="008F02D3"/>
    <w:rsid w:val="008F0962"/>
    <w:rsid w:val="008F18AE"/>
    <w:rsid w:val="008F2A3B"/>
    <w:rsid w:val="008F303D"/>
    <w:rsid w:val="008F3CBF"/>
    <w:rsid w:val="008F418B"/>
    <w:rsid w:val="008F431D"/>
    <w:rsid w:val="008F461F"/>
    <w:rsid w:val="008F46FD"/>
    <w:rsid w:val="008F4869"/>
    <w:rsid w:val="008F4900"/>
    <w:rsid w:val="008F4E8C"/>
    <w:rsid w:val="008F570D"/>
    <w:rsid w:val="008F5841"/>
    <w:rsid w:val="008F6893"/>
    <w:rsid w:val="008F7178"/>
    <w:rsid w:val="008F7359"/>
    <w:rsid w:val="008F7DDB"/>
    <w:rsid w:val="0090032C"/>
    <w:rsid w:val="009005B7"/>
    <w:rsid w:val="009007BD"/>
    <w:rsid w:val="009008C8"/>
    <w:rsid w:val="00900A1F"/>
    <w:rsid w:val="0090189E"/>
    <w:rsid w:val="0090233B"/>
    <w:rsid w:val="00902344"/>
    <w:rsid w:val="00902389"/>
    <w:rsid w:val="00902D3A"/>
    <w:rsid w:val="0090382B"/>
    <w:rsid w:val="00903F6A"/>
    <w:rsid w:val="00904800"/>
    <w:rsid w:val="00904AB8"/>
    <w:rsid w:val="00904E24"/>
    <w:rsid w:val="0090519C"/>
    <w:rsid w:val="00905D02"/>
    <w:rsid w:val="00905DB0"/>
    <w:rsid w:val="00905F1F"/>
    <w:rsid w:val="00905F67"/>
    <w:rsid w:val="00906195"/>
    <w:rsid w:val="00906BC3"/>
    <w:rsid w:val="00906F05"/>
    <w:rsid w:val="00907047"/>
    <w:rsid w:val="009070A5"/>
    <w:rsid w:val="00907428"/>
    <w:rsid w:val="00907B80"/>
    <w:rsid w:val="009103FD"/>
    <w:rsid w:val="00910E6C"/>
    <w:rsid w:val="00911343"/>
    <w:rsid w:val="009116F7"/>
    <w:rsid w:val="00911AD0"/>
    <w:rsid w:val="00911B46"/>
    <w:rsid w:val="00911DDB"/>
    <w:rsid w:val="009124D4"/>
    <w:rsid w:val="009125AB"/>
    <w:rsid w:val="0091342A"/>
    <w:rsid w:val="0091345E"/>
    <w:rsid w:val="00913650"/>
    <w:rsid w:val="009136B9"/>
    <w:rsid w:val="00913B94"/>
    <w:rsid w:val="00913FED"/>
    <w:rsid w:val="0091403A"/>
    <w:rsid w:val="00914AE6"/>
    <w:rsid w:val="0091540A"/>
    <w:rsid w:val="0091552F"/>
    <w:rsid w:val="00915817"/>
    <w:rsid w:val="009165FE"/>
    <w:rsid w:val="0091694E"/>
    <w:rsid w:val="009170CF"/>
    <w:rsid w:val="009172E3"/>
    <w:rsid w:val="00917455"/>
    <w:rsid w:val="009176C8"/>
    <w:rsid w:val="00917B79"/>
    <w:rsid w:val="00917D4F"/>
    <w:rsid w:val="00920285"/>
    <w:rsid w:val="00920657"/>
    <w:rsid w:val="00920E23"/>
    <w:rsid w:val="00920EE8"/>
    <w:rsid w:val="00920F30"/>
    <w:rsid w:val="00920FF5"/>
    <w:rsid w:val="00921B2B"/>
    <w:rsid w:val="00921D99"/>
    <w:rsid w:val="0092202E"/>
    <w:rsid w:val="00922A59"/>
    <w:rsid w:val="00922FF6"/>
    <w:rsid w:val="0092365E"/>
    <w:rsid w:val="009238D0"/>
    <w:rsid w:val="00923A55"/>
    <w:rsid w:val="00923A64"/>
    <w:rsid w:val="00923AB2"/>
    <w:rsid w:val="00923CAE"/>
    <w:rsid w:val="009241AD"/>
    <w:rsid w:val="00924437"/>
    <w:rsid w:val="0092449D"/>
    <w:rsid w:val="0092469B"/>
    <w:rsid w:val="00925113"/>
    <w:rsid w:val="009252F7"/>
    <w:rsid w:val="00925C98"/>
    <w:rsid w:val="00925D53"/>
    <w:rsid w:val="00926519"/>
    <w:rsid w:val="009268A6"/>
    <w:rsid w:val="00926E55"/>
    <w:rsid w:val="009274EB"/>
    <w:rsid w:val="00931692"/>
    <w:rsid w:val="009322B0"/>
    <w:rsid w:val="00932539"/>
    <w:rsid w:val="0093254D"/>
    <w:rsid w:val="00932C9E"/>
    <w:rsid w:val="00932F66"/>
    <w:rsid w:val="00933745"/>
    <w:rsid w:val="00933CBD"/>
    <w:rsid w:val="00933E20"/>
    <w:rsid w:val="00934AB0"/>
    <w:rsid w:val="00934DBB"/>
    <w:rsid w:val="00934FA0"/>
    <w:rsid w:val="009353AD"/>
    <w:rsid w:val="00936123"/>
    <w:rsid w:val="00936AF7"/>
    <w:rsid w:val="00937139"/>
    <w:rsid w:val="00937E84"/>
    <w:rsid w:val="0094073E"/>
    <w:rsid w:val="0094081A"/>
    <w:rsid w:val="00940B95"/>
    <w:rsid w:val="0094131F"/>
    <w:rsid w:val="009428DF"/>
    <w:rsid w:val="00943238"/>
    <w:rsid w:val="00943DB8"/>
    <w:rsid w:val="00943FF0"/>
    <w:rsid w:val="00944245"/>
    <w:rsid w:val="00944967"/>
    <w:rsid w:val="00944D61"/>
    <w:rsid w:val="009450A0"/>
    <w:rsid w:val="009451EF"/>
    <w:rsid w:val="00945591"/>
    <w:rsid w:val="00945A84"/>
    <w:rsid w:val="00945C73"/>
    <w:rsid w:val="0094665A"/>
    <w:rsid w:val="00946739"/>
    <w:rsid w:val="00946861"/>
    <w:rsid w:val="0094697D"/>
    <w:rsid w:val="00946BAD"/>
    <w:rsid w:val="00946DE8"/>
    <w:rsid w:val="00946E3C"/>
    <w:rsid w:val="009472F9"/>
    <w:rsid w:val="00947BA5"/>
    <w:rsid w:val="00947EEE"/>
    <w:rsid w:val="00950BAC"/>
    <w:rsid w:val="009516A9"/>
    <w:rsid w:val="00951AD3"/>
    <w:rsid w:val="00952C66"/>
    <w:rsid w:val="009531A8"/>
    <w:rsid w:val="00953431"/>
    <w:rsid w:val="009534C2"/>
    <w:rsid w:val="0095363B"/>
    <w:rsid w:val="00953B15"/>
    <w:rsid w:val="0095450D"/>
    <w:rsid w:val="00954983"/>
    <w:rsid w:val="009550D4"/>
    <w:rsid w:val="0095622D"/>
    <w:rsid w:val="009562C3"/>
    <w:rsid w:val="0095659F"/>
    <w:rsid w:val="00956981"/>
    <w:rsid w:val="0095753F"/>
    <w:rsid w:val="00957A17"/>
    <w:rsid w:val="00957EF7"/>
    <w:rsid w:val="00960673"/>
    <w:rsid w:val="00960685"/>
    <w:rsid w:val="00960706"/>
    <w:rsid w:val="0096137D"/>
    <w:rsid w:val="0096186C"/>
    <w:rsid w:val="00961C0A"/>
    <w:rsid w:val="009634C1"/>
    <w:rsid w:val="00963816"/>
    <w:rsid w:val="00963AB8"/>
    <w:rsid w:val="00963ADD"/>
    <w:rsid w:val="00963BAF"/>
    <w:rsid w:val="00963E72"/>
    <w:rsid w:val="00965E9E"/>
    <w:rsid w:val="00966476"/>
    <w:rsid w:val="0096647A"/>
    <w:rsid w:val="00966989"/>
    <w:rsid w:val="00966DC8"/>
    <w:rsid w:val="00966E8C"/>
    <w:rsid w:val="00967100"/>
    <w:rsid w:val="009672A7"/>
    <w:rsid w:val="00967810"/>
    <w:rsid w:val="00970199"/>
    <w:rsid w:val="009704AF"/>
    <w:rsid w:val="0097058C"/>
    <w:rsid w:val="00970720"/>
    <w:rsid w:val="0097096B"/>
    <w:rsid w:val="009711CC"/>
    <w:rsid w:val="00971628"/>
    <w:rsid w:val="00971722"/>
    <w:rsid w:val="009736E4"/>
    <w:rsid w:val="0097374D"/>
    <w:rsid w:val="009738B3"/>
    <w:rsid w:val="00974D10"/>
    <w:rsid w:val="00974E52"/>
    <w:rsid w:val="00975746"/>
    <w:rsid w:val="0097623C"/>
    <w:rsid w:val="00976EB1"/>
    <w:rsid w:val="00977857"/>
    <w:rsid w:val="00980003"/>
    <w:rsid w:val="00980066"/>
    <w:rsid w:val="00980476"/>
    <w:rsid w:val="009805A7"/>
    <w:rsid w:val="00980918"/>
    <w:rsid w:val="009809E7"/>
    <w:rsid w:val="00983434"/>
    <w:rsid w:val="009838BE"/>
    <w:rsid w:val="00983B3F"/>
    <w:rsid w:val="00983BD0"/>
    <w:rsid w:val="00983E3B"/>
    <w:rsid w:val="00984031"/>
    <w:rsid w:val="0098464E"/>
    <w:rsid w:val="009852F6"/>
    <w:rsid w:val="009857D2"/>
    <w:rsid w:val="00985869"/>
    <w:rsid w:val="00986018"/>
    <w:rsid w:val="00986307"/>
    <w:rsid w:val="009863DE"/>
    <w:rsid w:val="0098712F"/>
    <w:rsid w:val="009875C7"/>
    <w:rsid w:val="00990E1A"/>
    <w:rsid w:val="00990E7C"/>
    <w:rsid w:val="00991180"/>
    <w:rsid w:val="009912C5"/>
    <w:rsid w:val="009914CE"/>
    <w:rsid w:val="00992152"/>
    <w:rsid w:val="0099257E"/>
    <w:rsid w:val="00992678"/>
    <w:rsid w:val="0099281C"/>
    <w:rsid w:val="00992B84"/>
    <w:rsid w:val="00993236"/>
    <w:rsid w:val="0099408E"/>
    <w:rsid w:val="009941EB"/>
    <w:rsid w:val="00994303"/>
    <w:rsid w:val="00995175"/>
    <w:rsid w:val="0099539A"/>
    <w:rsid w:val="009956FE"/>
    <w:rsid w:val="00996257"/>
    <w:rsid w:val="00996373"/>
    <w:rsid w:val="00996688"/>
    <w:rsid w:val="00997719"/>
    <w:rsid w:val="009A0169"/>
    <w:rsid w:val="009A07A0"/>
    <w:rsid w:val="009A08E7"/>
    <w:rsid w:val="009A0FFB"/>
    <w:rsid w:val="009A1911"/>
    <w:rsid w:val="009A1985"/>
    <w:rsid w:val="009A1FE6"/>
    <w:rsid w:val="009A342C"/>
    <w:rsid w:val="009A3A1C"/>
    <w:rsid w:val="009A3FC7"/>
    <w:rsid w:val="009A44F5"/>
    <w:rsid w:val="009A4B0B"/>
    <w:rsid w:val="009A62CC"/>
    <w:rsid w:val="009A74D1"/>
    <w:rsid w:val="009A76B0"/>
    <w:rsid w:val="009A7DD2"/>
    <w:rsid w:val="009B063D"/>
    <w:rsid w:val="009B0B18"/>
    <w:rsid w:val="009B1C1F"/>
    <w:rsid w:val="009B1C9D"/>
    <w:rsid w:val="009B1FED"/>
    <w:rsid w:val="009B262D"/>
    <w:rsid w:val="009B2CB7"/>
    <w:rsid w:val="009B3314"/>
    <w:rsid w:val="009B44DB"/>
    <w:rsid w:val="009B60D5"/>
    <w:rsid w:val="009B629E"/>
    <w:rsid w:val="009B675E"/>
    <w:rsid w:val="009B6BD5"/>
    <w:rsid w:val="009B6D13"/>
    <w:rsid w:val="009B78D6"/>
    <w:rsid w:val="009B7D35"/>
    <w:rsid w:val="009B7F47"/>
    <w:rsid w:val="009C01F8"/>
    <w:rsid w:val="009C0EA5"/>
    <w:rsid w:val="009C1033"/>
    <w:rsid w:val="009C10CA"/>
    <w:rsid w:val="009C10EE"/>
    <w:rsid w:val="009C19EC"/>
    <w:rsid w:val="009C2008"/>
    <w:rsid w:val="009C20BD"/>
    <w:rsid w:val="009C25C7"/>
    <w:rsid w:val="009C3144"/>
    <w:rsid w:val="009C3EE2"/>
    <w:rsid w:val="009C3F6F"/>
    <w:rsid w:val="009C407D"/>
    <w:rsid w:val="009C42D7"/>
    <w:rsid w:val="009C48AA"/>
    <w:rsid w:val="009C51E3"/>
    <w:rsid w:val="009C56E7"/>
    <w:rsid w:val="009C6C38"/>
    <w:rsid w:val="009C72C9"/>
    <w:rsid w:val="009D0D7D"/>
    <w:rsid w:val="009D0E5C"/>
    <w:rsid w:val="009D0F6B"/>
    <w:rsid w:val="009D14A3"/>
    <w:rsid w:val="009D258A"/>
    <w:rsid w:val="009D2AA3"/>
    <w:rsid w:val="009D2B26"/>
    <w:rsid w:val="009D4B8C"/>
    <w:rsid w:val="009D501D"/>
    <w:rsid w:val="009D5562"/>
    <w:rsid w:val="009D5C69"/>
    <w:rsid w:val="009D5DB2"/>
    <w:rsid w:val="009D5EE3"/>
    <w:rsid w:val="009D5EFB"/>
    <w:rsid w:val="009D62BC"/>
    <w:rsid w:val="009D6338"/>
    <w:rsid w:val="009D64EE"/>
    <w:rsid w:val="009D7FFC"/>
    <w:rsid w:val="009E0231"/>
    <w:rsid w:val="009E0434"/>
    <w:rsid w:val="009E0D50"/>
    <w:rsid w:val="009E12F7"/>
    <w:rsid w:val="009E1E54"/>
    <w:rsid w:val="009E27E8"/>
    <w:rsid w:val="009E31BD"/>
    <w:rsid w:val="009E3275"/>
    <w:rsid w:val="009E3A3F"/>
    <w:rsid w:val="009E3B87"/>
    <w:rsid w:val="009E3C87"/>
    <w:rsid w:val="009E3F5C"/>
    <w:rsid w:val="009E40B4"/>
    <w:rsid w:val="009E41D0"/>
    <w:rsid w:val="009E4EAB"/>
    <w:rsid w:val="009E573A"/>
    <w:rsid w:val="009E5F5F"/>
    <w:rsid w:val="009E6096"/>
    <w:rsid w:val="009E683C"/>
    <w:rsid w:val="009E6ED7"/>
    <w:rsid w:val="009E7300"/>
    <w:rsid w:val="009E7857"/>
    <w:rsid w:val="009E7A33"/>
    <w:rsid w:val="009F0932"/>
    <w:rsid w:val="009F09A4"/>
    <w:rsid w:val="009F10AC"/>
    <w:rsid w:val="009F13A8"/>
    <w:rsid w:val="009F1728"/>
    <w:rsid w:val="009F17AE"/>
    <w:rsid w:val="009F1991"/>
    <w:rsid w:val="009F1B02"/>
    <w:rsid w:val="009F1EC0"/>
    <w:rsid w:val="009F2145"/>
    <w:rsid w:val="009F24E1"/>
    <w:rsid w:val="009F2D56"/>
    <w:rsid w:val="009F363A"/>
    <w:rsid w:val="009F41B6"/>
    <w:rsid w:val="009F5026"/>
    <w:rsid w:val="009F52A3"/>
    <w:rsid w:val="009F6361"/>
    <w:rsid w:val="009F6A4D"/>
    <w:rsid w:val="00A00137"/>
    <w:rsid w:val="00A00267"/>
    <w:rsid w:val="00A00A0F"/>
    <w:rsid w:val="00A00DBB"/>
    <w:rsid w:val="00A011C7"/>
    <w:rsid w:val="00A01616"/>
    <w:rsid w:val="00A01FE5"/>
    <w:rsid w:val="00A02109"/>
    <w:rsid w:val="00A024EF"/>
    <w:rsid w:val="00A0268E"/>
    <w:rsid w:val="00A028D6"/>
    <w:rsid w:val="00A0292F"/>
    <w:rsid w:val="00A02E97"/>
    <w:rsid w:val="00A02EFA"/>
    <w:rsid w:val="00A037B4"/>
    <w:rsid w:val="00A03ACF"/>
    <w:rsid w:val="00A03AFD"/>
    <w:rsid w:val="00A03EB5"/>
    <w:rsid w:val="00A03FC8"/>
    <w:rsid w:val="00A03FDD"/>
    <w:rsid w:val="00A0414F"/>
    <w:rsid w:val="00A0432F"/>
    <w:rsid w:val="00A0469C"/>
    <w:rsid w:val="00A04A8A"/>
    <w:rsid w:val="00A04C17"/>
    <w:rsid w:val="00A067D2"/>
    <w:rsid w:val="00A0783E"/>
    <w:rsid w:val="00A07A2D"/>
    <w:rsid w:val="00A07B78"/>
    <w:rsid w:val="00A07BEB"/>
    <w:rsid w:val="00A07EC8"/>
    <w:rsid w:val="00A10558"/>
    <w:rsid w:val="00A10E9C"/>
    <w:rsid w:val="00A12627"/>
    <w:rsid w:val="00A12631"/>
    <w:rsid w:val="00A1292C"/>
    <w:rsid w:val="00A13232"/>
    <w:rsid w:val="00A133C0"/>
    <w:rsid w:val="00A145F6"/>
    <w:rsid w:val="00A14986"/>
    <w:rsid w:val="00A14B25"/>
    <w:rsid w:val="00A1549D"/>
    <w:rsid w:val="00A155FE"/>
    <w:rsid w:val="00A15D6D"/>
    <w:rsid w:val="00A15ED9"/>
    <w:rsid w:val="00A1625A"/>
    <w:rsid w:val="00A170F8"/>
    <w:rsid w:val="00A17E5C"/>
    <w:rsid w:val="00A203C3"/>
    <w:rsid w:val="00A208FC"/>
    <w:rsid w:val="00A20DEF"/>
    <w:rsid w:val="00A212D6"/>
    <w:rsid w:val="00A21393"/>
    <w:rsid w:val="00A213B3"/>
    <w:rsid w:val="00A21599"/>
    <w:rsid w:val="00A21CC0"/>
    <w:rsid w:val="00A220F9"/>
    <w:rsid w:val="00A22D4B"/>
    <w:rsid w:val="00A23040"/>
    <w:rsid w:val="00A23757"/>
    <w:rsid w:val="00A23E50"/>
    <w:rsid w:val="00A245B2"/>
    <w:rsid w:val="00A245C9"/>
    <w:rsid w:val="00A248A8"/>
    <w:rsid w:val="00A24DCF"/>
    <w:rsid w:val="00A25433"/>
    <w:rsid w:val="00A258C4"/>
    <w:rsid w:val="00A25BFD"/>
    <w:rsid w:val="00A25CFE"/>
    <w:rsid w:val="00A26A44"/>
    <w:rsid w:val="00A27256"/>
    <w:rsid w:val="00A2791F"/>
    <w:rsid w:val="00A27A5F"/>
    <w:rsid w:val="00A27AF0"/>
    <w:rsid w:val="00A27C85"/>
    <w:rsid w:val="00A27E82"/>
    <w:rsid w:val="00A27FFE"/>
    <w:rsid w:val="00A303C0"/>
    <w:rsid w:val="00A3077A"/>
    <w:rsid w:val="00A30AFD"/>
    <w:rsid w:val="00A30CE6"/>
    <w:rsid w:val="00A30FA9"/>
    <w:rsid w:val="00A31CD5"/>
    <w:rsid w:val="00A31E3C"/>
    <w:rsid w:val="00A31E9C"/>
    <w:rsid w:val="00A321F2"/>
    <w:rsid w:val="00A32B73"/>
    <w:rsid w:val="00A32CCE"/>
    <w:rsid w:val="00A333ED"/>
    <w:rsid w:val="00A3444A"/>
    <w:rsid w:val="00A34AB4"/>
    <w:rsid w:val="00A351FE"/>
    <w:rsid w:val="00A3548E"/>
    <w:rsid w:val="00A358E3"/>
    <w:rsid w:val="00A35E12"/>
    <w:rsid w:val="00A36B05"/>
    <w:rsid w:val="00A36CC0"/>
    <w:rsid w:val="00A37278"/>
    <w:rsid w:val="00A37700"/>
    <w:rsid w:val="00A379D9"/>
    <w:rsid w:val="00A37A81"/>
    <w:rsid w:val="00A37E54"/>
    <w:rsid w:val="00A40563"/>
    <w:rsid w:val="00A405D9"/>
    <w:rsid w:val="00A4152F"/>
    <w:rsid w:val="00A41656"/>
    <w:rsid w:val="00A42279"/>
    <w:rsid w:val="00A423FF"/>
    <w:rsid w:val="00A42EFC"/>
    <w:rsid w:val="00A43090"/>
    <w:rsid w:val="00A43501"/>
    <w:rsid w:val="00A43674"/>
    <w:rsid w:val="00A438E4"/>
    <w:rsid w:val="00A43C1D"/>
    <w:rsid w:val="00A45059"/>
    <w:rsid w:val="00A452DD"/>
    <w:rsid w:val="00A4553E"/>
    <w:rsid w:val="00A466D0"/>
    <w:rsid w:val="00A471D4"/>
    <w:rsid w:val="00A47BE6"/>
    <w:rsid w:val="00A50156"/>
    <w:rsid w:val="00A50F32"/>
    <w:rsid w:val="00A512C1"/>
    <w:rsid w:val="00A5136C"/>
    <w:rsid w:val="00A51B4B"/>
    <w:rsid w:val="00A51BD2"/>
    <w:rsid w:val="00A52531"/>
    <w:rsid w:val="00A53192"/>
    <w:rsid w:val="00A535BD"/>
    <w:rsid w:val="00A54C1E"/>
    <w:rsid w:val="00A54D1E"/>
    <w:rsid w:val="00A554BC"/>
    <w:rsid w:val="00A55A1F"/>
    <w:rsid w:val="00A562DF"/>
    <w:rsid w:val="00A5699C"/>
    <w:rsid w:val="00A57605"/>
    <w:rsid w:val="00A602F1"/>
    <w:rsid w:val="00A603A2"/>
    <w:rsid w:val="00A604FC"/>
    <w:rsid w:val="00A60B04"/>
    <w:rsid w:val="00A60D0B"/>
    <w:rsid w:val="00A60E36"/>
    <w:rsid w:val="00A611FC"/>
    <w:rsid w:val="00A621D4"/>
    <w:rsid w:val="00A6290D"/>
    <w:rsid w:val="00A6300C"/>
    <w:rsid w:val="00A633F2"/>
    <w:rsid w:val="00A636B6"/>
    <w:rsid w:val="00A6438D"/>
    <w:rsid w:val="00A64932"/>
    <w:rsid w:val="00A64BC3"/>
    <w:rsid w:val="00A65260"/>
    <w:rsid w:val="00A652F9"/>
    <w:rsid w:val="00A6530D"/>
    <w:rsid w:val="00A65595"/>
    <w:rsid w:val="00A65A3A"/>
    <w:rsid w:val="00A65F70"/>
    <w:rsid w:val="00A66BC7"/>
    <w:rsid w:val="00A677FD"/>
    <w:rsid w:val="00A703D3"/>
    <w:rsid w:val="00A703F7"/>
    <w:rsid w:val="00A711D1"/>
    <w:rsid w:val="00A71270"/>
    <w:rsid w:val="00A718E5"/>
    <w:rsid w:val="00A71E7D"/>
    <w:rsid w:val="00A720F6"/>
    <w:rsid w:val="00A72390"/>
    <w:rsid w:val="00A72432"/>
    <w:rsid w:val="00A726BF"/>
    <w:rsid w:val="00A729B5"/>
    <w:rsid w:val="00A731A5"/>
    <w:rsid w:val="00A73673"/>
    <w:rsid w:val="00A73B37"/>
    <w:rsid w:val="00A73DA5"/>
    <w:rsid w:val="00A74775"/>
    <w:rsid w:val="00A747DA"/>
    <w:rsid w:val="00A75F00"/>
    <w:rsid w:val="00A763C5"/>
    <w:rsid w:val="00A77DCA"/>
    <w:rsid w:val="00A80275"/>
    <w:rsid w:val="00A80454"/>
    <w:rsid w:val="00A80D69"/>
    <w:rsid w:val="00A8180C"/>
    <w:rsid w:val="00A82034"/>
    <w:rsid w:val="00A82336"/>
    <w:rsid w:val="00A825E1"/>
    <w:rsid w:val="00A8264D"/>
    <w:rsid w:val="00A827DC"/>
    <w:rsid w:val="00A8389A"/>
    <w:rsid w:val="00A83BB5"/>
    <w:rsid w:val="00A83FAB"/>
    <w:rsid w:val="00A8439F"/>
    <w:rsid w:val="00A8490B"/>
    <w:rsid w:val="00A8526A"/>
    <w:rsid w:val="00A857EE"/>
    <w:rsid w:val="00A8589B"/>
    <w:rsid w:val="00A85C46"/>
    <w:rsid w:val="00A8627B"/>
    <w:rsid w:val="00A8646A"/>
    <w:rsid w:val="00A87D9C"/>
    <w:rsid w:val="00A90231"/>
    <w:rsid w:val="00A905A7"/>
    <w:rsid w:val="00A9150A"/>
    <w:rsid w:val="00A91632"/>
    <w:rsid w:val="00A91920"/>
    <w:rsid w:val="00A932CA"/>
    <w:rsid w:val="00A938CE"/>
    <w:rsid w:val="00A939F6"/>
    <w:rsid w:val="00A93EB3"/>
    <w:rsid w:val="00A946A8"/>
    <w:rsid w:val="00A94990"/>
    <w:rsid w:val="00A949A0"/>
    <w:rsid w:val="00A95500"/>
    <w:rsid w:val="00A95B0E"/>
    <w:rsid w:val="00A95D5A"/>
    <w:rsid w:val="00A95E85"/>
    <w:rsid w:val="00A9621C"/>
    <w:rsid w:val="00A9652F"/>
    <w:rsid w:val="00A9661C"/>
    <w:rsid w:val="00A966FE"/>
    <w:rsid w:val="00A96C83"/>
    <w:rsid w:val="00A971AE"/>
    <w:rsid w:val="00A979C2"/>
    <w:rsid w:val="00AA086B"/>
    <w:rsid w:val="00AA0A29"/>
    <w:rsid w:val="00AA0C38"/>
    <w:rsid w:val="00AA1065"/>
    <w:rsid w:val="00AA13A6"/>
    <w:rsid w:val="00AA1957"/>
    <w:rsid w:val="00AA1A41"/>
    <w:rsid w:val="00AA1C03"/>
    <w:rsid w:val="00AA20E4"/>
    <w:rsid w:val="00AA31F3"/>
    <w:rsid w:val="00AA3404"/>
    <w:rsid w:val="00AA344D"/>
    <w:rsid w:val="00AA5964"/>
    <w:rsid w:val="00AA661C"/>
    <w:rsid w:val="00AA6AC7"/>
    <w:rsid w:val="00AA6BCE"/>
    <w:rsid w:val="00AA7409"/>
    <w:rsid w:val="00AA7C0E"/>
    <w:rsid w:val="00AA7CC2"/>
    <w:rsid w:val="00AB06E2"/>
    <w:rsid w:val="00AB0719"/>
    <w:rsid w:val="00AB1377"/>
    <w:rsid w:val="00AB15CA"/>
    <w:rsid w:val="00AB20A8"/>
    <w:rsid w:val="00AB2801"/>
    <w:rsid w:val="00AB2AD8"/>
    <w:rsid w:val="00AB3EF8"/>
    <w:rsid w:val="00AB4428"/>
    <w:rsid w:val="00AB469D"/>
    <w:rsid w:val="00AB4AAA"/>
    <w:rsid w:val="00AB6001"/>
    <w:rsid w:val="00AB6170"/>
    <w:rsid w:val="00AB6898"/>
    <w:rsid w:val="00AB6F14"/>
    <w:rsid w:val="00AB6F1A"/>
    <w:rsid w:val="00AB77E6"/>
    <w:rsid w:val="00AB7AB3"/>
    <w:rsid w:val="00AC0079"/>
    <w:rsid w:val="00AC0186"/>
    <w:rsid w:val="00AC04C5"/>
    <w:rsid w:val="00AC0C75"/>
    <w:rsid w:val="00AC2033"/>
    <w:rsid w:val="00AC206F"/>
    <w:rsid w:val="00AC23F0"/>
    <w:rsid w:val="00AC331F"/>
    <w:rsid w:val="00AC3BF6"/>
    <w:rsid w:val="00AC47CD"/>
    <w:rsid w:val="00AC49A7"/>
    <w:rsid w:val="00AC4A8F"/>
    <w:rsid w:val="00AC4B5D"/>
    <w:rsid w:val="00AC4F58"/>
    <w:rsid w:val="00AC55E6"/>
    <w:rsid w:val="00AC5A20"/>
    <w:rsid w:val="00AC5C42"/>
    <w:rsid w:val="00AC5F3B"/>
    <w:rsid w:val="00AC6EA2"/>
    <w:rsid w:val="00AC7020"/>
    <w:rsid w:val="00AC7298"/>
    <w:rsid w:val="00AC74BA"/>
    <w:rsid w:val="00AC76D1"/>
    <w:rsid w:val="00AD0352"/>
    <w:rsid w:val="00AD05EA"/>
    <w:rsid w:val="00AD07C1"/>
    <w:rsid w:val="00AD0AE3"/>
    <w:rsid w:val="00AD24DE"/>
    <w:rsid w:val="00AD28C5"/>
    <w:rsid w:val="00AD3AFC"/>
    <w:rsid w:val="00AD4768"/>
    <w:rsid w:val="00AD50F6"/>
    <w:rsid w:val="00AD53C9"/>
    <w:rsid w:val="00AD5F1B"/>
    <w:rsid w:val="00AD6026"/>
    <w:rsid w:val="00AD60E1"/>
    <w:rsid w:val="00AD6127"/>
    <w:rsid w:val="00AD63B4"/>
    <w:rsid w:val="00AD6710"/>
    <w:rsid w:val="00AD6728"/>
    <w:rsid w:val="00AD7E9D"/>
    <w:rsid w:val="00AE0003"/>
    <w:rsid w:val="00AE04A5"/>
    <w:rsid w:val="00AE06B3"/>
    <w:rsid w:val="00AE078D"/>
    <w:rsid w:val="00AE09E2"/>
    <w:rsid w:val="00AE0C4C"/>
    <w:rsid w:val="00AE1839"/>
    <w:rsid w:val="00AE1929"/>
    <w:rsid w:val="00AE264F"/>
    <w:rsid w:val="00AE2794"/>
    <w:rsid w:val="00AE27C1"/>
    <w:rsid w:val="00AE2B04"/>
    <w:rsid w:val="00AE2EAB"/>
    <w:rsid w:val="00AE328E"/>
    <w:rsid w:val="00AE39F2"/>
    <w:rsid w:val="00AE3F35"/>
    <w:rsid w:val="00AE4484"/>
    <w:rsid w:val="00AE45C9"/>
    <w:rsid w:val="00AE4CAB"/>
    <w:rsid w:val="00AE5157"/>
    <w:rsid w:val="00AE5538"/>
    <w:rsid w:val="00AE58AF"/>
    <w:rsid w:val="00AE5EB8"/>
    <w:rsid w:val="00AE5EB9"/>
    <w:rsid w:val="00AE5EE2"/>
    <w:rsid w:val="00AE6496"/>
    <w:rsid w:val="00AE7D07"/>
    <w:rsid w:val="00AF0232"/>
    <w:rsid w:val="00AF0341"/>
    <w:rsid w:val="00AF08B4"/>
    <w:rsid w:val="00AF10B4"/>
    <w:rsid w:val="00AF121F"/>
    <w:rsid w:val="00AF12C1"/>
    <w:rsid w:val="00AF1B3F"/>
    <w:rsid w:val="00AF235D"/>
    <w:rsid w:val="00AF2B94"/>
    <w:rsid w:val="00AF2BFC"/>
    <w:rsid w:val="00AF2CBC"/>
    <w:rsid w:val="00AF2FCE"/>
    <w:rsid w:val="00AF3887"/>
    <w:rsid w:val="00AF4894"/>
    <w:rsid w:val="00AF4C56"/>
    <w:rsid w:val="00AF4E92"/>
    <w:rsid w:val="00AF54FA"/>
    <w:rsid w:val="00AF554D"/>
    <w:rsid w:val="00AF56E6"/>
    <w:rsid w:val="00AF7801"/>
    <w:rsid w:val="00AF7E30"/>
    <w:rsid w:val="00B002ED"/>
    <w:rsid w:val="00B0037C"/>
    <w:rsid w:val="00B0081C"/>
    <w:rsid w:val="00B0094C"/>
    <w:rsid w:val="00B011B8"/>
    <w:rsid w:val="00B012AB"/>
    <w:rsid w:val="00B019EC"/>
    <w:rsid w:val="00B01C7D"/>
    <w:rsid w:val="00B01E0C"/>
    <w:rsid w:val="00B01E75"/>
    <w:rsid w:val="00B02521"/>
    <w:rsid w:val="00B02760"/>
    <w:rsid w:val="00B027E0"/>
    <w:rsid w:val="00B02A0A"/>
    <w:rsid w:val="00B03368"/>
    <w:rsid w:val="00B0355D"/>
    <w:rsid w:val="00B04B33"/>
    <w:rsid w:val="00B0573C"/>
    <w:rsid w:val="00B05832"/>
    <w:rsid w:val="00B05F0F"/>
    <w:rsid w:val="00B070C9"/>
    <w:rsid w:val="00B073BF"/>
    <w:rsid w:val="00B0764E"/>
    <w:rsid w:val="00B07E1A"/>
    <w:rsid w:val="00B10423"/>
    <w:rsid w:val="00B10C3D"/>
    <w:rsid w:val="00B10E36"/>
    <w:rsid w:val="00B11204"/>
    <w:rsid w:val="00B115D4"/>
    <w:rsid w:val="00B11699"/>
    <w:rsid w:val="00B11B00"/>
    <w:rsid w:val="00B12D6A"/>
    <w:rsid w:val="00B12E5B"/>
    <w:rsid w:val="00B13D58"/>
    <w:rsid w:val="00B13FE3"/>
    <w:rsid w:val="00B1431E"/>
    <w:rsid w:val="00B14764"/>
    <w:rsid w:val="00B148E3"/>
    <w:rsid w:val="00B14DD2"/>
    <w:rsid w:val="00B17391"/>
    <w:rsid w:val="00B175F7"/>
    <w:rsid w:val="00B1781B"/>
    <w:rsid w:val="00B17884"/>
    <w:rsid w:val="00B17FE9"/>
    <w:rsid w:val="00B20BBF"/>
    <w:rsid w:val="00B210A6"/>
    <w:rsid w:val="00B21409"/>
    <w:rsid w:val="00B21811"/>
    <w:rsid w:val="00B22818"/>
    <w:rsid w:val="00B22B13"/>
    <w:rsid w:val="00B23169"/>
    <w:rsid w:val="00B23741"/>
    <w:rsid w:val="00B23B86"/>
    <w:rsid w:val="00B23F1D"/>
    <w:rsid w:val="00B23F6A"/>
    <w:rsid w:val="00B23FE1"/>
    <w:rsid w:val="00B2477C"/>
    <w:rsid w:val="00B24B68"/>
    <w:rsid w:val="00B25A91"/>
    <w:rsid w:val="00B26397"/>
    <w:rsid w:val="00B26599"/>
    <w:rsid w:val="00B26715"/>
    <w:rsid w:val="00B26837"/>
    <w:rsid w:val="00B26C78"/>
    <w:rsid w:val="00B26EFB"/>
    <w:rsid w:val="00B27AC0"/>
    <w:rsid w:val="00B3018D"/>
    <w:rsid w:val="00B304FD"/>
    <w:rsid w:val="00B309C5"/>
    <w:rsid w:val="00B30ADF"/>
    <w:rsid w:val="00B31619"/>
    <w:rsid w:val="00B31936"/>
    <w:rsid w:val="00B31A1C"/>
    <w:rsid w:val="00B31FB4"/>
    <w:rsid w:val="00B3239A"/>
    <w:rsid w:val="00B3281C"/>
    <w:rsid w:val="00B3288D"/>
    <w:rsid w:val="00B32C49"/>
    <w:rsid w:val="00B32E68"/>
    <w:rsid w:val="00B33354"/>
    <w:rsid w:val="00B33531"/>
    <w:rsid w:val="00B338D9"/>
    <w:rsid w:val="00B33D95"/>
    <w:rsid w:val="00B33E71"/>
    <w:rsid w:val="00B33FFA"/>
    <w:rsid w:val="00B34F31"/>
    <w:rsid w:val="00B3528D"/>
    <w:rsid w:val="00B35CAF"/>
    <w:rsid w:val="00B36250"/>
    <w:rsid w:val="00B37A2A"/>
    <w:rsid w:val="00B40037"/>
    <w:rsid w:val="00B4042A"/>
    <w:rsid w:val="00B40AD1"/>
    <w:rsid w:val="00B40C57"/>
    <w:rsid w:val="00B4149C"/>
    <w:rsid w:val="00B41E1B"/>
    <w:rsid w:val="00B42124"/>
    <w:rsid w:val="00B4212E"/>
    <w:rsid w:val="00B42555"/>
    <w:rsid w:val="00B42A56"/>
    <w:rsid w:val="00B43649"/>
    <w:rsid w:val="00B438B4"/>
    <w:rsid w:val="00B43BF2"/>
    <w:rsid w:val="00B45238"/>
    <w:rsid w:val="00B45722"/>
    <w:rsid w:val="00B45B46"/>
    <w:rsid w:val="00B45E21"/>
    <w:rsid w:val="00B45EA2"/>
    <w:rsid w:val="00B465E8"/>
    <w:rsid w:val="00B46D25"/>
    <w:rsid w:val="00B46F3A"/>
    <w:rsid w:val="00B47478"/>
    <w:rsid w:val="00B479A2"/>
    <w:rsid w:val="00B50261"/>
    <w:rsid w:val="00B505FC"/>
    <w:rsid w:val="00B51857"/>
    <w:rsid w:val="00B51AB0"/>
    <w:rsid w:val="00B527FF"/>
    <w:rsid w:val="00B5289C"/>
    <w:rsid w:val="00B532AE"/>
    <w:rsid w:val="00B5350F"/>
    <w:rsid w:val="00B538CC"/>
    <w:rsid w:val="00B53EDF"/>
    <w:rsid w:val="00B5420B"/>
    <w:rsid w:val="00B5494F"/>
    <w:rsid w:val="00B54B23"/>
    <w:rsid w:val="00B54E00"/>
    <w:rsid w:val="00B550BB"/>
    <w:rsid w:val="00B55B14"/>
    <w:rsid w:val="00B55C47"/>
    <w:rsid w:val="00B5603F"/>
    <w:rsid w:val="00B56767"/>
    <w:rsid w:val="00B56E49"/>
    <w:rsid w:val="00B572EA"/>
    <w:rsid w:val="00B573B9"/>
    <w:rsid w:val="00B57AAB"/>
    <w:rsid w:val="00B57D01"/>
    <w:rsid w:val="00B60001"/>
    <w:rsid w:val="00B60BAC"/>
    <w:rsid w:val="00B616C2"/>
    <w:rsid w:val="00B6172A"/>
    <w:rsid w:val="00B61BB4"/>
    <w:rsid w:val="00B630CF"/>
    <w:rsid w:val="00B638F4"/>
    <w:rsid w:val="00B639DF"/>
    <w:rsid w:val="00B63A86"/>
    <w:rsid w:val="00B640AC"/>
    <w:rsid w:val="00B64FF2"/>
    <w:rsid w:val="00B65889"/>
    <w:rsid w:val="00B65BBF"/>
    <w:rsid w:val="00B65C49"/>
    <w:rsid w:val="00B65CB9"/>
    <w:rsid w:val="00B662E0"/>
    <w:rsid w:val="00B6637A"/>
    <w:rsid w:val="00B66885"/>
    <w:rsid w:val="00B66B19"/>
    <w:rsid w:val="00B66CE2"/>
    <w:rsid w:val="00B671F7"/>
    <w:rsid w:val="00B67346"/>
    <w:rsid w:val="00B67595"/>
    <w:rsid w:val="00B67813"/>
    <w:rsid w:val="00B67836"/>
    <w:rsid w:val="00B67EC2"/>
    <w:rsid w:val="00B70157"/>
    <w:rsid w:val="00B705E5"/>
    <w:rsid w:val="00B71129"/>
    <w:rsid w:val="00B7130D"/>
    <w:rsid w:val="00B7134F"/>
    <w:rsid w:val="00B715A9"/>
    <w:rsid w:val="00B71D08"/>
    <w:rsid w:val="00B71F1F"/>
    <w:rsid w:val="00B72AFE"/>
    <w:rsid w:val="00B72E63"/>
    <w:rsid w:val="00B737CF"/>
    <w:rsid w:val="00B74023"/>
    <w:rsid w:val="00B74FB7"/>
    <w:rsid w:val="00B75562"/>
    <w:rsid w:val="00B75DCD"/>
    <w:rsid w:val="00B7600E"/>
    <w:rsid w:val="00B7664A"/>
    <w:rsid w:val="00B76D32"/>
    <w:rsid w:val="00B7717F"/>
    <w:rsid w:val="00B77B66"/>
    <w:rsid w:val="00B8048E"/>
    <w:rsid w:val="00B80A90"/>
    <w:rsid w:val="00B817EA"/>
    <w:rsid w:val="00B81D7F"/>
    <w:rsid w:val="00B8242B"/>
    <w:rsid w:val="00B82524"/>
    <w:rsid w:val="00B828AF"/>
    <w:rsid w:val="00B83B5B"/>
    <w:rsid w:val="00B840E3"/>
    <w:rsid w:val="00B843D9"/>
    <w:rsid w:val="00B843E4"/>
    <w:rsid w:val="00B845D1"/>
    <w:rsid w:val="00B84CA3"/>
    <w:rsid w:val="00B8537A"/>
    <w:rsid w:val="00B857C6"/>
    <w:rsid w:val="00B85EA3"/>
    <w:rsid w:val="00B86ADE"/>
    <w:rsid w:val="00B875BD"/>
    <w:rsid w:val="00B87BF1"/>
    <w:rsid w:val="00B87D6E"/>
    <w:rsid w:val="00B87E2E"/>
    <w:rsid w:val="00B9041F"/>
    <w:rsid w:val="00B90605"/>
    <w:rsid w:val="00B90660"/>
    <w:rsid w:val="00B90E0F"/>
    <w:rsid w:val="00B912F9"/>
    <w:rsid w:val="00B91D49"/>
    <w:rsid w:val="00B9225A"/>
    <w:rsid w:val="00B92A7C"/>
    <w:rsid w:val="00B933A4"/>
    <w:rsid w:val="00B93966"/>
    <w:rsid w:val="00B93D65"/>
    <w:rsid w:val="00B94DC5"/>
    <w:rsid w:val="00B953A4"/>
    <w:rsid w:val="00B95848"/>
    <w:rsid w:val="00B96A98"/>
    <w:rsid w:val="00B973F5"/>
    <w:rsid w:val="00BA053C"/>
    <w:rsid w:val="00BA0934"/>
    <w:rsid w:val="00BA0A0A"/>
    <w:rsid w:val="00BA0D1B"/>
    <w:rsid w:val="00BA0E23"/>
    <w:rsid w:val="00BA1147"/>
    <w:rsid w:val="00BA13FD"/>
    <w:rsid w:val="00BA15A9"/>
    <w:rsid w:val="00BA168D"/>
    <w:rsid w:val="00BA169F"/>
    <w:rsid w:val="00BA17C6"/>
    <w:rsid w:val="00BA19F4"/>
    <w:rsid w:val="00BA1F40"/>
    <w:rsid w:val="00BA2253"/>
    <w:rsid w:val="00BA2433"/>
    <w:rsid w:val="00BA27E4"/>
    <w:rsid w:val="00BA310F"/>
    <w:rsid w:val="00BA378B"/>
    <w:rsid w:val="00BA453B"/>
    <w:rsid w:val="00BA578A"/>
    <w:rsid w:val="00BA5A0F"/>
    <w:rsid w:val="00BA5AF7"/>
    <w:rsid w:val="00BA5B7E"/>
    <w:rsid w:val="00BA5BF2"/>
    <w:rsid w:val="00BA5DBE"/>
    <w:rsid w:val="00BA7049"/>
    <w:rsid w:val="00BA734B"/>
    <w:rsid w:val="00BA76F3"/>
    <w:rsid w:val="00BA7970"/>
    <w:rsid w:val="00BA79F9"/>
    <w:rsid w:val="00BA7FEE"/>
    <w:rsid w:val="00BB05B5"/>
    <w:rsid w:val="00BB0848"/>
    <w:rsid w:val="00BB0DFB"/>
    <w:rsid w:val="00BB0F73"/>
    <w:rsid w:val="00BB0FBC"/>
    <w:rsid w:val="00BB1727"/>
    <w:rsid w:val="00BB1A35"/>
    <w:rsid w:val="00BB1DCC"/>
    <w:rsid w:val="00BB1EBF"/>
    <w:rsid w:val="00BB355A"/>
    <w:rsid w:val="00BB46C9"/>
    <w:rsid w:val="00BB480A"/>
    <w:rsid w:val="00BB4901"/>
    <w:rsid w:val="00BB4C6D"/>
    <w:rsid w:val="00BB4E0A"/>
    <w:rsid w:val="00BB530A"/>
    <w:rsid w:val="00BB66F3"/>
    <w:rsid w:val="00BB6CA6"/>
    <w:rsid w:val="00BB6D98"/>
    <w:rsid w:val="00BB6F95"/>
    <w:rsid w:val="00BB7885"/>
    <w:rsid w:val="00BC03C7"/>
    <w:rsid w:val="00BC12F8"/>
    <w:rsid w:val="00BC1ACC"/>
    <w:rsid w:val="00BC1AD4"/>
    <w:rsid w:val="00BC1B6A"/>
    <w:rsid w:val="00BC1FE1"/>
    <w:rsid w:val="00BC22BD"/>
    <w:rsid w:val="00BC24F3"/>
    <w:rsid w:val="00BC2C2B"/>
    <w:rsid w:val="00BC315B"/>
    <w:rsid w:val="00BC369F"/>
    <w:rsid w:val="00BC3971"/>
    <w:rsid w:val="00BC41B3"/>
    <w:rsid w:val="00BC4D42"/>
    <w:rsid w:val="00BC507D"/>
    <w:rsid w:val="00BC50F3"/>
    <w:rsid w:val="00BC5676"/>
    <w:rsid w:val="00BC5A08"/>
    <w:rsid w:val="00BC5C99"/>
    <w:rsid w:val="00BC624B"/>
    <w:rsid w:val="00BC675E"/>
    <w:rsid w:val="00BC7496"/>
    <w:rsid w:val="00BD0536"/>
    <w:rsid w:val="00BD0D13"/>
    <w:rsid w:val="00BD158B"/>
    <w:rsid w:val="00BD2613"/>
    <w:rsid w:val="00BD28D4"/>
    <w:rsid w:val="00BD3A3F"/>
    <w:rsid w:val="00BD3B96"/>
    <w:rsid w:val="00BD3BEB"/>
    <w:rsid w:val="00BD3E23"/>
    <w:rsid w:val="00BD489A"/>
    <w:rsid w:val="00BD50A6"/>
    <w:rsid w:val="00BD50B6"/>
    <w:rsid w:val="00BD52BA"/>
    <w:rsid w:val="00BD5B7F"/>
    <w:rsid w:val="00BD5D7A"/>
    <w:rsid w:val="00BD648F"/>
    <w:rsid w:val="00BD661C"/>
    <w:rsid w:val="00BD6682"/>
    <w:rsid w:val="00BD7C9E"/>
    <w:rsid w:val="00BE025D"/>
    <w:rsid w:val="00BE02E5"/>
    <w:rsid w:val="00BE04CB"/>
    <w:rsid w:val="00BE0C40"/>
    <w:rsid w:val="00BE0C6D"/>
    <w:rsid w:val="00BE0E38"/>
    <w:rsid w:val="00BE1D73"/>
    <w:rsid w:val="00BE2023"/>
    <w:rsid w:val="00BE20C3"/>
    <w:rsid w:val="00BE224E"/>
    <w:rsid w:val="00BE2930"/>
    <w:rsid w:val="00BE2F31"/>
    <w:rsid w:val="00BE3108"/>
    <w:rsid w:val="00BE38EE"/>
    <w:rsid w:val="00BE3A5C"/>
    <w:rsid w:val="00BE3C9C"/>
    <w:rsid w:val="00BE411C"/>
    <w:rsid w:val="00BE4AA5"/>
    <w:rsid w:val="00BE524F"/>
    <w:rsid w:val="00BE53CD"/>
    <w:rsid w:val="00BE56B0"/>
    <w:rsid w:val="00BE6270"/>
    <w:rsid w:val="00BE6A64"/>
    <w:rsid w:val="00BE6A65"/>
    <w:rsid w:val="00BE6A84"/>
    <w:rsid w:val="00BE759D"/>
    <w:rsid w:val="00BE7A84"/>
    <w:rsid w:val="00BF05E9"/>
    <w:rsid w:val="00BF1088"/>
    <w:rsid w:val="00BF10F0"/>
    <w:rsid w:val="00BF113C"/>
    <w:rsid w:val="00BF1271"/>
    <w:rsid w:val="00BF2701"/>
    <w:rsid w:val="00BF27A5"/>
    <w:rsid w:val="00BF2CA1"/>
    <w:rsid w:val="00BF2DAE"/>
    <w:rsid w:val="00BF3554"/>
    <w:rsid w:val="00BF3A95"/>
    <w:rsid w:val="00BF3E88"/>
    <w:rsid w:val="00BF4061"/>
    <w:rsid w:val="00BF407F"/>
    <w:rsid w:val="00BF4109"/>
    <w:rsid w:val="00BF41AE"/>
    <w:rsid w:val="00BF4384"/>
    <w:rsid w:val="00BF4D03"/>
    <w:rsid w:val="00BF52BD"/>
    <w:rsid w:val="00BF54F0"/>
    <w:rsid w:val="00BF5655"/>
    <w:rsid w:val="00BF60C4"/>
    <w:rsid w:val="00BF6378"/>
    <w:rsid w:val="00BF65E1"/>
    <w:rsid w:val="00BF660A"/>
    <w:rsid w:val="00BF6DBC"/>
    <w:rsid w:val="00BF6FD9"/>
    <w:rsid w:val="00BF7B97"/>
    <w:rsid w:val="00C00399"/>
    <w:rsid w:val="00C012E7"/>
    <w:rsid w:val="00C01326"/>
    <w:rsid w:val="00C01374"/>
    <w:rsid w:val="00C0138B"/>
    <w:rsid w:val="00C0194E"/>
    <w:rsid w:val="00C01AFD"/>
    <w:rsid w:val="00C02141"/>
    <w:rsid w:val="00C022F0"/>
    <w:rsid w:val="00C02471"/>
    <w:rsid w:val="00C0316B"/>
    <w:rsid w:val="00C0350C"/>
    <w:rsid w:val="00C04340"/>
    <w:rsid w:val="00C04485"/>
    <w:rsid w:val="00C06010"/>
    <w:rsid w:val="00C06D33"/>
    <w:rsid w:val="00C0705B"/>
    <w:rsid w:val="00C070E5"/>
    <w:rsid w:val="00C07758"/>
    <w:rsid w:val="00C07E9C"/>
    <w:rsid w:val="00C10AB5"/>
    <w:rsid w:val="00C116D0"/>
    <w:rsid w:val="00C11F22"/>
    <w:rsid w:val="00C12301"/>
    <w:rsid w:val="00C124E9"/>
    <w:rsid w:val="00C12969"/>
    <w:rsid w:val="00C136F3"/>
    <w:rsid w:val="00C13BCD"/>
    <w:rsid w:val="00C13E3D"/>
    <w:rsid w:val="00C14319"/>
    <w:rsid w:val="00C1432C"/>
    <w:rsid w:val="00C14B40"/>
    <w:rsid w:val="00C1560B"/>
    <w:rsid w:val="00C158A1"/>
    <w:rsid w:val="00C15FCA"/>
    <w:rsid w:val="00C1638B"/>
    <w:rsid w:val="00C1690B"/>
    <w:rsid w:val="00C16C39"/>
    <w:rsid w:val="00C17BFC"/>
    <w:rsid w:val="00C20329"/>
    <w:rsid w:val="00C203BE"/>
    <w:rsid w:val="00C20DF8"/>
    <w:rsid w:val="00C2148A"/>
    <w:rsid w:val="00C217B9"/>
    <w:rsid w:val="00C218A1"/>
    <w:rsid w:val="00C21BD5"/>
    <w:rsid w:val="00C21FD1"/>
    <w:rsid w:val="00C221D4"/>
    <w:rsid w:val="00C226A7"/>
    <w:rsid w:val="00C22B93"/>
    <w:rsid w:val="00C22C3C"/>
    <w:rsid w:val="00C23C24"/>
    <w:rsid w:val="00C23E6A"/>
    <w:rsid w:val="00C2438B"/>
    <w:rsid w:val="00C24ADD"/>
    <w:rsid w:val="00C24B5E"/>
    <w:rsid w:val="00C25163"/>
    <w:rsid w:val="00C25B3A"/>
    <w:rsid w:val="00C26B1D"/>
    <w:rsid w:val="00C26B9C"/>
    <w:rsid w:val="00C30253"/>
    <w:rsid w:val="00C30510"/>
    <w:rsid w:val="00C3065B"/>
    <w:rsid w:val="00C30DE2"/>
    <w:rsid w:val="00C30FCC"/>
    <w:rsid w:val="00C32538"/>
    <w:rsid w:val="00C3291B"/>
    <w:rsid w:val="00C32921"/>
    <w:rsid w:val="00C32A6D"/>
    <w:rsid w:val="00C34896"/>
    <w:rsid w:val="00C34B72"/>
    <w:rsid w:val="00C34E36"/>
    <w:rsid w:val="00C34EC8"/>
    <w:rsid w:val="00C34F04"/>
    <w:rsid w:val="00C35730"/>
    <w:rsid w:val="00C359F6"/>
    <w:rsid w:val="00C35AA3"/>
    <w:rsid w:val="00C35DDF"/>
    <w:rsid w:val="00C36282"/>
    <w:rsid w:val="00C3645B"/>
    <w:rsid w:val="00C365A9"/>
    <w:rsid w:val="00C36E97"/>
    <w:rsid w:val="00C37683"/>
    <w:rsid w:val="00C37DF3"/>
    <w:rsid w:val="00C404DC"/>
    <w:rsid w:val="00C40D1A"/>
    <w:rsid w:val="00C4210D"/>
    <w:rsid w:val="00C42642"/>
    <w:rsid w:val="00C42F32"/>
    <w:rsid w:val="00C4415B"/>
    <w:rsid w:val="00C44C88"/>
    <w:rsid w:val="00C44D47"/>
    <w:rsid w:val="00C44D73"/>
    <w:rsid w:val="00C4541B"/>
    <w:rsid w:val="00C4542E"/>
    <w:rsid w:val="00C45BAF"/>
    <w:rsid w:val="00C462E3"/>
    <w:rsid w:val="00C4645C"/>
    <w:rsid w:val="00C465E0"/>
    <w:rsid w:val="00C46A07"/>
    <w:rsid w:val="00C46A2C"/>
    <w:rsid w:val="00C47AD5"/>
    <w:rsid w:val="00C47AE0"/>
    <w:rsid w:val="00C50332"/>
    <w:rsid w:val="00C50DAE"/>
    <w:rsid w:val="00C50F15"/>
    <w:rsid w:val="00C51556"/>
    <w:rsid w:val="00C51714"/>
    <w:rsid w:val="00C52B3E"/>
    <w:rsid w:val="00C53133"/>
    <w:rsid w:val="00C538F8"/>
    <w:rsid w:val="00C53B23"/>
    <w:rsid w:val="00C53D8B"/>
    <w:rsid w:val="00C54011"/>
    <w:rsid w:val="00C541A0"/>
    <w:rsid w:val="00C54B58"/>
    <w:rsid w:val="00C554E8"/>
    <w:rsid w:val="00C5568E"/>
    <w:rsid w:val="00C558BD"/>
    <w:rsid w:val="00C55C65"/>
    <w:rsid w:val="00C55E56"/>
    <w:rsid w:val="00C57361"/>
    <w:rsid w:val="00C579DF"/>
    <w:rsid w:val="00C57ED1"/>
    <w:rsid w:val="00C60A20"/>
    <w:rsid w:val="00C60D86"/>
    <w:rsid w:val="00C610BE"/>
    <w:rsid w:val="00C61207"/>
    <w:rsid w:val="00C61480"/>
    <w:rsid w:val="00C614B9"/>
    <w:rsid w:val="00C622A4"/>
    <w:rsid w:val="00C63206"/>
    <w:rsid w:val="00C63553"/>
    <w:rsid w:val="00C636EF"/>
    <w:rsid w:val="00C63BD4"/>
    <w:rsid w:val="00C64021"/>
    <w:rsid w:val="00C65A79"/>
    <w:rsid w:val="00C65DB8"/>
    <w:rsid w:val="00C66427"/>
    <w:rsid w:val="00C664AD"/>
    <w:rsid w:val="00C665FD"/>
    <w:rsid w:val="00C66EA0"/>
    <w:rsid w:val="00C67B21"/>
    <w:rsid w:val="00C703FE"/>
    <w:rsid w:val="00C70443"/>
    <w:rsid w:val="00C7048E"/>
    <w:rsid w:val="00C70763"/>
    <w:rsid w:val="00C707EE"/>
    <w:rsid w:val="00C7088A"/>
    <w:rsid w:val="00C717C0"/>
    <w:rsid w:val="00C71BA5"/>
    <w:rsid w:val="00C71BC1"/>
    <w:rsid w:val="00C71C7B"/>
    <w:rsid w:val="00C722F9"/>
    <w:rsid w:val="00C723C8"/>
    <w:rsid w:val="00C7285F"/>
    <w:rsid w:val="00C72D08"/>
    <w:rsid w:val="00C73899"/>
    <w:rsid w:val="00C739EC"/>
    <w:rsid w:val="00C74180"/>
    <w:rsid w:val="00C74A6E"/>
    <w:rsid w:val="00C74DA1"/>
    <w:rsid w:val="00C74E0C"/>
    <w:rsid w:val="00C756C6"/>
    <w:rsid w:val="00C757AD"/>
    <w:rsid w:val="00C7582A"/>
    <w:rsid w:val="00C75B0A"/>
    <w:rsid w:val="00C75D3A"/>
    <w:rsid w:val="00C75E84"/>
    <w:rsid w:val="00C75FCC"/>
    <w:rsid w:val="00C7600D"/>
    <w:rsid w:val="00C76558"/>
    <w:rsid w:val="00C766DC"/>
    <w:rsid w:val="00C76BEA"/>
    <w:rsid w:val="00C76F2C"/>
    <w:rsid w:val="00C775CD"/>
    <w:rsid w:val="00C778E0"/>
    <w:rsid w:val="00C77ADB"/>
    <w:rsid w:val="00C77B5A"/>
    <w:rsid w:val="00C77E5A"/>
    <w:rsid w:val="00C80548"/>
    <w:rsid w:val="00C80BE8"/>
    <w:rsid w:val="00C80D80"/>
    <w:rsid w:val="00C80E53"/>
    <w:rsid w:val="00C81CDE"/>
    <w:rsid w:val="00C821CC"/>
    <w:rsid w:val="00C8288D"/>
    <w:rsid w:val="00C83463"/>
    <w:rsid w:val="00C84DEC"/>
    <w:rsid w:val="00C8506C"/>
    <w:rsid w:val="00C862B8"/>
    <w:rsid w:val="00C86406"/>
    <w:rsid w:val="00C8641E"/>
    <w:rsid w:val="00C86F35"/>
    <w:rsid w:val="00C87C7F"/>
    <w:rsid w:val="00C90C9C"/>
    <w:rsid w:val="00C91475"/>
    <w:rsid w:val="00C91D0B"/>
    <w:rsid w:val="00C92092"/>
    <w:rsid w:val="00C92402"/>
    <w:rsid w:val="00C92B97"/>
    <w:rsid w:val="00C93077"/>
    <w:rsid w:val="00C93561"/>
    <w:rsid w:val="00C936F7"/>
    <w:rsid w:val="00C93AF3"/>
    <w:rsid w:val="00C94D85"/>
    <w:rsid w:val="00C951F6"/>
    <w:rsid w:val="00C952CF"/>
    <w:rsid w:val="00C95345"/>
    <w:rsid w:val="00C96A80"/>
    <w:rsid w:val="00C96F24"/>
    <w:rsid w:val="00C96F69"/>
    <w:rsid w:val="00C97355"/>
    <w:rsid w:val="00C97F36"/>
    <w:rsid w:val="00CA0009"/>
    <w:rsid w:val="00CA0117"/>
    <w:rsid w:val="00CA0812"/>
    <w:rsid w:val="00CA0D5E"/>
    <w:rsid w:val="00CA0F50"/>
    <w:rsid w:val="00CA14DC"/>
    <w:rsid w:val="00CA18DB"/>
    <w:rsid w:val="00CA1F83"/>
    <w:rsid w:val="00CA298A"/>
    <w:rsid w:val="00CA34A3"/>
    <w:rsid w:val="00CA3B6E"/>
    <w:rsid w:val="00CA3C90"/>
    <w:rsid w:val="00CA3DA9"/>
    <w:rsid w:val="00CA40FA"/>
    <w:rsid w:val="00CA4891"/>
    <w:rsid w:val="00CA492F"/>
    <w:rsid w:val="00CA4B23"/>
    <w:rsid w:val="00CA5552"/>
    <w:rsid w:val="00CA55E3"/>
    <w:rsid w:val="00CA58C6"/>
    <w:rsid w:val="00CA5C34"/>
    <w:rsid w:val="00CA6289"/>
    <w:rsid w:val="00CA649C"/>
    <w:rsid w:val="00CA65D0"/>
    <w:rsid w:val="00CA6744"/>
    <w:rsid w:val="00CA6AC6"/>
    <w:rsid w:val="00CA7023"/>
    <w:rsid w:val="00CA7C66"/>
    <w:rsid w:val="00CB020E"/>
    <w:rsid w:val="00CB0714"/>
    <w:rsid w:val="00CB0DCD"/>
    <w:rsid w:val="00CB1196"/>
    <w:rsid w:val="00CB11DA"/>
    <w:rsid w:val="00CB123A"/>
    <w:rsid w:val="00CB2247"/>
    <w:rsid w:val="00CB2718"/>
    <w:rsid w:val="00CB4198"/>
    <w:rsid w:val="00CB461E"/>
    <w:rsid w:val="00CB466F"/>
    <w:rsid w:val="00CB4A5A"/>
    <w:rsid w:val="00CB503A"/>
    <w:rsid w:val="00CB5C65"/>
    <w:rsid w:val="00CB6259"/>
    <w:rsid w:val="00CB64FE"/>
    <w:rsid w:val="00CB6651"/>
    <w:rsid w:val="00CB72F4"/>
    <w:rsid w:val="00CB735A"/>
    <w:rsid w:val="00CB7456"/>
    <w:rsid w:val="00CC028E"/>
    <w:rsid w:val="00CC0890"/>
    <w:rsid w:val="00CC0F2B"/>
    <w:rsid w:val="00CC117C"/>
    <w:rsid w:val="00CC1269"/>
    <w:rsid w:val="00CC1879"/>
    <w:rsid w:val="00CC1B7F"/>
    <w:rsid w:val="00CC1F12"/>
    <w:rsid w:val="00CC2329"/>
    <w:rsid w:val="00CC2389"/>
    <w:rsid w:val="00CC253D"/>
    <w:rsid w:val="00CC305F"/>
    <w:rsid w:val="00CC3AB0"/>
    <w:rsid w:val="00CC3CC7"/>
    <w:rsid w:val="00CC3D07"/>
    <w:rsid w:val="00CC3D3A"/>
    <w:rsid w:val="00CC3F65"/>
    <w:rsid w:val="00CC53D1"/>
    <w:rsid w:val="00CC543D"/>
    <w:rsid w:val="00CC5733"/>
    <w:rsid w:val="00CC63F4"/>
    <w:rsid w:val="00CC6B79"/>
    <w:rsid w:val="00CC6CE6"/>
    <w:rsid w:val="00CC6D83"/>
    <w:rsid w:val="00CC7825"/>
    <w:rsid w:val="00CC7D7F"/>
    <w:rsid w:val="00CC7E50"/>
    <w:rsid w:val="00CD02DF"/>
    <w:rsid w:val="00CD0B35"/>
    <w:rsid w:val="00CD0DF3"/>
    <w:rsid w:val="00CD18CA"/>
    <w:rsid w:val="00CD19B9"/>
    <w:rsid w:val="00CD2545"/>
    <w:rsid w:val="00CD2B77"/>
    <w:rsid w:val="00CD2BA4"/>
    <w:rsid w:val="00CD2D60"/>
    <w:rsid w:val="00CD363C"/>
    <w:rsid w:val="00CD379A"/>
    <w:rsid w:val="00CD3AE8"/>
    <w:rsid w:val="00CD3D38"/>
    <w:rsid w:val="00CD3E91"/>
    <w:rsid w:val="00CD422D"/>
    <w:rsid w:val="00CD474F"/>
    <w:rsid w:val="00CD503A"/>
    <w:rsid w:val="00CD627C"/>
    <w:rsid w:val="00CD780A"/>
    <w:rsid w:val="00CD7974"/>
    <w:rsid w:val="00CD7B90"/>
    <w:rsid w:val="00CE08C2"/>
    <w:rsid w:val="00CE09A4"/>
    <w:rsid w:val="00CE0C36"/>
    <w:rsid w:val="00CE1205"/>
    <w:rsid w:val="00CE16D1"/>
    <w:rsid w:val="00CE2337"/>
    <w:rsid w:val="00CE25CB"/>
    <w:rsid w:val="00CE27A1"/>
    <w:rsid w:val="00CE27DE"/>
    <w:rsid w:val="00CE31A3"/>
    <w:rsid w:val="00CE43FD"/>
    <w:rsid w:val="00CE454A"/>
    <w:rsid w:val="00CE45DB"/>
    <w:rsid w:val="00CE472B"/>
    <w:rsid w:val="00CE4E24"/>
    <w:rsid w:val="00CE51A3"/>
    <w:rsid w:val="00CE5719"/>
    <w:rsid w:val="00CE5C07"/>
    <w:rsid w:val="00CE62A2"/>
    <w:rsid w:val="00CE65E9"/>
    <w:rsid w:val="00CE678D"/>
    <w:rsid w:val="00CE74B5"/>
    <w:rsid w:val="00CE75A1"/>
    <w:rsid w:val="00CF05D6"/>
    <w:rsid w:val="00CF0737"/>
    <w:rsid w:val="00CF0EA7"/>
    <w:rsid w:val="00CF0EC2"/>
    <w:rsid w:val="00CF19BB"/>
    <w:rsid w:val="00CF1C9C"/>
    <w:rsid w:val="00CF20EB"/>
    <w:rsid w:val="00CF3204"/>
    <w:rsid w:val="00CF3540"/>
    <w:rsid w:val="00CF3A76"/>
    <w:rsid w:val="00CF3E2A"/>
    <w:rsid w:val="00CF4F1D"/>
    <w:rsid w:val="00CF5D26"/>
    <w:rsid w:val="00CF615F"/>
    <w:rsid w:val="00CF6438"/>
    <w:rsid w:val="00CF68FD"/>
    <w:rsid w:val="00D003F9"/>
    <w:rsid w:val="00D00D1F"/>
    <w:rsid w:val="00D016C1"/>
    <w:rsid w:val="00D01C71"/>
    <w:rsid w:val="00D0216F"/>
    <w:rsid w:val="00D03332"/>
    <w:rsid w:val="00D03AC9"/>
    <w:rsid w:val="00D03B11"/>
    <w:rsid w:val="00D04194"/>
    <w:rsid w:val="00D0432A"/>
    <w:rsid w:val="00D04493"/>
    <w:rsid w:val="00D04B59"/>
    <w:rsid w:val="00D0564A"/>
    <w:rsid w:val="00D05901"/>
    <w:rsid w:val="00D05B77"/>
    <w:rsid w:val="00D05C0F"/>
    <w:rsid w:val="00D067C4"/>
    <w:rsid w:val="00D06F25"/>
    <w:rsid w:val="00D071A0"/>
    <w:rsid w:val="00D103E6"/>
    <w:rsid w:val="00D110BC"/>
    <w:rsid w:val="00D1133B"/>
    <w:rsid w:val="00D11610"/>
    <w:rsid w:val="00D11641"/>
    <w:rsid w:val="00D11E1C"/>
    <w:rsid w:val="00D1222F"/>
    <w:rsid w:val="00D12D9E"/>
    <w:rsid w:val="00D13368"/>
    <w:rsid w:val="00D14473"/>
    <w:rsid w:val="00D148E2"/>
    <w:rsid w:val="00D1503F"/>
    <w:rsid w:val="00D154CE"/>
    <w:rsid w:val="00D15A4A"/>
    <w:rsid w:val="00D15B38"/>
    <w:rsid w:val="00D15E97"/>
    <w:rsid w:val="00D16180"/>
    <w:rsid w:val="00D16C33"/>
    <w:rsid w:val="00D16DA1"/>
    <w:rsid w:val="00D1719D"/>
    <w:rsid w:val="00D17531"/>
    <w:rsid w:val="00D20080"/>
    <w:rsid w:val="00D202E8"/>
    <w:rsid w:val="00D20381"/>
    <w:rsid w:val="00D20572"/>
    <w:rsid w:val="00D20FCC"/>
    <w:rsid w:val="00D21790"/>
    <w:rsid w:val="00D21AD0"/>
    <w:rsid w:val="00D21E53"/>
    <w:rsid w:val="00D22085"/>
    <w:rsid w:val="00D22554"/>
    <w:rsid w:val="00D228B8"/>
    <w:rsid w:val="00D22AA0"/>
    <w:rsid w:val="00D23B32"/>
    <w:rsid w:val="00D241A9"/>
    <w:rsid w:val="00D2558F"/>
    <w:rsid w:val="00D2619F"/>
    <w:rsid w:val="00D26596"/>
    <w:rsid w:val="00D26A17"/>
    <w:rsid w:val="00D26C41"/>
    <w:rsid w:val="00D2760F"/>
    <w:rsid w:val="00D27CC4"/>
    <w:rsid w:val="00D30071"/>
    <w:rsid w:val="00D302B2"/>
    <w:rsid w:val="00D30501"/>
    <w:rsid w:val="00D30EA0"/>
    <w:rsid w:val="00D3120F"/>
    <w:rsid w:val="00D3203E"/>
    <w:rsid w:val="00D32159"/>
    <w:rsid w:val="00D32530"/>
    <w:rsid w:val="00D32911"/>
    <w:rsid w:val="00D32993"/>
    <w:rsid w:val="00D32A60"/>
    <w:rsid w:val="00D32B0C"/>
    <w:rsid w:val="00D32FBA"/>
    <w:rsid w:val="00D32FC1"/>
    <w:rsid w:val="00D3346F"/>
    <w:rsid w:val="00D337C6"/>
    <w:rsid w:val="00D34721"/>
    <w:rsid w:val="00D3498D"/>
    <w:rsid w:val="00D34F4B"/>
    <w:rsid w:val="00D35E2A"/>
    <w:rsid w:val="00D363D3"/>
    <w:rsid w:val="00D36BF3"/>
    <w:rsid w:val="00D36F06"/>
    <w:rsid w:val="00D3757F"/>
    <w:rsid w:val="00D37761"/>
    <w:rsid w:val="00D377D2"/>
    <w:rsid w:val="00D40585"/>
    <w:rsid w:val="00D40F3E"/>
    <w:rsid w:val="00D40F78"/>
    <w:rsid w:val="00D40FEB"/>
    <w:rsid w:val="00D41243"/>
    <w:rsid w:val="00D4140B"/>
    <w:rsid w:val="00D417DE"/>
    <w:rsid w:val="00D41FD7"/>
    <w:rsid w:val="00D4227C"/>
    <w:rsid w:val="00D422C8"/>
    <w:rsid w:val="00D432A1"/>
    <w:rsid w:val="00D43369"/>
    <w:rsid w:val="00D43C08"/>
    <w:rsid w:val="00D43E02"/>
    <w:rsid w:val="00D4423B"/>
    <w:rsid w:val="00D443AD"/>
    <w:rsid w:val="00D44419"/>
    <w:rsid w:val="00D44ADD"/>
    <w:rsid w:val="00D44E22"/>
    <w:rsid w:val="00D44EA6"/>
    <w:rsid w:val="00D4580F"/>
    <w:rsid w:val="00D4660E"/>
    <w:rsid w:val="00D47008"/>
    <w:rsid w:val="00D47071"/>
    <w:rsid w:val="00D47B26"/>
    <w:rsid w:val="00D502A1"/>
    <w:rsid w:val="00D505F9"/>
    <w:rsid w:val="00D51926"/>
    <w:rsid w:val="00D5228B"/>
    <w:rsid w:val="00D522FD"/>
    <w:rsid w:val="00D52CCD"/>
    <w:rsid w:val="00D5341C"/>
    <w:rsid w:val="00D5370F"/>
    <w:rsid w:val="00D539A9"/>
    <w:rsid w:val="00D53D41"/>
    <w:rsid w:val="00D54AAB"/>
    <w:rsid w:val="00D55170"/>
    <w:rsid w:val="00D555A1"/>
    <w:rsid w:val="00D5585D"/>
    <w:rsid w:val="00D572AB"/>
    <w:rsid w:val="00D577CD"/>
    <w:rsid w:val="00D57B33"/>
    <w:rsid w:val="00D60668"/>
    <w:rsid w:val="00D61193"/>
    <w:rsid w:val="00D61A96"/>
    <w:rsid w:val="00D6210B"/>
    <w:rsid w:val="00D62F0B"/>
    <w:rsid w:val="00D63959"/>
    <w:rsid w:val="00D63CBB"/>
    <w:rsid w:val="00D64D80"/>
    <w:rsid w:val="00D65133"/>
    <w:rsid w:val="00D652F0"/>
    <w:rsid w:val="00D658F2"/>
    <w:rsid w:val="00D65C2B"/>
    <w:rsid w:val="00D66052"/>
    <w:rsid w:val="00D66214"/>
    <w:rsid w:val="00D66A42"/>
    <w:rsid w:val="00D7012A"/>
    <w:rsid w:val="00D70766"/>
    <w:rsid w:val="00D70941"/>
    <w:rsid w:val="00D712EE"/>
    <w:rsid w:val="00D713E2"/>
    <w:rsid w:val="00D716D0"/>
    <w:rsid w:val="00D71BE6"/>
    <w:rsid w:val="00D72FE5"/>
    <w:rsid w:val="00D73FAE"/>
    <w:rsid w:val="00D74100"/>
    <w:rsid w:val="00D74333"/>
    <w:rsid w:val="00D74611"/>
    <w:rsid w:val="00D74A76"/>
    <w:rsid w:val="00D7501B"/>
    <w:rsid w:val="00D755E3"/>
    <w:rsid w:val="00D75895"/>
    <w:rsid w:val="00D759AA"/>
    <w:rsid w:val="00D759F7"/>
    <w:rsid w:val="00D75B8E"/>
    <w:rsid w:val="00D7658A"/>
    <w:rsid w:val="00D765E1"/>
    <w:rsid w:val="00D7694A"/>
    <w:rsid w:val="00D76A39"/>
    <w:rsid w:val="00D770BD"/>
    <w:rsid w:val="00D77898"/>
    <w:rsid w:val="00D779C2"/>
    <w:rsid w:val="00D77F27"/>
    <w:rsid w:val="00D800B3"/>
    <w:rsid w:val="00D80493"/>
    <w:rsid w:val="00D80AFF"/>
    <w:rsid w:val="00D821AA"/>
    <w:rsid w:val="00D82AAE"/>
    <w:rsid w:val="00D82C83"/>
    <w:rsid w:val="00D831EE"/>
    <w:rsid w:val="00D83425"/>
    <w:rsid w:val="00D83534"/>
    <w:rsid w:val="00D8365E"/>
    <w:rsid w:val="00D83CC5"/>
    <w:rsid w:val="00D84DA0"/>
    <w:rsid w:val="00D84FD2"/>
    <w:rsid w:val="00D856AC"/>
    <w:rsid w:val="00D857D1"/>
    <w:rsid w:val="00D85B6F"/>
    <w:rsid w:val="00D8605F"/>
    <w:rsid w:val="00D872EA"/>
    <w:rsid w:val="00D872ED"/>
    <w:rsid w:val="00D8780F"/>
    <w:rsid w:val="00D878DC"/>
    <w:rsid w:val="00D879BC"/>
    <w:rsid w:val="00D90A9E"/>
    <w:rsid w:val="00D90E43"/>
    <w:rsid w:val="00D91A9F"/>
    <w:rsid w:val="00D92067"/>
    <w:rsid w:val="00D920B9"/>
    <w:rsid w:val="00D925D3"/>
    <w:rsid w:val="00D92A64"/>
    <w:rsid w:val="00D92ED1"/>
    <w:rsid w:val="00D93085"/>
    <w:rsid w:val="00D93368"/>
    <w:rsid w:val="00D93E93"/>
    <w:rsid w:val="00D94316"/>
    <w:rsid w:val="00D94EDF"/>
    <w:rsid w:val="00D9519F"/>
    <w:rsid w:val="00D95698"/>
    <w:rsid w:val="00D961AB"/>
    <w:rsid w:val="00D970A6"/>
    <w:rsid w:val="00D97898"/>
    <w:rsid w:val="00D97A49"/>
    <w:rsid w:val="00D97EF9"/>
    <w:rsid w:val="00DA0628"/>
    <w:rsid w:val="00DA0DD8"/>
    <w:rsid w:val="00DA0E37"/>
    <w:rsid w:val="00DA0E75"/>
    <w:rsid w:val="00DA2218"/>
    <w:rsid w:val="00DA224C"/>
    <w:rsid w:val="00DA228A"/>
    <w:rsid w:val="00DA309B"/>
    <w:rsid w:val="00DA37A8"/>
    <w:rsid w:val="00DA42B0"/>
    <w:rsid w:val="00DA4870"/>
    <w:rsid w:val="00DA4F58"/>
    <w:rsid w:val="00DA51CB"/>
    <w:rsid w:val="00DA6006"/>
    <w:rsid w:val="00DA628D"/>
    <w:rsid w:val="00DA6644"/>
    <w:rsid w:val="00DA6A4E"/>
    <w:rsid w:val="00DA6F9E"/>
    <w:rsid w:val="00DA7417"/>
    <w:rsid w:val="00DA7DF7"/>
    <w:rsid w:val="00DA7F64"/>
    <w:rsid w:val="00DB011C"/>
    <w:rsid w:val="00DB01E4"/>
    <w:rsid w:val="00DB07D1"/>
    <w:rsid w:val="00DB0D31"/>
    <w:rsid w:val="00DB18BE"/>
    <w:rsid w:val="00DB1B21"/>
    <w:rsid w:val="00DB1EEC"/>
    <w:rsid w:val="00DB2B84"/>
    <w:rsid w:val="00DB2D52"/>
    <w:rsid w:val="00DB33B2"/>
    <w:rsid w:val="00DB446F"/>
    <w:rsid w:val="00DB44CC"/>
    <w:rsid w:val="00DB4913"/>
    <w:rsid w:val="00DB4C7C"/>
    <w:rsid w:val="00DB4F5F"/>
    <w:rsid w:val="00DB62F7"/>
    <w:rsid w:val="00DB69F8"/>
    <w:rsid w:val="00DB6BFD"/>
    <w:rsid w:val="00DB7117"/>
    <w:rsid w:val="00DB7715"/>
    <w:rsid w:val="00DB7780"/>
    <w:rsid w:val="00DB7FCC"/>
    <w:rsid w:val="00DC04E4"/>
    <w:rsid w:val="00DC06DB"/>
    <w:rsid w:val="00DC0D2B"/>
    <w:rsid w:val="00DC1688"/>
    <w:rsid w:val="00DC1D52"/>
    <w:rsid w:val="00DC31FA"/>
    <w:rsid w:val="00DC3281"/>
    <w:rsid w:val="00DC3771"/>
    <w:rsid w:val="00DC48EE"/>
    <w:rsid w:val="00DC49DD"/>
    <w:rsid w:val="00DC559E"/>
    <w:rsid w:val="00DC68D1"/>
    <w:rsid w:val="00DC6A5A"/>
    <w:rsid w:val="00DC6ED7"/>
    <w:rsid w:val="00DD0507"/>
    <w:rsid w:val="00DD1009"/>
    <w:rsid w:val="00DD152C"/>
    <w:rsid w:val="00DD16CB"/>
    <w:rsid w:val="00DD17CD"/>
    <w:rsid w:val="00DD1920"/>
    <w:rsid w:val="00DD1ACC"/>
    <w:rsid w:val="00DD1B0F"/>
    <w:rsid w:val="00DD1FD3"/>
    <w:rsid w:val="00DD2208"/>
    <w:rsid w:val="00DD25A0"/>
    <w:rsid w:val="00DD274C"/>
    <w:rsid w:val="00DD2B48"/>
    <w:rsid w:val="00DD3030"/>
    <w:rsid w:val="00DD3120"/>
    <w:rsid w:val="00DD41F2"/>
    <w:rsid w:val="00DD44FF"/>
    <w:rsid w:val="00DD498E"/>
    <w:rsid w:val="00DD4DD1"/>
    <w:rsid w:val="00DD5B99"/>
    <w:rsid w:val="00DD5F31"/>
    <w:rsid w:val="00DD6D1B"/>
    <w:rsid w:val="00DD6E07"/>
    <w:rsid w:val="00DD6F3B"/>
    <w:rsid w:val="00DE041D"/>
    <w:rsid w:val="00DE043A"/>
    <w:rsid w:val="00DE0C46"/>
    <w:rsid w:val="00DE0D38"/>
    <w:rsid w:val="00DE0E6F"/>
    <w:rsid w:val="00DE0EBB"/>
    <w:rsid w:val="00DE0FCE"/>
    <w:rsid w:val="00DE14CD"/>
    <w:rsid w:val="00DE185F"/>
    <w:rsid w:val="00DE2B79"/>
    <w:rsid w:val="00DE33DE"/>
    <w:rsid w:val="00DE3682"/>
    <w:rsid w:val="00DE3769"/>
    <w:rsid w:val="00DE4087"/>
    <w:rsid w:val="00DE419F"/>
    <w:rsid w:val="00DE4ED0"/>
    <w:rsid w:val="00DE55CC"/>
    <w:rsid w:val="00DE5820"/>
    <w:rsid w:val="00DE58D1"/>
    <w:rsid w:val="00DE5AB8"/>
    <w:rsid w:val="00DE5C0D"/>
    <w:rsid w:val="00DE5C4B"/>
    <w:rsid w:val="00DE6B29"/>
    <w:rsid w:val="00DF030D"/>
    <w:rsid w:val="00DF1073"/>
    <w:rsid w:val="00DF1083"/>
    <w:rsid w:val="00DF1B6E"/>
    <w:rsid w:val="00DF24BE"/>
    <w:rsid w:val="00DF285B"/>
    <w:rsid w:val="00DF36B0"/>
    <w:rsid w:val="00DF400D"/>
    <w:rsid w:val="00DF5B9E"/>
    <w:rsid w:val="00DF7BE9"/>
    <w:rsid w:val="00DF7D03"/>
    <w:rsid w:val="00E00001"/>
    <w:rsid w:val="00E00B68"/>
    <w:rsid w:val="00E0100F"/>
    <w:rsid w:val="00E01409"/>
    <w:rsid w:val="00E01D74"/>
    <w:rsid w:val="00E022C5"/>
    <w:rsid w:val="00E029C9"/>
    <w:rsid w:val="00E02EDE"/>
    <w:rsid w:val="00E030ED"/>
    <w:rsid w:val="00E03745"/>
    <w:rsid w:val="00E03752"/>
    <w:rsid w:val="00E03DBC"/>
    <w:rsid w:val="00E04C9C"/>
    <w:rsid w:val="00E058A0"/>
    <w:rsid w:val="00E05A75"/>
    <w:rsid w:val="00E05DC6"/>
    <w:rsid w:val="00E0654F"/>
    <w:rsid w:val="00E06ED8"/>
    <w:rsid w:val="00E07D7D"/>
    <w:rsid w:val="00E100E4"/>
    <w:rsid w:val="00E107F8"/>
    <w:rsid w:val="00E10AF3"/>
    <w:rsid w:val="00E10DF5"/>
    <w:rsid w:val="00E1101C"/>
    <w:rsid w:val="00E111DC"/>
    <w:rsid w:val="00E11232"/>
    <w:rsid w:val="00E112DB"/>
    <w:rsid w:val="00E11E06"/>
    <w:rsid w:val="00E1226E"/>
    <w:rsid w:val="00E124FE"/>
    <w:rsid w:val="00E1354A"/>
    <w:rsid w:val="00E13E41"/>
    <w:rsid w:val="00E14BBB"/>
    <w:rsid w:val="00E15508"/>
    <w:rsid w:val="00E157A9"/>
    <w:rsid w:val="00E15EA2"/>
    <w:rsid w:val="00E161A7"/>
    <w:rsid w:val="00E16B2F"/>
    <w:rsid w:val="00E16E40"/>
    <w:rsid w:val="00E16E9C"/>
    <w:rsid w:val="00E173EB"/>
    <w:rsid w:val="00E17CFC"/>
    <w:rsid w:val="00E20C5A"/>
    <w:rsid w:val="00E20CBF"/>
    <w:rsid w:val="00E210A5"/>
    <w:rsid w:val="00E214BE"/>
    <w:rsid w:val="00E2151E"/>
    <w:rsid w:val="00E2182F"/>
    <w:rsid w:val="00E219AC"/>
    <w:rsid w:val="00E21F53"/>
    <w:rsid w:val="00E2264C"/>
    <w:rsid w:val="00E232B4"/>
    <w:rsid w:val="00E23743"/>
    <w:rsid w:val="00E23C59"/>
    <w:rsid w:val="00E2500A"/>
    <w:rsid w:val="00E251F9"/>
    <w:rsid w:val="00E255AB"/>
    <w:rsid w:val="00E25A80"/>
    <w:rsid w:val="00E261E0"/>
    <w:rsid w:val="00E2765A"/>
    <w:rsid w:val="00E27A96"/>
    <w:rsid w:val="00E27B5F"/>
    <w:rsid w:val="00E27FA3"/>
    <w:rsid w:val="00E30832"/>
    <w:rsid w:val="00E3152D"/>
    <w:rsid w:val="00E3184D"/>
    <w:rsid w:val="00E31901"/>
    <w:rsid w:val="00E33469"/>
    <w:rsid w:val="00E336DA"/>
    <w:rsid w:val="00E34438"/>
    <w:rsid w:val="00E34441"/>
    <w:rsid w:val="00E3452D"/>
    <w:rsid w:val="00E3481E"/>
    <w:rsid w:val="00E34CAE"/>
    <w:rsid w:val="00E35471"/>
    <w:rsid w:val="00E35A56"/>
    <w:rsid w:val="00E36BCF"/>
    <w:rsid w:val="00E3757F"/>
    <w:rsid w:val="00E376A6"/>
    <w:rsid w:val="00E3797A"/>
    <w:rsid w:val="00E41244"/>
    <w:rsid w:val="00E41366"/>
    <w:rsid w:val="00E4139C"/>
    <w:rsid w:val="00E41DE3"/>
    <w:rsid w:val="00E41DE9"/>
    <w:rsid w:val="00E426A4"/>
    <w:rsid w:val="00E4324C"/>
    <w:rsid w:val="00E43EC0"/>
    <w:rsid w:val="00E441DD"/>
    <w:rsid w:val="00E449BA"/>
    <w:rsid w:val="00E44A68"/>
    <w:rsid w:val="00E45174"/>
    <w:rsid w:val="00E4520E"/>
    <w:rsid w:val="00E4523F"/>
    <w:rsid w:val="00E45376"/>
    <w:rsid w:val="00E457CF"/>
    <w:rsid w:val="00E4656F"/>
    <w:rsid w:val="00E4659C"/>
    <w:rsid w:val="00E4746D"/>
    <w:rsid w:val="00E47EC0"/>
    <w:rsid w:val="00E47F97"/>
    <w:rsid w:val="00E50A16"/>
    <w:rsid w:val="00E50F12"/>
    <w:rsid w:val="00E514D3"/>
    <w:rsid w:val="00E51C75"/>
    <w:rsid w:val="00E51DA1"/>
    <w:rsid w:val="00E5281D"/>
    <w:rsid w:val="00E5289A"/>
    <w:rsid w:val="00E53A21"/>
    <w:rsid w:val="00E53A90"/>
    <w:rsid w:val="00E53BF6"/>
    <w:rsid w:val="00E53D53"/>
    <w:rsid w:val="00E53DAC"/>
    <w:rsid w:val="00E540E1"/>
    <w:rsid w:val="00E54257"/>
    <w:rsid w:val="00E5465F"/>
    <w:rsid w:val="00E55210"/>
    <w:rsid w:val="00E55C02"/>
    <w:rsid w:val="00E55C7B"/>
    <w:rsid w:val="00E56027"/>
    <w:rsid w:val="00E561CB"/>
    <w:rsid w:val="00E5684B"/>
    <w:rsid w:val="00E56F05"/>
    <w:rsid w:val="00E5730C"/>
    <w:rsid w:val="00E574EC"/>
    <w:rsid w:val="00E57B16"/>
    <w:rsid w:val="00E6016E"/>
    <w:rsid w:val="00E601E9"/>
    <w:rsid w:val="00E6025C"/>
    <w:rsid w:val="00E60493"/>
    <w:rsid w:val="00E6058C"/>
    <w:rsid w:val="00E6105A"/>
    <w:rsid w:val="00E61289"/>
    <w:rsid w:val="00E6135C"/>
    <w:rsid w:val="00E6186F"/>
    <w:rsid w:val="00E62308"/>
    <w:rsid w:val="00E6230C"/>
    <w:rsid w:val="00E62406"/>
    <w:rsid w:val="00E624EC"/>
    <w:rsid w:val="00E62BFA"/>
    <w:rsid w:val="00E62CA1"/>
    <w:rsid w:val="00E63304"/>
    <w:rsid w:val="00E6338E"/>
    <w:rsid w:val="00E63D7D"/>
    <w:rsid w:val="00E646EE"/>
    <w:rsid w:val="00E64867"/>
    <w:rsid w:val="00E650F3"/>
    <w:rsid w:val="00E65101"/>
    <w:rsid w:val="00E6579B"/>
    <w:rsid w:val="00E6598C"/>
    <w:rsid w:val="00E65D5D"/>
    <w:rsid w:val="00E65EA3"/>
    <w:rsid w:val="00E6662A"/>
    <w:rsid w:val="00E66D60"/>
    <w:rsid w:val="00E66F1A"/>
    <w:rsid w:val="00E66F9B"/>
    <w:rsid w:val="00E67513"/>
    <w:rsid w:val="00E6773C"/>
    <w:rsid w:val="00E70B2C"/>
    <w:rsid w:val="00E710C0"/>
    <w:rsid w:val="00E712B9"/>
    <w:rsid w:val="00E71573"/>
    <w:rsid w:val="00E722DA"/>
    <w:rsid w:val="00E72A94"/>
    <w:rsid w:val="00E72F1B"/>
    <w:rsid w:val="00E73575"/>
    <w:rsid w:val="00E737CD"/>
    <w:rsid w:val="00E7392E"/>
    <w:rsid w:val="00E73D56"/>
    <w:rsid w:val="00E742EB"/>
    <w:rsid w:val="00E75381"/>
    <w:rsid w:val="00E75429"/>
    <w:rsid w:val="00E75A18"/>
    <w:rsid w:val="00E76B62"/>
    <w:rsid w:val="00E76D72"/>
    <w:rsid w:val="00E77723"/>
    <w:rsid w:val="00E803DF"/>
    <w:rsid w:val="00E806AA"/>
    <w:rsid w:val="00E80D48"/>
    <w:rsid w:val="00E8129A"/>
    <w:rsid w:val="00E8160A"/>
    <w:rsid w:val="00E81664"/>
    <w:rsid w:val="00E8179A"/>
    <w:rsid w:val="00E823EC"/>
    <w:rsid w:val="00E834B2"/>
    <w:rsid w:val="00E8458F"/>
    <w:rsid w:val="00E848C0"/>
    <w:rsid w:val="00E84A1C"/>
    <w:rsid w:val="00E850AB"/>
    <w:rsid w:val="00E851F1"/>
    <w:rsid w:val="00E85214"/>
    <w:rsid w:val="00E8595F"/>
    <w:rsid w:val="00E865D3"/>
    <w:rsid w:val="00E8669D"/>
    <w:rsid w:val="00E868A8"/>
    <w:rsid w:val="00E86C70"/>
    <w:rsid w:val="00E878D5"/>
    <w:rsid w:val="00E87970"/>
    <w:rsid w:val="00E87E0E"/>
    <w:rsid w:val="00E90BAF"/>
    <w:rsid w:val="00E913E0"/>
    <w:rsid w:val="00E9149C"/>
    <w:rsid w:val="00E915FD"/>
    <w:rsid w:val="00E917BF"/>
    <w:rsid w:val="00E91CFA"/>
    <w:rsid w:val="00E91D28"/>
    <w:rsid w:val="00E92208"/>
    <w:rsid w:val="00E93D34"/>
    <w:rsid w:val="00E94749"/>
    <w:rsid w:val="00E95EE6"/>
    <w:rsid w:val="00E961DF"/>
    <w:rsid w:val="00E96991"/>
    <w:rsid w:val="00E97309"/>
    <w:rsid w:val="00E974B3"/>
    <w:rsid w:val="00E976FF"/>
    <w:rsid w:val="00E97A28"/>
    <w:rsid w:val="00E97F75"/>
    <w:rsid w:val="00EA0104"/>
    <w:rsid w:val="00EA0941"/>
    <w:rsid w:val="00EA1268"/>
    <w:rsid w:val="00EA14E1"/>
    <w:rsid w:val="00EA1DD4"/>
    <w:rsid w:val="00EA24F8"/>
    <w:rsid w:val="00EA262B"/>
    <w:rsid w:val="00EA2724"/>
    <w:rsid w:val="00EA27DE"/>
    <w:rsid w:val="00EA2C45"/>
    <w:rsid w:val="00EA34C1"/>
    <w:rsid w:val="00EA3E6A"/>
    <w:rsid w:val="00EA415E"/>
    <w:rsid w:val="00EA478A"/>
    <w:rsid w:val="00EA5169"/>
    <w:rsid w:val="00EA532E"/>
    <w:rsid w:val="00EA560B"/>
    <w:rsid w:val="00EA576D"/>
    <w:rsid w:val="00EA5CEE"/>
    <w:rsid w:val="00EA5DAE"/>
    <w:rsid w:val="00EA6162"/>
    <w:rsid w:val="00EA6908"/>
    <w:rsid w:val="00EA6AC5"/>
    <w:rsid w:val="00EA76B4"/>
    <w:rsid w:val="00EA79D2"/>
    <w:rsid w:val="00EB03DF"/>
    <w:rsid w:val="00EB0CDE"/>
    <w:rsid w:val="00EB0D67"/>
    <w:rsid w:val="00EB1E7A"/>
    <w:rsid w:val="00EB25D6"/>
    <w:rsid w:val="00EB2740"/>
    <w:rsid w:val="00EB2CE3"/>
    <w:rsid w:val="00EB2D52"/>
    <w:rsid w:val="00EB2F4C"/>
    <w:rsid w:val="00EB3024"/>
    <w:rsid w:val="00EB38B5"/>
    <w:rsid w:val="00EB3BF8"/>
    <w:rsid w:val="00EB3EDD"/>
    <w:rsid w:val="00EB40A9"/>
    <w:rsid w:val="00EB4923"/>
    <w:rsid w:val="00EB4AC1"/>
    <w:rsid w:val="00EB4B83"/>
    <w:rsid w:val="00EB4BEF"/>
    <w:rsid w:val="00EB5470"/>
    <w:rsid w:val="00EB5560"/>
    <w:rsid w:val="00EB60AC"/>
    <w:rsid w:val="00EB6A34"/>
    <w:rsid w:val="00EB6CF1"/>
    <w:rsid w:val="00EB75CE"/>
    <w:rsid w:val="00EC04E0"/>
    <w:rsid w:val="00EC053A"/>
    <w:rsid w:val="00EC0D37"/>
    <w:rsid w:val="00EC0FF6"/>
    <w:rsid w:val="00EC37EF"/>
    <w:rsid w:val="00EC3E56"/>
    <w:rsid w:val="00EC4E06"/>
    <w:rsid w:val="00EC52FE"/>
    <w:rsid w:val="00EC6648"/>
    <w:rsid w:val="00EC6A5A"/>
    <w:rsid w:val="00EC6C3A"/>
    <w:rsid w:val="00EC72E4"/>
    <w:rsid w:val="00ED006E"/>
    <w:rsid w:val="00ED0142"/>
    <w:rsid w:val="00ED01B4"/>
    <w:rsid w:val="00ED023E"/>
    <w:rsid w:val="00ED048A"/>
    <w:rsid w:val="00ED118E"/>
    <w:rsid w:val="00ED12CF"/>
    <w:rsid w:val="00ED1445"/>
    <w:rsid w:val="00ED155F"/>
    <w:rsid w:val="00ED2474"/>
    <w:rsid w:val="00ED2A41"/>
    <w:rsid w:val="00ED2C83"/>
    <w:rsid w:val="00ED32C7"/>
    <w:rsid w:val="00ED39EC"/>
    <w:rsid w:val="00ED4030"/>
    <w:rsid w:val="00ED4211"/>
    <w:rsid w:val="00ED4E99"/>
    <w:rsid w:val="00ED5350"/>
    <w:rsid w:val="00ED54A2"/>
    <w:rsid w:val="00ED5F09"/>
    <w:rsid w:val="00ED6469"/>
    <w:rsid w:val="00ED66BA"/>
    <w:rsid w:val="00ED6C07"/>
    <w:rsid w:val="00ED7351"/>
    <w:rsid w:val="00ED7479"/>
    <w:rsid w:val="00ED74BF"/>
    <w:rsid w:val="00ED74E7"/>
    <w:rsid w:val="00ED7799"/>
    <w:rsid w:val="00ED7B8D"/>
    <w:rsid w:val="00EE0413"/>
    <w:rsid w:val="00EE10C8"/>
    <w:rsid w:val="00EE1A0D"/>
    <w:rsid w:val="00EE1E94"/>
    <w:rsid w:val="00EE2F6A"/>
    <w:rsid w:val="00EE3F46"/>
    <w:rsid w:val="00EE4348"/>
    <w:rsid w:val="00EE478B"/>
    <w:rsid w:val="00EE484A"/>
    <w:rsid w:val="00EE4C47"/>
    <w:rsid w:val="00EE5439"/>
    <w:rsid w:val="00EE559D"/>
    <w:rsid w:val="00EE592D"/>
    <w:rsid w:val="00EE63DF"/>
    <w:rsid w:val="00EE682B"/>
    <w:rsid w:val="00EE6934"/>
    <w:rsid w:val="00EE6D7D"/>
    <w:rsid w:val="00EE707A"/>
    <w:rsid w:val="00EE78D1"/>
    <w:rsid w:val="00EE78F9"/>
    <w:rsid w:val="00EE7A0B"/>
    <w:rsid w:val="00EE7C62"/>
    <w:rsid w:val="00EE7F0D"/>
    <w:rsid w:val="00EF0825"/>
    <w:rsid w:val="00EF0FE7"/>
    <w:rsid w:val="00EF1B13"/>
    <w:rsid w:val="00EF2572"/>
    <w:rsid w:val="00EF2771"/>
    <w:rsid w:val="00EF2A35"/>
    <w:rsid w:val="00EF2AF3"/>
    <w:rsid w:val="00EF32E7"/>
    <w:rsid w:val="00EF363B"/>
    <w:rsid w:val="00EF3C20"/>
    <w:rsid w:val="00EF4A5E"/>
    <w:rsid w:val="00EF4F3F"/>
    <w:rsid w:val="00EF4F91"/>
    <w:rsid w:val="00EF55F3"/>
    <w:rsid w:val="00EF5CBF"/>
    <w:rsid w:val="00EF620B"/>
    <w:rsid w:val="00EF6466"/>
    <w:rsid w:val="00EF6526"/>
    <w:rsid w:val="00EF693B"/>
    <w:rsid w:val="00EF6DD6"/>
    <w:rsid w:val="00EF75A7"/>
    <w:rsid w:val="00EF7600"/>
    <w:rsid w:val="00F002AC"/>
    <w:rsid w:val="00F003F1"/>
    <w:rsid w:val="00F0040E"/>
    <w:rsid w:val="00F00ADC"/>
    <w:rsid w:val="00F00D7D"/>
    <w:rsid w:val="00F01F44"/>
    <w:rsid w:val="00F02106"/>
    <w:rsid w:val="00F0224A"/>
    <w:rsid w:val="00F027B8"/>
    <w:rsid w:val="00F03A99"/>
    <w:rsid w:val="00F03DF1"/>
    <w:rsid w:val="00F04DC4"/>
    <w:rsid w:val="00F04ECA"/>
    <w:rsid w:val="00F05355"/>
    <w:rsid w:val="00F0542E"/>
    <w:rsid w:val="00F05686"/>
    <w:rsid w:val="00F062AE"/>
    <w:rsid w:val="00F065F7"/>
    <w:rsid w:val="00F0667B"/>
    <w:rsid w:val="00F06BE0"/>
    <w:rsid w:val="00F075AE"/>
    <w:rsid w:val="00F0798F"/>
    <w:rsid w:val="00F10342"/>
    <w:rsid w:val="00F10B73"/>
    <w:rsid w:val="00F1125B"/>
    <w:rsid w:val="00F11650"/>
    <w:rsid w:val="00F11AB2"/>
    <w:rsid w:val="00F11E92"/>
    <w:rsid w:val="00F1261F"/>
    <w:rsid w:val="00F129D2"/>
    <w:rsid w:val="00F12BAC"/>
    <w:rsid w:val="00F12CEE"/>
    <w:rsid w:val="00F12ECF"/>
    <w:rsid w:val="00F12ED0"/>
    <w:rsid w:val="00F131C6"/>
    <w:rsid w:val="00F13300"/>
    <w:rsid w:val="00F1330B"/>
    <w:rsid w:val="00F13832"/>
    <w:rsid w:val="00F13BD6"/>
    <w:rsid w:val="00F13ED0"/>
    <w:rsid w:val="00F14023"/>
    <w:rsid w:val="00F147C6"/>
    <w:rsid w:val="00F14A89"/>
    <w:rsid w:val="00F14EF2"/>
    <w:rsid w:val="00F1527A"/>
    <w:rsid w:val="00F15789"/>
    <w:rsid w:val="00F164FB"/>
    <w:rsid w:val="00F16707"/>
    <w:rsid w:val="00F179BE"/>
    <w:rsid w:val="00F216E5"/>
    <w:rsid w:val="00F21EE5"/>
    <w:rsid w:val="00F21FE7"/>
    <w:rsid w:val="00F21FEC"/>
    <w:rsid w:val="00F227C1"/>
    <w:rsid w:val="00F22A3E"/>
    <w:rsid w:val="00F22B30"/>
    <w:rsid w:val="00F22DF5"/>
    <w:rsid w:val="00F23291"/>
    <w:rsid w:val="00F240EB"/>
    <w:rsid w:val="00F24179"/>
    <w:rsid w:val="00F24657"/>
    <w:rsid w:val="00F24756"/>
    <w:rsid w:val="00F270AA"/>
    <w:rsid w:val="00F2725E"/>
    <w:rsid w:val="00F275E7"/>
    <w:rsid w:val="00F27D8F"/>
    <w:rsid w:val="00F30046"/>
    <w:rsid w:val="00F30047"/>
    <w:rsid w:val="00F30397"/>
    <w:rsid w:val="00F30457"/>
    <w:rsid w:val="00F30610"/>
    <w:rsid w:val="00F317A6"/>
    <w:rsid w:val="00F31A9D"/>
    <w:rsid w:val="00F31B72"/>
    <w:rsid w:val="00F31DD7"/>
    <w:rsid w:val="00F32605"/>
    <w:rsid w:val="00F32769"/>
    <w:rsid w:val="00F33159"/>
    <w:rsid w:val="00F331F9"/>
    <w:rsid w:val="00F33A04"/>
    <w:rsid w:val="00F33B3C"/>
    <w:rsid w:val="00F340E2"/>
    <w:rsid w:val="00F34173"/>
    <w:rsid w:val="00F3446A"/>
    <w:rsid w:val="00F34992"/>
    <w:rsid w:val="00F35C3D"/>
    <w:rsid w:val="00F36A96"/>
    <w:rsid w:val="00F36C4C"/>
    <w:rsid w:val="00F373A2"/>
    <w:rsid w:val="00F374BA"/>
    <w:rsid w:val="00F37EE5"/>
    <w:rsid w:val="00F37F5C"/>
    <w:rsid w:val="00F40390"/>
    <w:rsid w:val="00F40718"/>
    <w:rsid w:val="00F40EEB"/>
    <w:rsid w:val="00F410DC"/>
    <w:rsid w:val="00F410E9"/>
    <w:rsid w:val="00F41302"/>
    <w:rsid w:val="00F41664"/>
    <w:rsid w:val="00F417D4"/>
    <w:rsid w:val="00F417FF"/>
    <w:rsid w:val="00F41A0B"/>
    <w:rsid w:val="00F4240C"/>
    <w:rsid w:val="00F4294C"/>
    <w:rsid w:val="00F42E8C"/>
    <w:rsid w:val="00F438B8"/>
    <w:rsid w:val="00F43BB6"/>
    <w:rsid w:val="00F43BB7"/>
    <w:rsid w:val="00F43D5D"/>
    <w:rsid w:val="00F43FA4"/>
    <w:rsid w:val="00F44637"/>
    <w:rsid w:val="00F449E4"/>
    <w:rsid w:val="00F44D7B"/>
    <w:rsid w:val="00F44E11"/>
    <w:rsid w:val="00F44E27"/>
    <w:rsid w:val="00F45312"/>
    <w:rsid w:val="00F454DC"/>
    <w:rsid w:val="00F46B2C"/>
    <w:rsid w:val="00F471D6"/>
    <w:rsid w:val="00F47265"/>
    <w:rsid w:val="00F47279"/>
    <w:rsid w:val="00F47399"/>
    <w:rsid w:val="00F47623"/>
    <w:rsid w:val="00F477B0"/>
    <w:rsid w:val="00F47E69"/>
    <w:rsid w:val="00F50252"/>
    <w:rsid w:val="00F5098F"/>
    <w:rsid w:val="00F5232E"/>
    <w:rsid w:val="00F525B8"/>
    <w:rsid w:val="00F52890"/>
    <w:rsid w:val="00F5329B"/>
    <w:rsid w:val="00F53EB2"/>
    <w:rsid w:val="00F54B9A"/>
    <w:rsid w:val="00F564B0"/>
    <w:rsid w:val="00F56DE1"/>
    <w:rsid w:val="00F5722C"/>
    <w:rsid w:val="00F60707"/>
    <w:rsid w:val="00F60BF6"/>
    <w:rsid w:val="00F61F78"/>
    <w:rsid w:val="00F620EE"/>
    <w:rsid w:val="00F6212F"/>
    <w:rsid w:val="00F622D8"/>
    <w:rsid w:val="00F629B7"/>
    <w:rsid w:val="00F62FC1"/>
    <w:rsid w:val="00F6320F"/>
    <w:rsid w:val="00F6349F"/>
    <w:rsid w:val="00F63B4E"/>
    <w:rsid w:val="00F6412D"/>
    <w:rsid w:val="00F6451F"/>
    <w:rsid w:val="00F6466A"/>
    <w:rsid w:val="00F647A6"/>
    <w:rsid w:val="00F64B4B"/>
    <w:rsid w:val="00F652BB"/>
    <w:rsid w:val="00F65A44"/>
    <w:rsid w:val="00F65B0F"/>
    <w:rsid w:val="00F65F8E"/>
    <w:rsid w:val="00F66CA7"/>
    <w:rsid w:val="00F6743E"/>
    <w:rsid w:val="00F67C4B"/>
    <w:rsid w:val="00F67CC9"/>
    <w:rsid w:val="00F70A57"/>
    <w:rsid w:val="00F70AA9"/>
    <w:rsid w:val="00F70DB8"/>
    <w:rsid w:val="00F711D6"/>
    <w:rsid w:val="00F72279"/>
    <w:rsid w:val="00F722F6"/>
    <w:rsid w:val="00F723B9"/>
    <w:rsid w:val="00F7256E"/>
    <w:rsid w:val="00F72DBD"/>
    <w:rsid w:val="00F7372C"/>
    <w:rsid w:val="00F73B79"/>
    <w:rsid w:val="00F73F1B"/>
    <w:rsid w:val="00F7469E"/>
    <w:rsid w:val="00F750DE"/>
    <w:rsid w:val="00F75331"/>
    <w:rsid w:val="00F754B2"/>
    <w:rsid w:val="00F758DA"/>
    <w:rsid w:val="00F76753"/>
    <w:rsid w:val="00F768C8"/>
    <w:rsid w:val="00F768D2"/>
    <w:rsid w:val="00F774DD"/>
    <w:rsid w:val="00F77B6A"/>
    <w:rsid w:val="00F77E1F"/>
    <w:rsid w:val="00F8085A"/>
    <w:rsid w:val="00F80950"/>
    <w:rsid w:val="00F812E7"/>
    <w:rsid w:val="00F813F2"/>
    <w:rsid w:val="00F81639"/>
    <w:rsid w:val="00F81955"/>
    <w:rsid w:val="00F83094"/>
    <w:rsid w:val="00F831F3"/>
    <w:rsid w:val="00F83294"/>
    <w:rsid w:val="00F847B9"/>
    <w:rsid w:val="00F849FD"/>
    <w:rsid w:val="00F84E22"/>
    <w:rsid w:val="00F84EDA"/>
    <w:rsid w:val="00F84FAF"/>
    <w:rsid w:val="00F857A1"/>
    <w:rsid w:val="00F90005"/>
    <w:rsid w:val="00F90AE5"/>
    <w:rsid w:val="00F90DA4"/>
    <w:rsid w:val="00F90F2C"/>
    <w:rsid w:val="00F9264D"/>
    <w:rsid w:val="00F92851"/>
    <w:rsid w:val="00F92E13"/>
    <w:rsid w:val="00F933DD"/>
    <w:rsid w:val="00F9384B"/>
    <w:rsid w:val="00F93F5C"/>
    <w:rsid w:val="00F941B1"/>
    <w:rsid w:val="00F94344"/>
    <w:rsid w:val="00F94853"/>
    <w:rsid w:val="00F95DD8"/>
    <w:rsid w:val="00F96026"/>
    <w:rsid w:val="00F9626F"/>
    <w:rsid w:val="00F967D3"/>
    <w:rsid w:val="00F96BCD"/>
    <w:rsid w:val="00F97757"/>
    <w:rsid w:val="00F978E7"/>
    <w:rsid w:val="00F97A47"/>
    <w:rsid w:val="00F97ABE"/>
    <w:rsid w:val="00F97E28"/>
    <w:rsid w:val="00FA0373"/>
    <w:rsid w:val="00FA08E8"/>
    <w:rsid w:val="00FA10CF"/>
    <w:rsid w:val="00FA18D6"/>
    <w:rsid w:val="00FA3B3B"/>
    <w:rsid w:val="00FA3D21"/>
    <w:rsid w:val="00FA3FD8"/>
    <w:rsid w:val="00FA543F"/>
    <w:rsid w:val="00FA54B9"/>
    <w:rsid w:val="00FA55E5"/>
    <w:rsid w:val="00FA5690"/>
    <w:rsid w:val="00FA5CB3"/>
    <w:rsid w:val="00FA633C"/>
    <w:rsid w:val="00FA65A2"/>
    <w:rsid w:val="00FA6BBA"/>
    <w:rsid w:val="00FA6BFB"/>
    <w:rsid w:val="00FA6DC5"/>
    <w:rsid w:val="00FA76A8"/>
    <w:rsid w:val="00FB0064"/>
    <w:rsid w:val="00FB01D0"/>
    <w:rsid w:val="00FB0455"/>
    <w:rsid w:val="00FB0FAC"/>
    <w:rsid w:val="00FB1CA7"/>
    <w:rsid w:val="00FB1FCC"/>
    <w:rsid w:val="00FB203B"/>
    <w:rsid w:val="00FB2431"/>
    <w:rsid w:val="00FB2448"/>
    <w:rsid w:val="00FB246A"/>
    <w:rsid w:val="00FB24B9"/>
    <w:rsid w:val="00FB26E4"/>
    <w:rsid w:val="00FB46D7"/>
    <w:rsid w:val="00FB476B"/>
    <w:rsid w:val="00FB4954"/>
    <w:rsid w:val="00FB50BD"/>
    <w:rsid w:val="00FB5586"/>
    <w:rsid w:val="00FB5A56"/>
    <w:rsid w:val="00FB5E8F"/>
    <w:rsid w:val="00FB617D"/>
    <w:rsid w:val="00FB6225"/>
    <w:rsid w:val="00FB6276"/>
    <w:rsid w:val="00FB65ED"/>
    <w:rsid w:val="00FB68EF"/>
    <w:rsid w:val="00FB72CB"/>
    <w:rsid w:val="00FB733A"/>
    <w:rsid w:val="00FB7F1E"/>
    <w:rsid w:val="00FC025F"/>
    <w:rsid w:val="00FC05B6"/>
    <w:rsid w:val="00FC0954"/>
    <w:rsid w:val="00FC10A4"/>
    <w:rsid w:val="00FC1537"/>
    <w:rsid w:val="00FC1773"/>
    <w:rsid w:val="00FC18C2"/>
    <w:rsid w:val="00FC1BE3"/>
    <w:rsid w:val="00FC1C68"/>
    <w:rsid w:val="00FC1D05"/>
    <w:rsid w:val="00FC28F7"/>
    <w:rsid w:val="00FC29BB"/>
    <w:rsid w:val="00FC2B56"/>
    <w:rsid w:val="00FC324B"/>
    <w:rsid w:val="00FC34F5"/>
    <w:rsid w:val="00FC356D"/>
    <w:rsid w:val="00FC3816"/>
    <w:rsid w:val="00FC38F8"/>
    <w:rsid w:val="00FC3C20"/>
    <w:rsid w:val="00FC3DFD"/>
    <w:rsid w:val="00FC4400"/>
    <w:rsid w:val="00FC4470"/>
    <w:rsid w:val="00FC4A8A"/>
    <w:rsid w:val="00FC4C6E"/>
    <w:rsid w:val="00FC4E42"/>
    <w:rsid w:val="00FC4F06"/>
    <w:rsid w:val="00FC522A"/>
    <w:rsid w:val="00FC5B15"/>
    <w:rsid w:val="00FC5B79"/>
    <w:rsid w:val="00FC62CB"/>
    <w:rsid w:val="00FC70CC"/>
    <w:rsid w:val="00FC7E94"/>
    <w:rsid w:val="00FD085B"/>
    <w:rsid w:val="00FD09F6"/>
    <w:rsid w:val="00FD0A60"/>
    <w:rsid w:val="00FD0C7A"/>
    <w:rsid w:val="00FD0C81"/>
    <w:rsid w:val="00FD140F"/>
    <w:rsid w:val="00FD22A0"/>
    <w:rsid w:val="00FD2413"/>
    <w:rsid w:val="00FD250D"/>
    <w:rsid w:val="00FD279C"/>
    <w:rsid w:val="00FD2AD4"/>
    <w:rsid w:val="00FD2C90"/>
    <w:rsid w:val="00FD2DC3"/>
    <w:rsid w:val="00FD2F2A"/>
    <w:rsid w:val="00FD3444"/>
    <w:rsid w:val="00FD3562"/>
    <w:rsid w:val="00FD3A9C"/>
    <w:rsid w:val="00FD3B13"/>
    <w:rsid w:val="00FD406E"/>
    <w:rsid w:val="00FD4652"/>
    <w:rsid w:val="00FD4A1D"/>
    <w:rsid w:val="00FD5265"/>
    <w:rsid w:val="00FD5429"/>
    <w:rsid w:val="00FD56E3"/>
    <w:rsid w:val="00FD6022"/>
    <w:rsid w:val="00FD6096"/>
    <w:rsid w:val="00FD62CC"/>
    <w:rsid w:val="00FD64EC"/>
    <w:rsid w:val="00FD6FF0"/>
    <w:rsid w:val="00FD7498"/>
    <w:rsid w:val="00FD7B20"/>
    <w:rsid w:val="00FD7C9D"/>
    <w:rsid w:val="00FE0433"/>
    <w:rsid w:val="00FE0697"/>
    <w:rsid w:val="00FE08EC"/>
    <w:rsid w:val="00FE090A"/>
    <w:rsid w:val="00FE0D30"/>
    <w:rsid w:val="00FE1F01"/>
    <w:rsid w:val="00FE228E"/>
    <w:rsid w:val="00FE2300"/>
    <w:rsid w:val="00FE2331"/>
    <w:rsid w:val="00FE24CB"/>
    <w:rsid w:val="00FE2505"/>
    <w:rsid w:val="00FE32DE"/>
    <w:rsid w:val="00FE3593"/>
    <w:rsid w:val="00FE3757"/>
    <w:rsid w:val="00FE398A"/>
    <w:rsid w:val="00FE3A6A"/>
    <w:rsid w:val="00FE43FC"/>
    <w:rsid w:val="00FE44A2"/>
    <w:rsid w:val="00FE4D68"/>
    <w:rsid w:val="00FE52A8"/>
    <w:rsid w:val="00FE5B1D"/>
    <w:rsid w:val="00FE6771"/>
    <w:rsid w:val="00FE6E28"/>
    <w:rsid w:val="00FE6F95"/>
    <w:rsid w:val="00FE7A9A"/>
    <w:rsid w:val="00FE7B82"/>
    <w:rsid w:val="00FF0164"/>
    <w:rsid w:val="00FF02A5"/>
    <w:rsid w:val="00FF0E87"/>
    <w:rsid w:val="00FF1115"/>
    <w:rsid w:val="00FF25BB"/>
    <w:rsid w:val="00FF2B71"/>
    <w:rsid w:val="00FF2BF8"/>
    <w:rsid w:val="00FF2E63"/>
    <w:rsid w:val="00FF34B3"/>
    <w:rsid w:val="00FF3C8B"/>
    <w:rsid w:val="00FF4301"/>
    <w:rsid w:val="00FF44A4"/>
    <w:rsid w:val="00FF4825"/>
    <w:rsid w:val="00FF4D71"/>
    <w:rsid w:val="00FF501D"/>
    <w:rsid w:val="00FF5110"/>
    <w:rsid w:val="00FF52F0"/>
    <w:rsid w:val="00FF5688"/>
    <w:rsid w:val="00FF5801"/>
    <w:rsid w:val="00FF58BD"/>
    <w:rsid w:val="00FF58BF"/>
    <w:rsid w:val="00FF6032"/>
    <w:rsid w:val="00FF6479"/>
    <w:rsid w:val="00FF6C73"/>
    <w:rsid w:val="00FF74FA"/>
    <w:rsid w:val="00FF7E73"/>
    <w:rsid w:val="01664485"/>
    <w:rsid w:val="0199CF54"/>
    <w:rsid w:val="01C6F5E2"/>
    <w:rsid w:val="01F83523"/>
    <w:rsid w:val="0295FE56"/>
    <w:rsid w:val="02A2C891"/>
    <w:rsid w:val="03101061"/>
    <w:rsid w:val="054CD2BB"/>
    <w:rsid w:val="06368C9D"/>
    <w:rsid w:val="06BD1160"/>
    <w:rsid w:val="072E04B3"/>
    <w:rsid w:val="07474F7C"/>
    <w:rsid w:val="07B00F3E"/>
    <w:rsid w:val="07C7ADBE"/>
    <w:rsid w:val="07EDA9A5"/>
    <w:rsid w:val="088FC654"/>
    <w:rsid w:val="08C2DED8"/>
    <w:rsid w:val="08DE06EF"/>
    <w:rsid w:val="09821CFB"/>
    <w:rsid w:val="0988029A"/>
    <w:rsid w:val="0A553A92"/>
    <w:rsid w:val="0A587797"/>
    <w:rsid w:val="0ABAF9CD"/>
    <w:rsid w:val="0B36909B"/>
    <w:rsid w:val="0B56B65D"/>
    <w:rsid w:val="0BC11C31"/>
    <w:rsid w:val="0C02DE7C"/>
    <w:rsid w:val="0C0DFB99"/>
    <w:rsid w:val="0C17DE1F"/>
    <w:rsid w:val="0C66464A"/>
    <w:rsid w:val="0D2B77D7"/>
    <w:rsid w:val="0E0604ED"/>
    <w:rsid w:val="0E80E2A8"/>
    <w:rsid w:val="0E9CFBDD"/>
    <w:rsid w:val="0EAF258D"/>
    <w:rsid w:val="0EDBF7B5"/>
    <w:rsid w:val="0EFEDC8A"/>
    <w:rsid w:val="0F4407D2"/>
    <w:rsid w:val="0F9F237E"/>
    <w:rsid w:val="0FA15871"/>
    <w:rsid w:val="105BCF76"/>
    <w:rsid w:val="10F4B864"/>
    <w:rsid w:val="11EEA679"/>
    <w:rsid w:val="121F5CCE"/>
    <w:rsid w:val="12B02959"/>
    <w:rsid w:val="12FF6562"/>
    <w:rsid w:val="13A873A4"/>
    <w:rsid w:val="1445FDB9"/>
    <w:rsid w:val="1480D040"/>
    <w:rsid w:val="14C2F471"/>
    <w:rsid w:val="1675836F"/>
    <w:rsid w:val="169D5E9E"/>
    <w:rsid w:val="180D59E2"/>
    <w:rsid w:val="18270584"/>
    <w:rsid w:val="188F525F"/>
    <w:rsid w:val="18E5F739"/>
    <w:rsid w:val="1933B18F"/>
    <w:rsid w:val="19690E3E"/>
    <w:rsid w:val="1A0BFF3F"/>
    <w:rsid w:val="1AAB25E5"/>
    <w:rsid w:val="1AAD4D4D"/>
    <w:rsid w:val="1CA0A851"/>
    <w:rsid w:val="1CC6D48D"/>
    <w:rsid w:val="1DB146C1"/>
    <w:rsid w:val="1DD78D86"/>
    <w:rsid w:val="1E843403"/>
    <w:rsid w:val="1F934A5E"/>
    <w:rsid w:val="1FA33B2B"/>
    <w:rsid w:val="20218D49"/>
    <w:rsid w:val="203B9CA1"/>
    <w:rsid w:val="203FE1C2"/>
    <w:rsid w:val="2075E621"/>
    <w:rsid w:val="20C9DE42"/>
    <w:rsid w:val="218A02A7"/>
    <w:rsid w:val="21A79946"/>
    <w:rsid w:val="220EF56B"/>
    <w:rsid w:val="2335CA58"/>
    <w:rsid w:val="23E33B2E"/>
    <w:rsid w:val="252D27DA"/>
    <w:rsid w:val="26430C66"/>
    <w:rsid w:val="266DB684"/>
    <w:rsid w:val="26AB8B91"/>
    <w:rsid w:val="27325169"/>
    <w:rsid w:val="27972063"/>
    <w:rsid w:val="2817D37C"/>
    <w:rsid w:val="288DDED7"/>
    <w:rsid w:val="28F31F78"/>
    <w:rsid w:val="28FF195B"/>
    <w:rsid w:val="2A05A232"/>
    <w:rsid w:val="2A41D834"/>
    <w:rsid w:val="2A801F3A"/>
    <w:rsid w:val="2B0F83EB"/>
    <w:rsid w:val="2C989E8C"/>
    <w:rsid w:val="2CBED3C5"/>
    <w:rsid w:val="2D0C4DD8"/>
    <w:rsid w:val="2D60006A"/>
    <w:rsid w:val="2D92317E"/>
    <w:rsid w:val="2E31425A"/>
    <w:rsid w:val="2E8F51F2"/>
    <w:rsid w:val="2EDA0364"/>
    <w:rsid w:val="2FA268B2"/>
    <w:rsid w:val="2FD5D449"/>
    <w:rsid w:val="2FE79C1B"/>
    <w:rsid w:val="2FF27B48"/>
    <w:rsid w:val="304571E4"/>
    <w:rsid w:val="309BB64D"/>
    <w:rsid w:val="31B4421B"/>
    <w:rsid w:val="33841569"/>
    <w:rsid w:val="3386943C"/>
    <w:rsid w:val="34A7C4ED"/>
    <w:rsid w:val="34A7FD9E"/>
    <w:rsid w:val="35136450"/>
    <w:rsid w:val="3523D4CE"/>
    <w:rsid w:val="353B1B51"/>
    <w:rsid w:val="364D51DE"/>
    <w:rsid w:val="36719B66"/>
    <w:rsid w:val="36847363"/>
    <w:rsid w:val="36EBDA1E"/>
    <w:rsid w:val="36ED014C"/>
    <w:rsid w:val="36FD28F6"/>
    <w:rsid w:val="3883102F"/>
    <w:rsid w:val="389E2E4F"/>
    <w:rsid w:val="38E71E65"/>
    <w:rsid w:val="38F3A21D"/>
    <w:rsid w:val="392BAB49"/>
    <w:rsid w:val="3934C956"/>
    <w:rsid w:val="39DEB60D"/>
    <w:rsid w:val="3A5DC93F"/>
    <w:rsid w:val="3B0CCF6F"/>
    <w:rsid w:val="3B3C4563"/>
    <w:rsid w:val="3B5BF9ED"/>
    <w:rsid w:val="3C1B2AA4"/>
    <w:rsid w:val="3C7090B4"/>
    <w:rsid w:val="3C756B62"/>
    <w:rsid w:val="3C7D820D"/>
    <w:rsid w:val="3D1C7454"/>
    <w:rsid w:val="3DB92656"/>
    <w:rsid w:val="3DE1B665"/>
    <w:rsid w:val="3E7719E4"/>
    <w:rsid w:val="3E8E778E"/>
    <w:rsid w:val="3EB5A2B5"/>
    <w:rsid w:val="3EEF5007"/>
    <w:rsid w:val="3FC3B8A5"/>
    <w:rsid w:val="41F620F2"/>
    <w:rsid w:val="41F9C2BF"/>
    <w:rsid w:val="42722C41"/>
    <w:rsid w:val="42A39F5B"/>
    <w:rsid w:val="430AF9F0"/>
    <w:rsid w:val="44A195C8"/>
    <w:rsid w:val="450036DF"/>
    <w:rsid w:val="45571C87"/>
    <w:rsid w:val="4574C7F4"/>
    <w:rsid w:val="47434A6B"/>
    <w:rsid w:val="477C966A"/>
    <w:rsid w:val="479E8E55"/>
    <w:rsid w:val="4837C983"/>
    <w:rsid w:val="48FACC3A"/>
    <w:rsid w:val="495BD2C8"/>
    <w:rsid w:val="498D0EEA"/>
    <w:rsid w:val="4A3FBFBE"/>
    <w:rsid w:val="4AD83CB9"/>
    <w:rsid w:val="4ADA5AE5"/>
    <w:rsid w:val="4B15E6BD"/>
    <w:rsid w:val="4B7C32E9"/>
    <w:rsid w:val="4B93F7AF"/>
    <w:rsid w:val="4BC01BF3"/>
    <w:rsid w:val="4CA21541"/>
    <w:rsid w:val="4D1DF32D"/>
    <w:rsid w:val="4D38B6FF"/>
    <w:rsid w:val="4DBA18A8"/>
    <w:rsid w:val="4DDD1F0D"/>
    <w:rsid w:val="4DF53685"/>
    <w:rsid w:val="4EB8CCBC"/>
    <w:rsid w:val="4ED0C3B4"/>
    <w:rsid w:val="4EF2E34A"/>
    <w:rsid w:val="4F3B14D1"/>
    <w:rsid w:val="4F541393"/>
    <w:rsid w:val="4FA70A31"/>
    <w:rsid w:val="505C3E65"/>
    <w:rsid w:val="50D56541"/>
    <w:rsid w:val="51C37638"/>
    <w:rsid w:val="51D1C7C3"/>
    <w:rsid w:val="52968169"/>
    <w:rsid w:val="52C97D27"/>
    <w:rsid w:val="537AD61E"/>
    <w:rsid w:val="53BCDFB9"/>
    <w:rsid w:val="546CB8B5"/>
    <w:rsid w:val="54BB807E"/>
    <w:rsid w:val="553F6FDA"/>
    <w:rsid w:val="56286832"/>
    <w:rsid w:val="5667868A"/>
    <w:rsid w:val="568B86BB"/>
    <w:rsid w:val="56A1A0B9"/>
    <w:rsid w:val="56C5C902"/>
    <w:rsid w:val="5780F4F8"/>
    <w:rsid w:val="58012B75"/>
    <w:rsid w:val="5832D637"/>
    <w:rsid w:val="58738BD9"/>
    <w:rsid w:val="587BE787"/>
    <w:rsid w:val="58AA68C4"/>
    <w:rsid w:val="58D47909"/>
    <w:rsid w:val="590FAB47"/>
    <w:rsid w:val="598B6F2F"/>
    <w:rsid w:val="59CF96A7"/>
    <w:rsid w:val="5AB2FB0C"/>
    <w:rsid w:val="5BD38EC3"/>
    <w:rsid w:val="5C6C94D8"/>
    <w:rsid w:val="5CC3BBFE"/>
    <w:rsid w:val="5CE9E133"/>
    <w:rsid w:val="5E299D1A"/>
    <w:rsid w:val="5E3DBC11"/>
    <w:rsid w:val="5E82C2CF"/>
    <w:rsid w:val="5ED247F2"/>
    <w:rsid w:val="5ED6B0D2"/>
    <w:rsid w:val="5EE22073"/>
    <w:rsid w:val="5EEA082D"/>
    <w:rsid w:val="5F017E1A"/>
    <w:rsid w:val="5FCDF430"/>
    <w:rsid w:val="600ABEF1"/>
    <w:rsid w:val="60D9A582"/>
    <w:rsid w:val="6138CCC3"/>
    <w:rsid w:val="615B7B77"/>
    <w:rsid w:val="61944A4D"/>
    <w:rsid w:val="62340C17"/>
    <w:rsid w:val="623E3BCA"/>
    <w:rsid w:val="6444D461"/>
    <w:rsid w:val="64DD182E"/>
    <w:rsid w:val="654FFF54"/>
    <w:rsid w:val="65ABAB04"/>
    <w:rsid w:val="66BE2D94"/>
    <w:rsid w:val="671C0296"/>
    <w:rsid w:val="677C6643"/>
    <w:rsid w:val="679853B7"/>
    <w:rsid w:val="67ED6332"/>
    <w:rsid w:val="68A5AA93"/>
    <w:rsid w:val="68F28764"/>
    <w:rsid w:val="69064AF2"/>
    <w:rsid w:val="6942F33A"/>
    <w:rsid w:val="69A241B0"/>
    <w:rsid w:val="69C9579D"/>
    <w:rsid w:val="6A238494"/>
    <w:rsid w:val="6A3044B8"/>
    <w:rsid w:val="6ABE6253"/>
    <w:rsid w:val="6B512960"/>
    <w:rsid w:val="6B542C3E"/>
    <w:rsid w:val="6B9C9099"/>
    <w:rsid w:val="6C116BC9"/>
    <w:rsid w:val="6D2DB723"/>
    <w:rsid w:val="6D598C81"/>
    <w:rsid w:val="6D6D65E0"/>
    <w:rsid w:val="6E2AC75A"/>
    <w:rsid w:val="6E7FE4AE"/>
    <w:rsid w:val="70864778"/>
    <w:rsid w:val="714B9ED3"/>
    <w:rsid w:val="71D16E1A"/>
    <w:rsid w:val="72274EAF"/>
    <w:rsid w:val="729CAE24"/>
    <w:rsid w:val="72B9D6DC"/>
    <w:rsid w:val="7366FE47"/>
    <w:rsid w:val="76582633"/>
    <w:rsid w:val="78BEEDF3"/>
    <w:rsid w:val="799512C7"/>
    <w:rsid w:val="79D46F8D"/>
    <w:rsid w:val="7A3AED91"/>
    <w:rsid w:val="7A46967E"/>
    <w:rsid w:val="7ABC2D3E"/>
    <w:rsid w:val="7B306E2B"/>
    <w:rsid w:val="7C1B2C51"/>
    <w:rsid w:val="7C4F6C0C"/>
    <w:rsid w:val="7C59E146"/>
    <w:rsid w:val="7C5F18B5"/>
    <w:rsid w:val="7CBA2389"/>
    <w:rsid w:val="7D15D693"/>
    <w:rsid w:val="7DFDF361"/>
    <w:rsid w:val="7E0ED0F8"/>
    <w:rsid w:val="7EBCA88C"/>
    <w:rsid w:val="7F809887"/>
    <w:rsid w:val="7FB2EC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337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9C3EE2"/>
    <w:pPr>
      <w:numPr>
        <w:numId w:val="2"/>
      </w:numPr>
      <w:tabs>
        <w:tab w:val="num" w:pos="360"/>
      </w:tabs>
      <w:ind w:left="0" w:firstLine="0"/>
    </w:pPr>
    <w:rPr>
      <w:rFonts w:eastAsia="Times New Roman"/>
      <w:lang w:eastAsia="de-DE"/>
    </w:rPr>
  </w:style>
  <w:style w:type="paragraph" w:styleId="ListNumber">
    <w:name w:val="List Number"/>
    <w:basedOn w:val="Normal"/>
    <w:rsid w:val="009C3EE2"/>
    <w:pPr>
      <w:numPr>
        <w:numId w:val="6"/>
      </w:numPr>
    </w:pPr>
    <w:rPr>
      <w:rFonts w:eastAsia="Times New Roman"/>
      <w:lang w:eastAsia="de-DE"/>
    </w:rPr>
  </w:style>
  <w:style w:type="paragraph" w:customStyle="1" w:styleId="ListBullet1">
    <w:name w:val="List Bullet 1"/>
    <w:basedOn w:val="Normal"/>
    <w:rsid w:val="009C3EE2"/>
    <w:pPr>
      <w:numPr>
        <w:numId w:val="1"/>
      </w:numPr>
    </w:pPr>
    <w:rPr>
      <w:rFonts w:eastAsia="Times New Roman"/>
      <w:lang w:eastAsia="de-DE"/>
    </w:rPr>
  </w:style>
  <w:style w:type="paragraph" w:customStyle="1" w:styleId="ListDash">
    <w:name w:val="List Dash"/>
    <w:basedOn w:val="Normal"/>
    <w:rsid w:val="009C3EE2"/>
    <w:pPr>
      <w:numPr>
        <w:numId w:val="3"/>
      </w:numPr>
    </w:pPr>
    <w:rPr>
      <w:rFonts w:eastAsia="Times New Roman"/>
      <w:lang w:eastAsia="de-DE"/>
    </w:rPr>
  </w:style>
  <w:style w:type="paragraph" w:customStyle="1" w:styleId="ListDash1">
    <w:name w:val="List Dash 1"/>
    <w:basedOn w:val="Normal"/>
    <w:rsid w:val="009C3EE2"/>
    <w:pPr>
      <w:numPr>
        <w:numId w:val="4"/>
      </w:numPr>
    </w:pPr>
    <w:rPr>
      <w:rFonts w:eastAsia="Times New Roman"/>
      <w:lang w:eastAsia="de-DE"/>
    </w:rPr>
  </w:style>
  <w:style w:type="paragraph" w:customStyle="1" w:styleId="ListDash2">
    <w:name w:val="List Dash 2"/>
    <w:basedOn w:val="Normal"/>
    <w:rsid w:val="009C3EE2"/>
    <w:pPr>
      <w:numPr>
        <w:numId w:val="5"/>
      </w:numPr>
    </w:pPr>
    <w:rPr>
      <w:rFonts w:eastAsia="Times New Roman"/>
      <w:lang w:eastAsia="de-DE"/>
    </w:rPr>
  </w:style>
  <w:style w:type="paragraph" w:customStyle="1" w:styleId="ListNumberLevel2">
    <w:name w:val="List Number (Level 2)"/>
    <w:basedOn w:val="Normal"/>
    <w:rsid w:val="009C3EE2"/>
    <w:pPr>
      <w:numPr>
        <w:ilvl w:val="1"/>
        <w:numId w:val="6"/>
      </w:numPr>
    </w:pPr>
    <w:rPr>
      <w:rFonts w:eastAsia="Times New Roman"/>
      <w:lang w:eastAsia="de-DE"/>
    </w:rPr>
  </w:style>
  <w:style w:type="paragraph" w:customStyle="1" w:styleId="ListNumberLevel3">
    <w:name w:val="List Number (Level 3)"/>
    <w:basedOn w:val="Normal"/>
    <w:rsid w:val="009C3EE2"/>
    <w:pPr>
      <w:numPr>
        <w:ilvl w:val="2"/>
        <w:numId w:val="6"/>
      </w:numPr>
    </w:pPr>
    <w:rPr>
      <w:rFonts w:eastAsia="Times New Roman"/>
      <w:lang w:eastAsia="de-DE"/>
    </w:rPr>
  </w:style>
  <w:style w:type="paragraph" w:customStyle="1" w:styleId="ListNumberLevel4">
    <w:name w:val="List Number (Level 4)"/>
    <w:basedOn w:val="Normal"/>
    <w:rsid w:val="009C3EE2"/>
    <w:pPr>
      <w:numPr>
        <w:ilvl w:val="3"/>
        <w:numId w:val="6"/>
      </w:numPr>
    </w:pPr>
    <w:rPr>
      <w:rFonts w:eastAsia="Times New Roman"/>
      <w:lang w:eastAsia="de-DE"/>
    </w:rPr>
  </w:style>
  <w:style w:type="table" w:styleId="TableGrid">
    <w:name w:val="Table Grid"/>
    <w:basedOn w:val="TableNormal"/>
    <w:uiPriority w:val="39"/>
    <w:rsid w:val="009C3EE2"/>
    <w:pPr>
      <w:spacing w:before="120" w:after="120" w:line="240" w:lineRule="auto"/>
      <w:jc w:val="both"/>
    </w:pPr>
    <w:rPr>
      <w:rFonts w:ascii="Times New Roman" w:eastAsia="Times New Roman" w:hAnsi="Times New Roman" w:cs="Times New Roman"/>
      <w:sz w:val="20"/>
      <w:szCs w:val="20"/>
      <w:lang w:eastAsia="en-IE"/>
    </w:rPr>
    <w:tblPr/>
  </w:style>
  <w:style w:type="character" w:styleId="Hyperlink">
    <w:name w:val="Hyperlink"/>
    <w:uiPriority w:val="99"/>
    <w:rsid w:val="009C3EE2"/>
    <w:rPr>
      <w:color w:val="0000FF"/>
      <w:u w:val="single"/>
    </w:rPr>
  </w:style>
  <w:style w:type="paragraph" w:styleId="ListBullet">
    <w:name w:val="List Bullet"/>
    <w:basedOn w:val="Normal"/>
    <w:rsid w:val="009C3EE2"/>
    <w:pPr>
      <w:numPr>
        <w:numId w:val="7"/>
      </w:numPr>
    </w:pPr>
    <w:rPr>
      <w:rFonts w:eastAsia="Times New Roman"/>
      <w:lang w:eastAsia="en-GB"/>
    </w:rPr>
  </w:style>
  <w:style w:type="paragraph" w:styleId="ListBullet2">
    <w:name w:val="List Bullet 2"/>
    <w:basedOn w:val="Normal"/>
    <w:rsid w:val="009C3EE2"/>
    <w:pPr>
      <w:numPr>
        <w:numId w:val="8"/>
      </w:numPr>
    </w:pPr>
    <w:rPr>
      <w:rFonts w:eastAsia="Times New Roman"/>
      <w:lang w:eastAsia="en-GB"/>
    </w:rPr>
  </w:style>
  <w:style w:type="paragraph" w:styleId="ListBullet3">
    <w:name w:val="List Bullet 3"/>
    <w:basedOn w:val="Normal"/>
    <w:rsid w:val="009C3EE2"/>
    <w:pPr>
      <w:numPr>
        <w:numId w:val="9"/>
      </w:numPr>
    </w:pPr>
    <w:rPr>
      <w:rFonts w:eastAsia="Times New Roman"/>
      <w:lang w:eastAsia="en-GB"/>
    </w:rPr>
  </w:style>
  <w:style w:type="paragraph" w:styleId="ListNumber2">
    <w:name w:val="List Number 2"/>
    <w:basedOn w:val="Normal"/>
    <w:rsid w:val="009C3EE2"/>
    <w:pPr>
      <w:numPr>
        <w:numId w:val="13"/>
      </w:numPr>
    </w:pPr>
    <w:rPr>
      <w:rFonts w:eastAsia="Times New Roman"/>
      <w:lang w:eastAsia="en-GB"/>
    </w:rPr>
  </w:style>
  <w:style w:type="paragraph" w:styleId="ListNumber3">
    <w:name w:val="List Number 3"/>
    <w:basedOn w:val="Normal"/>
    <w:rsid w:val="009C3EE2"/>
    <w:pPr>
      <w:numPr>
        <w:numId w:val="14"/>
      </w:numPr>
    </w:pPr>
    <w:rPr>
      <w:rFonts w:eastAsia="Times New Roman"/>
      <w:lang w:eastAsia="en-GB"/>
    </w:rPr>
  </w:style>
  <w:style w:type="paragraph" w:styleId="ListNumber4">
    <w:name w:val="List Number 4"/>
    <w:basedOn w:val="Normal"/>
    <w:rsid w:val="009C3EE2"/>
    <w:pPr>
      <w:numPr>
        <w:numId w:val="15"/>
      </w:numPr>
    </w:pPr>
    <w:rPr>
      <w:rFonts w:eastAsia="Times New Roman"/>
      <w:lang w:eastAsia="en-GB"/>
    </w:rPr>
  </w:style>
  <w:style w:type="paragraph" w:customStyle="1" w:styleId="ListDash3">
    <w:name w:val="List Dash 3"/>
    <w:basedOn w:val="Normal"/>
    <w:rsid w:val="009C3EE2"/>
    <w:pPr>
      <w:numPr>
        <w:numId w:val="10"/>
      </w:numPr>
    </w:pPr>
    <w:rPr>
      <w:rFonts w:eastAsia="Times New Roman"/>
      <w:lang w:eastAsia="en-GB"/>
    </w:rPr>
  </w:style>
  <w:style w:type="paragraph" w:customStyle="1" w:styleId="ListDash4">
    <w:name w:val="List Dash 4"/>
    <w:basedOn w:val="Normal"/>
    <w:rsid w:val="009C3EE2"/>
    <w:pPr>
      <w:numPr>
        <w:numId w:val="11"/>
      </w:numPr>
    </w:pPr>
    <w:rPr>
      <w:rFonts w:eastAsia="Times New Roman"/>
      <w:lang w:eastAsia="en-GB"/>
    </w:rPr>
  </w:style>
  <w:style w:type="paragraph" w:customStyle="1" w:styleId="ListNumber1">
    <w:name w:val="List Number 1"/>
    <w:basedOn w:val="Text1"/>
    <w:rsid w:val="009C3EE2"/>
    <w:pPr>
      <w:numPr>
        <w:numId w:val="12"/>
      </w:numPr>
    </w:pPr>
    <w:rPr>
      <w:rFonts w:eastAsia="Times New Roman"/>
      <w:lang w:eastAsia="en-GB"/>
    </w:rPr>
  </w:style>
  <w:style w:type="paragraph" w:customStyle="1" w:styleId="ListNumber1Level2">
    <w:name w:val="List Number 1 (Level 2)"/>
    <w:basedOn w:val="Text1"/>
    <w:rsid w:val="009C3EE2"/>
    <w:pPr>
      <w:numPr>
        <w:ilvl w:val="1"/>
        <w:numId w:val="12"/>
      </w:numPr>
    </w:pPr>
    <w:rPr>
      <w:rFonts w:eastAsia="Times New Roman"/>
      <w:lang w:eastAsia="en-GB"/>
    </w:rPr>
  </w:style>
  <w:style w:type="paragraph" w:customStyle="1" w:styleId="ListNumber2Level2">
    <w:name w:val="List Number 2 (Level 2)"/>
    <w:basedOn w:val="Text2"/>
    <w:rsid w:val="009C3EE2"/>
    <w:pPr>
      <w:numPr>
        <w:ilvl w:val="1"/>
        <w:numId w:val="13"/>
      </w:numPr>
    </w:pPr>
    <w:rPr>
      <w:rFonts w:eastAsia="Times New Roman"/>
      <w:lang w:eastAsia="en-GB"/>
    </w:rPr>
  </w:style>
  <w:style w:type="paragraph" w:customStyle="1" w:styleId="ListNumber3Level2">
    <w:name w:val="List Number 3 (Level 2)"/>
    <w:basedOn w:val="Text3"/>
    <w:rsid w:val="009C3EE2"/>
    <w:pPr>
      <w:numPr>
        <w:ilvl w:val="1"/>
        <w:numId w:val="14"/>
      </w:numPr>
    </w:pPr>
    <w:rPr>
      <w:rFonts w:eastAsia="Times New Roman"/>
      <w:lang w:eastAsia="en-GB"/>
    </w:rPr>
  </w:style>
  <w:style w:type="paragraph" w:customStyle="1" w:styleId="ListNumber4Level2">
    <w:name w:val="List Number 4 (Level 2)"/>
    <w:basedOn w:val="Text4"/>
    <w:rsid w:val="009C3EE2"/>
    <w:pPr>
      <w:numPr>
        <w:ilvl w:val="1"/>
        <w:numId w:val="15"/>
      </w:numPr>
    </w:pPr>
    <w:rPr>
      <w:rFonts w:eastAsia="Times New Roman"/>
      <w:lang w:eastAsia="en-GB"/>
    </w:rPr>
  </w:style>
  <w:style w:type="paragraph" w:customStyle="1" w:styleId="ListNumber1Level3">
    <w:name w:val="List Number 1 (Level 3)"/>
    <w:basedOn w:val="Text1"/>
    <w:rsid w:val="009C3EE2"/>
    <w:pPr>
      <w:numPr>
        <w:ilvl w:val="2"/>
        <w:numId w:val="12"/>
      </w:numPr>
    </w:pPr>
    <w:rPr>
      <w:rFonts w:eastAsia="Times New Roman"/>
      <w:lang w:eastAsia="en-GB"/>
    </w:rPr>
  </w:style>
  <w:style w:type="paragraph" w:customStyle="1" w:styleId="ListNumber2Level3">
    <w:name w:val="List Number 2 (Level 3)"/>
    <w:basedOn w:val="Text2"/>
    <w:rsid w:val="009C3EE2"/>
    <w:pPr>
      <w:numPr>
        <w:ilvl w:val="2"/>
        <w:numId w:val="13"/>
      </w:numPr>
    </w:pPr>
    <w:rPr>
      <w:rFonts w:eastAsia="Times New Roman"/>
      <w:lang w:eastAsia="en-GB"/>
    </w:rPr>
  </w:style>
  <w:style w:type="paragraph" w:customStyle="1" w:styleId="ListNumber3Level3">
    <w:name w:val="List Number 3 (Level 3)"/>
    <w:basedOn w:val="Text3"/>
    <w:rsid w:val="009C3EE2"/>
    <w:pPr>
      <w:numPr>
        <w:ilvl w:val="2"/>
        <w:numId w:val="14"/>
      </w:numPr>
    </w:pPr>
    <w:rPr>
      <w:rFonts w:eastAsia="Times New Roman"/>
      <w:lang w:eastAsia="en-GB"/>
    </w:rPr>
  </w:style>
  <w:style w:type="paragraph" w:customStyle="1" w:styleId="ListNumber4Level3">
    <w:name w:val="List Number 4 (Level 3)"/>
    <w:basedOn w:val="Text4"/>
    <w:rsid w:val="009C3EE2"/>
    <w:pPr>
      <w:numPr>
        <w:ilvl w:val="2"/>
        <w:numId w:val="15"/>
      </w:numPr>
    </w:pPr>
    <w:rPr>
      <w:rFonts w:eastAsia="Times New Roman"/>
      <w:lang w:eastAsia="en-GB"/>
    </w:rPr>
  </w:style>
  <w:style w:type="paragraph" w:customStyle="1" w:styleId="ListNumber1Level4">
    <w:name w:val="List Number 1 (Level 4)"/>
    <w:basedOn w:val="Text1"/>
    <w:rsid w:val="009C3EE2"/>
    <w:pPr>
      <w:numPr>
        <w:ilvl w:val="3"/>
        <w:numId w:val="12"/>
      </w:numPr>
    </w:pPr>
    <w:rPr>
      <w:rFonts w:eastAsia="Times New Roman"/>
      <w:lang w:eastAsia="en-GB"/>
    </w:rPr>
  </w:style>
  <w:style w:type="paragraph" w:customStyle="1" w:styleId="ListNumber2Level4">
    <w:name w:val="List Number 2 (Level 4)"/>
    <w:basedOn w:val="Text2"/>
    <w:rsid w:val="009C3EE2"/>
    <w:pPr>
      <w:numPr>
        <w:ilvl w:val="3"/>
        <w:numId w:val="13"/>
      </w:numPr>
    </w:pPr>
    <w:rPr>
      <w:rFonts w:eastAsia="Times New Roman"/>
      <w:lang w:eastAsia="en-GB"/>
    </w:rPr>
  </w:style>
  <w:style w:type="paragraph" w:customStyle="1" w:styleId="ListNumber3Level4">
    <w:name w:val="List Number 3 (Level 4)"/>
    <w:basedOn w:val="Text3"/>
    <w:rsid w:val="009C3EE2"/>
    <w:pPr>
      <w:numPr>
        <w:ilvl w:val="3"/>
        <w:numId w:val="14"/>
      </w:numPr>
    </w:pPr>
    <w:rPr>
      <w:rFonts w:eastAsia="Times New Roman"/>
      <w:lang w:eastAsia="en-GB"/>
    </w:rPr>
  </w:style>
  <w:style w:type="paragraph" w:customStyle="1" w:styleId="ListNumber4Level4">
    <w:name w:val="List Number 4 (Level 4)"/>
    <w:basedOn w:val="Text4"/>
    <w:rsid w:val="009C3EE2"/>
    <w:pPr>
      <w:numPr>
        <w:ilvl w:val="3"/>
        <w:numId w:val="15"/>
      </w:numPr>
    </w:pPr>
    <w:rPr>
      <w:rFonts w:eastAsia="Times New Roman"/>
      <w:lang w:eastAsia="en-GB"/>
    </w:rPr>
  </w:style>
  <w:style w:type="paragraph" w:customStyle="1" w:styleId="Annexetitreacte">
    <w:name w:val="Annexe titre (acte)"/>
    <w:basedOn w:val="Normal"/>
    <w:next w:val="Normal"/>
    <w:rsid w:val="009C3EE2"/>
    <w:pPr>
      <w:jc w:val="center"/>
    </w:pPr>
    <w:rPr>
      <w:rFonts w:eastAsia="Times New Roman"/>
      <w:b/>
      <w:u w:val="single"/>
      <w:lang w:eastAsia="en-GB"/>
    </w:rPr>
  </w:style>
  <w:style w:type="paragraph" w:customStyle="1" w:styleId="Annexetitreexposglobal">
    <w:name w:val="Annexe titre (exposé global)"/>
    <w:basedOn w:val="Normal"/>
    <w:next w:val="Normal"/>
    <w:rsid w:val="009C3EE2"/>
    <w:pPr>
      <w:jc w:val="center"/>
    </w:pPr>
    <w:rPr>
      <w:rFonts w:eastAsia="Times New Roman"/>
      <w:b/>
      <w:u w:val="single"/>
      <w:lang w:eastAsia="en-GB"/>
    </w:rPr>
  </w:style>
  <w:style w:type="paragraph" w:customStyle="1" w:styleId="Annexetitrefichefinacte">
    <w:name w:val="Annexe titre (fiche fin. acte)"/>
    <w:basedOn w:val="Normal"/>
    <w:next w:val="Normal"/>
    <w:rsid w:val="009C3EE2"/>
    <w:pPr>
      <w:jc w:val="center"/>
    </w:pPr>
    <w:rPr>
      <w:rFonts w:eastAsia="Times New Roman"/>
      <w:b/>
      <w:u w:val="single"/>
      <w:lang w:eastAsia="en-GB"/>
    </w:rPr>
  </w:style>
  <w:style w:type="paragraph" w:customStyle="1" w:styleId="Annexetitrefichefinglobale">
    <w:name w:val="Annexe titre (fiche fin. globale)"/>
    <w:basedOn w:val="Normal"/>
    <w:next w:val="Normal"/>
    <w:rsid w:val="009C3EE2"/>
    <w:pPr>
      <w:jc w:val="center"/>
    </w:pPr>
    <w:rPr>
      <w:rFonts w:eastAsia="Times New Roman"/>
      <w:b/>
      <w:u w:val="single"/>
      <w:lang w:eastAsia="en-GB"/>
    </w:rPr>
  </w:style>
  <w:style w:type="paragraph" w:customStyle="1" w:styleId="Annexetitreglobale">
    <w:name w:val="Annexe titre (globale)"/>
    <w:basedOn w:val="Normal"/>
    <w:next w:val="Normal"/>
    <w:rsid w:val="009C3EE2"/>
    <w:pPr>
      <w:jc w:val="center"/>
    </w:pPr>
    <w:rPr>
      <w:rFonts w:eastAsia="Times New Roman"/>
      <w:b/>
      <w:u w:val="single"/>
      <w:lang w:eastAsia="en-GB"/>
    </w:rPr>
  </w:style>
  <w:style w:type="paragraph" w:customStyle="1" w:styleId="Exposdesmotifstitreglobal">
    <w:name w:val="Exposé des motifs titre (global)"/>
    <w:basedOn w:val="Normal"/>
    <w:next w:val="Normal"/>
    <w:rsid w:val="009C3EE2"/>
    <w:pPr>
      <w:jc w:val="center"/>
    </w:pPr>
    <w:rPr>
      <w:rFonts w:eastAsia="Times New Roman"/>
      <w:b/>
      <w:u w:val="single"/>
      <w:lang w:eastAsia="en-GB"/>
    </w:rPr>
  </w:style>
  <w:style w:type="paragraph" w:customStyle="1" w:styleId="Langueoriginale">
    <w:name w:val="Langue originale"/>
    <w:basedOn w:val="Normal"/>
    <w:rsid w:val="009C3EE2"/>
    <w:pPr>
      <w:spacing w:before="360"/>
      <w:jc w:val="center"/>
    </w:pPr>
    <w:rPr>
      <w:rFonts w:eastAsia="Times New Roman"/>
      <w:caps/>
      <w:lang w:eastAsia="en-GB"/>
    </w:rPr>
  </w:style>
  <w:style w:type="paragraph" w:customStyle="1" w:styleId="Phrasefinale">
    <w:name w:val="Phrase finale"/>
    <w:basedOn w:val="Normal"/>
    <w:next w:val="Normal"/>
    <w:rsid w:val="009C3EE2"/>
    <w:pPr>
      <w:spacing w:before="360" w:after="0"/>
      <w:jc w:val="center"/>
    </w:pPr>
    <w:rPr>
      <w:rFonts w:eastAsia="Times New Roman"/>
      <w:lang w:eastAsia="en-GB"/>
    </w:rPr>
  </w:style>
  <w:style w:type="paragraph" w:customStyle="1" w:styleId="Prliminairetitre">
    <w:name w:val="Préliminaire titre"/>
    <w:basedOn w:val="Normal"/>
    <w:next w:val="Normal"/>
    <w:rsid w:val="009C3EE2"/>
    <w:pPr>
      <w:spacing w:before="360" w:after="360"/>
      <w:jc w:val="center"/>
    </w:pPr>
    <w:rPr>
      <w:rFonts w:eastAsia="Times New Roman"/>
      <w:b/>
      <w:lang w:eastAsia="en-GB"/>
    </w:rPr>
  </w:style>
  <w:style w:type="paragraph" w:customStyle="1" w:styleId="Prliminairetype">
    <w:name w:val="Préliminaire type"/>
    <w:basedOn w:val="Normal"/>
    <w:next w:val="Normal"/>
    <w:rsid w:val="009C3EE2"/>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9C3EE2"/>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9C3EE2"/>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9C3EE2"/>
    <w:pPr>
      <w:spacing w:before="0" w:after="0"/>
      <w:ind w:left="5103"/>
      <w:jc w:val="left"/>
    </w:pPr>
    <w:rPr>
      <w:rFonts w:eastAsia="Times New Roman"/>
      <w:lang w:eastAsia="en-GB"/>
    </w:rPr>
  </w:style>
  <w:style w:type="paragraph" w:customStyle="1" w:styleId="Sous-titreobjetprliminaire">
    <w:name w:val="Sous-titre objet (préliminaire)"/>
    <w:basedOn w:val="Normal"/>
    <w:rsid w:val="009C3EE2"/>
    <w:pPr>
      <w:spacing w:before="0" w:after="0"/>
      <w:jc w:val="center"/>
    </w:pPr>
    <w:rPr>
      <w:rFonts w:eastAsia="Times New Roman"/>
      <w:b/>
      <w:lang w:eastAsia="en-GB"/>
    </w:rPr>
  </w:style>
  <w:style w:type="paragraph" w:customStyle="1" w:styleId="Statutprliminaire">
    <w:name w:val="Statut (préliminaire)"/>
    <w:basedOn w:val="Normal"/>
    <w:next w:val="Normal"/>
    <w:rsid w:val="009C3EE2"/>
    <w:pPr>
      <w:spacing w:before="360" w:after="0"/>
      <w:jc w:val="center"/>
    </w:pPr>
    <w:rPr>
      <w:rFonts w:eastAsia="Times New Roman"/>
      <w:lang w:eastAsia="en-GB"/>
    </w:rPr>
  </w:style>
  <w:style w:type="paragraph" w:customStyle="1" w:styleId="Titreobjetprliminaire">
    <w:name w:val="Titre objet (préliminaire)"/>
    <w:basedOn w:val="Normal"/>
    <w:next w:val="Normal"/>
    <w:rsid w:val="009C3EE2"/>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9C3EE2"/>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9C3EE2"/>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9C3EE2"/>
    <w:pPr>
      <w:jc w:val="center"/>
    </w:pPr>
    <w:rPr>
      <w:rFonts w:eastAsia="Times New Roman"/>
      <w:b/>
      <w:u w:val="single"/>
      <w:lang w:eastAsia="en-GB"/>
    </w:rPr>
  </w:style>
  <w:style w:type="paragraph" w:customStyle="1" w:styleId="Fichefinanciretravailtitre">
    <w:name w:val="Fiche financière (travail) titre"/>
    <w:basedOn w:val="Normal"/>
    <w:next w:val="Normal"/>
    <w:rsid w:val="009C3EE2"/>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9C3EE2"/>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9C3EE2"/>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9C3EE2"/>
    <w:pPr>
      <w:jc w:val="center"/>
    </w:pPr>
    <w:rPr>
      <w:rFonts w:eastAsia="Times New Roman"/>
      <w:b/>
      <w:u w:val="single"/>
      <w:lang w:eastAsia="en-GB"/>
    </w:rPr>
  </w:style>
  <w:style w:type="character" w:styleId="CommentReference">
    <w:name w:val="annotation reference"/>
    <w:rsid w:val="009C3EE2"/>
    <w:rPr>
      <w:rFonts w:cs="Times New Roman"/>
      <w:sz w:val="16"/>
      <w:szCs w:val="16"/>
    </w:rPr>
  </w:style>
  <w:style w:type="paragraph" w:styleId="CommentText">
    <w:name w:val="annotation text"/>
    <w:basedOn w:val="Normal"/>
    <w:link w:val="CommentTextChar"/>
    <w:rsid w:val="009C3EE2"/>
    <w:rPr>
      <w:rFonts w:eastAsia="Times New Roman"/>
      <w:sz w:val="20"/>
      <w:szCs w:val="20"/>
      <w:lang w:eastAsia="en-GB"/>
    </w:rPr>
  </w:style>
  <w:style w:type="character" w:customStyle="1" w:styleId="CommentTextChar">
    <w:name w:val="Comment Text Char"/>
    <w:basedOn w:val="DefaultParagraphFont"/>
    <w:link w:val="CommentText"/>
    <w:rsid w:val="009C3EE2"/>
    <w:rPr>
      <w:rFonts w:ascii="Times New Roman" w:eastAsia="Times New Roman" w:hAnsi="Times New Roman" w:cs="Times New Roman"/>
      <w:sz w:val="20"/>
      <w:szCs w:val="20"/>
      <w:lang w:val="fi-FI" w:eastAsia="en-GB"/>
    </w:rPr>
  </w:style>
  <w:style w:type="paragraph" w:styleId="CommentSubject">
    <w:name w:val="annotation subject"/>
    <w:basedOn w:val="CommentText"/>
    <w:next w:val="CommentText"/>
    <w:link w:val="CommentSubjectChar"/>
    <w:rsid w:val="009C3EE2"/>
    <w:rPr>
      <w:b/>
      <w:bCs/>
    </w:rPr>
  </w:style>
  <w:style w:type="character" w:customStyle="1" w:styleId="CommentSubjectChar">
    <w:name w:val="Comment Subject Char"/>
    <w:basedOn w:val="CommentTextChar"/>
    <w:link w:val="CommentSubject"/>
    <w:rsid w:val="009C3EE2"/>
    <w:rPr>
      <w:rFonts w:ascii="Times New Roman" w:eastAsia="Times New Roman" w:hAnsi="Times New Roman" w:cs="Times New Roman"/>
      <w:b/>
      <w:bCs/>
      <w:sz w:val="20"/>
      <w:szCs w:val="20"/>
      <w:lang w:val="fi-FI" w:eastAsia="en-GB"/>
    </w:rPr>
  </w:style>
  <w:style w:type="paragraph" w:styleId="BalloonText">
    <w:name w:val="Balloon Text"/>
    <w:basedOn w:val="Normal"/>
    <w:link w:val="BalloonTextChar"/>
    <w:rsid w:val="009C3EE2"/>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9C3EE2"/>
    <w:rPr>
      <w:rFonts w:ascii="Tahoma" w:eastAsia="Times New Roman" w:hAnsi="Tahoma" w:cs="Tahoma"/>
      <w:sz w:val="16"/>
      <w:szCs w:val="16"/>
      <w:lang w:val="fi-FI" w:eastAsia="en-GB"/>
    </w:rPr>
  </w:style>
  <w:style w:type="paragraph" w:styleId="Caption">
    <w:name w:val="caption"/>
    <w:basedOn w:val="Normal"/>
    <w:next w:val="Normal"/>
    <w:qFormat/>
    <w:rsid w:val="009C3EE2"/>
    <w:rPr>
      <w:rFonts w:eastAsia="Times New Roman"/>
      <w:b/>
      <w:bCs/>
      <w:sz w:val="20"/>
      <w:szCs w:val="20"/>
      <w:lang w:eastAsia="en-GB"/>
    </w:rPr>
  </w:style>
  <w:style w:type="paragraph" w:styleId="TableofFigures">
    <w:name w:val="table of figures"/>
    <w:basedOn w:val="Normal"/>
    <w:next w:val="Normal"/>
    <w:rsid w:val="009C3EE2"/>
    <w:rPr>
      <w:rFonts w:eastAsia="Times New Roman"/>
      <w:lang w:eastAsia="en-GB"/>
    </w:rPr>
  </w:style>
  <w:style w:type="character" w:styleId="PageNumber">
    <w:name w:val="page number"/>
    <w:rsid w:val="009C3EE2"/>
  </w:style>
  <w:style w:type="character" w:customStyle="1" w:styleId="tw4winMark">
    <w:name w:val="tw4winMark"/>
    <w:rsid w:val="009C3EE2"/>
    <w:rPr>
      <w:vanish/>
      <w:color w:val="800080"/>
      <w:vertAlign w:val="subscript"/>
    </w:rPr>
  </w:style>
  <w:style w:type="character" w:styleId="FollowedHyperlink">
    <w:name w:val="FollowedHyperlink"/>
    <w:rsid w:val="009C3EE2"/>
    <w:rPr>
      <w:color w:val="800080"/>
      <w:u w:val="single"/>
    </w:rPr>
  </w:style>
  <w:style w:type="paragraph" w:customStyle="1" w:styleId="Sous-titreobjet">
    <w:name w:val="Sous-titre objet"/>
    <w:basedOn w:val="Normal"/>
    <w:rsid w:val="009C3EE2"/>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9C3EE2"/>
  </w:style>
  <w:style w:type="paragraph" w:styleId="Revision">
    <w:name w:val="Revision"/>
    <w:hidden/>
    <w:uiPriority w:val="99"/>
    <w:semiHidden/>
    <w:rsid w:val="009C3EE2"/>
    <w:rPr>
      <w:rFonts w:ascii="Calibri" w:eastAsia="Calibri" w:hAnsi="Calibri" w:cs="Times New Roman"/>
      <w:sz w:val="24"/>
      <w:lang w:eastAsia="en-GB"/>
    </w:rPr>
  </w:style>
  <w:style w:type="paragraph" w:customStyle="1" w:styleId="FooterCoverPage">
    <w:name w:val="Footer Cover Page"/>
    <w:basedOn w:val="Normal"/>
    <w:link w:val="FooterCoverPageChar"/>
    <w:rsid w:val="009C3EE2"/>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9C3EE2"/>
    <w:rPr>
      <w:rFonts w:ascii="Times New Roman" w:hAnsi="Times New Roman" w:cs="Times New Roman"/>
      <w:b/>
      <w:sz w:val="28"/>
      <w:lang w:val="fi-FI"/>
    </w:rPr>
  </w:style>
  <w:style w:type="character" w:customStyle="1" w:styleId="FooterCoverPageChar">
    <w:name w:val="Footer Cover Page Char"/>
    <w:link w:val="FooterCoverPage"/>
    <w:rsid w:val="009C3EE2"/>
    <w:rPr>
      <w:rFonts w:ascii="Times New Roman" w:eastAsia="Calibri" w:hAnsi="Times New Roman" w:cs="Times New Roman"/>
      <w:sz w:val="24"/>
      <w:lang w:val="fi-FI" w:eastAsia="en-GB"/>
    </w:rPr>
  </w:style>
  <w:style w:type="paragraph" w:customStyle="1" w:styleId="HeaderCoverPage">
    <w:name w:val="Header Cover Page"/>
    <w:basedOn w:val="Normal"/>
    <w:link w:val="HeaderCoverPageChar"/>
    <w:rsid w:val="009C3EE2"/>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9C3EE2"/>
    <w:rPr>
      <w:rFonts w:ascii="Times New Roman" w:eastAsia="Calibri" w:hAnsi="Times New Roman" w:cs="Times New Roman"/>
      <w:sz w:val="24"/>
      <w:lang w:val="fi-FI" w:eastAsia="en-GB"/>
    </w:rPr>
  </w:style>
  <w:style w:type="character" w:customStyle="1" w:styleId="FooterSensitivityChar">
    <w:name w:val="Footer Sensitivity Char"/>
    <w:rsid w:val="009C3EE2"/>
    <w:rPr>
      <w:rFonts w:ascii="Times New Roman" w:hAnsi="Times New Roman" w:cs="Times New Roman"/>
      <w:b/>
      <w:sz w:val="32"/>
      <w:lang w:val="fi-FI"/>
    </w:rPr>
  </w:style>
  <w:style w:type="character" w:customStyle="1" w:styleId="HeaderSensitivityChar">
    <w:name w:val="Header Sensitivity Char"/>
    <w:rsid w:val="009C3EE2"/>
    <w:rPr>
      <w:rFonts w:ascii="Times New Roman" w:hAnsi="Times New Roman" w:cs="Times New Roman"/>
      <w:b/>
      <w:sz w:val="32"/>
      <w:lang w:val="fi-FI"/>
    </w:rPr>
  </w:style>
  <w:style w:type="character" w:customStyle="1" w:styleId="HeaderSensitivityRightChar">
    <w:name w:val="Header Sensitivity Right Char"/>
    <w:rsid w:val="009C3EE2"/>
    <w:rPr>
      <w:rFonts w:ascii="Times New Roman" w:hAnsi="Times New Roman" w:cs="Times New Roman"/>
      <w:sz w:val="28"/>
      <w:lang w:val="fi-FI"/>
    </w:rPr>
  </w:style>
  <w:style w:type="paragraph" w:customStyle="1" w:styleId="LegalNumPar">
    <w:name w:val="LegalNumPar"/>
    <w:basedOn w:val="Normal"/>
    <w:rsid w:val="009C3EE2"/>
    <w:pPr>
      <w:numPr>
        <w:numId w:val="16"/>
      </w:numPr>
      <w:spacing w:line="360" w:lineRule="auto"/>
    </w:pPr>
    <w:rPr>
      <w:rFonts w:eastAsia="Times New Roman"/>
      <w:lang w:eastAsia="en-GB"/>
    </w:rPr>
  </w:style>
  <w:style w:type="paragraph" w:customStyle="1" w:styleId="LegalNumPar2">
    <w:name w:val="LegalNumPar2"/>
    <w:basedOn w:val="Normal"/>
    <w:rsid w:val="009C3EE2"/>
    <w:pPr>
      <w:numPr>
        <w:ilvl w:val="1"/>
        <w:numId w:val="16"/>
      </w:numPr>
      <w:spacing w:line="360" w:lineRule="auto"/>
    </w:pPr>
    <w:rPr>
      <w:rFonts w:eastAsia="Times New Roman"/>
      <w:lang w:eastAsia="en-GB"/>
    </w:rPr>
  </w:style>
  <w:style w:type="paragraph" w:customStyle="1" w:styleId="LegalNumPar3">
    <w:name w:val="LegalNumPar3"/>
    <w:basedOn w:val="Normal"/>
    <w:rsid w:val="009C3EE2"/>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9C3EE2"/>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9C3EE2"/>
    <w:rPr>
      <w:color w:val="605E5C"/>
      <w:shd w:val="clear" w:color="auto" w:fill="E1DFDD"/>
    </w:rPr>
  </w:style>
  <w:style w:type="character" w:styleId="Strong">
    <w:name w:val="Strong"/>
    <w:basedOn w:val="DefaultParagraphFont"/>
    <w:qFormat/>
    <w:rsid w:val="009C3EE2"/>
    <w:rPr>
      <w:b/>
      <w:bCs/>
    </w:rPr>
  </w:style>
  <w:style w:type="character" w:styleId="Emphasis">
    <w:name w:val="Emphasis"/>
    <w:basedOn w:val="DefaultParagraphFont"/>
    <w:qFormat/>
    <w:rsid w:val="009C3EE2"/>
    <w:rPr>
      <w:i/>
      <w:iCs/>
    </w:rPr>
  </w:style>
  <w:style w:type="character" w:customStyle="1" w:styleId="Mention1">
    <w:name w:val="Mention1"/>
    <w:basedOn w:val="DefaultParagraphFont"/>
    <w:uiPriority w:val="99"/>
    <w:unhideWhenUsed/>
    <w:rsid w:val="009C3EE2"/>
    <w:rPr>
      <w:color w:val="2B579A"/>
      <w:shd w:val="clear" w:color="auto" w:fill="E1DFDD"/>
    </w:rPr>
  </w:style>
  <w:style w:type="character" w:customStyle="1" w:styleId="normaltextrun">
    <w:name w:val="normaltextrun"/>
    <w:basedOn w:val="DefaultParagraphFont"/>
    <w:rsid w:val="009C3EE2"/>
  </w:style>
  <w:style w:type="character" w:customStyle="1" w:styleId="eop">
    <w:name w:val="eop"/>
    <w:basedOn w:val="DefaultParagraphFont"/>
    <w:rsid w:val="009C3EE2"/>
  </w:style>
  <w:style w:type="paragraph" w:customStyle="1" w:styleId="paragraph">
    <w:name w:val="paragraph"/>
    <w:basedOn w:val="Normal"/>
    <w:rsid w:val="00C44D47"/>
    <w:pPr>
      <w:spacing w:before="100" w:beforeAutospacing="1" w:after="100" w:afterAutospacing="1"/>
      <w:jc w:val="left"/>
    </w:pPr>
    <w:rPr>
      <w:rFonts w:eastAsia="Times New Roman"/>
      <w:szCs w:val="24"/>
      <w:lang w:eastAsia="de-DE"/>
    </w:rPr>
  </w:style>
  <w:style w:type="paragraph" w:customStyle="1" w:styleId="CharCharChar1">
    <w:name w:val="Char Char Char1"/>
    <w:basedOn w:val="Normal"/>
    <w:link w:val="FootnoteReference"/>
    <w:uiPriority w:val="99"/>
    <w:rsid w:val="00583BD9"/>
    <w:pPr>
      <w:spacing w:before="0" w:after="160" w:line="240" w:lineRule="exact"/>
    </w:pPr>
    <w:rPr>
      <w:rFonts w:asciiTheme="minorHAnsi" w:hAnsiTheme="minorHAnsi" w:cstheme="minorBidi"/>
      <w:sz w:val="22"/>
      <w:vertAlign w:val="superscript"/>
    </w:rPr>
  </w:style>
  <w:style w:type="paragraph" w:styleId="NormalWeb">
    <w:name w:val="Normal (Web)"/>
    <w:basedOn w:val="Normal"/>
    <w:uiPriority w:val="99"/>
    <w:semiHidden/>
    <w:unhideWhenUsed/>
    <w:rsid w:val="00EA2724"/>
    <w:rPr>
      <w:szCs w:val="24"/>
    </w:rPr>
  </w:style>
  <w:style w:type="character" w:customStyle="1" w:styleId="HeaderChar">
    <w:name w:val="Header Char"/>
    <w:basedOn w:val="DefaultParagraphFont"/>
    <w:link w:val="Header"/>
    <w:uiPriority w:val="99"/>
    <w:rsid w:val="0053045F"/>
    <w:rPr>
      <w:rFonts w:ascii="Times New Roman" w:hAnsi="Times New Roman" w:cs="Times New Roman"/>
      <w:sz w:val="24"/>
      <w:lang w:val="fi-FI"/>
    </w:rPr>
  </w:style>
  <w:style w:type="character" w:customStyle="1" w:styleId="FooterChar">
    <w:name w:val="Footer Char"/>
    <w:basedOn w:val="DefaultParagraphFont"/>
    <w:link w:val="Footer"/>
    <w:uiPriority w:val="99"/>
    <w:rsid w:val="0053045F"/>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i-F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i-F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i-F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i-FI"/>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i-FI"/>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i-FI"/>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i-F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53045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3045F"/>
    <w:pPr>
      <w:spacing w:before="0"/>
      <w:jc w:val="right"/>
    </w:pPr>
    <w:rPr>
      <w:sz w:val="28"/>
    </w:rPr>
  </w:style>
  <w:style w:type="paragraph" w:customStyle="1" w:styleId="FooterSensitivity">
    <w:name w:val="Footer Sensitivity"/>
    <w:basedOn w:val="Normal"/>
    <w:rsid w:val="0053045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NumPar5">
    <w:name w:val="NumPar 5"/>
    <w:basedOn w:val="Normal"/>
    <w:next w:val="Text2"/>
    <w:pPr>
      <w:numPr>
        <w:ilvl w:val="4"/>
        <w:numId w:val="29"/>
      </w:numPr>
    </w:pPr>
  </w:style>
  <w:style w:type="paragraph" w:customStyle="1" w:styleId="NumPar6">
    <w:name w:val="NumPar 6"/>
    <w:basedOn w:val="Normal"/>
    <w:next w:val="Text2"/>
    <w:pPr>
      <w:numPr>
        <w:ilvl w:val="5"/>
        <w:numId w:val="29"/>
      </w:numPr>
    </w:pPr>
  </w:style>
  <w:style w:type="paragraph" w:customStyle="1" w:styleId="NumPar7">
    <w:name w:val="NumPar 7"/>
    <w:basedOn w:val="Normal"/>
    <w:next w:val="Text2"/>
    <w:pPr>
      <w:numPr>
        <w:ilvl w:val="6"/>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53045F"/>
    <w:pPr>
      <w:tabs>
        <w:tab w:val="center" w:pos="4535"/>
        <w:tab w:val="right" w:pos="9071"/>
      </w:tabs>
      <w:spacing w:before="0"/>
    </w:pPr>
  </w:style>
  <w:style w:type="paragraph" w:customStyle="1" w:styleId="HeaderLandscape">
    <w:name w:val="HeaderLandscape"/>
    <w:basedOn w:val="Normal"/>
    <w:rsid w:val="0053045F"/>
    <w:pPr>
      <w:tabs>
        <w:tab w:val="center" w:pos="7285"/>
        <w:tab w:val="right" w:pos="14003"/>
      </w:tabs>
      <w:spacing w:before="0"/>
    </w:pPr>
  </w:style>
  <w:style w:type="paragraph" w:styleId="Footer">
    <w:name w:val="footer"/>
    <w:basedOn w:val="Normal"/>
    <w:link w:val="FooterChar"/>
    <w:uiPriority w:val="99"/>
    <w:unhideWhenUsed/>
    <w:rsid w:val="0053045F"/>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3045F"/>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069797">
      <w:bodyDiv w:val="1"/>
      <w:marLeft w:val="0"/>
      <w:marRight w:val="0"/>
      <w:marTop w:val="0"/>
      <w:marBottom w:val="0"/>
      <w:divBdr>
        <w:top w:val="none" w:sz="0" w:space="0" w:color="auto"/>
        <w:left w:val="none" w:sz="0" w:space="0" w:color="auto"/>
        <w:bottom w:val="none" w:sz="0" w:space="0" w:color="auto"/>
        <w:right w:val="none" w:sz="0" w:space="0" w:color="auto"/>
      </w:divBdr>
    </w:div>
    <w:div w:id="457338102">
      <w:bodyDiv w:val="1"/>
      <w:marLeft w:val="0"/>
      <w:marRight w:val="0"/>
      <w:marTop w:val="0"/>
      <w:marBottom w:val="0"/>
      <w:divBdr>
        <w:top w:val="none" w:sz="0" w:space="0" w:color="auto"/>
        <w:left w:val="none" w:sz="0" w:space="0" w:color="auto"/>
        <w:bottom w:val="none" w:sz="0" w:space="0" w:color="auto"/>
        <w:right w:val="none" w:sz="0" w:space="0" w:color="auto"/>
      </w:divBdr>
    </w:div>
    <w:div w:id="778990439">
      <w:bodyDiv w:val="1"/>
      <w:marLeft w:val="0"/>
      <w:marRight w:val="0"/>
      <w:marTop w:val="0"/>
      <w:marBottom w:val="0"/>
      <w:divBdr>
        <w:top w:val="none" w:sz="0" w:space="0" w:color="auto"/>
        <w:left w:val="none" w:sz="0" w:space="0" w:color="auto"/>
        <w:bottom w:val="none" w:sz="0" w:space="0" w:color="auto"/>
        <w:right w:val="none" w:sz="0" w:space="0" w:color="auto"/>
      </w:divBdr>
    </w:div>
    <w:div w:id="941380754">
      <w:bodyDiv w:val="1"/>
      <w:marLeft w:val="0"/>
      <w:marRight w:val="0"/>
      <w:marTop w:val="0"/>
      <w:marBottom w:val="0"/>
      <w:divBdr>
        <w:top w:val="none" w:sz="0" w:space="0" w:color="auto"/>
        <w:left w:val="none" w:sz="0" w:space="0" w:color="auto"/>
        <w:bottom w:val="none" w:sz="0" w:space="0" w:color="auto"/>
        <w:right w:val="none" w:sz="0" w:space="0" w:color="auto"/>
      </w:divBdr>
      <w:divsChild>
        <w:div w:id="311297445">
          <w:marLeft w:val="0"/>
          <w:marRight w:val="0"/>
          <w:marTop w:val="0"/>
          <w:marBottom w:val="0"/>
          <w:divBdr>
            <w:top w:val="none" w:sz="0" w:space="0" w:color="auto"/>
            <w:left w:val="none" w:sz="0" w:space="0" w:color="auto"/>
            <w:bottom w:val="none" w:sz="0" w:space="0" w:color="auto"/>
            <w:right w:val="none" w:sz="0" w:space="0" w:color="auto"/>
          </w:divBdr>
          <w:divsChild>
            <w:div w:id="114072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2484">
      <w:bodyDiv w:val="1"/>
      <w:marLeft w:val="0"/>
      <w:marRight w:val="0"/>
      <w:marTop w:val="0"/>
      <w:marBottom w:val="0"/>
      <w:divBdr>
        <w:top w:val="none" w:sz="0" w:space="0" w:color="auto"/>
        <w:left w:val="none" w:sz="0" w:space="0" w:color="auto"/>
        <w:bottom w:val="none" w:sz="0" w:space="0" w:color="auto"/>
        <w:right w:val="none" w:sz="0" w:space="0" w:color="auto"/>
      </w:divBdr>
    </w:div>
    <w:div w:id="1029838064">
      <w:bodyDiv w:val="1"/>
      <w:marLeft w:val="0"/>
      <w:marRight w:val="0"/>
      <w:marTop w:val="0"/>
      <w:marBottom w:val="0"/>
      <w:divBdr>
        <w:top w:val="none" w:sz="0" w:space="0" w:color="auto"/>
        <w:left w:val="none" w:sz="0" w:space="0" w:color="auto"/>
        <w:bottom w:val="none" w:sz="0" w:space="0" w:color="auto"/>
        <w:right w:val="none" w:sz="0" w:space="0" w:color="auto"/>
      </w:divBdr>
    </w:div>
    <w:div w:id="1096487253">
      <w:bodyDiv w:val="1"/>
      <w:marLeft w:val="0"/>
      <w:marRight w:val="0"/>
      <w:marTop w:val="0"/>
      <w:marBottom w:val="0"/>
      <w:divBdr>
        <w:top w:val="none" w:sz="0" w:space="0" w:color="auto"/>
        <w:left w:val="none" w:sz="0" w:space="0" w:color="auto"/>
        <w:bottom w:val="none" w:sz="0" w:space="0" w:color="auto"/>
        <w:right w:val="none" w:sz="0" w:space="0" w:color="auto"/>
      </w:divBdr>
    </w:div>
    <w:div w:id="1229532674">
      <w:bodyDiv w:val="1"/>
      <w:marLeft w:val="0"/>
      <w:marRight w:val="0"/>
      <w:marTop w:val="0"/>
      <w:marBottom w:val="0"/>
      <w:divBdr>
        <w:top w:val="none" w:sz="0" w:space="0" w:color="auto"/>
        <w:left w:val="none" w:sz="0" w:space="0" w:color="auto"/>
        <w:bottom w:val="none" w:sz="0" w:space="0" w:color="auto"/>
        <w:right w:val="none" w:sz="0" w:space="0" w:color="auto"/>
      </w:divBdr>
    </w:div>
    <w:div w:id="1258171987">
      <w:bodyDiv w:val="1"/>
      <w:marLeft w:val="0"/>
      <w:marRight w:val="0"/>
      <w:marTop w:val="0"/>
      <w:marBottom w:val="0"/>
      <w:divBdr>
        <w:top w:val="none" w:sz="0" w:space="0" w:color="auto"/>
        <w:left w:val="none" w:sz="0" w:space="0" w:color="auto"/>
        <w:bottom w:val="none" w:sz="0" w:space="0" w:color="auto"/>
        <w:right w:val="none" w:sz="0" w:space="0" w:color="auto"/>
      </w:divBdr>
    </w:div>
    <w:div w:id="1276912463">
      <w:bodyDiv w:val="1"/>
      <w:marLeft w:val="0"/>
      <w:marRight w:val="0"/>
      <w:marTop w:val="0"/>
      <w:marBottom w:val="0"/>
      <w:divBdr>
        <w:top w:val="none" w:sz="0" w:space="0" w:color="auto"/>
        <w:left w:val="none" w:sz="0" w:space="0" w:color="auto"/>
        <w:bottom w:val="none" w:sz="0" w:space="0" w:color="auto"/>
        <w:right w:val="none" w:sz="0" w:space="0" w:color="auto"/>
      </w:divBdr>
    </w:div>
    <w:div w:id="1316370442">
      <w:bodyDiv w:val="1"/>
      <w:marLeft w:val="0"/>
      <w:marRight w:val="0"/>
      <w:marTop w:val="0"/>
      <w:marBottom w:val="0"/>
      <w:divBdr>
        <w:top w:val="none" w:sz="0" w:space="0" w:color="auto"/>
        <w:left w:val="none" w:sz="0" w:space="0" w:color="auto"/>
        <w:bottom w:val="none" w:sz="0" w:space="0" w:color="auto"/>
        <w:right w:val="none" w:sz="0" w:space="0" w:color="auto"/>
      </w:divBdr>
      <w:divsChild>
        <w:div w:id="1977488257">
          <w:marLeft w:val="0"/>
          <w:marRight w:val="0"/>
          <w:marTop w:val="0"/>
          <w:marBottom w:val="0"/>
          <w:divBdr>
            <w:top w:val="none" w:sz="0" w:space="0" w:color="auto"/>
            <w:left w:val="none" w:sz="0" w:space="0" w:color="auto"/>
            <w:bottom w:val="none" w:sz="0" w:space="0" w:color="auto"/>
            <w:right w:val="none" w:sz="0" w:space="0" w:color="auto"/>
          </w:divBdr>
          <w:divsChild>
            <w:div w:id="187730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174245">
      <w:bodyDiv w:val="1"/>
      <w:marLeft w:val="0"/>
      <w:marRight w:val="0"/>
      <w:marTop w:val="0"/>
      <w:marBottom w:val="0"/>
      <w:divBdr>
        <w:top w:val="none" w:sz="0" w:space="0" w:color="auto"/>
        <w:left w:val="none" w:sz="0" w:space="0" w:color="auto"/>
        <w:bottom w:val="none" w:sz="0" w:space="0" w:color="auto"/>
        <w:right w:val="none" w:sz="0" w:space="0" w:color="auto"/>
      </w:divBdr>
    </w:div>
    <w:div w:id="1452243084">
      <w:bodyDiv w:val="1"/>
      <w:marLeft w:val="0"/>
      <w:marRight w:val="0"/>
      <w:marTop w:val="0"/>
      <w:marBottom w:val="0"/>
      <w:divBdr>
        <w:top w:val="none" w:sz="0" w:space="0" w:color="auto"/>
        <w:left w:val="none" w:sz="0" w:space="0" w:color="auto"/>
        <w:bottom w:val="none" w:sz="0" w:space="0" w:color="auto"/>
        <w:right w:val="none" w:sz="0" w:space="0" w:color="auto"/>
      </w:divBdr>
    </w:div>
    <w:div w:id="1488201651">
      <w:bodyDiv w:val="1"/>
      <w:marLeft w:val="0"/>
      <w:marRight w:val="0"/>
      <w:marTop w:val="0"/>
      <w:marBottom w:val="0"/>
      <w:divBdr>
        <w:top w:val="none" w:sz="0" w:space="0" w:color="auto"/>
        <w:left w:val="none" w:sz="0" w:space="0" w:color="auto"/>
        <w:bottom w:val="none" w:sz="0" w:space="0" w:color="auto"/>
        <w:right w:val="none" w:sz="0" w:space="0" w:color="auto"/>
      </w:divBdr>
    </w:div>
    <w:div w:id="1492941067">
      <w:bodyDiv w:val="1"/>
      <w:marLeft w:val="0"/>
      <w:marRight w:val="0"/>
      <w:marTop w:val="0"/>
      <w:marBottom w:val="0"/>
      <w:divBdr>
        <w:top w:val="none" w:sz="0" w:space="0" w:color="auto"/>
        <w:left w:val="none" w:sz="0" w:space="0" w:color="auto"/>
        <w:bottom w:val="none" w:sz="0" w:space="0" w:color="auto"/>
        <w:right w:val="none" w:sz="0" w:space="0" w:color="auto"/>
      </w:divBdr>
    </w:div>
    <w:div w:id="1557550340">
      <w:bodyDiv w:val="1"/>
      <w:marLeft w:val="0"/>
      <w:marRight w:val="0"/>
      <w:marTop w:val="0"/>
      <w:marBottom w:val="0"/>
      <w:divBdr>
        <w:top w:val="none" w:sz="0" w:space="0" w:color="auto"/>
        <w:left w:val="none" w:sz="0" w:space="0" w:color="auto"/>
        <w:bottom w:val="none" w:sz="0" w:space="0" w:color="auto"/>
        <w:right w:val="none" w:sz="0" w:space="0" w:color="auto"/>
      </w:divBdr>
    </w:div>
    <w:div w:id="1574194447">
      <w:bodyDiv w:val="1"/>
      <w:marLeft w:val="0"/>
      <w:marRight w:val="0"/>
      <w:marTop w:val="0"/>
      <w:marBottom w:val="0"/>
      <w:divBdr>
        <w:top w:val="none" w:sz="0" w:space="0" w:color="auto"/>
        <w:left w:val="none" w:sz="0" w:space="0" w:color="auto"/>
        <w:bottom w:val="none" w:sz="0" w:space="0" w:color="auto"/>
        <w:right w:val="none" w:sz="0" w:space="0" w:color="auto"/>
      </w:divBdr>
    </w:div>
    <w:div w:id="1650597331">
      <w:bodyDiv w:val="1"/>
      <w:marLeft w:val="0"/>
      <w:marRight w:val="0"/>
      <w:marTop w:val="0"/>
      <w:marBottom w:val="0"/>
      <w:divBdr>
        <w:top w:val="none" w:sz="0" w:space="0" w:color="auto"/>
        <w:left w:val="none" w:sz="0" w:space="0" w:color="auto"/>
        <w:bottom w:val="none" w:sz="0" w:space="0" w:color="auto"/>
        <w:right w:val="none" w:sz="0" w:space="0" w:color="auto"/>
      </w:divBdr>
    </w:div>
    <w:div w:id="1655909208">
      <w:bodyDiv w:val="1"/>
      <w:marLeft w:val="0"/>
      <w:marRight w:val="0"/>
      <w:marTop w:val="0"/>
      <w:marBottom w:val="0"/>
      <w:divBdr>
        <w:top w:val="none" w:sz="0" w:space="0" w:color="auto"/>
        <w:left w:val="none" w:sz="0" w:space="0" w:color="auto"/>
        <w:bottom w:val="none" w:sz="0" w:space="0" w:color="auto"/>
        <w:right w:val="none" w:sz="0" w:space="0" w:color="auto"/>
      </w:divBdr>
    </w:div>
    <w:div w:id="1673026218">
      <w:bodyDiv w:val="1"/>
      <w:marLeft w:val="0"/>
      <w:marRight w:val="0"/>
      <w:marTop w:val="0"/>
      <w:marBottom w:val="0"/>
      <w:divBdr>
        <w:top w:val="none" w:sz="0" w:space="0" w:color="auto"/>
        <w:left w:val="none" w:sz="0" w:space="0" w:color="auto"/>
        <w:bottom w:val="none" w:sz="0" w:space="0" w:color="auto"/>
        <w:right w:val="none" w:sz="0" w:space="0" w:color="auto"/>
      </w:divBdr>
      <w:divsChild>
        <w:div w:id="958100395">
          <w:marLeft w:val="0"/>
          <w:marRight w:val="0"/>
          <w:marTop w:val="0"/>
          <w:marBottom w:val="0"/>
          <w:divBdr>
            <w:top w:val="none" w:sz="0" w:space="0" w:color="auto"/>
            <w:left w:val="none" w:sz="0" w:space="0" w:color="auto"/>
            <w:bottom w:val="none" w:sz="0" w:space="0" w:color="auto"/>
            <w:right w:val="none" w:sz="0" w:space="0" w:color="auto"/>
          </w:divBdr>
          <w:divsChild>
            <w:div w:id="211034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4341">
      <w:bodyDiv w:val="1"/>
      <w:marLeft w:val="0"/>
      <w:marRight w:val="0"/>
      <w:marTop w:val="0"/>
      <w:marBottom w:val="0"/>
      <w:divBdr>
        <w:top w:val="none" w:sz="0" w:space="0" w:color="auto"/>
        <w:left w:val="none" w:sz="0" w:space="0" w:color="auto"/>
        <w:bottom w:val="none" w:sz="0" w:space="0" w:color="auto"/>
        <w:right w:val="none" w:sz="0" w:space="0" w:color="auto"/>
      </w:divBdr>
      <w:divsChild>
        <w:div w:id="1199009605">
          <w:marLeft w:val="0"/>
          <w:marRight w:val="0"/>
          <w:marTop w:val="0"/>
          <w:marBottom w:val="0"/>
          <w:divBdr>
            <w:top w:val="none" w:sz="0" w:space="0" w:color="auto"/>
            <w:left w:val="none" w:sz="0" w:space="0" w:color="auto"/>
            <w:bottom w:val="none" w:sz="0" w:space="0" w:color="auto"/>
            <w:right w:val="none" w:sz="0" w:space="0" w:color="auto"/>
          </w:divBdr>
        </w:div>
        <w:div w:id="1514761740">
          <w:marLeft w:val="0"/>
          <w:marRight w:val="0"/>
          <w:marTop w:val="0"/>
          <w:marBottom w:val="0"/>
          <w:divBdr>
            <w:top w:val="none" w:sz="0" w:space="0" w:color="auto"/>
            <w:left w:val="none" w:sz="0" w:space="0" w:color="auto"/>
            <w:bottom w:val="none" w:sz="0" w:space="0" w:color="auto"/>
            <w:right w:val="none" w:sz="0" w:space="0" w:color="auto"/>
          </w:divBdr>
        </w:div>
        <w:div w:id="1737436572">
          <w:marLeft w:val="0"/>
          <w:marRight w:val="0"/>
          <w:marTop w:val="0"/>
          <w:marBottom w:val="0"/>
          <w:divBdr>
            <w:top w:val="none" w:sz="0" w:space="0" w:color="auto"/>
            <w:left w:val="none" w:sz="0" w:space="0" w:color="auto"/>
            <w:bottom w:val="none" w:sz="0" w:space="0" w:color="auto"/>
            <w:right w:val="none" w:sz="0" w:space="0" w:color="auto"/>
          </w:divBdr>
        </w:div>
      </w:divsChild>
    </w:div>
    <w:div w:id="1752002918">
      <w:bodyDiv w:val="1"/>
      <w:marLeft w:val="0"/>
      <w:marRight w:val="0"/>
      <w:marTop w:val="0"/>
      <w:marBottom w:val="0"/>
      <w:divBdr>
        <w:top w:val="none" w:sz="0" w:space="0" w:color="auto"/>
        <w:left w:val="none" w:sz="0" w:space="0" w:color="auto"/>
        <w:bottom w:val="none" w:sz="0" w:space="0" w:color="auto"/>
        <w:right w:val="none" w:sz="0" w:space="0" w:color="auto"/>
      </w:divBdr>
    </w:div>
    <w:div w:id="1786997916">
      <w:bodyDiv w:val="1"/>
      <w:marLeft w:val="0"/>
      <w:marRight w:val="0"/>
      <w:marTop w:val="0"/>
      <w:marBottom w:val="0"/>
      <w:divBdr>
        <w:top w:val="none" w:sz="0" w:space="0" w:color="auto"/>
        <w:left w:val="none" w:sz="0" w:space="0" w:color="auto"/>
        <w:bottom w:val="none" w:sz="0" w:space="0" w:color="auto"/>
        <w:right w:val="none" w:sz="0" w:space="0" w:color="auto"/>
      </w:divBdr>
    </w:div>
    <w:div w:id="1990279669">
      <w:bodyDiv w:val="1"/>
      <w:marLeft w:val="0"/>
      <w:marRight w:val="0"/>
      <w:marTop w:val="0"/>
      <w:marBottom w:val="0"/>
      <w:divBdr>
        <w:top w:val="none" w:sz="0" w:space="0" w:color="auto"/>
        <w:left w:val="none" w:sz="0" w:space="0" w:color="auto"/>
        <w:bottom w:val="none" w:sz="0" w:space="0" w:color="auto"/>
        <w:right w:val="none" w:sz="0" w:space="0" w:color="auto"/>
      </w:divBdr>
    </w:div>
    <w:div w:id="2081246117">
      <w:bodyDiv w:val="1"/>
      <w:marLeft w:val="0"/>
      <w:marRight w:val="0"/>
      <w:marTop w:val="0"/>
      <w:marBottom w:val="0"/>
      <w:divBdr>
        <w:top w:val="none" w:sz="0" w:space="0" w:color="auto"/>
        <w:left w:val="none" w:sz="0" w:space="0" w:color="auto"/>
        <w:bottom w:val="none" w:sz="0" w:space="0" w:color="auto"/>
        <w:right w:val="none" w:sz="0" w:space="0" w:color="auto"/>
      </w:divBdr>
      <w:divsChild>
        <w:div w:id="1246498924">
          <w:marLeft w:val="0"/>
          <w:marRight w:val="0"/>
          <w:marTop w:val="0"/>
          <w:marBottom w:val="0"/>
          <w:divBdr>
            <w:top w:val="none" w:sz="0" w:space="0" w:color="auto"/>
            <w:left w:val="none" w:sz="0" w:space="0" w:color="auto"/>
            <w:bottom w:val="none" w:sz="0" w:space="0" w:color="auto"/>
            <w:right w:val="none" w:sz="0" w:space="0" w:color="auto"/>
          </w:divBdr>
          <w:divsChild>
            <w:div w:id="59108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4541-European-Data-Union-Strategy_fi" TargetMode="External"/><Relationship Id="rId2" Type="http://schemas.openxmlformats.org/officeDocument/2006/relationships/hyperlink" Target="https://ec.europa.eu/info/law/better-regulation/have-your-say/initiatives/14578-EUn-kyberturvallisuusasetus_fi" TargetMode="External"/><Relationship Id="rId1" Type="http://schemas.openxmlformats.org/officeDocument/2006/relationships/hyperlink" Target="https://ec.europa.eu/info/law/better-regulation/have-your-say/initiatives/14625-Tekoalyn-soveltamisstrategia-tekoalyn-maanosan-vahvistaminen_fi" TargetMode="External"/><Relationship Id="rId4" Type="http://schemas.openxmlformats.org/officeDocument/2006/relationships/hyperlink" Target="https://ec.europa.eu/info/law/better-regulation/have-your-say/initiatives/14855-Yksinkertaistaminen-digitaalipaketti-ja-koontiasetus_f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AFD1D29FD09D4186F670B11E2F31DB" ma:contentTypeVersion="9" ma:contentTypeDescription="Create a new document." ma:contentTypeScope="" ma:versionID="9492e64f1d8786b4c5a6bc9cf2e9dcfc">
  <xsd:schema xmlns:xsd="http://www.w3.org/2001/XMLSchema" xmlns:xs="http://www.w3.org/2001/XMLSchema" xmlns:p="http://schemas.microsoft.com/office/2006/metadata/properties" xmlns:ns2="d6e8c2b5-0804-41b1-bc9c-74c45783f9ff" targetNamespace="http://schemas.microsoft.com/office/2006/metadata/properties" ma:root="true" ma:fieldsID="d0f74c53c22ccacf3b29482b60a48f21" ns2:_="">
    <xsd:import namespace="d6e8c2b5-0804-41b1-bc9c-74c45783f9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8c2b5-0804-41b1-bc9c-74c45783f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e8c2b5-0804-41b1-bc9c-74c45783f9f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E126D-3355-4F3B-8442-6D048A533DA1}">
  <ds:schemaRefs>
    <ds:schemaRef ds:uri="http://schemas.microsoft.com/sharepoint/v3/contenttype/forms"/>
  </ds:schemaRefs>
</ds:datastoreItem>
</file>

<file path=customXml/itemProps2.xml><?xml version="1.0" encoding="utf-8"?>
<ds:datastoreItem xmlns:ds="http://schemas.openxmlformats.org/officeDocument/2006/customXml" ds:itemID="{031882EC-E1D6-4ACD-A63D-47815255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8c2b5-0804-41b1-bc9c-74c45783f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506D3-0E82-4AE2-A898-103096F4625F}">
  <ds:schemaRefs>
    <ds:schemaRef ds:uri="http://schemas.microsoft.com/office/2006/metadata/properties"/>
    <ds:schemaRef ds:uri="http://schemas.microsoft.com/office/infopath/2007/PartnerControls"/>
    <ds:schemaRef ds:uri="d6e8c2b5-0804-41b1-bc9c-74c45783f9ff"/>
  </ds:schemaRefs>
</ds:datastoreItem>
</file>

<file path=customXml/itemProps4.xml><?xml version="1.0" encoding="utf-8"?>
<ds:datastoreItem xmlns:ds="http://schemas.openxmlformats.org/officeDocument/2006/customXml" ds:itemID="{49150B02-92D0-4F11-AD4D-B754B62AF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16</Pages>
  <Words>21323</Words>
  <Characters>121543</Characters>
  <Application>Microsoft Office Word</Application>
  <DocSecurity>0</DocSecurity>
  <Lines>1012</Lines>
  <Paragraphs>285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2025-11-17T13:48:00Z</dcterms:created>
  <dcterms:modified xsi:type="dcterms:W3CDTF">2026-01-16T16:57:00Z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9.2, Build 20250828</vt:lpwstr>
  </property>
  <property fmtid="{D5CDD505-2E9C-101B-9397-08002B2CF9AE}" pid="3" name="MSIP_Label_6bd9ddd1-4d20-43f6-abfa-fc3c07406f94_Enabled">
    <vt:lpwstr>true</vt:lpwstr>
  </property>
  <property fmtid="{D5CDD505-2E9C-101B-9397-08002B2CF9AE}" pid="4" name="MSIP_Label_6bd9ddd1-4d20-43f6-abfa-fc3c07406f94_SetDate">
    <vt:lpwstr>2025-11-14T10:49:22Z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1d8c99d9-c830-4b2f-99ab-d6c45f17c5a9</vt:lpwstr>
  </property>
  <property fmtid="{D5CDD505-2E9C-101B-9397-08002B2CF9AE}" pid="9" name="MSIP_Label_6bd9ddd1-4d20-43f6-abfa-fc3c07406f94_ContentBits">
    <vt:lpwstr>0</vt:lpwstr>
  </property>
  <property fmtid="{D5CDD505-2E9C-101B-9397-08002B2CF9AE}" pid="10" name="MSIP_Label_6bd9ddd1-4d20-43f6-abfa-fc3c07406f94_Tag">
    <vt:lpwstr>10, 3, 0, 1</vt:lpwstr>
  </property>
  <property fmtid="{D5CDD505-2E9C-101B-9397-08002B2CF9AE}" pid="11" name="Category">
    <vt:lpwstr>COM/PL/ORG</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SJ-023</vt:lpwstr>
  </property>
  <property fmtid="{D5CDD505-2E9C-101B-9397-08002B2CF9AE}" pid="16" name="ContentTypeId">
    <vt:lpwstr>0x01010028AFD1D29FD09D4186F670B11E2F31DB</vt:lpwstr>
  </property>
  <property fmtid="{D5CDD505-2E9C-101B-9397-08002B2CF9AE}" pid="17" name="MediaServiceImageTags">
    <vt:lpwstr/>
  </property>
  <property fmtid="{D5CDD505-2E9C-101B-9397-08002B2CF9AE}" pid="18" name="DQCStatus">
    <vt:lpwstr>Yellow (DQC version 03)</vt:lpwstr>
  </property>
</Properties>
</file>