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D68A" w14:textId="3E9ECC6C" w:rsidR="00394FDE" w:rsidRDefault="002A72E0" w:rsidP="002A72E0">
      <w:pPr>
        <w:pStyle w:val="Pagedecouverture"/>
        <w:rPr>
          <w:noProof/>
        </w:rPr>
      </w:pPr>
      <w:bookmarkStart w:id="0" w:name="LW_BM_COVERPAGE"/>
      <w:r>
        <w:rPr>
          <w:noProof/>
        </w:rPr>
        <w:pict w14:anchorId="28663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AFD7A3A-F726-4989-AB2A-9CEDD2EC82CA" style="width:455.25pt;height:324pt">
            <v:imagedata r:id="rId8" o:title=""/>
          </v:shape>
        </w:pict>
      </w:r>
    </w:p>
    <w:bookmarkEnd w:id="0"/>
    <w:p w14:paraId="4E7529DE" w14:textId="77777777" w:rsidR="00394FDE" w:rsidRDefault="00394FDE" w:rsidP="00394FDE">
      <w:pPr>
        <w:rPr>
          <w:noProof/>
        </w:rPr>
        <w:sectPr w:rsidR="00394FDE" w:rsidSect="002A72E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551CDD4" w14:textId="77777777" w:rsidR="00FC0936" w:rsidRPr="00DC6FE8" w:rsidRDefault="00FC0936" w:rsidP="00DC6FE8">
      <w:pPr>
        <w:pStyle w:val="Heading1"/>
        <w:numPr>
          <w:ilvl w:val="0"/>
          <w:numId w:val="1"/>
        </w:numPr>
        <w:tabs>
          <w:tab w:val="num" w:pos="360"/>
        </w:tabs>
        <w:ind w:left="0" w:firstLine="0"/>
        <w:jc w:val="both"/>
        <w:rPr>
          <w:rFonts w:ascii="Times New Roman" w:eastAsia="Times New Roman" w:hAnsi="Times New Roman" w:cs="Times New Roman"/>
          <w:noProof/>
          <w:lang w:eastAsia="en-GB"/>
        </w:rPr>
      </w:pPr>
      <w:bookmarkStart w:id="1" w:name="_GoBack"/>
      <w:bookmarkEnd w:id="1"/>
      <w:r w:rsidRPr="00DC6FE8">
        <w:rPr>
          <w:rFonts w:ascii="Times New Roman" w:eastAsia="Times New Roman" w:hAnsi="Times New Roman" w:cs="Times New Roman"/>
          <w:noProof/>
          <w:lang w:eastAsia="en-GB"/>
        </w:rPr>
        <w:lastRenderedPageBreak/>
        <w:t>Introduction</w:t>
      </w:r>
    </w:p>
    <w:p w14:paraId="5E5227BD" w14:textId="122803FB" w:rsidR="00FC0936" w:rsidRDefault="00CF409E" w:rsidP="00DC6FE8">
      <w:pPr>
        <w:jc w:val="both"/>
        <w:rPr>
          <w:rFonts w:ascii="Times New Roman" w:eastAsia="Times New Roman" w:hAnsi="Times New Roman" w:cs="Times New Roman"/>
          <w:noProof/>
        </w:rPr>
      </w:pPr>
      <w:r w:rsidRPr="00600818">
        <w:rPr>
          <w:rFonts w:ascii="Times New Roman" w:eastAsia="Times New Roman" w:hAnsi="Times New Roman" w:cs="Times New Roman"/>
          <w:noProof/>
        </w:rPr>
        <w:t xml:space="preserve">A competitive and economically viable fishing sector relies on healthy fish stocks and a healthy ocean. European fisheries continue the trend from previous years of gradually improving their sustainability with </w:t>
      </w:r>
      <w:r w:rsidRPr="00600818" w:rsidDel="39191720">
        <w:rPr>
          <w:rFonts w:ascii="Times New Roman" w:eastAsia="Times New Roman" w:hAnsi="Times New Roman" w:cs="Times New Roman"/>
          <w:noProof/>
        </w:rPr>
        <w:t>more fish stocks fished at sustainable levels</w:t>
      </w:r>
      <w:r w:rsidRPr="7A9D6F0C">
        <w:rPr>
          <w:rFonts w:ascii="Times New Roman" w:eastAsia="Times New Roman" w:hAnsi="Times New Roman" w:cs="Times New Roman"/>
          <w:noProof/>
        </w:rPr>
        <w:t xml:space="preserve"> in 2024</w:t>
      </w:r>
      <w:r w:rsidRPr="00600818" w:rsidDel="39191720">
        <w:rPr>
          <w:rFonts w:ascii="Times New Roman" w:eastAsia="Times New Roman" w:hAnsi="Times New Roman" w:cs="Times New Roman"/>
          <w:noProof/>
        </w:rPr>
        <w:t xml:space="preserve"> </w:t>
      </w:r>
      <w:r w:rsidRPr="7A9D6F0C">
        <w:rPr>
          <w:rFonts w:ascii="Times New Roman" w:eastAsia="Times New Roman" w:hAnsi="Times New Roman" w:cs="Times New Roman"/>
          <w:noProof/>
        </w:rPr>
        <w:t>than</w:t>
      </w:r>
      <w:r w:rsidRPr="00600818">
        <w:rPr>
          <w:rFonts w:ascii="Times New Roman" w:eastAsia="Times New Roman" w:hAnsi="Times New Roman" w:cs="Times New Roman"/>
          <w:noProof/>
        </w:rPr>
        <w:t xml:space="preserve"> 2003. However, </w:t>
      </w:r>
      <w:r w:rsidRPr="7A9D6F0C">
        <w:rPr>
          <w:rFonts w:ascii="Times New Roman" w:eastAsia="Times New Roman" w:hAnsi="Times New Roman" w:cs="Times New Roman"/>
          <w:noProof/>
        </w:rPr>
        <w:t>efforts must also be made to tackle</w:t>
      </w:r>
      <w:r w:rsidRPr="00600818">
        <w:rPr>
          <w:rFonts w:ascii="Times New Roman" w:eastAsia="Times New Roman" w:hAnsi="Times New Roman" w:cs="Times New Roman"/>
          <w:noProof/>
        </w:rPr>
        <w:t xml:space="preserve"> pressures other than fisheries </w:t>
      </w:r>
      <w:r w:rsidRPr="7A9D6F0C">
        <w:rPr>
          <w:rFonts w:ascii="Times New Roman" w:eastAsia="Times New Roman" w:hAnsi="Times New Roman" w:cs="Times New Roman"/>
          <w:noProof/>
        </w:rPr>
        <w:t xml:space="preserve">that are increasingly </w:t>
      </w:r>
      <w:r w:rsidRPr="00600818">
        <w:rPr>
          <w:rFonts w:ascii="Times New Roman" w:eastAsia="Times New Roman" w:hAnsi="Times New Roman" w:cs="Times New Roman"/>
          <w:noProof/>
        </w:rPr>
        <w:t xml:space="preserve">affecting fish stocks. Examples </w:t>
      </w:r>
      <w:r w:rsidRPr="7A9D6F0C">
        <w:rPr>
          <w:rFonts w:ascii="Times New Roman" w:eastAsia="Times New Roman" w:hAnsi="Times New Roman" w:cs="Times New Roman"/>
          <w:noProof/>
        </w:rPr>
        <w:t>include</w:t>
      </w:r>
      <w:r w:rsidRPr="00600818">
        <w:rPr>
          <w:rFonts w:ascii="Times New Roman" w:eastAsia="Times New Roman" w:hAnsi="Times New Roman" w:cs="Times New Roman"/>
          <w:noProof/>
        </w:rPr>
        <w:t xml:space="preserve"> abundance of zooplankton</w:t>
      </w:r>
      <w:r>
        <w:rPr>
          <w:rStyle w:val="FootnoteReference"/>
          <w:rFonts w:ascii="Times New Roman" w:eastAsia="Times New Roman" w:hAnsi="Times New Roman" w:cs="Times New Roman"/>
          <w:noProof/>
        </w:rPr>
        <w:footnoteReference w:id="1"/>
      </w:r>
      <w:r w:rsidRPr="00600818">
        <w:rPr>
          <w:rFonts w:ascii="Times New Roman" w:eastAsia="Times New Roman" w:hAnsi="Times New Roman" w:cs="Times New Roman"/>
          <w:noProof/>
        </w:rPr>
        <w:t xml:space="preserve"> and eutrophication</w:t>
      </w:r>
      <w:r>
        <w:rPr>
          <w:rStyle w:val="FootnoteReference"/>
          <w:rFonts w:ascii="Times New Roman" w:eastAsia="Times New Roman" w:hAnsi="Times New Roman" w:cs="Times New Roman"/>
          <w:noProof/>
        </w:rPr>
        <w:footnoteReference w:id="2"/>
      </w:r>
      <w:r w:rsidRPr="00600818">
        <w:rPr>
          <w:rFonts w:ascii="Times New Roman" w:eastAsia="Times New Roman" w:hAnsi="Times New Roman" w:cs="Times New Roman"/>
          <w:noProof/>
          <w:vertAlign w:val="superscript"/>
        </w:rPr>
        <w:t xml:space="preserve"> </w:t>
      </w:r>
      <w:r w:rsidRPr="00600818">
        <w:rPr>
          <w:rFonts w:ascii="Times New Roman" w:eastAsia="Times New Roman" w:hAnsi="Times New Roman" w:cs="Times New Roman"/>
          <w:noProof/>
        </w:rPr>
        <w:t>in the Baltic Sea</w:t>
      </w:r>
      <w:r w:rsidRPr="00600818">
        <w:rPr>
          <w:rFonts w:ascii="Times New Roman" w:hAnsi="Times New Roman" w:cs="Times New Roman"/>
          <w:noProof/>
        </w:rPr>
        <w:t xml:space="preserve"> or climate change impact in the Baltic Sea, Bay of Biscay and Mediterranean Sea</w:t>
      </w:r>
      <w:r w:rsidRPr="00DC6FE8">
        <w:rPr>
          <w:rStyle w:val="FootnoteReference"/>
          <w:rFonts w:ascii="Times New Roman" w:hAnsi="Times New Roman" w:cs="Times New Roman"/>
          <w:noProof/>
        </w:rPr>
        <w:footnoteReference w:id="3"/>
      </w:r>
      <w:r w:rsidRPr="00600818">
        <w:rPr>
          <w:rFonts w:ascii="Times New Roman" w:eastAsia="Times New Roman" w:hAnsi="Times New Roman" w:cs="Times New Roman"/>
          <w:noProof/>
        </w:rPr>
        <w:t>. Both the EU Mission</w:t>
      </w:r>
      <w:r>
        <w:rPr>
          <w:rFonts w:ascii="Times New Roman" w:eastAsia="Times New Roman" w:hAnsi="Times New Roman" w:cs="Times New Roman"/>
          <w:noProof/>
        </w:rPr>
        <w:t xml:space="preserve"> </w:t>
      </w:r>
      <w:r w:rsidRPr="7A9D6F0C">
        <w:rPr>
          <w:rFonts w:ascii="Times New Roman" w:eastAsia="Times New Roman" w:hAnsi="Times New Roman" w:cs="Times New Roman"/>
          <w:noProof/>
        </w:rPr>
        <w:t xml:space="preserve">‘Restore </w:t>
      </w:r>
      <w:r>
        <w:rPr>
          <w:rFonts w:ascii="Times New Roman" w:eastAsia="Times New Roman" w:hAnsi="Times New Roman" w:cs="Times New Roman"/>
          <w:noProof/>
        </w:rPr>
        <w:t>our</w:t>
      </w:r>
      <w:r w:rsidRPr="00600818">
        <w:rPr>
          <w:rFonts w:ascii="Times New Roman" w:eastAsia="Times New Roman" w:hAnsi="Times New Roman" w:cs="Times New Roman"/>
          <w:noProof/>
        </w:rPr>
        <w:t xml:space="preserve"> Ocean and Waters</w:t>
      </w:r>
      <w:r w:rsidRPr="7A9D6F0C">
        <w:rPr>
          <w:rFonts w:ascii="Times New Roman" w:eastAsia="Times New Roman" w:hAnsi="Times New Roman" w:cs="Times New Roman"/>
          <w:noProof/>
        </w:rPr>
        <w:t>’</w:t>
      </w:r>
      <w:r w:rsidRPr="00DC6FE8">
        <w:rPr>
          <w:rStyle w:val="FootnoteReference"/>
          <w:rFonts w:ascii="Times New Roman" w:eastAsia="Times New Roman" w:hAnsi="Times New Roman" w:cs="Times New Roman"/>
          <w:noProof/>
        </w:rPr>
        <w:footnoteReference w:id="4"/>
      </w:r>
      <w:r w:rsidRPr="00600818">
        <w:rPr>
          <w:rFonts w:ascii="Times New Roman" w:eastAsia="Times New Roman" w:hAnsi="Times New Roman" w:cs="Times New Roman"/>
          <w:noProof/>
        </w:rPr>
        <w:t>, and the Nature Restoration Regulation</w:t>
      </w:r>
      <w:r>
        <w:rPr>
          <w:rStyle w:val="FootnoteReference"/>
          <w:rFonts w:ascii="Times New Roman" w:eastAsia="Times New Roman" w:hAnsi="Times New Roman" w:cs="Times New Roman"/>
          <w:noProof/>
        </w:rPr>
        <w:footnoteReference w:id="5"/>
      </w:r>
      <w:r w:rsidRPr="00600818">
        <w:rPr>
          <w:rFonts w:ascii="Times New Roman" w:eastAsia="Times New Roman" w:hAnsi="Times New Roman" w:cs="Times New Roman"/>
          <w:noProof/>
        </w:rPr>
        <w:t xml:space="preserve"> </w:t>
      </w:r>
      <w:r w:rsidRPr="7A9D6F0C">
        <w:rPr>
          <w:rFonts w:ascii="Times New Roman" w:eastAsia="Times New Roman" w:hAnsi="Times New Roman" w:cs="Times New Roman"/>
          <w:noProof/>
        </w:rPr>
        <w:t>have a target of year</w:t>
      </w:r>
      <w:r w:rsidRPr="00600818">
        <w:rPr>
          <w:rFonts w:ascii="Times New Roman" w:eastAsia="Times New Roman" w:hAnsi="Times New Roman" w:cs="Times New Roman"/>
          <w:noProof/>
        </w:rPr>
        <w:t xml:space="preserve"> 2030 for restoring nature and ecosystems.</w:t>
      </w:r>
    </w:p>
    <w:p w14:paraId="09FC6D86" w14:textId="6D5DCF0E" w:rsidR="00CF409E" w:rsidRDefault="00CF409E" w:rsidP="00DC6FE8">
      <w:pPr>
        <w:jc w:val="both"/>
        <w:rPr>
          <w:rFonts w:ascii="Times New Roman" w:eastAsia="Times New Roman" w:hAnsi="Times New Roman" w:cs="Times New Roman"/>
          <w:noProof/>
        </w:rPr>
      </w:pPr>
      <w:bookmarkStart w:id="2" w:name="_Hlk195274272"/>
      <w:r w:rsidRPr="00DC6FE8">
        <w:rPr>
          <w:rFonts w:ascii="Times New Roman" w:eastAsia="Times New Roman" w:hAnsi="Times New Roman" w:cs="Times New Roman"/>
          <w:noProof/>
        </w:rPr>
        <w:t>In th</w:t>
      </w:r>
      <w:r>
        <w:rPr>
          <w:rFonts w:ascii="Times New Roman" w:eastAsia="Times New Roman" w:hAnsi="Times New Roman" w:cs="Times New Roman"/>
          <w:noProof/>
        </w:rPr>
        <w:t xml:space="preserve">e context of existing challenges for the fisheries sector </w:t>
      </w:r>
      <w:r w:rsidRPr="7CE91E73">
        <w:rPr>
          <w:rFonts w:ascii="Times New Roman" w:eastAsia="Times New Roman" w:hAnsi="Times New Roman" w:cs="Times New Roman"/>
          <w:noProof/>
        </w:rPr>
        <w:t>as well as</w:t>
      </w:r>
      <w:r>
        <w:rPr>
          <w:rFonts w:ascii="Times New Roman" w:eastAsia="Times New Roman" w:hAnsi="Times New Roman" w:cs="Times New Roman"/>
          <w:noProof/>
        </w:rPr>
        <w:t xml:space="preserve"> enormous potential for sustainable fisheries, </w:t>
      </w:r>
      <w:r w:rsidRPr="00DC6FE8">
        <w:rPr>
          <w:rFonts w:ascii="Times New Roman" w:eastAsia="Times New Roman" w:hAnsi="Times New Roman" w:cs="Times New Roman"/>
          <w:noProof/>
        </w:rPr>
        <w:t>the Commission has started a comprehensive evaluation of the C</w:t>
      </w:r>
      <w:r w:rsidRPr="7CE91E73">
        <w:rPr>
          <w:rFonts w:ascii="Times New Roman" w:eastAsia="Times New Roman" w:hAnsi="Times New Roman" w:cs="Times New Roman"/>
          <w:noProof/>
        </w:rPr>
        <w:t xml:space="preserve">ommon </w:t>
      </w:r>
      <w:r w:rsidRPr="00DC6FE8">
        <w:rPr>
          <w:rFonts w:ascii="Times New Roman" w:eastAsia="Times New Roman" w:hAnsi="Times New Roman" w:cs="Times New Roman"/>
          <w:noProof/>
        </w:rPr>
        <w:t>F</w:t>
      </w:r>
      <w:r w:rsidRPr="7CE91E73">
        <w:rPr>
          <w:rFonts w:ascii="Times New Roman" w:eastAsia="Times New Roman" w:hAnsi="Times New Roman" w:cs="Times New Roman"/>
          <w:noProof/>
        </w:rPr>
        <w:t xml:space="preserve">isheries </w:t>
      </w:r>
      <w:r w:rsidRPr="00DC6FE8">
        <w:rPr>
          <w:rFonts w:ascii="Times New Roman" w:eastAsia="Times New Roman" w:hAnsi="Times New Roman" w:cs="Times New Roman"/>
          <w:noProof/>
        </w:rPr>
        <w:t>P</w:t>
      </w:r>
      <w:r w:rsidRPr="7CE91E73">
        <w:rPr>
          <w:rFonts w:ascii="Times New Roman" w:eastAsia="Times New Roman" w:hAnsi="Times New Roman" w:cs="Times New Roman"/>
          <w:noProof/>
        </w:rPr>
        <w:t>olicy (CFP)</w:t>
      </w:r>
      <w:r w:rsidRPr="00DC6FE8">
        <w:rPr>
          <w:rFonts w:ascii="Times New Roman" w:eastAsia="Times New Roman" w:hAnsi="Times New Roman" w:cs="Times New Roman"/>
          <w:noProof/>
        </w:rPr>
        <w:t xml:space="preserve"> Regulation</w:t>
      </w:r>
      <w:r>
        <w:rPr>
          <w:rStyle w:val="FootnoteReference"/>
          <w:rFonts w:ascii="Times New Roman" w:eastAsia="Times New Roman" w:hAnsi="Times New Roman" w:cs="Times New Roman"/>
          <w:noProof/>
        </w:rPr>
        <w:footnoteReference w:id="6"/>
      </w:r>
      <w:bookmarkEnd w:id="2"/>
      <w:r>
        <w:rPr>
          <w:rFonts w:ascii="Times New Roman" w:eastAsia="Times New Roman" w:hAnsi="Times New Roman" w:cs="Times New Roman"/>
          <w:noProof/>
        </w:rPr>
        <w:t>. Th</w:t>
      </w:r>
      <w:r w:rsidRPr="7CE91E73">
        <w:rPr>
          <w:rFonts w:ascii="Times New Roman" w:eastAsia="Times New Roman" w:hAnsi="Times New Roman" w:cs="Times New Roman"/>
          <w:noProof/>
        </w:rPr>
        <w:t>e</w:t>
      </w:r>
      <w:r>
        <w:rPr>
          <w:rFonts w:ascii="Times New Roman" w:eastAsia="Times New Roman" w:hAnsi="Times New Roman" w:cs="Times New Roman"/>
          <w:noProof/>
        </w:rPr>
        <w:t xml:space="preserve"> evaluation</w:t>
      </w:r>
      <w:r w:rsidRPr="7CE91E73">
        <w:rPr>
          <w:rFonts w:ascii="Times New Roman" w:eastAsia="Times New Roman" w:hAnsi="Times New Roman" w:cs="Times New Roman"/>
          <w:noProof/>
        </w:rPr>
        <w:t xml:space="preserve"> is expected to be completed in early 2026. It</w:t>
      </w:r>
      <w:r>
        <w:rPr>
          <w:rFonts w:ascii="Times New Roman" w:eastAsia="Times New Roman" w:hAnsi="Times New Roman" w:cs="Times New Roman"/>
          <w:noProof/>
        </w:rPr>
        <w:t xml:space="preserve"> will be </w:t>
      </w:r>
      <w:r w:rsidRPr="00DC6FE8">
        <w:rPr>
          <w:rFonts w:ascii="Times New Roman" w:eastAsia="Times New Roman" w:hAnsi="Times New Roman" w:cs="Times New Roman"/>
          <w:noProof/>
        </w:rPr>
        <w:t xml:space="preserve">the basis for establishing a 2040 </w:t>
      </w:r>
      <w:r w:rsidRPr="7CE91E73">
        <w:rPr>
          <w:rFonts w:ascii="Times New Roman" w:eastAsia="Times New Roman" w:hAnsi="Times New Roman" w:cs="Times New Roman"/>
          <w:noProof/>
        </w:rPr>
        <w:t xml:space="preserve">vision </w:t>
      </w:r>
      <w:r w:rsidRPr="00DC6FE8">
        <w:rPr>
          <w:rFonts w:ascii="Times New Roman" w:eastAsia="Times New Roman" w:hAnsi="Times New Roman" w:cs="Times New Roman"/>
          <w:noProof/>
        </w:rPr>
        <w:t>for the fisheries and aquaculture sectors, while taking into account other policy framework initiatives</w:t>
      </w:r>
      <w:r>
        <w:rPr>
          <w:rFonts w:ascii="Times New Roman" w:eastAsia="Times New Roman" w:hAnsi="Times New Roman" w:cs="Times New Roman"/>
          <w:noProof/>
        </w:rPr>
        <w:t>,</w:t>
      </w:r>
      <w:r w:rsidRPr="00DC6FE8">
        <w:rPr>
          <w:rFonts w:ascii="Times New Roman" w:eastAsia="Times New Roman" w:hAnsi="Times New Roman" w:cs="Times New Roman"/>
          <w:noProof/>
        </w:rPr>
        <w:t xml:space="preserve"> such as the European Ocean Pact and the Energy Transition Roadmap for EU fisheries and aquaculture. </w:t>
      </w:r>
      <w:r w:rsidRPr="7CE91E73">
        <w:rPr>
          <w:rFonts w:ascii="Times New Roman" w:eastAsia="Times New Roman" w:hAnsi="Times New Roman" w:cs="Times New Roman"/>
          <w:noProof/>
        </w:rPr>
        <w:t>T</w:t>
      </w:r>
      <w:r w:rsidRPr="00DC6FE8">
        <w:rPr>
          <w:rFonts w:ascii="Times New Roman" w:eastAsia="Times New Roman" w:hAnsi="Times New Roman" w:cs="Times New Roman"/>
          <w:noProof/>
        </w:rPr>
        <w:t>he ongoing comprehensive evaluation of the CFP Regulation will look, among other</w:t>
      </w:r>
      <w:r w:rsidRPr="7CE91E73">
        <w:rPr>
          <w:rFonts w:ascii="Times New Roman" w:eastAsia="Times New Roman" w:hAnsi="Times New Roman" w:cs="Times New Roman"/>
          <w:noProof/>
        </w:rPr>
        <w:t xml:space="preserve"> thing</w:t>
      </w:r>
      <w:r w:rsidRPr="00DC6FE8">
        <w:rPr>
          <w:rFonts w:ascii="Times New Roman" w:eastAsia="Times New Roman" w:hAnsi="Times New Roman" w:cs="Times New Roman"/>
          <w:noProof/>
        </w:rPr>
        <w:t xml:space="preserve">s, at issues stemming from the implementation of the </w:t>
      </w:r>
      <w:r w:rsidRPr="7CE91E73">
        <w:rPr>
          <w:rFonts w:ascii="Times New Roman" w:eastAsia="Times New Roman" w:hAnsi="Times New Roman" w:cs="Times New Roman"/>
          <w:noProof/>
        </w:rPr>
        <w:t xml:space="preserve">multiannual </w:t>
      </w:r>
      <w:r>
        <w:rPr>
          <w:rFonts w:ascii="Times New Roman" w:eastAsia="Times New Roman" w:hAnsi="Times New Roman" w:cs="Times New Roman"/>
          <w:noProof/>
        </w:rPr>
        <w:t>plans, referred to in this Communication.</w:t>
      </w:r>
    </w:p>
    <w:p w14:paraId="32B32DC3" w14:textId="049A66DE" w:rsidR="00CF409E" w:rsidRPr="00CF409E" w:rsidRDefault="00CF409E" w:rsidP="00DC6FE8">
      <w:pPr>
        <w:jc w:val="both"/>
        <w:rPr>
          <w:noProof/>
        </w:rPr>
      </w:pPr>
      <w:r w:rsidRPr="00DC6FE8">
        <w:rPr>
          <w:rFonts w:ascii="Times New Roman" w:eastAsia="Times New Roman" w:hAnsi="Times New Roman" w:cs="Times New Roman"/>
          <w:noProof/>
        </w:rPr>
        <w:t xml:space="preserve">This Communication provides information on two key elements of the CFP: progress on achieving maximum sustainable yield (MSY) and </w:t>
      </w:r>
      <w:r>
        <w:rPr>
          <w:rFonts w:ascii="Times New Roman" w:eastAsia="Times New Roman" w:hAnsi="Times New Roman" w:cs="Times New Roman"/>
          <w:noProof/>
        </w:rPr>
        <w:t xml:space="preserve">the </w:t>
      </w:r>
      <w:r w:rsidRPr="00DC6FE8">
        <w:rPr>
          <w:rFonts w:ascii="Times New Roman" w:eastAsia="Times New Roman" w:hAnsi="Times New Roman" w:cs="Times New Roman"/>
          <w:noProof/>
        </w:rPr>
        <w:t xml:space="preserve">state of the EU fishing fleet. Additionally, the Communication provides information on the </w:t>
      </w:r>
      <w:r>
        <w:rPr>
          <w:rFonts w:ascii="Times New Roman" w:eastAsia="Times New Roman" w:hAnsi="Times New Roman" w:cs="Times New Roman"/>
          <w:noProof/>
        </w:rPr>
        <w:t xml:space="preserve">implementation of the </w:t>
      </w:r>
      <w:r w:rsidRPr="00DC6FE8">
        <w:rPr>
          <w:rFonts w:ascii="Times New Roman" w:eastAsia="Times New Roman" w:hAnsi="Times New Roman" w:cs="Times New Roman"/>
          <w:noProof/>
        </w:rPr>
        <w:t>landing obligation</w:t>
      </w:r>
      <w:r>
        <w:rPr>
          <w:rFonts w:ascii="Times New Roman" w:eastAsia="Times New Roman" w:hAnsi="Times New Roman" w:cs="Times New Roman"/>
          <w:noProof/>
        </w:rPr>
        <w:t xml:space="preserve">; the </w:t>
      </w:r>
      <w:r w:rsidRPr="00DC6FE8">
        <w:rPr>
          <w:rFonts w:ascii="Times New Roman" w:eastAsia="Times New Roman" w:hAnsi="Times New Roman" w:cs="Times New Roman"/>
          <w:noProof/>
        </w:rPr>
        <w:t>socio-economic performance</w:t>
      </w:r>
      <w:r>
        <w:rPr>
          <w:rFonts w:ascii="Times New Roman" w:eastAsia="Times New Roman" w:hAnsi="Times New Roman" w:cs="Times New Roman"/>
          <w:noProof/>
        </w:rPr>
        <w:t xml:space="preserve"> </w:t>
      </w:r>
      <w:r w:rsidRPr="00DC6FE8">
        <w:rPr>
          <w:rFonts w:ascii="Times New Roman" w:eastAsia="Times New Roman" w:hAnsi="Times New Roman" w:cs="Times New Roman"/>
          <w:noProof/>
        </w:rPr>
        <w:t>of European fisheries</w:t>
      </w:r>
      <w:r>
        <w:rPr>
          <w:rFonts w:ascii="Times New Roman" w:eastAsia="Times New Roman" w:hAnsi="Times New Roman" w:cs="Times New Roman"/>
          <w:noProof/>
        </w:rPr>
        <w:t>;</w:t>
      </w:r>
      <w:r w:rsidRPr="00DC6FE8">
        <w:rPr>
          <w:rFonts w:ascii="Times New Roman" w:eastAsia="Times New Roman" w:hAnsi="Times New Roman" w:cs="Times New Roman"/>
          <w:noProof/>
        </w:rPr>
        <w:t xml:space="preserve"> and the continuous path to ensur</w:t>
      </w:r>
      <w:r>
        <w:rPr>
          <w:rFonts w:ascii="Times New Roman" w:eastAsia="Times New Roman" w:hAnsi="Times New Roman" w:cs="Times New Roman"/>
          <w:noProof/>
        </w:rPr>
        <w:t>ing</w:t>
      </w:r>
      <w:r w:rsidRPr="00DC6FE8">
        <w:rPr>
          <w:rFonts w:ascii="Times New Roman" w:eastAsia="Times New Roman" w:hAnsi="Times New Roman" w:cs="Times New Roman"/>
          <w:noProof/>
        </w:rPr>
        <w:t xml:space="preserve"> </w:t>
      </w:r>
      <w:r>
        <w:rPr>
          <w:rFonts w:ascii="Times New Roman" w:eastAsia="Times New Roman" w:hAnsi="Times New Roman" w:cs="Times New Roman"/>
          <w:noProof/>
        </w:rPr>
        <w:t xml:space="preserve">their </w:t>
      </w:r>
      <w:r w:rsidRPr="00DC6FE8">
        <w:rPr>
          <w:rFonts w:ascii="Times New Roman" w:eastAsia="Times New Roman" w:hAnsi="Times New Roman" w:cs="Times New Roman"/>
          <w:noProof/>
        </w:rPr>
        <w:t>competitiveness, resilience and sustainability.</w:t>
      </w:r>
    </w:p>
    <w:p w14:paraId="67649FC1" w14:textId="77777777" w:rsidR="00FC0936" w:rsidRPr="00DC6FE8" w:rsidRDefault="00FC0936" w:rsidP="00DC6FE8">
      <w:pPr>
        <w:pStyle w:val="Heading1"/>
        <w:numPr>
          <w:ilvl w:val="0"/>
          <w:numId w:val="1"/>
        </w:numPr>
        <w:jc w:val="both"/>
        <w:rPr>
          <w:rFonts w:ascii="Times New Roman" w:eastAsia="Times New Roman" w:hAnsi="Times New Roman" w:cs="Times New Roman"/>
          <w:noProof/>
          <w:szCs w:val="24"/>
        </w:rPr>
      </w:pPr>
      <w:r w:rsidRPr="00DC6FE8">
        <w:rPr>
          <w:rFonts w:ascii="Times New Roman" w:eastAsia="Times New Roman" w:hAnsi="Times New Roman" w:cs="Times New Roman"/>
          <w:noProof/>
          <w:szCs w:val="24"/>
        </w:rPr>
        <w:t>Progress in achieving maximum sustainable yield</w:t>
      </w:r>
    </w:p>
    <w:p w14:paraId="1098AB3A" w14:textId="7791BE9D" w:rsidR="00FC0936" w:rsidRDefault="00CF409E" w:rsidP="00DC6FE8">
      <w:pPr>
        <w:jc w:val="both"/>
        <w:rPr>
          <w:rFonts w:ascii="Times New Roman" w:eastAsia="Times New Roman" w:hAnsi="Times New Roman" w:cs="Times New Roman"/>
          <w:noProof/>
        </w:rPr>
      </w:pPr>
      <w:r w:rsidRPr="00DC6FE8">
        <w:rPr>
          <w:rFonts w:ascii="Times New Roman" w:eastAsia="Times New Roman" w:hAnsi="Times New Roman" w:cs="Times New Roman"/>
          <w:noProof/>
          <w:color w:val="000000" w:themeColor="text1"/>
        </w:rPr>
        <w:t>For generations, fisheries have provided a source of livelihood for many coastal communities</w:t>
      </w:r>
      <w:r w:rsidRPr="7A9D6F0C">
        <w:rPr>
          <w:rFonts w:ascii="Times New Roman" w:eastAsia="Times New Roman" w:hAnsi="Times New Roman" w:cs="Times New Roman"/>
          <w:noProof/>
          <w:color w:val="000000" w:themeColor="text1"/>
        </w:rPr>
        <w:t xml:space="preserve"> </w:t>
      </w:r>
      <w:r w:rsidRPr="7A9D6F0C">
        <w:rPr>
          <w:rFonts w:ascii="Times New Roman" w:eastAsia="Times New Roman" w:hAnsi="Times New Roman" w:cs="Times New Roman"/>
          <w:noProof/>
          <w:color w:val="000000" w:themeColor="text1"/>
          <w:lang w:val="en-GB"/>
        </w:rPr>
        <w:t xml:space="preserve">in Europe and </w:t>
      </w:r>
      <w:r>
        <w:rPr>
          <w:rFonts w:ascii="Times New Roman" w:eastAsia="Times New Roman" w:hAnsi="Times New Roman" w:cs="Times New Roman"/>
          <w:noProof/>
          <w:color w:val="000000" w:themeColor="text1"/>
          <w:lang w:val="en-GB"/>
        </w:rPr>
        <w:t>are</w:t>
      </w:r>
      <w:r w:rsidRPr="7A9D6F0C">
        <w:rPr>
          <w:rFonts w:ascii="Times New Roman" w:eastAsia="Times New Roman" w:hAnsi="Times New Roman" w:cs="Times New Roman"/>
          <w:noProof/>
          <w:color w:val="000000" w:themeColor="text1"/>
          <w:lang w:val="en-GB"/>
        </w:rPr>
        <w:t xml:space="preserve"> an important part of their cultural identity</w:t>
      </w:r>
      <w:r w:rsidRPr="00DC6FE8">
        <w:rPr>
          <w:rFonts w:ascii="Times New Roman" w:eastAsia="Times New Roman" w:hAnsi="Times New Roman" w:cs="Times New Roman"/>
          <w:noProof/>
          <w:color w:val="000000" w:themeColor="text1"/>
        </w:rPr>
        <w:t xml:space="preserve">. </w:t>
      </w:r>
      <w:r w:rsidRPr="00DC6FE8">
        <w:rPr>
          <w:rFonts w:ascii="Times New Roman" w:eastAsia="Times New Roman" w:hAnsi="Times New Roman" w:cs="Times New Roman"/>
          <w:noProof/>
        </w:rPr>
        <w:t>Thanks to the continued efforts made by fishers and national administrations and the commitment from the European Parliament, the Council and the Commission, EU fisheries continue their progress toward more sustainability</w:t>
      </w:r>
      <w:r w:rsidRPr="7A9D6F0C">
        <w:rPr>
          <w:rFonts w:ascii="Times New Roman" w:eastAsia="Times New Roman" w:hAnsi="Times New Roman" w:cs="Times New Roman"/>
          <w:noProof/>
        </w:rPr>
        <w:t>. F</w:t>
      </w:r>
      <w:r w:rsidRPr="00DC6FE8">
        <w:rPr>
          <w:rFonts w:ascii="Times New Roman" w:eastAsia="Times New Roman" w:hAnsi="Times New Roman" w:cs="Times New Roman"/>
          <w:noProof/>
        </w:rPr>
        <w:t xml:space="preserve">ar fewer stocks </w:t>
      </w:r>
      <w:r w:rsidRPr="7A9D6F0C">
        <w:rPr>
          <w:rFonts w:ascii="Times New Roman" w:eastAsia="Times New Roman" w:hAnsi="Times New Roman" w:cs="Times New Roman"/>
          <w:noProof/>
        </w:rPr>
        <w:t xml:space="preserve">are </w:t>
      </w:r>
      <w:r w:rsidRPr="00DC6FE8">
        <w:rPr>
          <w:rFonts w:ascii="Times New Roman" w:eastAsia="Times New Roman" w:hAnsi="Times New Roman" w:cs="Times New Roman"/>
          <w:noProof/>
        </w:rPr>
        <w:t>overfished in the EU today</w:t>
      </w:r>
      <w:r w:rsidRPr="7A9D6F0C">
        <w:rPr>
          <w:rFonts w:ascii="Times New Roman" w:eastAsia="Times New Roman" w:hAnsi="Times New Roman" w:cs="Times New Roman"/>
          <w:noProof/>
        </w:rPr>
        <w:t xml:space="preserve"> than</w:t>
      </w:r>
      <w:r w:rsidRPr="00DC6FE8">
        <w:rPr>
          <w:rFonts w:ascii="Times New Roman" w:eastAsia="Times New Roman" w:hAnsi="Times New Roman" w:cs="Times New Roman"/>
          <w:noProof/>
        </w:rPr>
        <w:t xml:space="preserve"> 20 years ago. To continue this progress</w:t>
      </w:r>
      <w:r w:rsidRPr="00600818">
        <w:rPr>
          <w:rFonts w:ascii="Times New Roman" w:eastAsia="Times New Roman" w:hAnsi="Times New Roman" w:cs="Times New Roman"/>
          <w:noProof/>
        </w:rPr>
        <w:t xml:space="preserve"> </w:t>
      </w:r>
      <w:r>
        <w:rPr>
          <w:rFonts w:ascii="Times New Roman" w:eastAsia="Times New Roman" w:hAnsi="Times New Roman" w:cs="Times New Roman"/>
          <w:noProof/>
        </w:rPr>
        <w:t xml:space="preserve">and </w:t>
      </w:r>
      <w:r w:rsidRPr="00DC6FE8">
        <w:rPr>
          <w:rFonts w:ascii="Times New Roman" w:eastAsia="Times New Roman" w:hAnsi="Times New Roman" w:cs="Times New Roman"/>
          <w:noProof/>
        </w:rPr>
        <w:t xml:space="preserve">provide the best available scientific advice </w:t>
      </w:r>
      <w:r w:rsidRPr="7A9D6F0C">
        <w:rPr>
          <w:rFonts w:ascii="Times New Roman" w:eastAsia="Times New Roman" w:hAnsi="Times New Roman" w:cs="Times New Roman"/>
          <w:noProof/>
        </w:rPr>
        <w:t>to</w:t>
      </w:r>
      <w:r w:rsidRPr="00DC6FE8">
        <w:rPr>
          <w:rFonts w:ascii="Times New Roman" w:eastAsia="Times New Roman" w:hAnsi="Times New Roman" w:cs="Times New Roman"/>
          <w:noProof/>
        </w:rPr>
        <w:t xml:space="preserve"> decision-makers</w:t>
      </w:r>
      <w:r>
        <w:rPr>
          <w:rFonts w:ascii="Times New Roman" w:eastAsia="Times New Roman" w:hAnsi="Times New Roman" w:cs="Times New Roman"/>
          <w:noProof/>
        </w:rPr>
        <w:t xml:space="preserve">, </w:t>
      </w:r>
      <w:r w:rsidRPr="00DC6FE8">
        <w:rPr>
          <w:rFonts w:ascii="Times New Roman" w:eastAsia="Times New Roman" w:hAnsi="Times New Roman" w:cs="Times New Roman"/>
          <w:noProof/>
        </w:rPr>
        <w:t xml:space="preserve">further development </w:t>
      </w:r>
      <w:r w:rsidRPr="7A9D6F0C">
        <w:rPr>
          <w:rFonts w:ascii="Times New Roman" w:eastAsia="Times New Roman" w:hAnsi="Times New Roman" w:cs="Times New Roman"/>
          <w:noProof/>
        </w:rPr>
        <w:t>is needed in</w:t>
      </w:r>
      <w:r w:rsidRPr="00DC6FE8">
        <w:rPr>
          <w:rFonts w:ascii="Times New Roman" w:eastAsia="Times New Roman" w:hAnsi="Times New Roman" w:cs="Times New Roman"/>
          <w:noProof/>
        </w:rPr>
        <w:t xml:space="preserve"> science, research and technology</w:t>
      </w:r>
      <w:r w:rsidRPr="00DC6FE8">
        <w:rPr>
          <w:rStyle w:val="FootnoteReference"/>
          <w:rFonts w:ascii="Times New Roman" w:eastAsia="Times New Roman" w:hAnsi="Times New Roman" w:cs="Times New Roman"/>
          <w:noProof/>
        </w:rPr>
        <w:footnoteReference w:id="7"/>
      </w:r>
      <w:r w:rsidRPr="00DC6FE8">
        <w:rPr>
          <w:rFonts w:ascii="Times New Roman" w:eastAsia="Times New Roman" w:hAnsi="Times New Roman" w:cs="Times New Roman"/>
          <w:noProof/>
        </w:rPr>
        <w:t>.</w:t>
      </w:r>
      <w:r>
        <w:rPr>
          <w:rFonts w:ascii="Times New Roman" w:eastAsia="Times New Roman" w:hAnsi="Times New Roman" w:cs="Times New Roman"/>
          <w:noProof/>
        </w:rPr>
        <w:t xml:space="preserve"> </w:t>
      </w:r>
      <w:r w:rsidRPr="00DC6FE8">
        <w:rPr>
          <w:rFonts w:ascii="Times New Roman" w:eastAsia="Times New Roman" w:hAnsi="Times New Roman" w:cs="Times New Roman"/>
          <w:noProof/>
        </w:rPr>
        <w:t xml:space="preserve">It </w:t>
      </w:r>
      <w:r>
        <w:rPr>
          <w:rFonts w:ascii="Times New Roman" w:eastAsia="Times New Roman" w:hAnsi="Times New Roman" w:cs="Times New Roman"/>
          <w:noProof/>
        </w:rPr>
        <w:t xml:space="preserve">is </w:t>
      </w:r>
      <w:r w:rsidRPr="00DC6FE8">
        <w:rPr>
          <w:rFonts w:ascii="Times New Roman" w:eastAsia="Times New Roman" w:hAnsi="Times New Roman" w:cs="Times New Roman"/>
          <w:noProof/>
        </w:rPr>
        <w:t xml:space="preserve">also </w:t>
      </w:r>
      <w:r>
        <w:rPr>
          <w:rFonts w:ascii="Times New Roman" w:eastAsia="Times New Roman" w:hAnsi="Times New Roman" w:cs="Times New Roman"/>
          <w:noProof/>
        </w:rPr>
        <w:t xml:space="preserve">for the </w:t>
      </w:r>
      <w:r w:rsidRPr="00DC6FE8">
        <w:rPr>
          <w:rFonts w:ascii="Times New Roman" w:eastAsia="Times New Roman" w:hAnsi="Times New Roman" w:cs="Times New Roman"/>
          <w:noProof/>
        </w:rPr>
        <w:t xml:space="preserve">fishing industry to look beyond managing fisheries with fish quotas or effort limitations and come up with additional measures </w:t>
      </w:r>
      <w:r>
        <w:rPr>
          <w:rFonts w:ascii="Times New Roman" w:eastAsia="Times New Roman" w:hAnsi="Times New Roman" w:cs="Times New Roman"/>
          <w:noProof/>
        </w:rPr>
        <w:t>to address existing socio-economic</w:t>
      </w:r>
      <w:r w:rsidRPr="00DC6FE8">
        <w:rPr>
          <w:rFonts w:ascii="Times New Roman" w:eastAsia="Times New Roman" w:hAnsi="Times New Roman" w:cs="Times New Roman"/>
          <w:noProof/>
        </w:rPr>
        <w:t xml:space="preserve"> fluctuations</w:t>
      </w:r>
      <w:r>
        <w:rPr>
          <w:rFonts w:ascii="Times New Roman" w:eastAsia="Times New Roman" w:hAnsi="Times New Roman" w:cs="Times New Roman"/>
          <w:noProof/>
        </w:rPr>
        <w:t xml:space="preserve">, </w:t>
      </w:r>
      <w:r w:rsidRPr="7A9D6F0C">
        <w:rPr>
          <w:rFonts w:ascii="Times New Roman" w:eastAsia="Times New Roman" w:hAnsi="Times New Roman" w:cs="Times New Roman"/>
          <w:noProof/>
        </w:rPr>
        <w:t>and</w:t>
      </w:r>
      <w:r>
        <w:rPr>
          <w:rFonts w:ascii="Times New Roman" w:eastAsia="Times New Roman" w:hAnsi="Times New Roman" w:cs="Times New Roman"/>
          <w:noProof/>
        </w:rPr>
        <w:t xml:space="preserve"> </w:t>
      </w:r>
      <w:r w:rsidRPr="00DC6FE8">
        <w:rPr>
          <w:rFonts w:ascii="Times New Roman" w:eastAsia="Times New Roman" w:hAnsi="Times New Roman" w:cs="Times New Roman"/>
          <w:noProof/>
        </w:rPr>
        <w:t xml:space="preserve">ecosystem impacts such as eutrophication and </w:t>
      </w:r>
      <w:r w:rsidRPr="7A9D6F0C">
        <w:rPr>
          <w:rFonts w:ascii="Times New Roman" w:eastAsia="Times New Roman" w:hAnsi="Times New Roman" w:cs="Times New Roman"/>
          <w:noProof/>
        </w:rPr>
        <w:t xml:space="preserve">rising </w:t>
      </w:r>
      <w:r w:rsidRPr="00DC6FE8">
        <w:rPr>
          <w:rFonts w:ascii="Times New Roman" w:eastAsia="Times New Roman" w:hAnsi="Times New Roman" w:cs="Times New Roman"/>
          <w:noProof/>
        </w:rPr>
        <w:t>sea temperatures.</w:t>
      </w:r>
    </w:p>
    <w:p w14:paraId="18B3011E" w14:textId="77777777"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Each year, the Scientific, Technical and Economic Committee for Fisheries (STECF) updates the information available on fish stocks </w:t>
      </w:r>
      <w:r>
        <w:rPr>
          <w:rFonts w:ascii="Times New Roman" w:eastAsia="Times New Roman" w:hAnsi="Times New Roman" w:cs="Times New Roman"/>
          <w:noProof/>
        </w:rPr>
        <w:t>compared to</w:t>
      </w:r>
      <w:r w:rsidRPr="00DC6FE8">
        <w:rPr>
          <w:rFonts w:ascii="Times New Roman" w:eastAsia="Times New Roman" w:hAnsi="Times New Roman" w:cs="Times New Roman"/>
          <w:noProof/>
        </w:rPr>
        <w:t xml:space="preserve"> the CFP objectives.</w:t>
      </w:r>
    </w:p>
    <w:p w14:paraId="1E4D5B44" w14:textId="42DD43E5" w:rsidR="00CF409E" w:rsidRDefault="00CF409E" w:rsidP="00DC6FE8">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In 2023, the ecoregions of the </w:t>
      </w:r>
      <w:r w:rsidRPr="00CF409E">
        <w:rPr>
          <w:rFonts w:ascii="Times New Roman" w:eastAsia="Times New Roman" w:hAnsi="Times New Roman" w:cs="Times New Roman"/>
          <w:b/>
          <w:bCs/>
          <w:noProof/>
        </w:rPr>
        <w:t>Baltic Sea</w:t>
      </w:r>
      <w:r w:rsidRPr="00CF409E">
        <w:rPr>
          <w:rFonts w:ascii="Times New Roman" w:eastAsia="Times New Roman" w:hAnsi="Times New Roman" w:cs="Times New Roman"/>
          <w:noProof/>
        </w:rPr>
        <w:t xml:space="preserve">, the </w:t>
      </w:r>
      <w:r w:rsidRPr="00CF409E">
        <w:rPr>
          <w:rFonts w:ascii="Times New Roman" w:eastAsia="Times New Roman" w:hAnsi="Times New Roman" w:cs="Times New Roman"/>
          <w:b/>
          <w:bCs/>
          <w:noProof/>
        </w:rPr>
        <w:t>Celtic Sea</w:t>
      </w:r>
      <w:r w:rsidRPr="00CF409E">
        <w:rPr>
          <w:rFonts w:ascii="Times New Roman" w:eastAsia="Times New Roman" w:hAnsi="Times New Roman" w:cs="Times New Roman"/>
          <w:noProof/>
        </w:rPr>
        <w:t xml:space="preserve"> and the </w:t>
      </w:r>
      <w:r w:rsidRPr="00CF409E">
        <w:rPr>
          <w:rFonts w:ascii="Times New Roman" w:eastAsia="Times New Roman" w:hAnsi="Times New Roman" w:cs="Times New Roman"/>
          <w:b/>
          <w:bCs/>
          <w:noProof/>
        </w:rPr>
        <w:t>Greater North Sea</w:t>
      </w:r>
      <w:r w:rsidRPr="00CF409E">
        <w:rPr>
          <w:rFonts w:ascii="Times New Roman" w:eastAsia="Times New Roman" w:hAnsi="Times New Roman" w:cs="Times New Roman"/>
          <w:noProof/>
        </w:rPr>
        <w:t xml:space="preserve"> continued the trend of reducing the average fishing pressure to what is sustainable (from 29%, 51% and 65% above </w:t>
      </w:r>
      <w:r w:rsidRPr="00CF409E">
        <w:rPr>
          <w:rFonts w:ascii="Times New Roman" w:eastAsia="Times New Roman" w:hAnsi="Times New Roman" w:cs="Times New Roman"/>
          <w:noProof/>
          <w:lang w:val="en-GB"/>
        </w:rPr>
        <w:t>the target for fishing mortality consistent with achieving maximum sustainable yield (</w:t>
      </w:r>
      <w:r w:rsidRPr="00CF409E">
        <w:rPr>
          <w:rFonts w:ascii="Times New Roman" w:eastAsia="Times New Roman" w:hAnsi="Times New Roman" w:cs="Times New Roman"/>
          <w:noProof/>
        </w:rPr>
        <w:t>F</w:t>
      </w:r>
      <w:r w:rsidRPr="00CF409E">
        <w:rPr>
          <w:rFonts w:ascii="Times New Roman" w:eastAsia="Times New Roman" w:hAnsi="Times New Roman" w:cs="Times New Roman"/>
          <w:noProof/>
          <w:vertAlign w:val="subscript"/>
        </w:rPr>
        <w:t>MSY</w:t>
      </w:r>
      <w:r w:rsidRPr="00CF409E">
        <w:rPr>
          <w:rFonts w:ascii="Times New Roman" w:eastAsia="Times New Roman" w:hAnsi="Times New Roman" w:cs="Times New Roman"/>
          <w:noProof/>
        </w:rPr>
        <w:t>) respectively in 2003, to 54%, 48% and 23% below F</w:t>
      </w:r>
      <w:r w:rsidRPr="00CF409E">
        <w:rPr>
          <w:rFonts w:ascii="Times New Roman" w:eastAsia="Times New Roman" w:hAnsi="Times New Roman" w:cs="Times New Roman"/>
          <w:noProof/>
          <w:vertAlign w:val="subscript"/>
        </w:rPr>
        <w:t>MSY</w:t>
      </w:r>
      <w:r w:rsidRPr="00CF409E">
        <w:rPr>
          <w:rStyle w:val="FootnoteReference"/>
          <w:rFonts w:ascii="Times New Roman" w:eastAsia="Times New Roman" w:hAnsi="Times New Roman" w:cs="Times New Roman"/>
          <w:noProof/>
        </w:rPr>
        <w:footnoteReference w:id="8"/>
      </w:r>
      <w:r w:rsidRPr="00CF409E">
        <w:rPr>
          <w:rFonts w:ascii="Times New Roman" w:eastAsia="Times New Roman" w:hAnsi="Times New Roman" w:cs="Times New Roman"/>
          <w:noProof/>
        </w:rPr>
        <w:t xml:space="preserve"> target in 2023). However, in particular for widely distributed stocks</w:t>
      </w:r>
      <w:r w:rsidRPr="00CF409E">
        <w:rPr>
          <w:rStyle w:val="FootnoteReference"/>
          <w:rFonts w:ascii="Times New Roman" w:eastAsia="Times New Roman" w:hAnsi="Times New Roman" w:cs="Times New Roman"/>
          <w:noProof/>
        </w:rPr>
        <w:footnoteReference w:id="9"/>
      </w:r>
      <w:r w:rsidRPr="00CF409E">
        <w:rPr>
          <w:rFonts w:ascii="Times New Roman" w:eastAsia="Times New Roman" w:hAnsi="Times New Roman" w:cs="Times New Roman"/>
          <w:noProof/>
        </w:rPr>
        <w:t xml:space="preserve"> the average fishing pressure had slightly increased from 2022 to 2023. For the Bay of Biscay, fishers have made significant efforts to manage fish stocks sustainably. Their efforts lead to fisheries managed in line with MSY for several years as shown by the 2022 STECF report</w:t>
      </w:r>
      <w:r w:rsidRPr="00CF409E">
        <w:rPr>
          <w:rStyle w:val="FootnoteReference"/>
          <w:rFonts w:ascii="Times New Roman" w:eastAsia="Times New Roman" w:hAnsi="Times New Roman" w:cs="Times New Roman"/>
          <w:noProof/>
        </w:rPr>
        <w:footnoteReference w:id="10"/>
      </w:r>
      <w:r w:rsidRPr="00CF409E">
        <w:rPr>
          <w:rFonts w:ascii="Times New Roman" w:eastAsia="Times New Roman" w:hAnsi="Times New Roman" w:cs="Times New Roman"/>
          <w:noProof/>
        </w:rPr>
        <w:t xml:space="preserve">. However, despite </w:t>
      </w:r>
      <w:r w:rsidR="002F1172">
        <w:rPr>
          <w:rFonts w:ascii="Times New Roman" w:eastAsia="Times New Roman" w:hAnsi="Times New Roman" w:cs="Times New Roman"/>
          <w:noProof/>
        </w:rPr>
        <w:t>these efforts</w:t>
      </w:r>
      <w:r w:rsidRPr="00CF409E">
        <w:rPr>
          <w:rFonts w:ascii="Times New Roman" w:eastAsia="Times New Roman" w:hAnsi="Times New Roman" w:cs="Times New Roman"/>
          <w:noProof/>
        </w:rPr>
        <w:t>, the fishing opportunities have had to be reduced substantially in recent years and remain at lower levels. Ecosystem development and rising water temperatures seem to play a role.</w:t>
      </w:r>
    </w:p>
    <w:p w14:paraId="40C729E0" w14:textId="1C93B490" w:rsidR="00CF409E" w:rsidRPr="00DC6FE8" w:rsidRDefault="00CF409E" w:rsidP="00DC6FE8">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The </w:t>
      </w:r>
      <w:r w:rsidRPr="00DC6FE8">
        <w:rPr>
          <w:rFonts w:ascii="Times New Roman" w:eastAsia="Times New Roman" w:hAnsi="Times New Roman" w:cs="Times New Roman"/>
          <w:b/>
          <w:bCs/>
          <w:noProof/>
        </w:rPr>
        <w:t>Mediterranean and Black Seas</w:t>
      </w:r>
      <w:r w:rsidRPr="00DC6FE8">
        <w:rPr>
          <w:rFonts w:ascii="Times New Roman" w:eastAsia="Times New Roman" w:hAnsi="Times New Roman" w:cs="Times New Roman"/>
          <w:noProof/>
        </w:rPr>
        <w:t xml:space="preserve"> are home to multispecies fisheries with many stocks shared with </w:t>
      </w:r>
      <w:r w:rsidRPr="585575BB">
        <w:rPr>
          <w:rFonts w:ascii="Times New Roman" w:eastAsia="Times New Roman" w:hAnsi="Times New Roman" w:cs="Times New Roman"/>
          <w:noProof/>
        </w:rPr>
        <w:t xml:space="preserve">non-EU </w:t>
      </w:r>
      <w:r w:rsidRPr="00DC6FE8">
        <w:rPr>
          <w:rFonts w:ascii="Times New Roman" w:eastAsia="Times New Roman" w:hAnsi="Times New Roman" w:cs="Times New Roman"/>
          <w:noProof/>
        </w:rPr>
        <w:t>countries. The fishing mortality rate has approached the sustainable level for some stocks, with seven having reached F</w:t>
      </w:r>
      <w:r w:rsidRPr="00DC6FE8">
        <w:rPr>
          <w:rFonts w:ascii="Times New Roman" w:eastAsia="Times New Roman" w:hAnsi="Times New Roman" w:cs="Times New Roman"/>
          <w:noProof/>
          <w:vertAlign w:val="subscript"/>
        </w:rPr>
        <w:t>MSY</w:t>
      </w:r>
      <w:r w:rsidRPr="00DC6FE8">
        <w:rPr>
          <w:rFonts w:ascii="Times New Roman" w:eastAsia="Times New Roman" w:hAnsi="Times New Roman" w:cs="Times New Roman"/>
          <w:noProof/>
        </w:rPr>
        <w:t xml:space="preserve"> in 2022. However, many stocks are still fished above sustainable levels. </w:t>
      </w:r>
      <w:r w:rsidR="00715FDB">
        <w:rPr>
          <w:rFonts w:ascii="Times New Roman" w:eastAsia="Times New Roman" w:hAnsi="Times New Roman" w:cs="Times New Roman"/>
          <w:noProof/>
        </w:rPr>
        <w:t>A</w:t>
      </w:r>
      <w:r w:rsidRPr="00DC6FE8">
        <w:rPr>
          <w:rFonts w:ascii="Times New Roman" w:eastAsia="Times New Roman" w:hAnsi="Times New Roman" w:cs="Times New Roman"/>
          <w:noProof/>
        </w:rPr>
        <w:t>ction</w:t>
      </w:r>
      <w:r w:rsidRPr="585575BB">
        <w:rPr>
          <w:rFonts w:ascii="Times New Roman" w:eastAsia="Times New Roman" w:hAnsi="Times New Roman" w:cs="Times New Roman"/>
          <w:noProof/>
        </w:rPr>
        <w:t xml:space="preserve"> </w:t>
      </w:r>
      <w:r w:rsidR="00715FDB">
        <w:rPr>
          <w:rFonts w:ascii="Times New Roman" w:eastAsia="Times New Roman" w:hAnsi="Times New Roman" w:cs="Times New Roman"/>
          <w:noProof/>
        </w:rPr>
        <w:t xml:space="preserve">must continue </w:t>
      </w:r>
      <w:r w:rsidRPr="00DC6FE8">
        <w:rPr>
          <w:rFonts w:ascii="Times New Roman" w:eastAsia="Times New Roman" w:hAnsi="Times New Roman" w:cs="Times New Roman"/>
          <w:noProof/>
        </w:rPr>
        <w:t>to reduce fishing mortality and reach the</w:t>
      </w:r>
      <w:r>
        <w:rPr>
          <w:rFonts w:ascii="Times New Roman" w:eastAsia="Times New Roman" w:hAnsi="Times New Roman" w:cs="Times New Roman"/>
          <w:noProof/>
        </w:rPr>
        <w:t xml:space="preserve"> </w:t>
      </w:r>
      <w:r w:rsidRPr="00DC6FE8">
        <w:rPr>
          <w:rFonts w:ascii="Times New Roman" w:eastAsia="Times New Roman" w:hAnsi="Times New Roman" w:cs="Times New Roman"/>
          <w:noProof/>
        </w:rPr>
        <w:t xml:space="preserve">MSY </w:t>
      </w:r>
      <w:r w:rsidR="00715FDB">
        <w:rPr>
          <w:rFonts w:ascii="Times New Roman" w:eastAsia="Times New Roman" w:hAnsi="Times New Roman" w:cs="Times New Roman"/>
          <w:noProof/>
        </w:rPr>
        <w:t>objective</w:t>
      </w:r>
      <w:r w:rsidRPr="00DC6FE8">
        <w:rPr>
          <w:rFonts w:ascii="Times New Roman" w:eastAsia="Times New Roman" w:hAnsi="Times New Roman" w:cs="Times New Roman"/>
          <w:noProof/>
        </w:rPr>
        <w:t>, in particular through the Western Mediterranean multiannual management plan</w:t>
      </w:r>
      <w:r w:rsidRPr="00DC6FE8">
        <w:rPr>
          <w:rStyle w:val="FootnoteReference"/>
          <w:rFonts w:ascii="Times New Roman" w:eastAsia="Times New Roman" w:hAnsi="Times New Roman" w:cs="Times New Roman"/>
          <w:noProof/>
        </w:rPr>
        <w:footnoteReference w:id="11"/>
      </w:r>
      <w:r w:rsidRPr="00DC6FE8">
        <w:rPr>
          <w:rFonts w:ascii="Times New Roman" w:eastAsia="Times New Roman" w:hAnsi="Times New Roman" w:cs="Times New Roman"/>
          <w:noProof/>
        </w:rPr>
        <w:t xml:space="preserve"> (‘West Med MAP’) and the 2030 </w:t>
      </w:r>
      <w:r w:rsidRPr="585575BB">
        <w:rPr>
          <w:rFonts w:ascii="Times New Roman" w:eastAsia="Times New Roman" w:hAnsi="Times New Roman" w:cs="Times New Roman"/>
          <w:noProof/>
        </w:rPr>
        <w:t>s</w:t>
      </w:r>
      <w:r w:rsidRPr="00DC6FE8">
        <w:rPr>
          <w:rFonts w:ascii="Times New Roman" w:eastAsia="Times New Roman" w:hAnsi="Times New Roman" w:cs="Times New Roman"/>
          <w:noProof/>
        </w:rPr>
        <w:t xml:space="preserve">trategy of the General Fisheries Commission for the Mediterranean (GFCM). </w:t>
      </w:r>
    </w:p>
    <w:p w14:paraId="4BED8738" w14:textId="5672B20F" w:rsidR="00FC0936" w:rsidRPr="00DC6FE8" w:rsidRDefault="00FC0936" w:rsidP="00DC6FE8">
      <w:pPr>
        <w:pStyle w:val="Heading2"/>
        <w:numPr>
          <w:ilvl w:val="1"/>
          <w:numId w:val="1"/>
        </w:numPr>
        <w:jc w:val="both"/>
        <w:rPr>
          <w:rFonts w:ascii="Times New Roman" w:eastAsia="Times New Roman" w:hAnsi="Times New Roman" w:cs="Times New Roman"/>
          <w:noProof/>
        </w:rPr>
      </w:pPr>
      <w:r w:rsidRPr="00DC6FE8">
        <w:rPr>
          <w:rFonts w:ascii="Times New Roman" w:eastAsia="Times New Roman" w:hAnsi="Times New Roman" w:cs="Times New Roman"/>
          <w:noProof/>
        </w:rPr>
        <w:t>Fishing opportunities in 2025</w:t>
      </w:r>
    </w:p>
    <w:p w14:paraId="49631E48" w14:textId="77777777" w:rsidR="00CF409E" w:rsidRPr="00222573" w:rsidRDefault="00CF409E" w:rsidP="00CF409E">
      <w:pPr>
        <w:jc w:val="both"/>
        <w:rPr>
          <w:rFonts w:ascii="Times New Roman" w:eastAsia="Times New Roman" w:hAnsi="Times New Roman" w:cs="Times New Roman"/>
          <w:noProof/>
          <w:color w:val="000000" w:themeColor="text1"/>
        </w:rPr>
      </w:pPr>
      <w:r w:rsidRPr="00CF409E">
        <w:rPr>
          <w:rFonts w:ascii="Times New Roman" w:eastAsia="Times New Roman" w:hAnsi="Times New Roman" w:cs="Times New Roman"/>
          <w:noProof/>
        </w:rPr>
        <w:t xml:space="preserve">Fishing opportunities are </w:t>
      </w:r>
      <w:r w:rsidRPr="00CF409E">
        <w:rPr>
          <w:rFonts w:ascii="Times New Roman" w:eastAsia="Times New Roman" w:hAnsi="Times New Roman" w:cs="Times New Roman"/>
          <w:noProof/>
          <w:color w:val="000000" w:themeColor="text1"/>
        </w:rPr>
        <w:t>an important instrument in sustainable fisheries management.</w:t>
      </w:r>
      <w:r w:rsidRPr="00CF409E">
        <w:rPr>
          <w:rFonts w:ascii="Times New Roman" w:eastAsia="Times New Roman" w:hAnsi="Times New Roman" w:cs="Times New Roman"/>
          <w:noProof/>
        </w:rPr>
        <w:t xml:space="preserve"> </w:t>
      </w:r>
      <w:r w:rsidRPr="00CF409E">
        <w:rPr>
          <w:rFonts w:ascii="Times New Roman" w:eastAsia="Times New Roman" w:hAnsi="Times New Roman" w:cs="Times New Roman"/>
          <w:noProof/>
          <w:color w:val="000000" w:themeColor="text1"/>
        </w:rPr>
        <w:t xml:space="preserve">In the </w:t>
      </w:r>
      <w:r w:rsidRPr="00CF409E">
        <w:rPr>
          <w:rFonts w:ascii="Times New Roman" w:eastAsia="Times New Roman" w:hAnsi="Times New Roman" w:cs="Times New Roman"/>
          <w:b/>
          <w:bCs/>
          <w:noProof/>
          <w:color w:val="000000" w:themeColor="text1"/>
        </w:rPr>
        <w:t>Atlantic Ocean, Baltic Sea and Skagerrak/Kattegat</w:t>
      </w:r>
      <w:r w:rsidRPr="00CF409E">
        <w:rPr>
          <w:rFonts w:ascii="Times New Roman" w:eastAsia="Times New Roman" w:hAnsi="Times New Roman" w:cs="Times New Roman"/>
          <w:noProof/>
          <w:color w:val="000000" w:themeColor="text1"/>
        </w:rPr>
        <w:t xml:space="preserve">, fishing opportunities are mainly set as catch limits, also known as total allowable catches (TACs). In the </w:t>
      </w:r>
      <w:r w:rsidRPr="00CF409E">
        <w:rPr>
          <w:rFonts w:ascii="Times New Roman" w:eastAsia="Times New Roman" w:hAnsi="Times New Roman" w:cs="Times New Roman"/>
          <w:b/>
          <w:bCs/>
          <w:noProof/>
          <w:color w:val="000000" w:themeColor="text1"/>
        </w:rPr>
        <w:t>Western Mediterranean</w:t>
      </w:r>
      <w:r w:rsidRPr="00CF409E">
        <w:rPr>
          <w:rFonts w:ascii="Times New Roman" w:eastAsia="Times New Roman" w:hAnsi="Times New Roman" w:cs="Times New Roman"/>
          <w:noProof/>
          <w:color w:val="000000" w:themeColor="text1"/>
        </w:rPr>
        <w:t xml:space="preserve">, due to mixed fisheries management, fishing opportunities are set mainly in terms of fishing </w:t>
      </w:r>
      <w:r w:rsidRPr="00222573">
        <w:rPr>
          <w:rFonts w:ascii="Times New Roman" w:eastAsia="Times New Roman" w:hAnsi="Times New Roman" w:cs="Times New Roman"/>
          <w:noProof/>
          <w:color w:val="000000" w:themeColor="text1"/>
        </w:rPr>
        <w:t xml:space="preserve">effort. </w:t>
      </w:r>
    </w:p>
    <w:p w14:paraId="23B40261" w14:textId="0EC78659" w:rsidR="00FC0936" w:rsidRPr="00222573" w:rsidRDefault="00CF409E" w:rsidP="00DC6FE8">
      <w:pPr>
        <w:jc w:val="both"/>
        <w:rPr>
          <w:rFonts w:ascii="Times New Roman" w:eastAsia="Times New Roman" w:hAnsi="Times New Roman" w:cs="Times New Roman"/>
          <w:noProof/>
        </w:rPr>
      </w:pPr>
      <w:r w:rsidRPr="00222573">
        <w:rPr>
          <w:rFonts w:ascii="Times New Roman" w:eastAsia="Times New Roman" w:hAnsi="Times New Roman" w:cs="Times New Roman"/>
          <w:noProof/>
        </w:rPr>
        <w:t xml:space="preserve">The stocks in the </w:t>
      </w:r>
      <w:r w:rsidRPr="00222573">
        <w:rPr>
          <w:rFonts w:ascii="Times New Roman" w:eastAsia="Times New Roman" w:hAnsi="Times New Roman" w:cs="Times New Roman"/>
          <w:b/>
          <w:bCs/>
          <w:noProof/>
        </w:rPr>
        <w:t>Baltic Sea</w:t>
      </w:r>
      <w:r w:rsidRPr="00222573">
        <w:rPr>
          <w:rFonts w:ascii="Times New Roman" w:eastAsia="Times New Roman" w:hAnsi="Times New Roman" w:cs="Times New Roman"/>
          <w:noProof/>
        </w:rPr>
        <w:t xml:space="preserve"> continue to be under pressure from sources other than fisheries, which have led to ecosystem failure and a degraded biodiversity</w:t>
      </w:r>
      <w:r w:rsidRPr="00222573">
        <w:rPr>
          <w:rStyle w:val="FootnoteReference"/>
          <w:rFonts w:ascii="Times New Roman" w:eastAsia="Times New Roman" w:hAnsi="Times New Roman" w:cs="Times New Roman"/>
          <w:noProof/>
        </w:rPr>
        <w:footnoteReference w:id="12"/>
      </w:r>
      <w:r w:rsidRPr="00222573">
        <w:rPr>
          <w:rFonts w:ascii="Times New Roman" w:eastAsia="Times New Roman" w:hAnsi="Times New Roman" w:cs="Times New Roman"/>
          <w:noProof/>
        </w:rPr>
        <w:t>. Failure to implement fully EU legislation continues to be a relevant factor and the effect of pollution on fisheries is widespread in the ecoregion</w:t>
      </w:r>
      <w:r w:rsidRPr="00222573">
        <w:rPr>
          <w:rStyle w:val="FootnoteReference"/>
          <w:rFonts w:ascii="Times New Roman" w:eastAsia="Times New Roman" w:hAnsi="Times New Roman" w:cs="Times New Roman"/>
          <w:noProof/>
        </w:rPr>
        <w:footnoteReference w:id="13"/>
      </w:r>
      <w:r w:rsidRPr="00222573">
        <w:rPr>
          <w:rFonts w:ascii="Times New Roman" w:eastAsia="Times New Roman" w:hAnsi="Times New Roman" w:cs="Times New Roman"/>
          <w:noProof/>
        </w:rPr>
        <w:t xml:space="preserve">. Pressures </w:t>
      </w:r>
      <w:r w:rsidRPr="001E45D2">
        <w:rPr>
          <w:rFonts w:ascii="Times New Roman" w:eastAsia="Times New Roman" w:hAnsi="Times New Roman" w:cs="Times New Roman"/>
          <w:noProof/>
        </w:rPr>
        <w:t>from agriculture, the timber industry and other land-based activities will continue to negatively affect the ecosystem in the Baltic Sea</w:t>
      </w:r>
      <w:r w:rsidR="005C65F9" w:rsidRPr="001E45D2">
        <w:rPr>
          <w:rFonts w:ascii="Times New Roman" w:eastAsia="Times New Roman" w:hAnsi="Times New Roman" w:cs="Times New Roman"/>
          <w:noProof/>
        </w:rPr>
        <w:t>.</w:t>
      </w:r>
      <w:r w:rsidR="00A576D6" w:rsidRPr="001E45D2">
        <w:rPr>
          <w:rFonts w:ascii="Times New Roman" w:eastAsia="Times New Roman" w:hAnsi="Times New Roman" w:cs="Times New Roman"/>
          <w:noProof/>
        </w:rPr>
        <w:t xml:space="preserve"> In addition to these external pressures, </w:t>
      </w:r>
      <w:r w:rsidR="00A576D6" w:rsidRPr="001E45D2" w:rsidDel="7CB859EC">
        <w:rPr>
          <w:rFonts w:ascii="Times New Roman" w:eastAsia="Times New Roman" w:hAnsi="Times New Roman" w:cs="Times New Roman"/>
          <w:noProof/>
        </w:rPr>
        <w:t>shortcomings in</w:t>
      </w:r>
      <w:r w:rsidR="00A576D6" w:rsidRPr="001E45D2">
        <w:rPr>
          <w:rFonts w:ascii="Times New Roman" w:eastAsia="Times New Roman" w:hAnsi="Times New Roman" w:cs="Times New Roman"/>
          <w:noProof/>
        </w:rPr>
        <w:t xml:space="preserve"> implementin</w:t>
      </w:r>
      <w:r w:rsidR="00A576D6" w:rsidRPr="001E45D2" w:rsidDel="7CB859EC">
        <w:rPr>
          <w:rFonts w:ascii="Times New Roman" w:eastAsia="Times New Roman" w:hAnsi="Times New Roman" w:cs="Times New Roman"/>
          <w:noProof/>
        </w:rPr>
        <w:t>g</w:t>
      </w:r>
      <w:r w:rsidR="00A576D6" w:rsidRPr="001E45D2">
        <w:rPr>
          <w:rFonts w:ascii="Times New Roman" w:eastAsia="Times New Roman" w:hAnsi="Times New Roman" w:cs="Times New Roman"/>
          <w:noProof/>
        </w:rPr>
        <w:t xml:space="preserve"> EU rules on catch reporting may also play a significant role in the decline of Baltic Sea fish stocks.</w:t>
      </w:r>
      <w:r w:rsidR="005C65F9" w:rsidRPr="001E45D2">
        <w:rPr>
          <w:rFonts w:ascii="Times New Roman" w:eastAsia="Times New Roman" w:hAnsi="Times New Roman" w:cs="Times New Roman"/>
          <w:noProof/>
        </w:rPr>
        <w:t xml:space="preserve"> A</w:t>
      </w:r>
      <w:r w:rsidRPr="001E45D2">
        <w:rPr>
          <w:rFonts w:ascii="Times New Roman" w:eastAsia="Times New Roman" w:hAnsi="Times New Roman" w:cs="Times New Roman"/>
          <w:noProof/>
        </w:rPr>
        <w:t xml:space="preserve">ction </w:t>
      </w:r>
      <w:r w:rsidR="005C65F9" w:rsidRPr="001E45D2">
        <w:rPr>
          <w:rFonts w:ascii="Times New Roman" w:eastAsia="Times New Roman" w:hAnsi="Times New Roman" w:cs="Times New Roman"/>
          <w:noProof/>
        </w:rPr>
        <w:t>needs to be</w:t>
      </w:r>
      <w:r w:rsidR="005C65F9" w:rsidRPr="00222573">
        <w:rPr>
          <w:rFonts w:ascii="Times New Roman" w:eastAsia="Times New Roman" w:hAnsi="Times New Roman" w:cs="Times New Roman"/>
          <w:noProof/>
        </w:rPr>
        <w:t xml:space="preserve"> </w:t>
      </w:r>
      <w:r w:rsidRPr="00222573">
        <w:rPr>
          <w:rFonts w:ascii="Times New Roman" w:eastAsia="Times New Roman" w:hAnsi="Times New Roman" w:cs="Times New Roman"/>
          <w:noProof/>
        </w:rPr>
        <w:t>stepped up to improve the implementation of EU legislation</w:t>
      </w:r>
      <w:r w:rsidR="005C65F9" w:rsidRPr="00222573">
        <w:rPr>
          <w:rFonts w:ascii="Times New Roman" w:eastAsia="Times New Roman" w:hAnsi="Times New Roman" w:cs="Times New Roman"/>
          <w:noProof/>
        </w:rPr>
        <w:t xml:space="preserve">. </w:t>
      </w:r>
      <w:r w:rsidRPr="00222573">
        <w:rPr>
          <w:rFonts w:ascii="Times New Roman" w:eastAsia="Times New Roman" w:hAnsi="Times New Roman" w:cs="Times New Roman"/>
          <w:noProof/>
        </w:rPr>
        <w:t>While the Baltic Sea multiannual plan</w:t>
      </w:r>
      <w:r w:rsidRPr="00222573">
        <w:rPr>
          <w:rStyle w:val="FootnoteReference"/>
          <w:rFonts w:ascii="Times New Roman" w:eastAsia="Times New Roman" w:hAnsi="Times New Roman" w:cs="Times New Roman"/>
          <w:noProof/>
        </w:rPr>
        <w:footnoteReference w:id="14"/>
      </w:r>
      <w:r w:rsidRPr="00222573">
        <w:rPr>
          <w:rFonts w:ascii="Times New Roman" w:eastAsia="Times New Roman" w:hAnsi="Times New Roman" w:cs="Times New Roman"/>
          <w:noProof/>
        </w:rPr>
        <w:t xml:space="preserve"> provides many tools to help fish stocks recover, it is important for Member States to fully implement the relevant EU legislation </w:t>
      </w:r>
      <w:r w:rsidR="005C65F9" w:rsidRPr="00222573">
        <w:rPr>
          <w:rFonts w:ascii="Times New Roman" w:eastAsia="Times New Roman" w:hAnsi="Times New Roman" w:cs="Times New Roman"/>
          <w:noProof/>
        </w:rPr>
        <w:t>and improve implementation of other regional sea conventions such as the Baltic Marine Environment Protection Commission Action Plan</w:t>
      </w:r>
      <w:r w:rsidR="005C65F9" w:rsidRPr="00222573">
        <w:rPr>
          <w:rStyle w:val="FootnoteReference"/>
          <w:rFonts w:ascii="Times New Roman" w:eastAsia="Times New Roman" w:hAnsi="Times New Roman" w:cs="Times New Roman"/>
          <w:noProof/>
        </w:rPr>
        <w:footnoteReference w:id="15"/>
      </w:r>
      <w:r w:rsidR="005C65F9" w:rsidRPr="00222573">
        <w:rPr>
          <w:rFonts w:ascii="Times New Roman" w:eastAsia="Times New Roman" w:hAnsi="Times New Roman" w:cs="Times New Roman"/>
          <w:noProof/>
        </w:rPr>
        <w:t xml:space="preserve"> </w:t>
      </w:r>
      <w:r w:rsidRPr="00222573">
        <w:rPr>
          <w:rFonts w:ascii="Times New Roman" w:eastAsia="Times New Roman" w:hAnsi="Times New Roman" w:cs="Times New Roman"/>
          <w:noProof/>
        </w:rPr>
        <w:t xml:space="preserve">in order to tackle this ecosystem failure. The commitments made in the </w:t>
      </w:r>
      <w:r w:rsidRPr="00222573">
        <w:rPr>
          <w:rFonts w:ascii="Times New Roman" w:eastAsia="Times New Roman" w:hAnsi="Times New Roman" w:cs="Times New Roman"/>
          <w:i/>
          <w:iCs/>
          <w:noProof/>
        </w:rPr>
        <w:t xml:space="preserve">Our Baltic 2020 </w:t>
      </w:r>
      <w:r w:rsidRPr="00222573">
        <w:rPr>
          <w:rFonts w:ascii="Times New Roman" w:eastAsia="Times New Roman" w:hAnsi="Times New Roman" w:cs="Times New Roman"/>
          <w:noProof/>
        </w:rPr>
        <w:t>Ministerial Declaration</w:t>
      </w:r>
      <w:r w:rsidRPr="00222573">
        <w:rPr>
          <w:rStyle w:val="FootnoteReference"/>
          <w:rFonts w:ascii="Times New Roman" w:eastAsia="Times New Roman" w:hAnsi="Times New Roman" w:cs="Times New Roman"/>
          <w:noProof/>
        </w:rPr>
        <w:footnoteReference w:id="16"/>
      </w:r>
      <w:r w:rsidRPr="00222573">
        <w:rPr>
          <w:rFonts w:ascii="Times New Roman" w:eastAsia="Times New Roman" w:hAnsi="Times New Roman" w:cs="Times New Roman"/>
          <w:noProof/>
        </w:rPr>
        <w:t xml:space="preserve"> continue to be of importance.</w:t>
      </w:r>
    </w:p>
    <w:p w14:paraId="7F75385C" w14:textId="34D7E300" w:rsidR="00CF409E" w:rsidRPr="00CF409E" w:rsidRDefault="00CF409E" w:rsidP="00CF409E">
      <w:pPr>
        <w:jc w:val="both"/>
        <w:rPr>
          <w:rFonts w:ascii="Times New Roman" w:eastAsia="Times New Roman" w:hAnsi="Times New Roman" w:cs="Times New Roman"/>
          <w:noProof/>
        </w:rPr>
      </w:pPr>
      <w:r w:rsidRPr="00222573">
        <w:rPr>
          <w:rFonts w:ascii="Times New Roman" w:eastAsia="Times New Roman" w:hAnsi="Times New Roman" w:cs="Times New Roman"/>
          <w:noProof/>
        </w:rPr>
        <w:t xml:space="preserve">For 2025 the number of TACs at MSY level remained at six, as in the previous year. However, for several stocks, the International Council for the Exploration of the Seas (ICES) advised zero catches. As a number of these stocks are unavoidable by-catches in other fisheries, and to avoid a total closure of all Baltic Sea fisheries, by-catch allowances have been set. </w:t>
      </w:r>
      <w:r w:rsidR="005C65F9" w:rsidRPr="00222573">
        <w:rPr>
          <w:rFonts w:ascii="Times New Roman" w:eastAsia="Times New Roman" w:hAnsi="Times New Roman" w:cs="Times New Roman"/>
          <w:noProof/>
        </w:rPr>
        <w:t>M</w:t>
      </w:r>
      <w:r w:rsidRPr="00222573">
        <w:rPr>
          <w:rFonts w:ascii="Times New Roman" w:eastAsia="Times New Roman" w:hAnsi="Times New Roman" w:cs="Times New Roman"/>
          <w:noProof/>
        </w:rPr>
        <w:t>easures from previous years have been kept, with spawning closures and limitations</w:t>
      </w:r>
      <w:r w:rsidRPr="00CF409E">
        <w:rPr>
          <w:rFonts w:ascii="Times New Roman" w:eastAsia="Times New Roman" w:hAnsi="Times New Roman" w:cs="Times New Roman"/>
          <w:noProof/>
        </w:rPr>
        <w:t xml:space="preserve"> on recreational fishing also put in place for several TACs. </w:t>
      </w:r>
    </w:p>
    <w:p w14:paraId="2BF5601E" w14:textId="59257103" w:rsidR="00CF409E" w:rsidRDefault="00CF409E" w:rsidP="00DC6FE8">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In the </w:t>
      </w:r>
      <w:r w:rsidRPr="00CF409E">
        <w:rPr>
          <w:rFonts w:ascii="Times New Roman" w:eastAsia="Times New Roman" w:hAnsi="Times New Roman" w:cs="Times New Roman"/>
          <w:b/>
          <w:bCs/>
          <w:noProof/>
        </w:rPr>
        <w:t>North-East Atlantic</w:t>
      </w:r>
      <w:r w:rsidRPr="00CF409E">
        <w:rPr>
          <w:rFonts w:ascii="Times New Roman" w:eastAsia="Times New Roman" w:hAnsi="Times New Roman" w:cs="Times New Roman"/>
          <w:noProof/>
        </w:rPr>
        <w:t xml:space="preserve"> for the stocks managed solely by the EU, the TACs have been set in line with the policy objectives of the CFP. The only exception is cases relating to the provision in the multiannual plans, which requires fishing opportunities to be in any event fixed in such a way as to ensure that there is less than a 5 % probability of the spawning stock biomass falling below B</w:t>
      </w:r>
      <w:r w:rsidRPr="00CF409E">
        <w:rPr>
          <w:rFonts w:ascii="Times New Roman" w:eastAsia="Times New Roman" w:hAnsi="Times New Roman" w:cs="Times New Roman"/>
          <w:noProof/>
          <w:vertAlign w:val="subscript"/>
        </w:rPr>
        <w:t>lim</w:t>
      </w:r>
      <w:r w:rsidRPr="00CF409E">
        <w:rPr>
          <w:rStyle w:val="FootnoteReference"/>
          <w:rFonts w:ascii="Times New Roman" w:eastAsia="Times New Roman" w:hAnsi="Times New Roman" w:cs="Times New Roman"/>
          <w:noProof/>
        </w:rPr>
        <w:footnoteReference w:id="17"/>
      </w:r>
      <w:r w:rsidRPr="00CF409E">
        <w:rPr>
          <w:rFonts w:ascii="Times New Roman" w:eastAsia="Times New Roman" w:hAnsi="Times New Roman" w:cs="Times New Roman"/>
          <w:noProof/>
        </w:rPr>
        <w:t>. The Commission had proposed a targeted amendment to Regulations (EU) 2016/1139, (EU) 2018/973 and (EU) 2019/472 establishing multiannual plans for certain stocks fished in the Baltic Sea, the North Sea and the Western Waters, and for fisheries exploiting those stocks (‘the MAPs’) to address an inconsistency which arises under certain circumstances relating to the status of a given fish stock and the short-term forecast for its biomass development</w:t>
      </w:r>
      <w:r w:rsidRPr="00CF409E">
        <w:rPr>
          <w:rStyle w:val="FootnoteReference"/>
          <w:rFonts w:ascii="Times New Roman" w:eastAsia="Times New Roman" w:hAnsi="Times New Roman" w:cs="Times New Roman"/>
          <w:noProof/>
        </w:rPr>
        <w:footnoteReference w:id="18"/>
      </w:r>
      <w:r w:rsidRPr="00CF409E">
        <w:rPr>
          <w:rFonts w:ascii="Times New Roman" w:eastAsia="Times New Roman" w:hAnsi="Times New Roman" w:cs="Times New Roman"/>
          <w:noProof/>
        </w:rPr>
        <w:t>. While the Council has expressed support for this proposal, the European Parliament decided not to continue working on it and asked the Commission to withdraw it.</w:t>
      </w:r>
      <w:r w:rsidRPr="00DC6FE8">
        <w:rPr>
          <w:rFonts w:ascii="Times New Roman" w:eastAsia="Times New Roman" w:hAnsi="Times New Roman" w:cs="Times New Roman"/>
          <w:noProof/>
        </w:rPr>
        <w:t xml:space="preserve"> </w:t>
      </w:r>
    </w:p>
    <w:p w14:paraId="7264E6D5" w14:textId="77777777" w:rsidR="00CF409E" w:rsidRPr="00DC6FE8" w:rsidRDefault="00CF409E" w:rsidP="00CF409E">
      <w:pPr>
        <w:jc w:val="both"/>
        <w:rPr>
          <w:rFonts w:ascii="Times New Roman" w:eastAsia="Times New Roman" w:hAnsi="Times New Roman" w:cs="Times New Roman"/>
          <w:noProof/>
        </w:rPr>
      </w:pPr>
      <w:r w:rsidRPr="3D1E1F46">
        <w:rPr>
          <w:rFonts w:ascii="Times New Roman" w:eastAsia="Times New Roman" w:hAnsi="Times New Roman" w:cs="Times New Roman"/>
          <w:noProof/>
        </w:rPr>
        <w:t>As a result, the Commission announced its intention to withdraw the proposal in its 2025 work programme.</w:t>
      </w:r>
    </w:p>
    <w:p w14:paraId="07EE2E0F" w14:textId="120C91F7" w:rsidR="00CF409E" w:rsidRPr="00DC6FE8" w:rsidRDefault="00CF409E" w:rsidP="00CF409E">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After a five-year transition period, the objective to reach and maintain MSY by 1 January 2025 for demersal stocks in the </w:t>
      </w:r>
      <w:r w:rsidRPr="00CF409E">
        <w:rPr>
          <w:rFonts w:ascii="Times New Roman" w:eastAsia="Times New Roman" w:hAnsi="Times New Roman" w:cs="Times New Roman"/>
          <w:b/>
          <w:bCs/>
          <w:noProof/>
        </w:rPr>
        <w:t>Western</w:t>
      </w:r>
      <w:r w:rsidRPr="00CF409E">
        <w:rPr>
          <w:rFonts w:ascii="Times New Roman" w:eastAsia="Times New Roman" w:hAnsi="Times New Roman" w:cs="Times New Roman"/>
          <w:noProof/>
        </w:rPr>
        <w:t xml:space="preserve"> </w:t>
      </w:r>
      <w:r w:rsidRPr="00CF409E">
        <w:rPr>
          <w:rFonts w:ascii="Times New Roman" w:eastAsia="Times New Roman" w:hAnsi="Times New Roman" w:cs="Times New Roman"/>
          <w:b/>
          <w:bCs/>
          <w:noProof/>
        </w:rPr>
        <w:t>Mediterranean</w:t>
      </w:r>
      <w:r>
        <w:rPr>
          <w:rFonts w:ascii="Times New Roman" w:eastAsia="Times New Roman" w:hAnsi="Times New Roman" w:cs="Times New Roman"/>
          <w:b/>
          <w:bCs/>
          <w:noProof/>
        </w:rPr>
        <w:t xml:space="preserve"> </w:t>
      </w:r>
      <w:r w:rsidRPr="00CF409E">
        <w:rPr>
          <w:rFonts w:ascii="Times New Roman" w:eastAsia="Times New Roman" w:hAnsi="Times New Roman" w:cs="Times New Roman"/>
          <w:noProof/>
        </w:rPr>
        <w:t xml:space="preserve">applies. With the MSY objective and based on best available scientific advice, there were further reductions in effort for trawlers and longliners, plus lowered catch limits for deep-water shrimps and hake caught by netters. To </w:t>
      </w:r>
      <w:r w:rsidRPr="00CF409E">
        <w:rPr>
          <w:rFonts w:ascii="Times New Roman" w:eastAsia="Times New Roman" w:hAnsi="Times New Roman" w:cs="Times New Roman"/>
          <w:noProof/>
          <w:lang w:val="en-US"/>
        </w:rPr>
        <w:t>promote sustainable good practices and help hake stock recovery, t</w:t>
      </w:r>
      <w:r w:rsidRPr="00CF409E">
        <w:rPr>
          <w:rFonts w:ascii="Times New Roman" w:eastAsia="Times New Roman" w:hAnsi="Times New Roman" w:cs="Times New Roman"/>
          <w:noProof/>
        </w:rPr>
        <w:t>he compensation mechanism established in the Western Mediterranean since 2022 was expanded in 2025 to encourage further voluntary measures such as increased selectivity and closure areas.</w:t>
      </w:r>
      <w:r w:rsidRPr="00CF409E">
        <w:rPr>
          <w:rStyle w:val="FootnoteReference"/>
          <w:rFonts w:ascii="Times New Roman" w:eastAsia="Times New Roman" w:hAnsi="Times New Roman" w:cs="Times New Roman"/>
          <w:noProof/>
        </w:rPr>
        <w:footnoteReference w:id="19"/>
      </w:r>
      <w:r w:rsidRPr="00CF409E">
        <w:rPr>
          <w:rFonts w:ascii="Times New Roman" w:eastAsia="Times New Roman" w:hAnsi="Times New Roman" w:cs="Times New Roman"/>
          <w:noProof/>
        </w:rPr>
        <w:t xml:space="preserve"> If implemented fully, the </w:t>
      </w:r>
      <w:r w:rsidRPr="00CF409E">
        <w:rPr>
          <w:rFonts w:ascii="Times New Roman" w:eastAsia="Times New Roman" w:hAnsi="Times New Roman" w:cs="Times New Roman"/>
          <w:noProof/>
          <w:szCs w:val="24"/>
          <w:lang w:val="en-US"/>
        </w:rPr>
        <w:t xml:space="preserve">expanded compensation mechanism </w:t>
      </w:r>
      <w:r w:rsidR="005C65F9">
        <w:rPr>
          <w:rFonts w:ascii="Times New Roman" w:eastAsia="Times New Roman" w:hAnsi="Times New Roman" w:cs="Times New Roman"/>
          <w:noProof/>
          <w:szCs w:val="24"/>
          <w:lang w:val="en-US"/>
        </w:rPr>
        <w:t xml:space="preserve">is expected to </w:t>
      </w:r>
      <w:r w:rsidRPr="00CF409E">
        <w:rPr>
          <w:rFonts w:ascii="Times New Roman" w:eastAsia="Times New Roman" w:hAnsi="Times New Roman" w:cs="Times New Roman"/>
          <w:noProof/>
          <w:szCs w:val="24"/>
          <w:lang w:val="en-US"/>
        </w:rPr>
        <w:t xml:space="preserve">accelerate fish stock recovery and allow the sector to recover fishing days. </w:t>
      </w:r>
      <w:r w:rsidRPr="00CF409E">
        <w:rPr>
          <w:rFonts w:ascii="Times New Roman" w:eastAsia="Times New Roman" w:hAnsi="Times New Roman" w:cs="Times New Roman"/>
          <w:noProof/>
        </w:rPr>
        <w:t>With EU funding to support the transition to more sustainable practices, the socio-economic projections of fishing opportunities for 2025 point to similar profitability and economic performance as in previous years.</w:t>
      </w:r>
      <w:r w:rsidRPr="00DC6FE8">
        <w:rPr>
          <w:rFonts w:ascii="Times New Roman" w:eastAsia="Times New Roman" w:hAnsi="Times New Roman" w:cs="Times New Roman"/>
          <w:noProof/>
        </w:rPr>
        <w:t xml:space="preserve">  </w:t>
      </w:r>
    </w:p>
    <w:p w14:paraId="73F4B0A8" w14:textId="77777777" w:rsidR="00CF409E" w:rsidRPr="00DC6FE8" w:rsidRDefault="00CF409E" w:rsidP="00CF409E">
      <w:pPr>
        <w:jc w:val="both"/>
        <w:rPr>
          <w:rFonts w:ascii="Times New Roman" w:eastAsia="Times New Roman" w:hAnsi="Times New Roman" w:cs="Times New Roman"/>
          <w:noProof/>
        </w:rPr>
      </w:pPr>
      <w:r w:rsidRPr="3D1E1F46">
        <w:rPr>
          <w:rFonts w:ascii="Times New Roman" w:eastAsia="Times New Roman" w:hAnsi="Times New Roman" w:cs="Times New Roman"/>
          <w:noProof/>
        </w:rPr>
        <w:t xml:space="preserve">Through the fishing opportunities for 2025, the EU has continued to implement related measures stemming from the </w:t>
      </w:r>
      <w:r w:rsidRPr="3D1E1F46">
        <w:rPr>
          <w:rFonts w:ascii="Times New Roman" w:eastAsia="Times New Roman" w:hAnsi="Times New Roman" w:cs="Times New Roman"/>
          <w:b/>
          <w:bCs/>
          <w:noProof/>
        </w:rPr>
        <w:t xml:space="preserve">General Fisheries Commission for the Mediterranean (GFCM) </w:t>
      </w:r>
      <w:r w:rsidRPr="3D1E1F46">
        <w:rPr>
          <w:rFonts w:ascii="Times New Roman" w:eastAsia="Times New Roman" w:hAnsi="Times New Roman" w:cs="Times New Roman"/>
          <w:noProof/>
        </w:rPr>
        <w:t>multiannual plans, as well as of the newly agreed GFCM decisions for small pelagic and demersal stocks in the Adriatic and for turbot and sprat in the Black Sea.</w:t>
      </w:r>
    </w:p>
    <w:p w14:paraId="67C457B0" w14:textId="1B1517D4" w:rsidR="00CF409E" w:rsidRPr="00DC6FE8" w:rsidRDefault="00CF409E" w:rsidP="00DC6FE8">
      <w:pPr>
        <w:jc w:val="both"/>
        <w:rPr>
          <w:rFonts w:ascii="Times New Roman" w:eastAsia="Times New Roman" w:hAnsi="Times New Roman" w:cs="Times New Roman"/>
          <w:noProof/>
        </w:rPr>
      </w:pPr>
      <w:r w:rsidRPr="00460E9B">
        <w:rPr>
          <w:rFonts w:ascii="Times New Roman" w:eastAsia="Times New Roman" w:hAnsi="Times New Roman" w:cs="Times New Roman"/>
          <w:noProof/>
        </w:rPr>
        <w:t xml:space="preserve">The </w:t>
      </w:r>
      <w:r w:rsidRPr="00460E9B">
        <w:rPr>
          <w:rFonts w:ascii="Times New Roman" w:eastAsia="Times New Roman" w:hAnsi="Times New Roman" w:cs="Times New Roman"/>
          <w:b/>
          <w:bCs/>
          <w:noProof/>
        </w:rPr>
        <w:t>European eel</w:t>
      </w:r>
      <w:r w:rsidRPr="00460E9B">
        <w:rPr>
          <w:rFonts w:ascii="Times New Roman" w:eastAsia="Times New Roman" w:hAnsi="Times New Roman" w:cs="Times New Roman"/>
          <w:noProof/>
        </w:rPr>
        <w:t xml:space="preserve"> stock remains in a critical state with ICES advising to stop all fishing and other mortalities. As a result, the minimum six-month closure period for any commercial eel fisheries in all waters in the Mediterranean, and in marine and adjacent waters in the Atlantic continued in 2025, with certain exemptions already agreed in 2023 and 2024. Additionally, the prohibition of recreational eel fisheries was continued in 2025. However, most Member States have not updated their national eel management plans, which leads to a situation where pressures on eels such as loss of habitat, are not being properly tackled. Without specific action by Member States the eel stock will not be able to recover.</w:t>
      </w:r>
    </w:p>
    <w:p w14:paraId="4BCC0C38" w14:textId="77777777" w:rsidR="00FC0936" w:rsidRPr="00DC6FE8" w:rsidRDefault="00FC0936" w:rsidP="00DC6FE8">
      <w:pPr>
        <w:pStyle w:val="Heading2"/>
        <w:numPr>
          <w:ilvl w:val="1"/>
          <w:numId w:val="1"/>
        </w:num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Agreements with Norway, United Kingdom (UK) and other coastal States </w:t>
      </w:r>
    </w:p>
    <w:p w14:paraId="5ACDCE00" w14:textId="07486722" w:rsidR="00FC0936" w:rsidRDefault="00CF409E" w:rsidP="00CF409E">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Most EU stocks are now </w:t>
      </w:r>
      <w:r w:rsidRPr="00CF409E">
        <w:rPr>
          <w:rFonts w:ascii="Times New Roman" w:eastAsia="Times New Roman" w:hAnsi="Times New Roman" w:cs="Times New Roman"/>
          <w:b/>
          <w:bCs/>
          <w:noProof/>
        </w:rPr>
        <w:t xml:space="preserve">shared with coastal </w:t>
      </w:r>
      <w:r w:rsidR="002137AC">
        <w:rPr>
          <w:rFonts w:ascii="Times New Roman" w:eastAsia="Times New Roman" w:hAnsi="Times New Roman" w:cs="Times New Roman"/>
          <w:b/>
          <w:bCs/>
          <w:noProof/>
        </w:rPr>
        <w:t>S</w:t>
      </w:r>
      <w:r w:rsidRPr="00CF409E">
        <w:rPr>
          <w:rFonts w:ascii="Times New Roman" w:eastAsia="Times New Roman" w:hAnsi="Times New Roman" w:cs="Times New Roman"/>
          <w:b/>
          <w:bCs/>
          <w:noProof/>
        </w:rPr>
        <w:t>tates in the North-East Atlantic</w:t>
      </w:r>
      <w:r w:rsidRPr="00CF409E">
        <w:rPr>
          <w:rFonts w:ascii="Times New Roman" w:eastAsia="Times New Roman" w:hAnsi="Times New Roman" w:cs="Times New Roman"/>
          <w:noProof/>
        </w:rPr>
        <w:t xml:space="preserve">. For the more than 85 TACs </w:t>
      </w:r>
      <w:r w:rsidRPr="00CF409E">
        <w:rPr>
          <w:rFonts w:ascii="Times New Roman" w:eastAsia="Times New Roman" w:hAnsi="Times New Roman" w:cs="Times New Roman"/>
          <w:b/>
          <w:bCs/>
          <w:noProof/>
        </w:rPr>
        <w:t>shared with the UK</w:t>
      </w:r>
      <w:r w:rsidRPr="00CF409E">
        <w:rPr>
          <w:rFonts w:ascii="Times New Roman" w:eastAsia="Times New Roman" w:hAnsi="Times New Roman" w:cs="Times New Roman"/>
          <w:noProof/>
        </w:rPr>
        <w:t>, the EU and the UK reached agreement for 2025 based on best available scientific advice, within the deadline as outlined by the EU-UK Trade and Cooperation Agreement</w:t>
      </w:r>
      <w:r>
        <w:rPr>
          <w:rStyle w:val="FootnoteReference"/>
          <w:rFonts w:ascii="Times New Roman" w:eastAsia="Times New Roman" w:hAnsi="Times New Roman" w:cs="Times New Roman"/>
          <w:noProof/>
        </w:rPr>
        <w:footnoteReference w:id="20"/>
      </w:r>
      <w:r w:rsidRPr="00CF409E">
        <w:rPr>
          <w:rFonts w:ascii="Times New Roman" w:eastAsia="Times New Roman" w:hAnsi="Times New Roman" w:cs="Times New Roman"/>
          <w:noProof/>
        </w:rPr>
        <w:t>. Most stocks were set in line with MSY where advice was available. ICES gave zero-catch advice for nine stocks for 2025. For all these stocks, the EU and UK agreed to set low bycatch TACs for 2025 to prevent choking situations in mixed fisheries. For one stock, the EU and the UK agreed to set a scientific monitoring TAC for 2025, following advice from ICES.</w:t>
      </w:r>
    </w:p>
    <w:p w14:paraId="6F06569D" w14:textId="07403DF9" w:rsidR="00CF409E" w:rsidRDefault="00CF409E" w:rsidP="00CF409E">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Improving management of stocks shared by the EU and UK under the framework of the Specialised Committee for Fisheries was instrumental in improving sustainability and achieving a prompt and satisfactory agreement. </w:t>
      </w:r>
    </w:p>
    <w:p w14:paraId="0BBB22F3" w14:textId="77777777"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Most stocks shared between the </w:t>
      </w:r>
      <w:r w:rsidRPr="00DC6FE8">
        <w:rPr>
          <w:rFonts w:ascii="Times New Roman" w:eastAsia="Times New Roman" w:hAnsi="Times New Roman" w:cs="Times New Roman"/>
          <w:b/>
          <w:bCs/>
          <w:noProof/>
        </w:rPr>
        <w:t xml:space="preserve">EU, Norway and the UK </w:t>
      </w:r>
      <w:r w:rsidRPr="00DC6FE8">
        <w:rPr>
          <w:rFonts w:ascii="Times New Roman" w:eastAsia="Times New Roman" w:hAnsi="Times New Roman" w:cs="Times New Roman"/>
          <w:noProof/>
        </w:rPr>
        <w:t xml:space="preserve">in the North Sea indicate a positive trend. For 2025, the EU, the UK and Norway agreed to set TACs for these stocks in line with MSY advice. TACs for the </w:t>
      </w:r>
      <w:r w:rsidRPr="00DC6FE8">
        <w:rPr>
          <w:rFonts w:ascii="Times New Roman" w:eastAsia="Times New Roman" w:hAnsi="Times New Roman" w:cs="Times New Roman"/>
          <w:b/>
          <w:bCs/>
          <w:noProof/>
        </w:rPr>
        <w:t>stocks managed bilaterally with Norway</w:t>
      </w:r>
      <w:r w:rsidRPr="00DC6FE8">
        <w:rPr>
          <w:rFonts w:ascii="Times New Roman" w:eastAsia="Times New Roman" w:hAnsi="Times New Roman" w:cs="Times New Roman"/>
          <w:noProof/>
        </w:rPr>
        <w:t xml:space="preserve"> were set in line with the </w:t>
      </w:r>
      <w:r>
        <w:rPr>
          <w:rFonts w:ascii="Times New Roman" w:eastAsia="Times New Roman" w:hAnsi="Times New Roman" w:cs="Times New Roman"/>
          <w:noProof/>
        </w:rPr>
        <w:t>best available scientific</w:t>
      </w:r>
      <w:r w:rsidRPr="00DC6FE8">
        <w:rPr>
          <w:rFonts w:ascii="Times New Roman" w:eastAsia="Times New Roman" w:hAnsi="Times New Roman" w:cs="Times New Roman"/>
          <w:noProof/>
        </w:rPr>
        <w:t xml:space="preserve"> advice. </w:t>
      </w:r>
    </w:p>
    <w:p w14:paraId="59ED9D5F" w14:textId="1D2FD08C" w:rsidR="00CF409E" w:rsidRPr="00CF409E" w:rsidRDefault="00CF409E" w:rsidP="00CF409E">
      <w:pPr>
        <w:jc w:val="both"/>
        <w:rPr>
          <w:rFonts w:ascii="Times New Roman" w:eastAsia="Times New Roman" w:hAnsi="Times New Roman" w:cs="Times New Roman"/>
          <w:noProof/>
        </w:rPr>
      </w:pPr>
      <w:r w:rsidRPr="00CF409E">
        <w:rPr>
          <w:rFonts w:ascii="Times New Roman" w:eastAsia="Times New Roman" w:hAnsi="Times New Roman" w:cs="Times New Roman"/>
          <w:noProof/>
        </w:rPr>
        <w:t>For mackerel, blue whiting and Atlanto-Scandian herring (ASH), which are widely distributed across the North-East Atlantic, the</w:t>
      </w:r>
      <w:r w:rsidRPr="00CF409E">
        <w:rPr>
          <w:rFonts w:ascii="Times New Roman" w:eastAsia="Times New Roman" w:hAnsi="Times New Roman" w:cs="Times New Roman"/>
          <w:b/>
          <w:bCs/>
          <w:noProof/>
        </w:rPr>
        <w:t xml:space="preserve"> coastal </w:t>
      </w:r>
      <w:r w:rsidR="002137AC">
        <w:rPr>
          <w:rFonts w:ascii="Times New Roman" w:eastAsia="Times New Roman" w:hAnsi="Times New Roman" w:cs="Times New Roman"/>
          <w:b/>
          <w:bCs/>
          <w:noProof/>
        </w:rPr>
        <w:t>S</w:t>
      </w:r>
      <w:r w:rsidRPr="00CF409E">
        <w:rPr>
          <w:rFonts w:ascii="Times New Roman" w:eastAsia="Times New Roman" w:hAnsi="Times New Roman" w:cs="Times New Roman"/>
          <w:b/>
          <w:bCs/>
          <w:noProof/>
        </w:rPr>
        <w:t>tates</w:t>
      </w:r>
      <w:r w:rsidRPr="00CF409E">
        <w:rPr>
          <w:rFonts w:ascii="Times New Roman" w:eastAsia="Times New Roman" w:hAnsi="Times New Roman" w:cs="Times New Roman"/>
          <w:noProof/>
        </w:rPr>
        <w:t xml:space="preserve"> and fishing parties (EU, UK, Norway, Iceland, Faroe Islands, Greenland and in the case of ASH, also the Russian Federation) agreed to set overall TACs for 2025 at MSY level. However, in the absence of sharing arrangements and due to unilateral actions by some coastal </w:t>
      </w:r>
      <w:r w:rsidR="002137AC">
        <w:rPr>
          <w:rFonts w:ascii="Times New Roman" w:eastAsia="Times New Roman" w:hAnsi="Times New Roman" w:cs="Times New Roman"/>
          <w:noProof/>
        </w:rPr>
        <w:t>S</w:t>
      </w:r>
      <w:r w:rsidRPr="00CF409E">
        <w:rPr>
          <w:rFonts w:ascii="Times New Roman" w:eastAsia="Times New Roman" w:hAnsi="Times New Roman" w:cs="Times New Roman"/>
          <w:noProof/>
        </w:rPr>
        <w:t xml:space="preserve">tates, including excessive interannual transfers, the sum of the unilateral quotas of coastal States and fishing parties still exceeds the overall TACs agreed. This continues to undermine the sustainability of these stocks, hinders progress made in reaching agreements with coastal </w:t>
      </w:r>
      <w:r w:rsidR="002137AC">
        <w:rPr>
          <w:rFonts w:ascii="Times New Roman" w:eastAsia="Times New Roman" w:hAnsi="Times New Roman" w:cs="Times New Roman"/>
          <w:noProof/>
        </w:rPr>
        <w:t>S</w:t>
      </w:r>
      <w:r w:rsidRPr="00CF409E">
        <w:rPr>
          <w:rFonts w:ascii="Times New Roman" w:eastAsia="Times New Roman" w:hAnsi="Times New Roman" w:cs="Times New Roman"/>
          <w:noProof/>
        </w:rPr>
        <w:t>tates, and more generally has strained the cooperation in these fora. The EU continues to actively engage in discussions with other coastal States and fishing parties with the aim of concluding new comprehensive sharing arrangements for the sustainable management of these stocks.</w:t>
      </w:r>
    </w:p>
    <w:p w14:paraId="2464C293" w14:textId="77777777" w:rsidR="00FC0936" w:rsidRPr="00DC6FE8" w:rsidRDefault="00FC0936" w:rsidP="00DC6FE8">
      <w:pPr>
        <w:pStyle w:val="Heading1"/>
        <w:numPr>
          <w:ilvl w:val="0"/>
          <w:numId w:val="1"/>
        </w:numPr>
        <w:jc w:val="both"/>
        <w:rPr>
          <w:rFonts w:ascii="Times New Roman" w:eastAsia="Times New Roman" w:hAnsi="Times New Roman" w:cs="Times New Roman"/>
          <w:noProof/>
          <w:szCs w:val="24"/>
        </w:rPr>
      </w:pPr>
      <w:r w:rsidRPr="00DC6FE8">
        <w:rPr>
          <w:rFonts w:ascii="Times New Roman" w:eastAsia="Times New Roman" w:hAnsi="Times New Roman" w:cs="Times New Roman"/>
          <w:noProof/>
          <w:szCs w:val="24"/>
        </w:rPr>
        <w:t>Balance between the fishing capacity of the Member States’ fleets and their fishing opportunities</w:t>
      </w:r>
    </w:p>
    <w:p w14:paraId="1AEDAA1C" w14:textId="4E60405C" w:rsidR="00CF409E" w:rsidRPr="00DC6FE8" w:rsidRDefault="00CF409E" w:rsidP="00CF409E">
      <w:pPr>
        <w:jc w:val="both"/>
        <w:rPr>
          <w:rFonts w:ascii="Times New Roman" w:eastAsia="Times New Roman" w:hAnsi="Times New Roman" w:cs="Times New Roman"/>
          <w:noProof/>
          <w:szCs w:val="24"/>
        </w:rPr>
      </w:pPr>
      <w:r w:rsidRPr="00CF409E">
        <w:rPr>
          <w:rFonts w:ascii="Times New Roman" w:eastAsia="Times New Roman" w:hAnsi="Times New Roman" w:cs="Times New Roman"/>
          <w:noProof/>
        </w:rPr>
        <w:t>Member States must keep fleets under the national ceilings set for vessel capacity (in terms of gross tonnage (GT) and engine power (kW)). Member States that have fleet segments with a demonstrated imbalance</w:t>
      </w:r>
      <w:r w:rsidRPr="00CF409E">
        <w:rPr>
          <w:rStyle w:val="FootnoteReference"/>
          <w:rFonts w:ascii="Times New Roman" w:eastAsia="Times New Roman" w:hAnsi="Times New Roman" w:cs="Times New Roman"/>
          <w:noProof/>
        </w:rPr>
        <w:footnoteReference w:id="21"/>
      </w:r>
      <w:r w:rsidRPr="00CF409E">
        <w:rPr>
          <w:rFonts w:ascii="Times New Roman" w:eastAsia="Times New Roman" w:hAnsi="Times New Roman" w:cs="Times New Roman"/>
          <w:noProof/>
        </w:rPr>
        <w:t xml:space="preserve"> must present action plans that set adjustment targets and tools to achieve balance with a clear timeframe for implementation. Any capacity withdrawn with public aid may not be replaced</w:t>
      </w:r>
      <w:r w:rsidRPr="00CF409E">
        <w:rPr>
          <w:rStyle w:val="FootnoteReference"/>
          <w:rFonts w:ascii="Times New Roman" w:eastAsia="Times New Roman" w:hAnsi="Times New Roman" w:cs="Times New Roman"/>
          <w:noProof/>
        </w:rPr>
        <w:footnoteReference w:id="22"/>
      </w:r>
      <w:r w:rsidRPr="00CF409E">
        <w:rPr>
          <w:rFonts w:ascii="Times New Roman" w:eastAsia="Times New Roman" w:hAnsi="Times New Roman" w:cs="Times New Roman"/>
          <w:noProof/>
        </w:rPr>
        <w:t>.</w:t>
      </w:r>
    </w:p>
    <w:p w14:paraId="778BB0C8" w14:textId="77777777" w:rsidR="00CF409E" w:rsidRPr="00DC6FE8" w:rsidRDefault="00CF409E" w:rsidP="00CF409E">
      <w:pPr>
        <w:jc w:val="both"/>
        <w:rPr>
          <w:rFonts w:ascii="Times New Roman" w:eastAsia="Times New Roman" w:hAnsi="Times New Roman" w:cs="Times New Roman"/>
          <w:noProof/>
          <w:szCs w:val="24"/>
        </w:rPr>
      </w:pPr>
      <w:r w:rsidRPr="00DC6FE8">
        <w:rPr>
          <w:rFonts w:ascii="Times New Roman" w:eastAsia="Times New Roman" w:hAnsi="Times New Roman" w:cs="Times New Roman"/>
          <w:noProof/>
          <w:szCs w:val="24"/>
        </w:rPr>
        <w:t xml:space="preserve">Different parameters are used to assess whether a fleet is in balance. For instance, unprofitable or underused fleet segments may indicate that the fleet segments are recurrently or permanently tied up and inactive. Similarly, if many vessels spend less time fishing than they could, then the fleet segment may be too large for the available resources on which the vessels rely. </w:t>
      </w:r>
    </w:p>
    <w:p w14:paraId="43F2EBE7" w14:textId="77777777" w:rsidR="00CF409E"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The size of the Member State fishing fleets continues to </w:t>
      </w:r>
      <w:r>
        <w:rPr>
          <w:rFonts w:ascii="Times New Roman" w:eastAsia="Times New Roman" w:hAnsi="Times New Roman" w:cs="Times New Roman"/>
          <w:noProof/>
        </w:rPr>
        <w:t>decrease.</w:t>
      </w:r>
      <w:r w:rsidRPr="00DC6FE8">
        <w:rPr>
          <w:rFonts w:ascii="Times New Roman" w:eastAsia="Times New Roman" w:hAnsi="Times New Roman" w:cs="Times New Roman"/>
          <w:noProof/>
        </w:rPr>
        <w:t xml:space="preserve"> </w:t>
      </w:r>
      <w:r>
        <w:rPr>
          <w:rFonts w:ascii="Times New Roman" w:eastAsia="Times New Roman" w:hAnsi="Times New Roman" w:cs="Times New Roman"/>
          <w:noProof/>
        </w:rPr>
        <w:t>T</w:t>
      </w:r>
      <w:r w:rsidRPr="00DC6FE8">
        <w:rPr>
          <w:rFonts w:ascii="Times New Roman" w:eastAsia="Times New Roman" w:hAnsi="Times New Roman" w:cs="Times New Roman"/>
          <w:noProof/>
        </w:rPr>
        <w:t xml:space="preserve">he number of vessels, </w:t>
      </w:r>
      <w:r>
        <w:rPr>
          <w:rFonts w:ascii="Times New Roman" w:eastAsia="Times New Roman" w:hAnsi="Times New Roman" w:cs="Times New Roman"/>
          <w:noProof/>
        </w:rPr>
        <w:t xml:space="preserve">their </w:t>
      </w:r>
      <w:r w:rsidRPr="00DC6FE8">
        <w:rPr>
          <w:rFonts w:ascii="Times New Roman" w:eastAsia="Times New Roman" w:hAnsi="Times New Roman" w:cs="Times New Roman"/>
          <w:noProof/>
        </w:rPr>
        <w:t>GT and engine power reduced by approximately 3%, 5% and 3% respectively</w:t>
      </w:r>
      <w:r>
        <w:rPr>
          <w:rFonts w:ascii="Times New Roman" w:eastAsia="Times New Roman" w:hAnsi="Times New Roman" w:cs="Times New Roman"/>
          <w:noProof/>
        </w:rPr>
        <w:t xml:space="preserve"> in 2024</w:t>
      </w:r>
      <w:r w:rsidRPr="00DC6FE8">
        <w:rPr>
          <w:rFonts w:ascii="Times New Roman" w:eastAsia="Times New Roman" w:hAnsi="Times New Roman" w:cs="Times New Roman"/>
          <w:noProof/>
        </w:rPr>
        <w:t>. As a result, by 1 January 2025, the EU fishing fleet</w:t>
      </w:r>
      <w:r w:rsidRPr="00DC6FE8">
        <w:rPr>
          <w:rStyle w:val="FootnoteReference"/>
          <w:rFonts w:ascii="Times New Roman" w:eastAsia="Times New Roman" w:hAnsi="Times New Roman" w:cs="Times New Roman"/>
          <w:noProof/>
        </w:rPr>
        <w:footnoteReference w:id="23"/>
      </w:r>
      <w:r w:rsidRPr="00DC6FE8">
        <w:rPr>
          <w:rFonts w:ascii="Times New Roman" w:eastAsia="Times New Roman" w:hAnsi="Times New Roman" w:cs="Times New Roman"/>
          <w:noProof/>
        </w:rPr>
        <w:t xml:space="preserve"> comprised 69 570 vessels of 1 245 871 GT and 5 062 245 kW.</w:t>
      </w:r>
    </w:p>
    <w:p w14:paraId="0EA9F821" w14:textId="77777777"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However, several fleet segments</w:t>
      </w:r>
      <w:r w:rsidRPr="00DC6FE8" w:rsidDel="36CC2D38">
        <w:rPr>
          <w:rFonts w:ascii="Times New Roman" w:eastAsia="Times New Roman" w:hAnsi="Times New Roman" w:cs="Times New Roman"/>
          <w:noProof/>
        </w:rPr>
        <w:t xml:space="preserve"> </w:t>
      </w:r>
      <w:r w:rsidRPr="00DC6FE8">
        <w:rPr>
          <w:rFonts w:ascii="Times New Roman" w:eastAsia="Times New Roman" w:hAnsi="Times New Roman" w:cs="Times New Roman"/>
          <w:noProof/>
        </w:rPr>
        <w:t>are still out of balance</w:t>
      </w:r>
      <w:r w:rsidRPr="00DC6FE8">
        <w:rPr>
          <w:rStyle w:val="FootnoteReference"/>
          <w:rFonts w:ascii="Times New Roman" w:eastAsia="Times New Roman" w:hAnsi="Times New Roman" w:cs="Times New Roman"/>
          <w:noProof/>
        </w:rPr>
        <w:footnoteReference w:id="24"/>
      </w:r>
      <w:r w:rsidRPr="00DC6FE8">
        <w:rPr>
          <w:rFonts w:ascii="Times New Roman" w:eastAsia="Times New Roman" w:hAnsi="Times New Roman" w:cs="Times New Roman"/>
          <w:noProof/>
        </w:rPr>
        <w:t xml:space="preserve">. According to Article 22 of the CFP Regulation, Member States </w:t>
      </w:r>
      <w:r>
        <w:rPr>
          <w:rFonts w:ascii="Times New Roman" w:eastAsia="Times New Roman" w:hAnsi="Times New Roman" w:cs="Times New Roman"/>
          <w:noProof/>
        </w:rPr>
        <w:t>’</w:t>
      </w:r>
      <w:r w:rsidRPr="00DC6FE8">
        <w:rPr>
          <w:rFonts w:ascii="Times New Roman" w:eastAsia="Times New Roman" w:hAnsi="Times New Roman" w:cs="Times New Roman"/>
          <w:i/>
          <w:iCs/>
          <w:noProof/>
        </w:rPr>
        <w:t xml:space="preserve">shall put in place measures to adjust fishing capacity of their fleet to their fishing opportunities over time, taking into account trends and based on best scientific advice, with the objective of achieving a </w:t>
      </w:r>
      <w:r w:rsidRPr="00DC6FE8">
        <w:rPr>
          <w:rFonts w:ascii="Times New Roman" w:eastAsia="Times New Roman" w:hAnsi="Times New Roman" w:cs="Times New Roman"/>
          <w:b/>
          <w:bCs/>
          <w:i/>
          <w:iCs/>
          <w:noProof/>
        </w:rPr>
        <w:t>stable and enduring balance between them</w:t>
      </w:r>
      <w:r w:rsidRPr="00DC6FE8">
        <w:rPr>
          <w:rFonts w:ascii="Times New Roman" w:eastAsia="Times New Roman" w:hAnsi="Times New Roman" w:cs="Times New Roman"/>
          <w:i/>
          <w:iCs/>
          <w:noProof/>
        </w:rPr>
        <w:t>.</w:t>
      </w:r>
      <w:r>
        <w:rPr>
          <w:rFonts w:ascii="Times New Roman" w:eastAsia="Times New Roman" w:hAnsi="Times New Roman" w:cs="Times New Roman"/>
          <w:noProof/>
        </w:rPr>
        <w:t>’</w:t>
      </w:r>
      <w:r w:rsidRPr="00DC6FE8">
        <w:rPr>
          <w:rFonts w:ascii="Times New Roman" w:eastAsia="Times New Roman" w:hAnsi="Times New Roman" w:cs="Times New Roman"/>
          <w:noProof/>
        </w:rPr>
        <w:t xml:space="preserve">. Some Member States </w:t>
      </w:r>
      <w:r>
        <w:rPr>
          <w:rFonts w:ascii="Times New Roman" w:eastAsia="Times New Roman" w:hAnsi="Times New Roman" w:cs="Times New Roman"/>
          <w:noProof/>
        </w:rPr>
        <w:t>have</w:t>
      </w:r>
      <w:r w:rsidRPr="00DC6FE8">
        <w:rPr>
          <w:rFonts w:ascii="Times New Roman" w:eastAsia="Times New Roman" w:hAnsi="Times New Roman" w:cs="Times New Roman"/>
          <w:noProof/>
        </w:rPr>
        <w:t xml:space="preserve"> not present</w:t>
      </w:r>
      <w:r>
        <w:rPr>
          <w:rFonts w:ascii="Times New Roman" w:eastAsia="Times New Roman" w:hAnsi="Times New Roman" w:cs="Times New Roman"/>
          <w:noProof/>
        </w:rPr>
        <w:t>ed</w:t>
      </w:r>
      <w:r w:rsidRPr="00DC6FE8">
        <w:rPr>
          <w:rFonts w:ascii="Times New Roman" w:eastAsia="Times New Roman" w:hAnsi="Times New Roman" w:cs="Times New Roman"/>
          <w:noProof/>
        </w:rPr>
        <w:t xml:space="preserve"> action plans for bringing these fleet segments in</w:t>
      </w:r>
      <w:r>
        <w:rPr>
          <w:rFonts w:ascii="Times New Roman" w:eastAsia="Times New Roman" w:hAnsi="Times New Roman" w:cs="Times New Roman"/>
          <w:noProof/>
        </w:rPr>
        <w:t>to</w:t>
      </w:r>
      <w:r w:rsidRPr="00DC6FE8">
        <w:rPr>
          <w:rFonts w:ascii="Times New Roman" w:eastAsia="Times New Roman" w:hAnsi="Times New Roman" w:cs="Times New Roman"/>
          <w:noProof/>
        </w:rPr>
        <w:t xml:space="preserve"> balance. While trends for fishing opportunities</w:t>
      </w:r>
      <w:r w:rsidRPr="00DC6FE8" w:rsidDel="3FEA793B">
        <w:rPr>
          <w:rFonts w:ascii="Times New Roman" w:eastAsia="Times New Roman" w:hAnsi="Times New Roman" w:cs="Times New Roman"/>
          <w:noProof/>
        </w:rPr>
        <w:t xml:space="preserve"> may </w:t>
      </w:r>
      <w:r w:rsidRPr="00DC6FE8">
        <w:rPr>
          <w:rFonts w:ascii="Times New Roman" w:eastAsia="Times New Roman" w:hAnsi="Times New Roman" w:cs="Times New Roman"/>
          <w:noProof/>
        </w:rPr>
        <w:t xml:space="preserve">vary from year to year, having fleet segments with </w:t>
      </w:r>
      <w:r>
        <w:rPr>
          <w:rFonts w:ascii="Times New Roman" w:eastAsia="Times New Roman" w:hAnsi="Times New Roman" w:cs="Times New Roman"/>
          <w:noProof/>
        </w:rPr>
        <w:t xml:space="preserve">continuous </w:t>
      </w:r>
      <w:r w:rsidRPr="00DC6FE8">
        <w:rPr>
          <w:rFonts w:ascii="Times New Roman" w:eastAsia="Times New Roman" w:hAnsi="Times New Roman" w:cs="Times New Roman"/>
          <w:noProof/>
        </w:rPr>
        <w:t>non-sustainable indicators without action plans in place indicates</w:t>
      </w:r>
      <w:r>
        <w:rPr>
          <w:rFonts w:ascii="Times New Roman" w:eastAsia="Times New Roman" w:hAnsi="Times New Roman" w:cs="Times New Roman"/>
          <w:noProof/>
        </w:rPr>
        <w:t xml:space="preserve"> a</w:t>
      </w:r>
      <w:r w:rsidRPr="00DC6FE8">
        <w:rPr>
          <w:rFonts w:ascii="Times New Roman" w:eastAsia="Times New Roman" w:hAnsi="Times New Roman" w:cs="Times New Roman"/>
          <w:noProof/>
        </w:rPr>
        <w:t xml:space="preserve"> reluctance to ensure a reliable business model </w:t>
      </w:r>
      <w:r>
        <w:rPr>
          <w:rFonts w:ascii="Times New Roman" w:eastAsia="Times New Roman" w:hAnsi="Times New Roman" w:cs="Times New Roman"/>
          <w:noProof/>
        </w:rPr>
        <w:t>for the resilience and long-term sustainability of</w:t>
      </w:r>
      <w:r w:rsidRPr="00DC6FE8">
        <w:rPr>
          <w:rFonts w:ascii="Times New Roman" w:eastAsia="Times New Roman" w:hAnsi="Times New Roman" w:cs="Times New Roman"/>
          <w:noProof/>
        </w:rPr>
        <w:t xml:space="preserve"> the fisheries sector. In addition, STECF has highlighted that some of the action plans provided do not have sufficient information to properly assess the possible impact on fleet balance. </w:t>
      </w:r>
    </w:p>
    <w:p w14:paraId="72A109CB" w14:textId="77777777" w:rsidR="00CF409E" w:rsidRPr="00DC6FE8" w:rsidRDefault="00CF409E" w:rsidP="00CF409E">
      <w:pPr>
        <w:jc w:val="both"/>
        <w:rPr>
          <w:rFonts w:ascii="Times New Roman" w:eastAsia="Times New Roman" w:hAnsi="Times New Roman" w:cs="Times New Roman"/>
          <w:noProof/>
          <w:szCs w:val="24"/>
        </w:rPr>
      </w:pPr>
      <w:r w:rsidRPr="00DC6FE8">
        <w:rPr>
          <w:rFonts w:ascii="Times New Roman" w:eastAsia="Times New Roman" w:hAnsi="Times New Roman" w:cs="Times New Roman"/>
          <w:noProof/>
          <w:szCs w:val="24"/>
        </w:rPr>
        <w:t xml:space="preserve">Furthermore, some fleet segments continue to lack biological data to </w:t>
      </w:r>
      <w:r>
        <w:rPr>
          <w:rFonts w:ascii="Times New Roman" w:eastAsia="Times New Roman" w:hAnsi="Times New Roman" w:cs="Times New Roman"/>
          <w:noProof/>
          <w:szCs w:val="24"/>
        </w:rPr>
        <w:t>enable a comprehensive</w:t>
      </w:r>
      <w:r w:rsidRPr="00DC6FE8">
        <w:rPr>
          <w:rFonts w:ascii="Times New Roman" w:eastAsia="Times New Roman" w:hAnsi="Times New Roman" w:cs="Times New Roman"/>
          <w:noProof/>
          <w:szCs w:val="24"/>
        </w:rPr>
        <w:t xml:space="preserve"> assessment of </w:t>
      </w:r>
      <w:r>
        <w:rPr>
          <w:rFonts w:ascii="Times New Roman" w:eastAsia="Times New Roman" w:hAnsi="Times New Roman" w:cs="Times New Roman"/>
          <w:noProof/>
          <w:szCs w:val="24"/>
        </w:rPr>
        <w:t>fleet</w:t>
      </w:r>
      <w:r w:rsidRPr="00DC6FE8">
        <w:rPr>
          <w:rFonts w:ascii="Times New Roman" w:eastAsia="Times New Roman" w:hAnsi="Times New Roman" w:cs="Times New Roman"/>
          <w:noProof/>
          <w:szCs w:val="24"/>
        </w:rPr>
        <w:t xml:space="preserve"> balance. The Commission calls on Member States to increase their data collection efforts. Only with sufficient data is it possible to properly assess the balance of the EU fishing fleet to ensure its competitiveness, resilience and economic viability. </w:t>
      </w:r>
    </w:p>
    <w:p w14:paraId="69806AB9" w14:textId="5D91D76C" w:rsidR="00FC0936" w:rsidRPr="00DC6FE8" w:rsidRDefault="00CF409E" w:rsidP="00DC6FE8">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In 2024 the Commission launched a study on the evolution, challenges and future of the EU’s fishing fleet. The objective of the study is to identify </w:t>
      </w:r>
      <w:r>
        <w:rPr>
          <w:rFonts w:ascii="Times New Roman" w:eastAsia="Times New Roman" w:hAnsi="Times New Roman" w:cs="Times New Roman"/>
          <w:noProof/>
        </w:rPr>
        <w:t>current</w:t>
      </w:r>
      <w:r w:rsidRPr="00DC6FE8">
        <w:rPr>
          <w:rFonts w:ascii="Times New Roman" w:eastAsia="Times New Roman" w:hAnsi="Times New Roman" w:cs="Times New Roman"/>
          <w:noProof/>
        </w:rPr>
        <w:t xml:space="preserve"> and future challenges</w:t>
      </w:r>
      <w:r>
        <w:rPr>
          <w:rFonts w:ascii="Times New Roman" w:eastAsia="Times New Roman" w:hAnsi="Times New Roman" w:cs="Times New Roman"/>
          <w:noProof/>
        </w:rPr>
        <w:t xml:space="preserve">, </w:t>
      </w:r>
      <w:r w:rsidRPr="00DC6FE8">
        <w:rPr>
          <w:rFonts w:ascii="Times New Roman" w:eastAsia="Times New Roman" w:hAnsi="Times New Roman" w:cs="Times New Roman"/>
          <w:noProof/>
        </w:rPr>
        <w:t>explain how the</w:t>
      </w:r>
      <w:r>
        <w:rPr>
          <w:rFonts w:ascii="Times New Roman" w:eastAsia="Times New Roman" w:hAnsi="Times New Roman" w:cs="Times New Roman"/>
          <w:noProof/>
        </w:rPr>
        <w:t xml:space="preserve">y </w:t>
      </w:r>
      <w:r w:rsidRPr="00DC6FE8">
        <w:rPr>
          <w:rFonts w:ascii="Times New Roman" w:eastAsia="Times New Roman" w:hAnsi="Times New Roman" w:cs="Times New Roman"/>
          <w:noProof/>
        </w:rPr>
        <w:t>impact the fleet’s sustainability</w:t>
      </w:r>
      <w:r>
        <w:rPr>
          <w:rFonts w:ascii="Times New Roman" w:eastAsia="Times New Roman" w:hAnsi="Times New Roman" w:cs="Times New Roman"/>
          <w:noProof/>
        </w:rPr>
        <w:t xml:space="preserve"> and</w:t>
      </w:r>
      <w:r w:rsidRPr="00DC6FE8">
        <w:rPr>
          <w:rFonts w:ascii="Times New Roman" w:eastAsia="Times New Roman" w:hAnsi="Times New Roman" w:cs="Times New Roman"/>
          <w:noProof/>
        </w:rPr>
        <w:t xml:space="preserve"> provide insights on how to address the</w:t>
      </w:r>
      <w:r>
        <w:rPr>
          <w:rFonts w:ascii="Times New Roman" w:eastAsia="Times New Roman" w:hAnsi="Times New Roman" w:cs="Times New Roman"/>
          <w:noProof/>
        </w:rPr>
        <w:t>m</w:t>
      </w:r>
      <w:r w:rsidRPr="00DC6FE8">
        <w:rPr>
          <w:rFonts w:ascii="Times New Roman" w:eastAsia="Times New Roman" w:hAnsi="Times New Roman" w:cs="Times New Roman"/>
          <w:noProof/>
        </w:rPr>
        <w:t xml:space="preserve">. The study is </w:t>
      </w:r>
      <w:r>
        <w:rPr>
          <w:rFonts w:ascii="Times New Roman" w:eastAsia="Times New Roman" w:hAnsi="Times New Roman" w:cs="Times New Roman"/>
          <w:noProof/>
        </w:rPr>
        <w:t>expected</w:t>
      </w:r>
      <w:r w:rsidRPr="00DC6FE8">
        <w:rPr>
          <w:rFonts w:ascii="Times New Roman" w:eastAsia="Times New Roman" w:hAnsi="Times New Roman" w:cs="Times New Roman"/>
          <w:noProof/>
        </w:rPr>
        <w:t xml:space="preserve"> to be concluded in</w:t>
      </w:r>
      <w:r>
        <w:rPr>
          <w:rFonts w:ascii="Times New Roman" w:eastAsia="Times New Roman" w:hAnsi="Times New Roman" w:cs="Times New Roman"/>
          <w:noProof/>
        </w:rPr>
        <w:t xml:space="preserve"> the</w:t>
      </w:r>
      <w:r w:rsidRPr="00DC6FE8">
        <w:rPr>
          <w:rFonts w:ascii="Times New Roman" w:eastAsia="Times New Roman" w:hAnsi="Times New Roman" w:cs="Times New Roman"/>
          <w:noProof/>
        </w:rPr>
        <w:t xml:space="preserve"> second </w:t>
      </w:r>
      <w:r w:rsidR="00DE4C78">
        <w:rPr>
          <w:rFonts w:ascii="Times New Roman" w:eastAsia="Times New Roman" w:hAnsi="Times New Roman" w:cs="Times New Roman"/>
          <w:noProof/>
        </w:rPr>
        <w:t>half</w:t>
      </w:r>
      <w:r w:rsidR="00DE4C78" w:rsidRPr="00DC6FE8">
        <w:rPr>
          <w:rFonts w:ascii="Times New Roman" w:eastAsia="Times New Roman" w:hAnsi="Times New Roman" w:cs="Times New Roman"/>
          <w:noProof/>
        </w:rPr>
        <w:t xml:space="preserve"> </w:t>
      </w:r>
      <w:r w:rsidRPr="00DC6FE8">
        <w:rPr>
          <w:rFonts w:ascii="Times New Roman" w:eastAsia="Times New Roman" w:hAnsi="Times New Roman" w:cs="Times New Roman"/>
          <w:noProof/>
        </w:rPr>
        <w:t>of 2025</w:t>
      </w:r>
      <w:r w:rsidRPr="00DC6FE8">
        <w:rPr>
          <w:rFonts w:ascii="Times New Roman" w:hAnsi="Times New Roman" w:cs="Times New Roman"/>
          <w:noProof/>
          <w:sz w:val="18"/>
          <w:szCs w:val="18"/>
        </w:rPr>
        <w:t xml:space="preserve"> </w:t>
      </w:r>
      <w:r w:rsidRPr="00DC6FE8">
        <w:rPr>
          <w:rFonts w:ascii="Times New Roman" w:eastAsia="Times New Roman" w:hAnsi="Times New Roman" w:cs="Times New Roman"/>
          <w:noProof/>
        </w:rPr>
        <w:t xml:space="preserve">and will feed into the evaluation of the CFP Regulation. </w:t>
      </w:r>
    </w:p>
    <w:p w14:paraId="7E8B3BB5" w14:textId="77777777" w:rsidR="00FC0936" w:rsidRPr="00DC6FE8" w:rsidRDefault="00FC0936" w:rsidP="00DC6FE8">
      <w:pPr>
        <w:pStyle w:val="Heading1"/>
        <w:numPr>
          <w:ilvl w:val="0"/>
          <w:numId w:val="1"/>
        </w:numPr>
        <w:jc w:val="both"/>
        <w:rPr>
          <w:rFonts w:ascii="Times New Roman" w:hAnsi="Times New Roman" w:cs="Times New Roman"/>
          <w:noProof/>
        </w:rPr>
      </w:pPr>
      <w:r w:rsidRPr="00DC6FE8">
        <w:rPr>
          <w:rFonts w:ascii="Times New Roman" w:hAnsi="Times New Roman" w:cs="Times New Roman"/>
          <w:noProof/>
        </w:rPr>
        <w:t>Socio-economic outlook</w:t>
      </w:r>
    </w:p>
    <w:p w14:paraId="4D90FE69" w14:textId="1605C487"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After fuel prices peaked in 2022, </w:t>
      </w:r>
      <w:bookmarkStart w:id="3" w:name="_Hlk192513236"/>
      <w:r>
        <w:rPr>
          <w:rFonts w:ascii="Times New Roman" w:eastAsia="Times New Roman" w:hAnsi="Times New Roman" w:cs="Times New Roman"/>
          <w:noProof/>
        </w:rPr>
        <w:t>they</w:t>
      </w:r>
      <w:r w:rsidRPr="00DC6FE8">
        <w:rPr>
          <w:rFonts w:ascii="Times New Roman" w:eastAsia="Times New Roman" w:hAnsi="Times New Roman" w:cs="Times New Roman"/>
          <w:noProof/>
        </w:rPr>
        <w:t xml:space="preserve"> have gradually fallen to EUR 0.6-0.7 per litre in the first quarter of 2025</w:t>
      </w:r>
      <w:bookmarkEnd w:id="3"/>
      <w:r w:rsidRPr="00DC6FE8">
        <w:rPr>
          <w:rFonts w:ascii="Times New Roman" w:eastAsia="Times New Roman" w:hAnsi="Times New Roman" w:cs="Times New Roman"/>
          <w:noProof/>
        </w:rPr>
        <w:t xml:space="preserve">. At current prices, the EU fishing fleet can expect to produce a gross value added of around EUR 2.5 billion, cover its operational costs, and maintain jobs and salaries for around 120 000 fishers. </w:t>
      </w:r>
    </w:p>
    <w:p w14:paraId="252131E6" w14:textId="77777777" w:rsidR="00CF409E" w:rsidRPr="00DC6FE8" w:rsidRDefault="00CF409E" w:rsidP="00CF409E">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Although overall, most national fleets are expected to be profitable in 2025, a socio-economic analysis indicates that several fleet segments in major fisheries will still face challenging conditions, particularly those which are </w:t>
      </w:r>
      <w:r w:rsidRPr="00CF409E">
        <w:rPr>
          <w:rFonts w:ascii="Times New Roman" w:eastAsia="Times New Roman" w:hAnsi="Times New Roman" w:cs="Times New Roman"/>
          <w:b/>
          <w:bCs/>
          <w:noProof/>
        </w:rPr>
        <w:t>out of balance, depend on overfished stocks and/or use energy-intensive fishing gear</w:t>
      </w:r>
      <w:r w:rsidRPr="00CF409E">
        <w:rPr>
          <w:rFonts w:ascii="Times New Roman" w:eastAsia="Times New Roman" w:hAnsi="Times New Roman" w:cs="Times New Roman"/>
          <w:noProof/>
        </w:rPr>
        <w:t xml:space="preserve">. By contrast, </w:t>
      </w:r>
      <w:r w:rsidRPr="00CF409E">
        <w:rPr>
          <w:rFonts w:ascii="Times New Roman" w:eastAsia="Times New Roman" w:hAnsi="Times New Roman" w:cs="Times New Roman"/>
          <w:b/>
          <w:bCs/>
          <w:noProof/>
        </w:rPr>
        <w:t>fleet segments that are in balance, depend on stocks fished sustainably, and have increased their energy efficiency tend to perform better and generate higher salaries for their crews</w:t>
      </w:r>
      <w:r w:rsidRPr="00CF409E">
        <w:rPr>
          <w:rFonts w:ascii="Times New Roman" w:eastAsia="Times New Roman" w:hAnsi="Times New Roman" w:cs="Times New Roman"/>
          <w:noProof/>
        </w:rPr>
        <w:t xml:space="preserve">. This illustrates the major socio-economic gains in stock conservation and energy efficiency by EU fishing fleets. Whilst fuel prices have fallen, energy remains one of the major costs for the EU fishing fleets. On this front, </w:t>
      </w:r>
      <w:r w:rsidRPr="00CF409E">
        <w:rPr>
          <w:rFonts w:ascii="Times New Roman" w:eastAsia="Times New Roman" w:hAnsi="Times New Roman" w:cs="Times New Roman"/>
          <w:b/>
          <w:bCs/>
          <w:noProof/>
        </w:rPr>
        <w:t>the Commission will present a roadmap of the energy transition in fisheries (and aquaculture) in early 2026</w:t>
      </w:r>
      <w:r w:rsidRPr="00CF409E">
        <w:rPr>
          <w:rFonts w:ascii="Times New Roman" w:eastAsia="Times New Roman" w:hAnsi="Times New Roman" w:cs="Times New Roman"/>
          <w:noProof/>
        </w:rPr>
        <w:t>.</w:t>
      </w:r>
    </w:p>
    <w:p w14:paraId="65973FAD" w14:textId="3F022772" w:rsidR="00FC0936" w:rsidRDefault="00CF409E" w:rsidP="00DC6FE8">
      <w:pPr>
        <w:jc w:val="both"/>
        <w:rPr>
          <w:rFonts w:ascii="Times New Roman" w:eastAsia="Times New Roman" w:hAnsi="Times New Roman" w:cs="Times New Roman"/>
          <w:noProof/>
        </w:rPr>
      </w:pPr>
      <w:r w:rsidRPr="00DC6FE8">
        <w:rPr>
          <w:rFonts w:ascii="Times New Roman" w:eastAsia="Times New Roman" w:hAnsi="Times New Roman" w:cs="Times New Roman"/>
          <w:noProof/>
        </w:rPr>
        <w:t>The state of the stocks and the profitability of the fisheries sector is equally important for the value chains through the coastal communities and beyond. Fisheries are the economic basis sustaining employment in auction halls, processing facilities, shipyards, transport, tourism and retail. According to the latest figures from the EU Blue Economy Observatory, an additional one million euro of output produced by the EU fishing fleet creates 30 jobs upstream and downstream in the value chain. Besides, fishers play a vital role in ensuring a healthy supply of food to</w:t>
      </w:r>
      <w:r w:rsidRPr="7A9D6F0C">
        <w:rPr>
          <w:rFonts w:ascii="Times New Roman" w:eastAsia="Times New Roman" w:hAnsi="Times New Roman" w:cs="Times New Roman"/>
          <w:noProof/>
        </w:rPr>
        <w:t xml:space="preserve"> the people of</w:t>
      </w:r>
      <w:r w:rsidRPr="00DC6FE8">
        <w:rPr>
          <w:rFonts w:ascii="Times New Roman" w:eastAsia="Times New Roman" w:hAnsi="Times New Roman" w:cs="Times New Roman"/>
          <w:noProof/>
        </w:rPr>
        <w:t xml:space="preserve"> Europe and beyond. </w:t>
      </w:r>
      <w:r w:rsidRPr="00B70A3E">
        <w:rPr>
          <w:rFonts w:ascii="Times New Roman" w:eastAsia="Times New Roman" w:hAnsi="Times New Roman" w:cs="Times New Roman"/>
          <w:noProof/>
        </w:rPr>
        <w:t>As well, fisheries are an essential economic sector in many co</w:t>
      </w:r>
      <w:r w:rsidR="00715FDB">
        <w:rPr>
          <w:rFonts w:ascii="Times New Roman" w:eastAsia="Times New Roman" w:hAnsi="Times New Roman" w:cs="Times New Roman"/>
          <w:noProof/>
        </w:rPr>
        <w:t>a</w:t>
      </w:r>
      <w:r w:rsidRPr="00B70A3E">
        <w:rPr>
          <w:rFonts w:ascii="Times New Roman" w:eastAsia="Times New Roman" w:hAnsi="Times New Roman" w:cs="Times New Roman"/>
          <w:noProof/>
        </w:rPr>
        <w:t>stal communities, especially where other opportunities may be more limited.</w:t>
      </w:r>
    </w:p>
    <w:p w14:paraId="70FB4D1A" w14:textId="396532E2" w:rsidR="00CF409E" w:rsidRPr="00DC6FE8" w:rsidRDefault="00CF409E" w:rsidP="00DC6FE8">
      <w:pPr>
        <w:jc w:val="both"/>
        <w:rPr>
          <w:rFonts w:ascii="Times New Roman" w:eastAsia="Times New Roman" w:hAnsi="Times New Roman" w:cs="Times New Roman"/>
          <w:noProof/>
        </w:rPr>
      </w:pPr>
      <w:r w:rsidRPr="00DC6FE8">
        <w:rPr>
          <w:rFonts w:ascii="Times New Roman" w:eastAsia="Times New Roman" w:hAnsi="Times New Roman" w:cs="Times New Roman"/>
          <w:noProof/>
        </w:rPr>
        <w:t>However, a resilient and prosperous coastal community cannot rely on fish</w:t>
      </w:r>
      <w:r w:rsidRPr="7A9D6F0C">
        <w:rPr>
          <w:rFonts w:ascii="Times New Roman" w:eastAsia="Times New Roman" w:hAnsi="Times New Roman" w:cs="Times New Roman"/>
          <w:noProof/>
        </w:rPr>
        <w:t>ing</w:t>
      </w:r>
      <w:r w:rsidRPr="00DC6FE8">
        <w:rPr>
          <w:rFonts w:ascii="Times New Roman" w:eastAsia="Times New Roman" w:hAnsi="Times New Roman" w:cs="Times New Roman"/>
          <w:noProof/>
        </w:rPr>
        <w:t xml:space="preserve"> activities alone. Fishers, and coastal communities </w:t>
      </w:r>
      <w:r>
        <w:rPr>
          <w:rFonts w:ascii="Times New Roman" w:eastAsia="Times New Roman" w:hAnsi="Times New Roman" w:cs="Times New Roman"/>
          <w:noProof/>
        </w:rPr>
        <w:t>more generally</w:t>
      </w:r>
      <w:r w:rsidRPr="00DC6FE8">
        <w:rPr>
          <w:rFonts w:ascii="Times New Roman" w:eastAsia="Times New Roman" w:hAnsi="Times New Roman" w:cs="Times New Roman"/>
          <w:noProof/>
        </w:rPr>
        <w:t>, are facing increased pressures and uncertainty</w:t>
      </w:r>
      <w:r w:rsidRPr="7A9D6F0C">
        <w:rPr>
          <w:rFonts w:ascii="Times New Roman" w:eastAsia="Times New Roman" w:hAnsi="Times New Roman" w:cs="Times New Roman"/>
          <w:noProof/>
        </w:rPr>
        <w:t>, including</w:t>
      </w:r>
      <w:r w:rsidRPr="00DC6FE8">
        <w:rPr>
          <w:rFonts w:ascii="Times New Roman" w:eastAsia="Times New Roman" w:hAnsi="Times New Roman" w:cs="Times New Roman"/>
          <w:noProof/>
        </w:rPr>
        <w:t xml:space="preserve"> from climate change, which negatively affects marine ecosystems and displaces fish stocks. To withstand and adapt to the increasing pressures, coastal communities and fishers need to step up preparedness</w:t>
      </w:r>
      <w:r w:rsidRPr="00DC6FE8">
        <w:rPr>
          <w:rStyle w:val="FootnoteReference"/>
          <w:rFonts w:ascii="Times New Roman" w:eastAsia="Times New Roman" w:hAnsi="Times New Roman" w:cs="Times New Roman"/>
          <w:noProof/>
        </w:rPr>
        <w:footnoteReference w:id="25"/>
      </w:r>
      <w:r w:rsidRPr="00DC6FE8">
        <w:rPr>
          <w:rFonts w:ascii="Times New Roman" w:eastAsia="Times New Roman" w:hAnsi="Times New Roman" w:cs="Times New Roman"/>
          <w:noProof/>
        </w:rPr>
        <w:t xml:space="preserve"> and diversify activities</w:t>
      </w:r>
      <w:r w:rsidRPr="7A9D6F0C">
        <w:rPr>
          <w:rFonts w:ascii="Times New Roman" w:eastAsia="Times New Roman" w:hAnsi="Times New Roman" w:cs="Times New Roman"/>
          <w:noProof/>
        </w:rPr>
        <w:t xml:space="preserve"> where needed</w:t>
      </w:r>
      <w:r w:rsidRPr="00DC6FE8">
        <w:rPr>
          <w:rFonts w:ascii="Times New Roman" w:eastAsia="Times New Roman" w:hAnsi="Times New Roman" w:cs="Times New Roman"/>
          <w:noProof/>
        </w:rPr>
        <w:t xml:space="preserve">. </w:t>
      </w:r>
      <w:r w:rsidRPr="7A9D6F0C">
        <w:rPr>
          <w:rFonts w:ascii="Times New Roman" w:eastAsia="Times New Roman" w:hAnsi="Times New Roman" w:cs="Times New Roman"/>
          <w:noProof/>
        </w:rPr>
        <w:t>Member State programmes under t</w:t>
      </w:r>
      <w:r w:rsidRPr="00DC6FE8">
        <w:rPr>
          <w:rFonts w:ascii="Times New Roman" w:eastAsia="Times New Roman" w:hAnsi="Times New Roman" w:cs="Times New Roman"/>
          <w:noProof/>
        </w:rPr>
        <w:t>he European Maritime, Fisheries and Aquaculture Fund (EMFAF) already offer opportunities for diversification and development of blue economy activities. In addition, the Commission will step up its effort to support coastal communities in strengthening their resilience and developing new opportunities</w:t>
      </w:r>
      <w:r w:rsidRPr="00DC6FE8">
        <w:rPr>
          <w:rStyle w:val="FootnoteReference"/>
          <w:rFonts w:ascii="Times New Roman" w:eastAsia="Times New Roman" w:hAnsi="Times New Roman" w:cs="Times New Roman"/>
          <w:noProof/>
        </w:rPr>
        <w:footnoteReference w:id="26"/>
      </w:r>
      <w:r w:rsidRPr="00DC6FE8">
        <w:rPr>
          <w:rFonts w:ascii="Times New Roman" w:eastAsia="Times New Roman" w:hAnsi="Times New Roman" w:cs="Times New Roman"/>
          <w:noProof/>
        </w:rPr>
        <w:t xml:space="preserve">.  </w:t>
      </w:r>
    </w:p>
    <w:p w14:paraId="7672BD3D" w14:textId="3E1322A9" w:rsidR="00FC0936" w:rsidRPr="00DC6FE8" w:rsidRDefault="00FC0936" w:rsidP="00DC6FE8">
      <w:pPr>
        <w:pStyle w:val="Heading2"/>
        <w:numPr>
          <w:ilvl w:val="1"/>
          <w:numId w:val="1"/>
        </w:numPr>
        <w:jc w:val="both"/>
        <w:rPr>
          <w:rFonts w:ascii="Times New Roman" w:eastAsia="Times New Roman" w:hAnsi="Times New Roman" w:cs="Times New Roman"/>
          <w:noProof/>
        </w:rPr>
      </w:pPr>
      <w:r w:rsidRPr="00DC6FE8">
        <w:rPr>
          <w:rFonts w:ascii="Times New Roman" w:eastAsia="Times New Roman" w:hAnsi="Times New Roman" w:cs="Times New Roman"/>
          <w:noProof/>
        </w:rPr>
        <w:t>Social dimension</w:t>
      </w:r>
    </w:p>
    <w:p w14:paraId="70846935" w14:textId="50B018C1"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The ‘Fishers of the Future’</w:t>
      </w:r>
      <w:r w:rsidRPr="00DC6FE8">
        <w:rPr>
          <w:rStyle w:val="FootnoteReference"/>
          <w:rFonts w:ascii="Times New Roman" w:eastAsia="Times New Roman" w:hAnsi="Times New Roman" w:cs="Times New Roman"/>
          <w:noProof/>
        </w:rPr>
        <w:footnoteReference w:id="27"/>
      </w:r>
      <w:r w:rsidRPr="00DC6FE8">
        <w:rPr>
          <w:rFonts w:ascii="Times New Roman" w:eastAsia="Times New Roman" w:hAnsi="Times New Roman" w:cs="Times New Roman"/>
          <w:noProof/>
        </w:rPr>
        <w:t xml:space="preserve"> foresight study, completed in December 2024, examined the future role of fishers in society up to 205</w:t>
      </w:r>
      <w:r w:rsidR="001D05E3">
        <w:rPr>
          <w:rFonts w:ascii="Times New Roman" w:eastAsia="Times New Roman" w:hAnsi="Times New Roman" w:cs="Times New Roman"/>
          <w:noProof/>
        </w:rPr>
        <w:t>0</w:t>
      </w:r>
      <w:r w:rsidRPr="00DC6FE8">
        <w:rPr>
          <w:rFonts w:ascii="Times New Roman" w:eastAsia="Times New Roman" w:hAnsi="Times New Roman" w:cs="Times New Roman"/>
          <w:noProof/>
        </w:rPr>
        <w:t xml:space="preserve">. Looking at fishers’ hopes, fears, expectations and needs is crucial to better design policies that support sustainable, thriving, and inclusive fisheries for the long-term. </w:t>
      </w:r>
    </w:p>
    <w:p w14:paraId="753CAD99" w14:textId="5AD85639" w:rsidR="00FC0936" w:rsidRPr="00DC6FE8" w:rsidRDefault="00CF409E" w:rsidP="00DC6FE8">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The foresight study is part of the growing work on the social dimension of EU fisheries policy. </w:t>
      </w:r>
      <w:r w:rsidRPr="7A9D6F0C">
        <w:rPr>
          <w:rFonts w:ascii="Times New Roman" w:eastAsia="Times New Roman" w:hAnsi="Times New Roman" w:cs="Times New Roman"/>
          <w:noProof/>
        </w:rPr>
        <w:t>In 2024 t</w:t>
      </w:r>
      <w:r w:rsidRPr="00DC6FE8">
        <w:rPr>
          <w:rFonts w:ascii="Times New Roman" w:eastAsia="Times New Roman" w:hAnsi="Times New Roman" w:cs="Times New Roman"/>
          <w:noProof/>
        </w:rPr>
        <w:t>he Commission launched a baseline study on the training and skills of fishers in the EU. This baseline study will feed into an impact assessment, planned to be launched in 2025, on the possible implementation of the International Convention on</w:t>
      </w:r>
      <w:r w:rsidRPr="7A9D6F0C">
        <w:rPr>
          <w:rFonts w:ascii="Times New Roman" w:eastAsia="Times New Roman" w:hAnsi="Times New Roman" w:cs="Times New Roman"/>
          <w:noProof/>
        </w:rPr>
        <w:t xml:space="preserve"> Standards of</w:t>
      </w:r>
      <w:r w:rsidRPr="00DC6FE8">
        <w:rPr>
          <w:rFonts w:ascii="Times New Roman" w:eastAsia="Times New Roman" w:hAnsi="Times New Roman" w:cs="Times New Roman"/>
          <w:noProof/>
        </w:rPr>
        <w:t xml:space="preserve"> Training</w:t>
      </w:r>
      <w:r w:rsidRPr="7A9D6F0C">
        <w:rPr>
          <w:rFonts w:ascii="Times New Roman" w:eastAsia="Times New Roman" w:hAnsi="Times New Roman" w:cs="Times New Roman"/>
          <w:noProof/>
        </w:rPr>
        <w:t>,</w:t>
      </w:r>
      <w:r w:rsidRPr="00DC6FE8">
        <w:rPr>
          <w:rFonts w:ascii="Times New Roman" w:eastAsia="Times New Roman" w:hAnsi="Times New Roman" w:cs="Times New Roman"/>
          <w:noProof/>
        </w:rPr>
        <w:t xml:space="preserve"> Certification</w:t>
      </w:r>
      <w:r w:rsidRPr="7A9D6F0C">
        <w:rPr>
          <w:rFonts w:ascii="Times New Roman" w:eastAsia="Times New Roman" w:hAnsi="Times New Roman" w:cs="Times New Roman"/>
          <w:noProof/>
        </w:rPr>
        <w:t xml:space="preserve"> and Watchkeeping for Fishing Vessel Personnel</w:t>
      </w:r>
      <w:r w:rsidRPr="00DC6FE8">
        <w:rPr>
          <w:rFonts w:ascii="Times New Roman" w:eastAsia="Times New Roman" w:hAnsi="Times New Roman" w:cs="Times New Roman"/>
          <w:noProof/>
        </w:rPr>
        <w:t xml:space="preserve"> (STCW-F)</w:t>
      </w:r>
      <w:r w:rsidRPr="00DC6FE8">
        <w:rPr>
          <w:rStyle w:val="FootnoteReference"/>
          <w:rFonts w:ascii="Times New Roman" w:eastAsia="Times New Roman" w:hAnsi="Times New Roman" w:cs="Times New Roman"/>
          <w:noProof/>
        </w:rPr>
        <w:footnoteReference w:id="28"/>
      </w:r>
      <w:r w:rsidRPr="00DC6FE8">
        <w:rPr>
          <w:rFonts w:ascii="Times New Roman" w:eastAsia="Times New Roman" w:hAnsi="Times New Roman" w:cs="Times New Roman"/>
          <w:noProof/>
        </w:rPr>
        <w:t xml:space="preserve">, as a way of tackling the </w:t>
      </w:r>
      <w:r w:rsidRPr="7A9D6F0C">
        <w:rPr>
          <w:rFonts w:ascii="Times New Roman" w:eastAsia="Times New Roman" w:hAnsi="Times New Roman" w:cs="Times New Roman"/>
          <w:noProof/>
        </w:rPr>
        <w:t>issue of</w:t>
      </w:r>
      <w:r w:rsidRPr="00DC6FE8">
        <w:rPr>
          <w:rFonts w:ascii="Times New Roman" w:eastAsia="Times New Roman" w:hAnsi="Times New Roman" w:cs="Times New Roman"/>
          <w:noProof/>
        </w:rPr>
        <w:t xml:space="preserve"> the fishing sector </w:t>
      </w:r>
      <w:r w:rsidRPr="7A9D6F0C">
        <w:rPr>
          <w:rFonts w:ascii="Times New Roman" w:eastAsia="Times New Roman" w:hAnsi="Times New Roman" w:cs="Times New Roman"/>
          <w:noProof/>
        </w:rPr>
        <w:t xml:space="preserve">ranking amongst the most dangerous </w:t>
      </w:r>
      <w:r w:rsidRPr="00DC6FE8">
        <w:rPr>
          <w:rFonts w:ascii="Times New Roman" w:eastAsia="Times New Roman" w:hAnsi="Times New Roman" w:cs="Times New Roman"/>
          <w:noProof/>
        </w:rPr>
        <w:t>profession</w:t>
      </w:r>
      <w:r w:rsidRPr="7A9D6F0C">
        <w:rPr>
          <w:rFonts w:ascii="Times New Roman" w:eastAsia="Times New Roman" w:hAnsi="Times New Roman" w:cs="Times New Roman"/>
          <w:noProof/>
        </w:rPr>
        <w:t>s</w:t>
      </w:r>
      <w:r w:rsidRPr="00DC6FE8">
        <w:rPr>
          <w:rStyle w:val="FootnoteReference"/>
          <w:rFonts w:ascii="Times New Roman" w:eastAsia="Times New Roman" w:hAnsi="Times New Roman" w:cs="Times New Roman"/>
          <w:noProof/>
        </w:rPr>
        <w:footnoteReference w:id="29"/>
      </w:r>
      <w:r w:rsidRPr="00DC6FE8">
        <w:rPr>
          <w:rFonts w:ascii="Times New Roman" w:eastAsia="Times New Roman" w:hAnsi="Times New Roman" w:cs="Times New Roman"/>
          <w:noProof/>
        </w:rPr>
        <w:t xml:space="preserve">. It is important to ensure that fishing is an attractive </w:t>
      </w:r>
      <w:r w:rsidRPr="7A9D6F0C">
        <w:rPr>
          <w:rFonts w:ascii="Times New Roman" w:eastAsia="Times New Roman" w:hAnsi="Times New Roman" w:cs="Times New Roman"/>
          <w:noProof/>
        </w:rPr>
        <w:t xml:space="preserve">profession </w:t>
      </w:r>
      <w:r w:rsidRPr="00DC6FE8">
        <w:rPr>
          <w:rFonts w:ascii="Times New Roman" w:eastAsia="Times New Roman" w:hAnsi="Times New Roman" w:cs="Times New Roman"/>
          <w:noProof/>
        </w:rPr>
        <w:t>for young people</w:t>
      </w:r>
      <w:r w:rsidRPr="7A9D6F0C">
        <w:rPr>
          <w:rFonts w:ascii="Times New Roman" w:eastAsia="Times New Roman" w:hAnsi="Times New Roman" w:cs="Times New Roman"/>
          <w:noProof/>
        </w:rPr>
        <w:t xml:space="preserve"> and</w:t>
      </w:r>
      <w:r w:rsidRPr="00DC6FE8">
        <w:rPr>
          <w:rFonts w:ascii="Times New Roman" w:eastAsia="Times New Roman" w:hAnsi="Times New Roman" w:cs="Times New Roman"/>
          <w:noProof/>
        </w:rPr>
        <w:t xml:space="preserve"> better safety conditions can play a part</w:t>
      </w:r>
      <w:r w:rsidRPr="7A9D6F0C">
        <w:rPr>
          <w:rFonts w:ascii="Times New Roman" w:eastAsia="Times New Roman" w:hAnsi="Times New Roman" w:cs="Times New Roman"/>
          <w:noProof/>
        </w:rPr>
        <w:t xml:space="preserve"> in this</w:t>
      </w:r>
      <w:r w:rsidRPr="00DC6FE8">
        <w:rPr>
          <w:rFonts w:ascii="Times New Roman" w:eastAsia="Times New Roman" w:hAnsi="Times New Roman" w:cs="Times New Roman"/>
          <w:noProof/>
        </w:rPr>
        <w:t>. Without generational renewal, fishing will not continue to</w:t>
      </w:r>
      <w:r w:rsidRPr="7A9D6F0C">
        <w:rPr>
          <w:rFonts w:ascii="Times New Roman" w:eastAsia="Times New Roman" w:hAnsi="Times New Roman" w:cs="Times New Roman"/>
          <w:noProof/>
        </w:rPr>
        <w:t xml:space="preserve"> supply</w:t>
      </w:r>
      <w:r w:rsidRPr="00DC6FE8">
        <w:rPr>
          <w:rFonts w:ascii="Times New Roman" w:eastAsia="Times New Roman" w:hAnsi="Times New Roman" w:cs="Times New Roman"/>
          <w:noProof/>
        </w:rPr>
        <w:t xml:space="preserve"> healthy food to markets across Europe and help to maintain coastal communities. </w:t>
      </w:r>
    </w:p>
    <w:p w14:paraId="33DCB0D5" w14:textId="77777777" w:rsidR="00FC0936" w:rsidRDefault="00FC0936" w:rsidP="00DC6FE8">
      <w:pPr>
        <w:pStyle w:val="Heading1"/>
        <w:numPr>
          <w:ilvl w:val="0"/>
          <w:numId w:val="1"/>
        </w:numPr>
        <w:jc w:val="both"/>
        <w:rPr>
          <w:rFonts w:ascii="Times New Roman" w:eastAsia="Times New Roman" w:hAnsi="Times New Roman" w:cs="Times New Roman"/>
          <w:noProof/>
        </w:rPr>
      </w:pPr>
      <w:r w:rsidRPr="00DC6FE8">
        <w:rPr>
          <w:rFonts w:ascii="Times New Roman" w:eastAsia="Times New Roman" w:hAnsi="Times New Roman" w:cs="Times New Roman"/>
          <w:noProof/>
        </w:rPr>
        <w:t>Landing obligation</w:t>
      </w:r>
    </w:p>
    <w:p w14:paraId="4F95ABC6" w14:textId="6BBD42D0" w:rsidR="00CF409E" w:rsidRDefault="00CF409E" w:rsidP="00CF409E">
      <w:pPr>
        <w:jc w:val="both"/>
        <w:rPr>
          <w:rFonts w:ascii="Times New Roman" w:eastAsia="Times New Roman" w:hAnsi="Times New Roman" w:cs="Times New Roman"/>
          <w:noProof/>
        </w:rPr>
      </w:pPr>
      <w:bookmarkStart w:id="4" w:name="_Hlk195274757"/>
      <w:r w:rsidRPr="00CF409E">
        <w:rPr>
          <w:rFonts w:ascii="Times New Roman" w:eastAsia="Times New Roman" w:hAnsi="Times New Roman" w:cs="Times New Roman"/>
          <w:noProof/>
        </w:rPr>
        <w:t xml:space="preserve">The landing obligation is a measure ensuring the sustainable exploitation of marine resources by inducing more selective fishing, so that unwanted catches are not caught. </w:t>
      </w:r>
      <w:bookmarkEnd w:id="4"/>
      <w:r w:rsidRPr="00CF409E">
        <w:rPr>
          <w:rFonts w:ascii="Times New Roman" w:eastAsia="Times New Roman" w:hAnsi="Times New Roman" w:cs="Times New Roman"/>
          <w:noProof/>
        </w:rPr>
        <w:t xml:space="preserve">The landing obligation </w:t>
      </w:r>
      <w:r w:rsidR="00DB051B">
        <w:rPr>
          <w:rFonts w:ascii="Times New Roman" w:eastAsia="Times New Roman" w:hAnsi="Times New Roman" w:cs="Times New Roman"/>
          <w:noProof/>
        </w:rPr>
        <w:t xml:space="preserve">aims at ensuring </w:t>
      </w:r>
      <w:r w:rsidRPr="00CF409E">
        <w:rPr>
          <w:rFonts w:ascii="Times New Roman" w:eastAsia="Times New Roman" w:hAnsi="Times New Roman" w:cs="Times New Roman"/>
          <w:noProof/>
        </w:rPr>
        <w:t>accurate recording of catches</w:t>
      </w:r>
      <w:r w:rsidR="00DB051B">
        <w:rPr>
          <w:rFonts w:ascii="Times New Roman" w:eastAsia="Times New Roman" w:hAnsi="Times New Roman" w:cs="Times New Roman"/>
          <w:noProof/>
        </w:rPr>
        <w:t>, including discards</w:t>
      </w:r>
      <w:r w:rsidRPr="00CF409E">
        <w:rPr>
          <w:rFonts w:ascii="Times New Roman" w:eastAsia="Times New Roman" w:hAnsi="Times New Roman" w:cs="Times New Roman"/>
          <w:noProof/>
        </w:rPr>
        <w:t>, which is essential for stock assessments</w:t>
      </w:r>
      <w:r w:rsidR="00DB051B">
        <w:rPr>
          <w:rFonts w:ascii="Times New Roman" w:eastAsia="Times New Roman" w:hAnsi="Times New Roman" w:cs="Times New Roman"/>
          <w:noProof/>
        </w:rPr>
        <w:t xml:space="preserve"> and for proper fisheries management</w:t>
      </w:r>
      <w:r w:rsidRPr="00CF409E">
        <w:rPr>
          <w:rFonts w:ascii="Times New Roman" w:eastAsia="Times New Roman" w:hAnsi="Times New Roman" w:cs="Times New Roman"/>
          <w:noProof/>
        </w:rPr>
        <w:t>. As researchers use the data recorded in logbooks and collected under the data collection framework</w:t>
      </w:r>
      <w:r w:rsidRPr="00DC6FE8">
        <w:rPr>
          <w:rStyle w:val="FootnoteReference"/>
          <w:rFonts w:ascii="Times New Roman" w:eastAsia="Times New Roman" w:hAnsi="Times New Roman" w:cs="Times New Roman"/>
          <w:noProof/>
        </w:rPr>
        <w:footnoteReference w:id="30"/>
      </w:r>
      <w:r w:rsidRPr="00CF409E">
        <w:rPr>
          <w:rFonts w:ascii="Times New Roman" w:eastAsia="Times New Roman" w:hAnsi="Times New Roman" w:cs="Times New Roman"/>
          <w:noProof/>
        </w:rPr>
        <w:t xml:space="preserve"> to support scientific advice, it is essential to have accurate data. </w:t>
      </w:r>
      <w:r w:rsidR="00DB051B">
        <w:rPr>
          <w:rFonts w:ascii="Times New Roman" w:eastAsia="Times New Roman" w:hAnsi="Times New Roman" w:cs="Times New Roman"/>
          <w:noProof/>
        </w:rPr>
        <w:t xml:space="preserve">At the same time, </w:t>
      </w:r>
      <w:r w:rsidR="00574D14">
        <w:rPr>
          <w:rFonts w:ascii="Times New Roman" w:eastAsia="Times New Roman" w:hAnsi="Times New Roman" w:cs="Times New Roman"/>
          <w:noProof/>
        </w:rPr>
        <w:t>it is essential that all catches are accurately recorded and appropriately deducted from established quotas to ensure sustainable fisheries management</w:t>
      </w:r>
      <w:r w:rsidR="00DB051B">
        <w:rPr>
          <w:rFonts w:ascii="Times New Roman" w:eastAsia="Times New Roman" w:hAnsi="Times New Roman" w:cs="Times New Roman"/>
          <w:noProof/>
        </w:rPr>
        <w:t xml:space="preserve">. </w:t>
      </w:r>
      <w:r w:rsidRPr="00CF409E">
        <w:rPr>
          <w:rFonts w:ascii="Times New Roman" w:eastAsia="Times New Roman" w:hAnsi="Times New Roman" w:cs="Times New Roman"/>
          <w:noProof/>
        </w:rPr>
        <w:t xml:space="preserve"> </w:t>
      </w:r>
      <w:bookmarkStart w:id="5" w:name="_Hlk198810458"/>
      <w:r w:rsidR="00DB051B" w:rsidRPr="00CF409E">
        <w:rPr>
          <w:rFonts w:ascii="Times New Roman" w:eastAsia="Times New Roman" w:hAnsi="Times New Roman" w:cs="Times New Roman"/>
          <w:noProof/>
        </w:rPr>
        <w:t xml:space="preserve">As such, the full implementation </w:t>
      </w:r>
      <w:r w:rsidR="00DB051B">
        <w:rPr>
          <w:rFonts w:ascii="Times New Roman" w:eastAsia="Times New Roman" w:hAnsi="Times New Roman" w:cs="Times New Roman"/>
          <w:noProof/>
        </w:rPr>
        <w:t xml:space="preserve">and enforcement </w:t>
      </w:r>
      <w:r w:rsidR="005B191A">
        <w:rPr>
          <w:rFonts w:ascii="Times New Roman" w:eastAsia="Times New Roman" w:hAnsi="Times New Roman" w:cs="Times New Roman"/>
          <w:noProof/>
        </w:rPr>
        <w:t xml:space="preserve">by the Member States </w:t>
      </w:r>
      <w:r w:rsidR="00DB051B" w:rsidRPr="00CF409E">
        <w:rPr>
          <w:rFonts w:ascii="Times New Roman" w:eastAsia="Times New Roman" w:hAnsi="Times New Roman" w:cs="Times New Roman"/>
          <w:noProof/>
        </w:rPr>
        <w:t>of the landing obligation remain a priority.</w:t>
      </w:r>
      <w:bookmarkEnd w:id="5"/>
    </w:p>
    <w:p w14:paraId="5E957A08" w14:textId="5D285C6F" w:rsidR="00CF409E" w:rsidRPr="00CF409E" w:rsidRDefault="00CF409E" w:rsidP="00CF409E">
      <w:pPr>
        <w:jc w:val="both"/>
        <w:rPr>
          <w:rFonts w:ascii="Times New Roman" w:eastAsia="Times New Roman" w:hAnsi="Times New Roman" w:cs="Times New Roman"/>
          <w:noProof/>
        </w:rPr>
      </w:pPr>
      <w:r>
        <w:rPr>
          <w:rFonts w:ascii="Times New Roman" w:eastAsia="Times New Roman" w:hAnsi="Times New Roman" w:cs="Times New Roman"/>
          <w:noProof/>
        </w:rPr>
        <w:t>In December 2023 t</w:t>
      </w:r>
      <w:r w:rsidRPr="00DC6FE8">
        <w:rPr>
          <w:rFonts w:ascii="Times New Roman" w:eastAsia="Times New Roman" w:hAnsi="Times New Roman" w:cs="Times New Roman"/>
          <w:noProof/>
        </w:rPr>
        <w:t xml:space="preserve">he Commission launched a study on the landing obligation. This includes an evaluation of evidence </w:t>
      </w:r>
      <w:r>
        <w:rPr>
          <w:rFonts w:ascii="Times New Roman" w:eastAsia="Times New Roman" w:hAnsi="Times New Roman" w:cs="Times New Roman"/>
          <w:noProof/>
        </w:rPr>
        <w:t>using</w:t>
      </w:r>
      <w:r w:rsidRPr="00DC6FE8">
        <w:rPr>
          <w:rFonts w:ascii="Times New Roman" w:eastAsia="Times New Roman" w:hAnsi="Times New Roman" w:cs="Times New Roman"/>
          <w:noProof/>
        </w:rPr>
        <w:t xml:space="preserve"> the Better Regulation criteria: effectiveness, efficiency, relevance, coherence, and European Union added value. The study </w:t>
      </w:r>
      <w:r w:rsidR="007C79EB">
        <w:rPr>
          <w:rFonts w:ascii="Times New Roman" w:eastAsia="Times New Roman" w:hAnsi="Times New Roman" w:cs="Times New Roman"/>
          <w:noProof/>
        </w:rPr>
        <w:t xml:space="preserve">will </w:t>
      </w:r>
      <w:r w:rsidRPr="00DC6FE8">
        <w:rPr>
          <w:rFonts w:ascii="Times New Roman" w:eastAsia="Times New Roman" w:hAnsi="Times New Roman" w:cs="Times New Roman"/>
          <w:noProof/>
        </w:rPr>
        <w:t xml:space="preserve">be </w:t>
      </w:r>
      <w:r w:rsidR="007C79EB">
        <w:rPr>
          <w:rFonts w:ascii="Times New Roman" w:eastAsia="Times New Roman" w:hAnsi="Times New Roman" w:cs="Times New Roman"/>
          <w:noProof/>
        </w:rPr>
        <w:t>published</w:t>
      </w:r>
      <w:r w:rsidR="007C79EB" w:rsidRPr="00DC6FE8">
        <w:rPr>
          <w:rFonts w:ascii="Times New Roman" w:eastAsia="Times New Roman" w:hAnsi="Times New Roman" w:cs="Times New Roman"/>
          <w:noProof/>
        </w:rPr>
        <w:t xml:space="preserve"> </w:t>
      </w:r>
      <w:r w:rsidRPr="00DC6FE8">
        <w:rPr>
          <w:rFonts w:ascii="Times New Roman" w:eastAsia="Times New Roman" w:hAnsi="Times New Roman" w:cs="Times New Roman"/>
          <w:noProof/>
        </w:rPr>
        <w:t xml:space="preserve">in </w:t>
      </w:r>
      <w:r w:rsidR="007C79EB">
        <w:rPr>
          <w:rFonts w:ascii="Times New Roman" w:eastAsia="Times New Roman" w:hAnsi="Times New Roman" w:cs="Times New Roman"/>
          <w:noProof/>
        </w:rPr>
        <w:t>June</w:t>
      </w:r>
      <w:r w:rsidRPr="00DC6FE8">
        <w:rPr>
          <w:rFonts w:ascii="Times New Roman" w:eastAsia="Times New Roman" w:hAnsi="Times New Roman" w:cs="Times New Roman"/>
          <w:noProof/>
        </w:rPr>
        <w:t xml:space="preserve"> 2025. It will then also feed into the</w:t>
      </w:r>
      <w:r>
        <w:rPr>
          <w:rFonts w:ascii="Times New Roman" w:eastAsia="Times New Roman" w:hAnsi="Times New Roman" w:cs="Times New Roman"/>
          <w:noProof/>
        </w:rPr>
        <w:t xml:space="preserve"> ongoing comprehensive</w:t>
      </w:r>
      <w:r w:rsidRPr="00DC6FE8">
        <w:rPr>
          <w:rFonts w:ascii="Times New Roman" w:eastAsia="Times New Roman" w:hAnsi="Times New Roman" w:cs="Times New Roman"/>
          <w:noProof/>
        </w:rPr>
        <w:t xml:space="preserve"> evaluation of the CFP </w:t>
      </w:r>
      <w:r>
        <w:rPr>
          <w:rFonts w:ascii="Times New Roman" w:eastAsia="Times New Roman" w:hAnsi="Times New Roman" w:cs="Times New Roman"/>
          <w:noProof/>
        </w:rPr>
        <w:t>R</w:t>
      </w:r>
      <w:r w:rsidRPr="00DC6FE8">
        <w:rPr>
          <w:rFonts w:ascii="Times New Roman" w:eastAsia="Times New Roman" w:hAnsi="Times New Roman" w:cs="Times New Roman"/>
          <w:noProof/>
        </w:rPr>
        <w:t>egulation</w:t>
      </w:r>
      <w:r w:rsidRPr="00DC6FE8">
        <w:rPr>
          <w:rStyle w:val="FootnoteReference"/>
          <w:rFonts w:ascii="Times New Roman" w:eastAsia="Times New Roman" w:hAnsi="Times New Roman" w:cs="Times New Roman"/>
          <w:noProof/>
        </w:rPr>
        <w:footnoteReference w:id="31"/>
      </w:r>
      <w:r w:rsidRPr="00DC6FE8">
        <w:rPr>
          <w:rFonts w:ascii="Times New Roman" w:eastAsia="Times New Roman" w:hAnsi="Times New Roman" w:cs="Times New Roman"/>
          <w:noProof/>
        </w:rPr>
        <w:t>.</w:t>
      </w:r>
    </w:p>
    <w:p w14:paraId="51AF9916" w14:textId="42FD6081" w:rsidR="00FC0936" w:rsidRPr="00CF409E" w:rsidRDefault="00FC0936" w:rsidP="00CF409E">
      <w:pPr>
        <w:pStyle w:val="Heading1"/>
        <w:numPr>
          <w:ilvl w:val="0"/>
          <w:numId w:val="1"/>
        </w:numPr>
        <w:jc w:val="both"/>
        <w:rPr>
          <w:rFonts w:ascii="Times New Roman" w:eastAsia="Times New Roman" w:hAnsi="Times New Roman" w:cs="Times New Roman"/>
          <w:noProof/>
        </w:rPr>
      </w:pPr>
      <w:r w:rsidRPr="00DC6FE8">
        <w:rPr>
          <w:rFonts w:ascii="Times New Roman" w:eastAsia="Times New Roman" w:hAnsi="Times New Roman" w:cs="Times New Roman"/>
          <w:noProof/>
        </w:rPr>
        <w:t>Orientations for 2026 fishing opportunities</w:t>
      </w:r>
    </w:p>
    <w:p w14:paraId="5890B43D" w14:textId="77777777" w:rsidR="00FC0936" w:rsidRPr="00DC6FE8" w:rsidRDefault="00FC0936" w:rsidP="00DC6FE8">
      <w:pPr>
        <w:pStyle w:val="Heading2"/>
        <w:numPr>
          <w:ilvl w:val="1"/>
          <w:numId w:val="1"/>
        </w:numPr>
        <w:jc w:val="both"/>
        <w:rPr>
          <w:rFonts w:ascii="Times New Roman" w:eastAsia="Times New Roman" w:hAnsi="Times New Roman" w:cs="Times New Roman"/>
          <w:noProof/>
        </w:rPr>
      </w:pPr>
      <w:r w:rsidRPr="00DC6FE8">
        <w:rPr>
          <w:rFonts w:ascii="Times New Roman" w:eastAsia="Times New Roman" w:hAnsi="Times New Roman" w:cs="Times New Roman"/>
          <w:noProof/>
        </w:rPr>
        <w:t>Key stages to setting the next fishing opportunities</w:t>
      </w:r>
    </w:p>
    <w:p w14:paraId="0D6C0F88" w14:textId="7CE1EB7F"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The Commission proposals will</w:t>
      </w:r>
      <w:r>
        <w:rPr>
          <w:rFonts w:ascii="Times New Roman" w:eastAsia="Times New Roman" w:hAnsi="Times New Roman" w:cs="Times New Roman"/>
          <w:noProof/>
        </w:rPr>
        <w:t xml:space="preserve"> </w:t>
      </w:r>
      <w:r w:rsidRPr="00DC6FE8">
        <w:rPr>
          <w:rFonts w:ascii="Times New Roman" w:eastAsia="Times New Roman" w:hAnsi="Times New Roman" w:cs="Times New Roman"/>
          <w:noProof/>
        </w:rPr>
        <w:t>be based on the</w:t>
      </w:r>
      <w:r>
        <w:rPr>
          <w:rFonts w:ascii="Times New Roman" w:eastAsia="Times New Roman" w:hAnsi="Times New Roman" w:cs="Times New Roman"/>
          <w:noProof/>
        </w:rPr>
        <w:t xml:space="preserve"> best available</w:t>
      </w:r>
      <w:r w:rsidRPr="00DC6FE8">
        <w:rPr>
          <w:rFonts w:ascii="Times New Roman" w:eastAsia="Times New Roman" w:hAnsi="Times New Roman" w:cs="Times New Roman"/>
          <w:noProof/>
        </w:rPr>
        <w:t xml:space="preserve"> scientific advice from ICES and STECF, subject to its availability and timing. The proposals will also draw on decisions taken during consultations with Norway, UK and other coastal </w:t>
      </w:r>
      <w:r w:rsidR="001D05E3">
        <w:rPr>
          <w:rFonts w:ascii="Times New Roman" w:eastAsia="Times New Roman" w:hAnsi="Times New Roman" w:cs="Times New Roman"/>
          <w:noProof/>
        </w:rPr>
        <w:t>S</w:t>
      </w:r>
      <w:r w:rsidRPr="00DC6FE8">
        <w:rPr>
          <w:rFonts w:ascii="Times New Roman" w:eastAsia="Times New Roman" w:hAnsi="Times New Roman" w:cs="Times New Roman"/>
          <w:noProof/>
        </w:rPr>
        <w:t>tates</w:t>
      </w:r>
      <w:r>
        <w:rPr>
          <w:rStyle w:val="FootnoteReference"/>
          <w:rFonts w:ascii="Times New Roman" w:eastAsia="Times New Roman" w:hAnsi="Times New Roman" w:cs="Times New Roman"/>
          <w:noProof/>
        </w:rPr>
        <w:footnoteReference w:id="32"/>
      </w:r>
      <w:r w:rsidRPr="00DC6FE8">
        <w:rPr>
          <w:rFonts w:ascii="Times New Roman" w:eastAsia="Times New Roman" w:hAnsi="Times New Roman" w:cs="Times New Roman"/>
          <w:noProof/>
        </w:rPr>
        <w:t xml:space="preserve">, decisions taken by </w:t>
      </w:r>
      <w:r>
        <w:rPr>
          <w:rFonts w:ascii="Times New Roman" w:eastAsia="Times New Roman" w:hAnsi="Times New Roman" w:cs="Times New Roman"/>
          <w:noProof/>
        </w:rPr>
        <w:t>r</w:t>
      </w:r>
      <w:r w:rsidRPr="00DC6FE8">
        <w:rPr>
          <w:rFonts w:ascii="Times New Roman" w:eastAsia="Times New Roman" w:hAnsi="Times New Roman" w:cs="Times New Roman"/>
          <w:noProof/>
        </w:rPr>
        <w:t xml:space="preserve">egional </w:t>
      </w:r>
      <w:r>
        <w:rPr>
          <w:rFonts w:ascii="Times New Roman" w:eastAsia="Times New Roman" w:hAnsi="Times New Roman" w:cs="Times New Roman"/>
          <w:noProof/>
        </w:rPr>
        <w:t>f</w:t>
      </w:r>
      <w:r w:rsidRPr="00DC6FE8">
        <w:rPr>
          <w:rFonts w:ascii="Times New Roman" w:eastAsia="Times New Roman" w:hAnsi="Times New Roman" w:cs="Times New Roman"/>
          <w:noProof/>
        </w:rPr>
        <w:t xml:space="preserve">isheries </w:t>
      </w:r>
      <w:r>
        <w:rPr>
          <w:rFonts w:ascii="Times New Roman" w:eastAsia="Times New Roman" w:hAnsi="Times New Roman" w:cs="Times New Roman"/>
          <w:noProof/>
        </w:rPr>
        <w:t>m</w:t>
      </w:r>
      <w:r w:rsidRPr="00DC6FE8">
        <w:rPr>
          <w:rFonts w:ascii="Times New Roman" w:eastAsia="Times New Roman" w:hAnsi="Times New Roman" w:cs="Times New Roman"/>
          <w:noProof/>
        </w:rPr>
        <w:t xml:space="preserve">anagement </w:t>
      </w:r>
      <w:r>
        <w:rPr>
          <w:rFonts w:ascii="Times New Roman" w:eastAsia="Times New Roman" w:hAnsi="Times New Roman" w:cs="Times New Roman"/>
          <w:noProof/>
        </w:rPr>
        <w:t>o</w:t>
      </w:r>
      <w:r w:rsidRPr="00DC6FE8">
        <w:rPr>
          <w:rFonts w:ascii="Times New Roman" w:eastAsia="Times New Roman" w:hAnsi="Times New Roman" w:cs="Times New Roman"/>
          <w:noProof/>
        </w:rPr>
        <w:t>rganisations (RFMOs) and a socio-economic analysis.</w:t>
      </w:r>
    </w:p>
    <w:p w14:paraId="0683E91A" w14:textId="77777777" w:rsidR="00CF409E" w:rsidRPr="00DC6FE8" w:rsidRDefault="00CF409E" w:rsidP="00CF409E">
      <w:pPr>
        <w:jc w:val="both"/>
        <w:rPr>
          <w:rFonts w:ascii="Times New Roman" w:eastAsia="Times New Roman" w:hAnsi="Times New Roman" w:cs="Times New Roman"/>
          <w:noProof/>
          <w:szCs w:val="24"/>
        </w:rPr>
      </w:pPr>
      <w:r w:rsidRPr="00DC6FE8">
        <w:rPr>
          <w:rFonts w:ascii="Times New Roman" w:eastAsia="Times New Roman" w:hAnsi="Times New Roman" w:cs="Times New Roman"/>
          <w:noProof/>
          <w:szCs w:val="24"/>
        </w:rPr>
        <w:t>The Commission invites Member States and stakeholders to assess the advice</w:t>
      </w:r>
      <w:r>
        <w:rPr>
          <w:rFonts w:ascii="Times New Roman" w:eastAsia="Times New Roman" w:hAnsi="Times New Roman" w:cs="Times New Roman"/>
          <w:noProof/>
          <w:szCs w:val="24"/>
        </w:rPr>
        <w:t xml:space="preserve"> from ICES and STECF</w:t>
      </w:r>
      <w:r w:rsidRPr="00DC6FE8">
        <w:rPr>
          <w:rFonts w:ascii="Times New Roman" w:eastAsia="Times New Roman" w:hAnsi="Times New Roman" w:cs="Times New Roman"/>
          <w:noProof/>
          <w:szCs w:val="24"/>
        </w:rPr>
        <w:t xml:space="preserve"> as soon as it is publicly available. Stakeholders can provide feedback or recommendations through </w:t>
      </w:r>
      <w:r>
        <w:rPr>
          <w:rFonts w:ascii="Times New Roman" w:eastAsia="Times New Roman" w:hAnsi="Times New Roman" w:cs="Times New Roman"/>
          <w:noProof/>
          <w:szCs w:val="24"/>
        </w:rPr>
        <w:t>a</w:t>
      </w:r>
      <w:r w:rsidRPr="00DC6FE8">
        <w:rPr>
          <w:rFonts w:ascii="Times New Roman" w:eastAsia="Times New Roman" w:hAnsi="Times New Roman" w:cs="Times New Roman"/>
          <w:noProof/>
          <w:szCs w:val="24"/>
        </w:rPr>
        <w:t xml:space="preserve">dvisory </w:t>
      </w:r>
      <w:r>
        <w:rPr>
          <w:rFonts w:ascii="Times New Roman" w:eastAsia="Times New Roman" w:hAnsi="Times New Roman" w:cs="Times New Roman"/>
          <w:noProof/>
          <w:szCs w:val="24"/>
        </w:rPr>
        <w:t>c</w:t>
      </w:r>
      <w:r w:rsidRPr="00DC6FE8">
        <w:rPr>
          <w:rFonts w:ascii="Times New Roman" w:eastAsia="Times New Roman" w:hAnsi="Times New Roman" w:cs="Times New Roman"/>
          <w:noProof/>
          <w:szCs w:val="24"/>
        </w:rPr>
        <w:t xml:space="preserve">ouncils, national authorities and individually to the Commission. </w:t>
      </w:r>
    </w:p>
    <w:p w14:paraId="1F7E8120" w14:textId="1BCCAAA3" w:rsidR="00FC0936" w:rsidRPr="00DC6FE8" w:rsidRDefault="00CF409E" w:rsidP="00DC6FE8">
      <w:pPr>
        <w:jc w:val="both"/>
        <w:rPr>
          <w:rFonts w:ascii="Times New Roman" w:eastAsia="Times New Roman" w:hAnsi="Times New Roman" w:cs="Times New Roman"/>
          <w:noProof/>
        </w:rPr>
      </w:pPr>
      <w:r w:rsidRPr="7A9D6F0C">
        <w:rPr>
          <w:rFonts w:ascii="Times New Roman" w:eastAsia="Times New Roman" w:hAnsi="Times New Roman" w:cs="Times New Roman"/>
          <w:noProof/>
        </w:rPr>
        <w:t xml:space="preserve">Moreover, the Commission is working to achieve progress on sharing arrangements for widely distributed stocks with non-EU countries that lack such arrangements, to ensure shared stocks are fished in a sustainable manner. </w:t>
      </w:r>
    </w:p>
    <w:p w14:paraId="532C5881" w14:textId="4018756B" w:rsidR="00FC0936" w:rsidRDefault="00FC0936" w:rsidP="00DC6FE8">
      <w:pPr>
        <w:pStyle w:val="Heading2"/>
        <w:numPr>
          <w:ilvl w:val="1"/>
          <w:numId w:val="1"/>
        </w:numPr>
        <w:jc w:val="both"/>
        <w:rPr>
          <w:rFonts w:ascii="Times New Roman" w:eastAsia="Times New Roman" w:hAnsi="Times New Roman" w:cs="Times New Roman"/>
          <w:noProof/>
        </w:rPr>
      </w:pPr>
      <w:r w:rsidRPr="00DC6FE8">
        <w:rPr>
          <w:rFonts w:ascii="Times New Roman" w:eastAsia="Times New Roman" w:hAnsi="Times New Roman" w:cs="Times New Roman"/>
          <w:noProof/>
        </w:rPr>
        <w:t>Fishing opportunities for the different sea basins</w:t>
      </w:r>
    </w:p>
    <w:p w14:paraId="22D82362" w14:textId="021466F8" w:rsidR="00CF409E" w:rsidRPr="00CF409E" w:rsidRDefault="00CF409E" w:rsidP="00CF409E">
      <w:pPr>
        <w:jc w:val="both"/>
        <w:rPr>
          <w:rFonts w:ascii="Times New Roman" w:eastAsia="Times New Roman" w:hAnsi="Times New Roman" w:cs="Times New Roman"/>
          <w:noProof/>
        </w:rPr>
      </w:pPr>
      <w:r w:rsidRPr="001D05E3">
        <w:rPr>
          <w:rFonts w:ascii="Times New Roman" w:eastAsia="Times New Roman" w:hAnsi="Times New Roman" w:cs="Times New Roman"/>
          <w:noProof/>
        </w:rPr>
        <w:t xml:space="preserve">For stocks managed only by the EU in the </w:t>
      </w:r>
      <w:r w:rsidRPr="001D05E3">
        <w:rPr>
          <w:rFonts w:ascii="Times New Roman" w:eastAsia="Times New Roman" w:hAnsi="Times New Roman" w:cs="Times New Roman"/>
          <w:b/>
          <w:bCs/>
          <w:noProof/>
        </w:rPr>
        <w:t>Baltic Sea, Skagerrak/Kattegat and Atlantic Ocean</w:t>
      </w:r>
      <w:r w:rsidRPr="001D05E3">
        <w:rPr>
          <w:rFonts w:ascii="Times New Roman" w:eastAsia="Times New Roman" w:hAnsi="Times New Roman" w:cs="Times New Roman"/>
          <w:noProof/>
        </w:rPr>
        <w:t xml:space="preserve">, the Commission will propose TACs and quotas in line with the MSY and precautionary advice. Provided that the conditions set out in the multiannual plans are met, the Commission may propose using the upper range of MSY for healthy stocks. Where the size of fish stocks has decreased below healthy limits, the Commission will propose to rebuild these stocks and include remedial measures, in line with each multiannual plan. It will focus action on getting full MSY advice for </w:t>
      </w:r>
      <w:r w:rsidR="001D05E3" w:rsidRPr="00FA7BDE">
        <w:rPr>
          <w:rFonts w:ascii="Times New Roman" w:eastAsia="Times New Roman" w:hAnsi="Times New Roman" w:cs="Times New Roman"/>
          <w:noProof/>
        </w:rPr>
        <w:t>target stocks under multiannual plans for which precautionary advice is currently issued.</w:t>
      </w:r>
    </w:p>
    <w:p w14:paraId="5A6EBEFE" w14:textId="77777777" w:rsidR="00CF409E" w:rsidRPr="00CF409E" w:rsidRDefault="00CF409E" w:rsidP="00CF409E">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The Commission will also deduct the </w:t>
      </w:r>
      <w:r w:rsidRPr="00CF409E">
        <w:rPr>
          <w:rFonts w:ascii="Times New Roman" w:eastAsia="Times New Roman" w:hAnsi="Times New Roman" w:cs="Times New Roman"/>
          <w:i/>
          <w:iCs/>
          <w:noProof/>
        </w:rPr>
        <w:t>de minimis</w:t>
      </w:r>
      <w:r w:rsidRPr="00CF409E">
        <w:rPr>
          <w:rFonts w:ascii="Times New Roman" w:eastAsia="Times New Roman" w:hAnsi="Times New Roman" w:cs="Times New Roman"/>
          <w:noProof/>
        </w:rPr>
        <w:t xml:space="preserve"> or high survivability exemptions from the Fisheries Dependent Information or from the ICES advice where appropriate. The Commission will continue by-catch reduction measures adopted alongside TACs for unavoidable by-catch only, to alleviate potential choke situations. The Commission will propose more multiannual TACs for certain EU-only stocks, where such scientific advice is available and will collaborate closely with Member States, stakeholders and ICES to this end. This will increase efficiency and predictability for the EU fishing industry.</w:t>
      </w:r>
    </w:p>
    <w:p w14:paraId="37D5E978" w14:textId="2DB39979" w:rsidR="00CF409E" w:rsidRPr="00DC6FE8" w:rsidRDefault="005425C8" w:rsidP="00CF409E">
      <w:pPr>
        <w:jc w:val="both"/>
        <w:rPr>
          <w:rFonts w:ascii="Times New Roman" w:eastAsia="Times New Roman" w:hAnsi="Times New Roman" w:cs="Times New Roman"/>
          <w:noProof/>
        </w:rPr>
      </w:pPr>
      <w:r w:rsidRPr="005425C8">
        <w:rPr>
          <w:rFonts w:ascii="Times New Roman" w:eastAsia="Times New Roman" w:hAnsi="Times New Roman" w:cs="Times New Roman"/>
          <w:noProof/>
        </w:rPr>
        <w:t xml:space="preserve">For </w:t>
      </w:r>
      <w:r w:rsidRPr="005425C8">
        <w:rPr>
          <w:rFonts w:ascii="Times New Roman" w:eastAsia="Times New Roman" w:hAnsi="Times New Roman" w:cs="Times New Roman"/>
          <w:b/>
          <w:bCs/>
          <w:noProof/>
        </w:rPr>
        <w:t xml:space="preserve">shared stocks managed with the UK, Norway and other coastal </w:t>
      </w:r>
      <w:r w:rsidR="002137AC">
        <w:rPr>
          <w:rFonts w:ascii="Times New Roman" w:eastAsia="Times New Roman" w:hAnsi="Times New Roman" w:cs="Times New Roman"/>
          <w:b/>
          <w:bCs/>
          <w:noProof/>
        </w:rPr>
        <w:t>S</w:t>
      </w:r>
      <w:r w:rsidRPr="005425C8">
        <w:rPr>
          <w:rFonts w:ascii="Times New Roman" w:eastAsia="Times New Roman" w:hAnsi="Times New Roman" w:cs="Times New Roman"/>
          <w:b/>
          <w:bCs/>
          <w:noProof/>
        </w:rPr>
        <w:t>tates</w:t>
      </w:r>
      <w:r w:rsidRPr="005425C8">
        <w:rPr>
          <w:rFonts w:ascii="Times New Roman" w:eastAsia="Times New Roman" w:hAnsi="Times New Roman" w:cs="Times New Roman"/>
          <w:noProof/>
        </w:rPr>
        <w:t>, the objective remains to set fishing opportunities in line with MSY levels and negotiate conservation measures, where relevant, with the UK, Norway, and other coastal States. The EU will continue to cooperate with the UK in implementing the joint commitments made</w:t>
      </w:r>
      <w:r>
        <w:rPr>
          <w:rFonts w:ascii="Times New Roman" w:eastAsia="Times New Roman" w:hAnsi="Times New Roman" w:cs="Times New Roman"/>
          <w:noProof/>
        </w:rPr>
        <w:t xml:space="preserve"> </w:t>
      </w:r>
      <w:r w:rsidRPr="005425C8">
        <w:rPr>
          <w:rFonts w:ascii="Times New Roman" w:eastAsia="Times New Roman" w:hAnsi="Times New Roman" w:cs="Times New Roman"/>
          <w:noProof/>
        </w:rPr>
        <w:t xml:space="preserve">under the Specialised Committee on Fisheries of the Trade and Cooperation Agreement. Likewise, the Commission will work with both the UK and Norway to follow through on trilateral commitments, as well as with Norway on bilateral commitments aimed at achieving sustainable fisheries and sound management of shared stocks. The EU remains committed to finding sustainable, balanced, and comprehensive sharing arrangements for widely distributed stocks that are jointly managed with other coastal </w:t>
      </w:r>
      <w:r w:rsidR="002137AC">
        <w:rPr>
          <w:rFonts w:ascii="Times New Roman" w:eastAsia="Times New Roman" w:hAnsi="Times New Roman" w:cs="Times New Roman"/>
          <w:noProof/>
        </w:rPr>
        <w:t>S</w:t>
      </w:r>
      <w:r w:rsidRPr="005425C8">
        <w:rPr>
          <w:rFonts w:ascii="Times New Roman" w:eastAsia="Times New Roman" w:hAnsi="Times New Roman" w:cs="Times New Roman"/>
          <w:noProof/>
        </w:rPr>
        <w:t>tates.</w:t>
      </w:r>
    </w:p>
    <w:p w14:paraId="4982BCF9" w14:textId="77777777"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For the </w:t>
      </w:r>
      <w:r w:rsidRPr="00DC6FE8">
        <w:rPr>
          <w:rFonts w:ascii="Times New Roman" w:eastAsia="Times New Roman" w:hAnsi="Times New Roman" w:cs="Times New Roman"/>
          <w:b/>
          <w:bCs/>
          <w:noProof/>
        </w:rPr>
        <w:t xml:space="preserve">Mediterranean and Black </w:t>
      </w:r>
      <w:r>
        <w:rPr>
          <w:rFonts w:ascii="Times New Roman" w:eastAsia="Times New Roman" w:hAnsi="Times New Roman" w:cs="Times New Roman"/>
          <w:b/>
          <w:bCs/>
          <w:noProof/>
        </w:rPr>
        <w:t>s</w:t>
      </w:r>
      <w:r w:rsidRPr="00DC6FE8">
        <w:rPr>
          <w:rFonts w:ascii="Times New Roman" w:eastAsia="Times New Roman" w:hAnsi="Times New Roman" w:cs="Times New Roman"/>
          <w:b/>
          <w:bCs/>
          <w:noProof/>
        </w:rPr>
        <w:t>eas</w:t>
      </w:r>
      <w:r w:rsidRPr="00DC6FE8">
        <w:rPr>
          <w:rFonts w:ascii="Times New Roman" w:eastAsia="Times New Roman" w:hAnsi="Times New Roman" w:cs="Times New Roman"/>
          <w:noProof/>
        </w:rPr>
        <w:t xml:space="preserve">, it is essential that Member States continue to pursue the objectives of the West Med MAP and of the GFCM MAPs. To this end, Member States should further </w:t>
      </w:r>
      <w:r>
        <w:rPr>
          <w:rFonts w:ascii="Times New Roman" w:eastAsia="Times New Roman" w:hAnsi="Times New Roman" w:cs="Times New Roman"/>
          <w:noProof/>
        </w:rPr>
        <w:t xml:space="preserve">strengthen </w:t>
      </w:r>
      <w:r w:rsidRPr="00DC6FE8">
        <w:rPr>
          <w:rFonts w:ascii="Times New Roman" w:eastAsia="Times New Roman" w:hAnsi="Times New Roman" w:cs="Times New Roman"/>
          <w:noProof/>
        </w:rPr>
        <w:t xml:space="preserve">the implementation of accompanying measures under their national EMFAF programmes, with support from the Commission where needed. </w:t>
      </w:r>
    </w:p>
    <w:p w14:paraId="2F698402" w14:textId="77777777" w:rsidR="00CF409E" w:rsidRPr="00DC6FE8"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With the permanent phase of the West Med MAP in place, the Commission proposal will aim </w:t>
      </w:r>
      <w:r>
        <w:rPr>
          <w:rFonts w:ascii="Times New Roman" w:eastAsia="Times New Roman" w:hAnsi="Times New Roman" w:cs="Times New Roman"/>
          <w:noProof/>
        </w:rPr>
        <w:t>to</w:t>
      </w:r>
      <w:r w:rsidRPr="00DC6FE8">
        <w:rPr>
          <w:rFonts w:ascii="Times New Roman" w:eastAsia="Times New Roman" w:hAnsi="Times New Roman" w:cs="Times New Roman"/>
          <w:noProof/>
        </w:rPr>
        <w:t xml:space="preserve"> achiev</w:t>
      </w:r>
      <w:r>
        <w:rPr>
          <w:rFonts w:ascii="Times New Roman" w:eastAsia="Times New Roman" w:hAnsi="Times New Roman" w:cs="Times New Roman"/>
          <w:noProof/>
        </w:rPr>
        <w:t>e</w:t>
      </w:r>
      <w:r w:rsidRPr="00DC6FE8">
        <w:rPr>
          <w:rFonts w:ascii="Times New Roman" w:eastAsia="Times New Roman" w:hAnsi="Times New Roman" w:cs="Times New Roman"/>
          <w:noProof/>
        </w:rPr>
        <w:t xml:space="preserve"> and maintain MSY for all stocks. The Commission has also launched work with relevant scientific bodies to updat</w:t>
      </w:r>
      <w:r>
        <w:rPr>
          <w:rFonts w:ascii="Times New Roman" w:eastAsia="Times New Roman" w:hAnsi="Times New Roman" w:cs="Times New Roman"/>
          <w:noProof/>
        </w:rPr>
        <w:t>e</w:t>
      </w:r>
      <w:r w:rsidRPr="00DC6FE8">
        <w:rPr>
          <w:rFonts w:ascii="Times New Roman" w:eastAsia="Times New Roman" w:hAnsi="Times New Roman" w:cs="Times New Roman"/>
          <w:noProof/>
        </w:rPr>
        <w:t xml:space="preserve"> the </w:t>
      </w:r>
      <w:r>
        <w:rPr>
          <w:rFonts w:ascii="Times New Roman" w:eastAsia="Times New Roman" w:hAnsi="Times New Roman" w:cs="Times New Roman"/>
          <w:noProof/>
        </w:rPr>
        <w:t xml:space="preserve">best available </w:t>
      </w:r>
      <w:r w:rsidRPr="00DC6FE8">
        <w:rPr>
          <w:rFonts w:ascii="Times New Roman" w:eastAsia="Times New Roman" w:hAnsi="Times New Roman" w:cs="Times New Roman"/>
          <w:noProof/>
        </w:rPr>
        <w:t xml:space="preserve">scientific advice for hake. </w:t>
      </w:r>
    </w:p>
    <w:p w14:paraId="59A82674" w14:textId="18B37F9D" w:rsidR="00CF409E" w:rsidRPr="00CF409E" w:rsidRDefault="00CF409E" w:rsidP="00CF409E">
      <w:pPr>
        <w:jc w:val="both"/>
        <w:rPr>
          <w:rFonts w:ascii="Times New Roman" w:eastAsia="Times New Roman" w:hAnsi="Times New Roman" w:cs="Times New Roman"/>
          <w:noProof/>
        </w:rPr>
      </w:pPr>
      <w:r w:rsidRPr="00DC6FE8">
        <w:rPr>
          <w:rFonts w:ascii="Times New Roman" w:eastAsia="Times New Roman" w:hAnsi="Times New Roman" w:cs="Times New Roman"/>
          <w:noProof/>
        </w:rPr>
        <w:t xml:space="preserve">Shared stocks management is also necessary to ensure sustainability in international waters and to secure a </w:t>
      </w:r>
      <w:r w:rsidRPr="00DC6FE8">
        <w:rPr>
          <w:rFonts w:ascii="Times New Roman" w:eastAsia="Times New Roman" w:hAnsi="Times New Roman" w:cs="Times New Roman"/>
          <w:b/>
          <w:bCs/>
          <w:noProof/>
        </w:rPr>
        <w:t>level</w:t>
      </w:r>
      <w:r>
        <w:rPr>
          <w:rFonts w:ascii="Times New Roman" w:eastAsia="Times New Roman" w:hAnsi="Times New Roman" w:cs="Times New Roman"/>
          <w:b/>
          <w:bCs/>
          <w:noProof/>
        </w:rPr>
        <w:t xml:space="preserve"> </w:t>
      </w:r>
      <w:r w:rsidRPr="00DC6FE8">
        <w:rPr>
          <w:rFonts w:ascii="Times New Roman" w:eastAsia="Times New Roman" w:hAnsi="Times New Roman" w:cs="Times New Roman"/>
          <w:b/>
          <w:bCs/>
          <w:noProof/>
        </w:rPr>
        <w:t>playing field</w:t>
      </w:r>
      <w:r w:rsidRPr="00DC6FE8">
        <w:rPr>
          <w:rFonts w:ascii="Times New Roman" w:eastAsia="Times New Roman" w:hAnsi="Times New Roman" w:cs="Times New Roman"/>
          <w:noProof/>
        </w:rPr>
        <w:t xml:space="preserve"> in the Mediterranean and Black Seas. To this end, the proposal for 2026 fishing opportunities will cover measures stemming from </w:t>
      </w:r>
      <w:r>
        <w:rPr>
          <w:rFonts w:ascii="Times New Roman" w:eastAsia="Times New Roman" w:hAnsi="Times New Roman" w:cs="Times New Roman"/>
          <w:noProof/>
        </w:rPr>
        <w:t xml:space="preserve">the </w:t>
      </w:r>
      <w:r w:rsidRPr="00DC6FE8">
        <w:rPr>
          <w:rFonts w:ascii="Times New Roman" w:eastAsia="Times New Roman" w:hAnsi="Times New Roman" w:cs="Times New Roman"/>
          <w:noProof/>
        </w:rPr>
        <w:t xml:space="preserve">GFCM </w:t>
      </w:r>
      <w:r>
        <w:rPr>
          <w:rFonts w:ascii="Times New Roman" w:eastAsia="Times New Roman" w:hAnsi="Times New Roman" w:cs="Times New Roman"/>
          <w:noProof/>
        </w:rPr>
        <w:t xml:space="preserve">that are </w:t>
      </w:r>
      <w:r w:rsidRPr="00DC6FE8">
        <w:rPr>
          <w:rFonts w:ascii="Times New Roman" w:eastAsia="Times New Roman" w:hAnsi="Times New Roman" w:cs="Times New Roman"/>
          <w:noProof/>
        </w:rPr>
        <w:t xml:space="preserve">already in force and </w:t>
      </w:r>
      <w:r w:rsidRPr="00CF409E">
        <w:rPr>
          <w:rFonts w:ascii="Times New Roman" w:eastAsia="Times New Roman" w:hAnsi="Times New Roman" w:cs="Times New Roman"/>
          <w:noProof/>
        </w:rPr>
        <w:t>additional measures to be adopted by the GFCM at its 2025 annual session. For Black Sea species, the Commission will propose TACs and quotas for turbot in line with the GFCM multiannual plan, and for sprat.</w:t>
      </w:r>
    </w:p>
    <w:p w14:paraId="010F553C" w14:textId="77777777" w:rsidR="00FC0936" w:rsidRPr="00CF409E" w:rsidRDefault="00FC0936" w:rsidP="00DC6FE8">
      <w:pPr>
        <w:pStyle w:val="Heading1"/>
        <w:numPr>
          <w:ilvl w:val="0"/>
          <w:numId w:val="1"/>
        </w:numPr>
        <w:jc w:val="both"/>
        <w:rPr>
          <w:rFonts w:ascii="Times New Roman" w:eastAsia="Times New Roman" w:hAnsi="Times New Roman" w:cs="Times New Roman"/>
          <w:noProof/>
        </w:rPr>
      </w:pPr>
      <w:r w:rsidRPr="00CF409E">
        <w:rPr>
          <w:rFonts w:ascii="Times New Roman" w:eastAsia="Times New Roman" w:hAnsi="Times New Roman" w:cs="Times New Roman"/>
          <w:noProof/>
        </w:rPr>
        <w:t>Conclusion</w:t>
      </w:r>
    </w:p>
    <w:p w14:paraId="062F12E2" w14:textId="77777777" w:rsidR="00CF409E" w:rsidRPr="002137AC" w:rsidRDefault="00CF409E" w:rsidP="00CF409E">
      <w:pPr>
        <w:jc w:val="both"/>
        <w:rPr>
          <w:rFonts w:ascii="Times New Roman" w:eastAsia="Times New Roman" w:hAnsi="Times New Roman" w:cs="Times New Roman"/>
          <w:noProof/>
        </w:rPr>
      </w:pPr>
      <w:r w:rsidRPr="00CF409E">
        <w:rPr>
          <w:rFonts w:ascii="Times New Roman" w:eastAsia="Times New Roman" w:hAnsi="Times New Roman" w:cs="Times New Roman"/>
          <w:noProof/>
        </w:rPr>
        <w:t xml:space="preserve">EU fisheries continue to improve their sustainability. While the situation in the Baltic Sea remains worrying, as commercially important stocks remain in a critical condition, the situation in the Mediterranean and Black Seas has shown significant improvement. In 2023, for the first time, average fishing mortality was below the target reference points. Although the EU sea basins show average fishing pressures below the target reference points, certain stocks remain above the target. Fisheries managers and stakeholders must continue their efforts to bring these stocks to the sustainable target levels. Vigilance must also be maintained to stop any negative trends before they cause both short-term and long-term </w:t>
      </w:r>
      <w:r w:rsidRPr="002137AC">
        <w:rPr>
          <w:rFonts w:ascii="Times New Roman" w:eastAsia="Times New Roman" w:hAnsi="Times New Roman" w:cs="Times New Roman"/>
          <w:noProof/>
        </w:rPr>
        <w:t xml:space="preserve">consequences for EU fisheries. </w:t>
      </w:r>
    </w:p>
    <w:p w14:paraId="2D1FB9C0" w14:textId="4494A81D" w:rsidR="00CF409E" w:rsidRPr="002137AC" w:rsidRDefault="00CF409E" w:rsidP="00CF409E">
      <w:pPr>
        <w:jc w:val="both"/>
        <w:rPr>
          <w:rFonts w:ascii="Times New Roman" w:eastAsia="Times New Roman" w:hAnsi="Times New Roman" w:cs="Times New Roman"/>
          <w:noProof/>
        </w:rPr>
      </w:pPr>
      <w:r w:rsidRPr="002137AC">
        <w:rPr>
          <w:rFonts w:ascii="Times New Roman" w:eastAsia="Times New Roman" w:hAnsi="Times New Roman" w:cs="Times New Roman"/>
          <w:noProof/>
        </w:rPr>
        <w:t>Member States must also step up their efforts to implement fully EU legislation</w:t>
      </w:r>
      <w:r w:rsidRPr="002137AC">
        <w:rPr>
          <w:rStyle w:val="FootnoteReference"/>
          <w:rFonts w:ascii="Times New Roman" w:eastAsia="Times New Roman" w:hAnsi="Times New Roman" w:cs="Times New Roman"/>
          <w:noProof/>
        </w:rPr>
        <w:footnoteReference w:id="33"/>
      </w:r>
      <w:r w:rsidRPr="002137AC">
        <w:rPr>
          <w:rFonts w:ascii="Times New Roman" w:eastAsia="Times New Roman" w:hAnsi="Times New Roman" w:cs="Times New Roman"/>
          <w:noProof/>
        </w:rPr>
        <w:t xml:space="preserve">, including to tackle the pressure on fish stocks stemming from activities other than fisheries. </w:t>
      </w:r>
      <w:r w:rsidRPr="00FA7BDE">
        <w:rPr>
          <w:rFonts w:ascii="Times New Roman" w:hAnsi="Times New Roman" w:cs="Times New Roman"/>
          <w:noProof/>
        </w:rPr>
        <w:t xml:space="preserve">A healthier marine environment is a condition for </w:t>
      </w:r>
      <w:r w:rsidR="002137AC" w:rsidRPr="00FA7BDE">
        <w:rPr>
          <w:rFonts w:ascii="Times New Roman" w:hAnsi="Times New Roman" w:cs="Times New Roman"/>
          <w:noProof/>
        </w:rPr>
        <w:t xml:space="preserve">a </w:t>
      </w:r>
      <w:r w:rsidRPr="00FA7BDE">
        <w:rPr>
          <w:rFonts w:ascii="Times New Roman" w:hAnsi="Times New Roman" w:cs="Times New Roman"/>
          <w:noProof/>
        </w:rPr>
        <w:t>more resilient and more prosperous fishing sector.</w:t>
      </w:r>
    </w:p>
    <w:p w14:paraId="5AD3228A" w14:textId="77777777" w:rsidR="00CF409E" w:rsidRPr="00DC6FE8" w:rsidRDefault="00CF409E" w:rsidP="00CF409E">
      <w:pPr>
        <w:jc w:val="both"/>
        <w:rPr>
          <w:rFonts w:ascii="Times New Roman" w:eastAsia="Times New Roman" w:hAnsi="Times New Roman" w:cs="Times New Roman"/>
          <w:noProof/>
        </w:rPr>
      </w:pPr>
      <w:r w:rsidRPr="002137AC">
        <w:rPr>
          <w:rFonts w:ascii="Times New Roman" w:eastAsia="Times New Roman" w:hAnsi="Times New Roman" w:cs="Times New Roman"/>
          <w:noProof/>
        </w:rPr>
        <w:t>Member States should also advance on the implementation of their EMFAF national programmes with measures that will support</w:t>
      </w:r>
      <w:r w:rsidRPr="00DC6FE8">
        <w:rPr>
          <w:rFonts w:ascii="Times New Roman" w:eastAsia="Times New Roman" w:hAnsi="Times New Roman" w:cs="Times New Roman"/>
          <w:noProof/>
        </w:rPr>
        <w:t xml:space="preserve"> the green and digital transition of the fisheries sector and enhance its resilience. </w:t>
      </w:r>
    </w:p>
    <w:p w14:paraId="1FC1E650" w14:textId="77777777" w:rsidR="00CF409E" w:rsidRPr="00DC6FE8" w:rsidRDefault="00CF409E" w:rsidP="00CF409E">
      <w:pPr>
        <w:jc w:val="both"/>
        <w:rPr>
          <w:rFonts w:ascii="Times New Roman" w:eastAsia="Times New Roman" w:hAnsi="Times New Roman" w:cs="Times New Roman"/>
          <w:noProof/>
          <w:szCs w:val="24"/>
        </w:rPr>
      </w:pPr>
      <w:r w:rsidRPr="00DC6FE8">
        <w:rPr>
          <w:rFonts w:ascii="Times New Roman" w:eastAsia="Times New Roman" w:hAnsi="Times New Roman" w:cs="Times New Roman"/>
          <w:noProof/>
        </w:rPr>
        <w:t xml:space="preserve">While factors </w:t>
      </w:r>
      <w:r>
        <w:rPr>
          <w:rFonts w:ascii="Times New Roman" w:eastAsia="Times New Roman" w:hAnsi="Times New Roman" w:cs="Times New Roman"/>
          <w:noProof/>
        </w:rPr>
        <w:t xml:space="preserve">other </w:t>
      </w:r>
      <w:r w:rsidRPr="00DC6FE8">
        <w:rPr>
          <w:rFonts w:ascii="Times New Roman" w:eastAsia="Times New Roman" w:hAnsi="Times New Roman" w:cs="Times New Roman"/>
          <w:noProof/>
        </w:rPr>
        <w:t>than fisheries</w:t>
      </w:r>
      <w:r>
        <w:rPr>
          <w:rFonts w:ascii="Times New Roman" w:eastAsia="Times New Roman" w:hAnsi="Times New Roman" w:cs="Times New Roman"/>
          <w:noProof/>
        </w:rPr>
        <w:t xml:space="preserve"> continue to</w:t>
      </w:r>
      <w:r w:rsidRPr="00DC6FE8">
        <w:rPr>
          <w:rFonts w:ascii="Times New Roman" w:eastAsia="Times New Roman" w:hAnsi="Times New Roman" w:cs="Times New Roman"/>
          <w:noProof/>
        </w:rPr>
        <w:t xml:space="preserve"> </w:t>
      </w:r>
      <w:r>
        <w:rPr>
          <w:rFonts w:ascii="Times New Roman" w:eastAsia="Times New Roman" w:hAnsi="Times New Roman" w:cs="Times New Roman"/>
          <w:noProof/>
        </w:rPr>
        <w:t xml:space="preserve">also have an </w:t>
      </w:r>
      <w:r w:rsidRPr="00DC6FE8">
        <w:rPr>
          <w:rFonts w:ascii="Times New Roman" w:eastAsia="Times New Roman" w:hAnsi="Times New Roman" w:cs="Times New Roman"/>
          <w:noProof/>
        </w:rPr>
        <w:t xml:space="preserve">impact </w:t>
      </w:r>
      <w:r>
        <w:rPr>
          <w:rFonts w:ascii="Times New Roman" w:eastAsia="Times New Roman" w:hAnsi="Times New Roman" w:cs="Times New Roman"/>
          <w:noProof/>
        </w:rPr>
        <w:t xml:space="preserve">on </w:t>
      </w:r>
      <w:r w:rsidRPr="00DC6FE8">
        <w:rPr>
          <w:rFonts w:ascii="Times New Roman" w:eastAsia="Times New Roman" w:hAnsi="Times New Roman" w:cs="Times New Roman"/>
          <w:noProof/>
        </w:rPr>
        <w:t>the state of marine ecosystems and fish stocks</w:t>
      </w:r>
      <w:r w:rsidRPr="00DC6FE8">
        <w:rPr>
          <w:rStyle w:val="FootnoteReference"/>
          <w:rFonts w:ascii="Times New Roman" w:eastAsia="Times New Roman" w:hAnsi="Times New Roman" w:cs="Times New Roman"/>
          <w:noProof/>
        </w:rPr>
        <w:footnoteReference w:id="34"/>
      </w:r>
      <w:r w:rsidRPr="00DC6FE8">
        <w:rPr>
          <w:rFonts w:ascii="Times New Roman" w:eastAsia="Times New Roman" w:hAnsi="Times New Roman" w:cs="Times New Roman"/>
          <w:noProof/>
        </w:rPr>
        <w:t xml:space="preserve">, it is important for fishers to continue their efforts </w:t>
      </w:r>
      <w:r>
        <w:rPr>
          <w:rFonts w:ascii="Times New Roman" w:eastAsia="Times New Roman" w:hAnsi="Times New Roman" w:cs="Times New Roman"/>
          <w:noProof/>
        </w:rPr>
        <w:t>for</w:t>
      </w:r>
      <w:r w:rsidRPr="00DC6FE8">
        <w:rPr>
          <w:rFonts w:ascii="Times New Roman" w:eastAsia="Times New Roman" w:hAnsi="Times New Roman" w:cs="Times New Roman"/>
          <w:noProof/>
        </w:rPr>
        <w:t xml:space="preserve"> resilient and sustainable fish stocks</w:t>
      </w:r>
      <w:r>
        <w:rPr>
          <w:rFonts w:ascii="Times New Roman" w:eastAsia="Times New Roman" w:hAnsi="Times New Roman" w:cs="Times New Roman"/>
          <w:noProof/>
        </w:rPr>
        <w:t>.</w:t>
      </w:r>
      <w:r w:rsidRPr="00DC6FE8">
        <w:rPr>
          <w:rFonts w:ascii="Times New Roman" w:eastAsia="Times New Roman" w:hAnsi="Times New Roman" w:cs="Times New Roman"/>
          <w:noProof/>
        </w:rPr>
        <w:t xml:space="preserve"> </w:t>
      </w:r>
      <w:r>
        <w:rPr>
          <w:rFonts w:ascii="Times New Roman" w:eastAsia="Times New Roman" w:hAnsi="Times New Roman" w:cs="Times New Roman"/>
          <w:noProof/>
        </w:rPr>
        <w:t>H</w:t>
      </w:r>
      <w:r w:rsidRPr="00DC6FE8">
        <w:rPr>
          <w:rFonts w:ascii="Times New Roman" w:eastAsia="Times New Roman" w:hAnsi="Times New Roman" w:cs="Times New Roman"/>
          <w:noProof/>
        </w:rPr>
        <w:t xml:space="preserve">ealthy stocks are the basis for maintaining fisheries as a livelihood for current and future generations and preserving the identity and heritage of our coastal communities in the EU. </w:t>
      </w:r>
    </w:p>
    <w:p w14:paraId="7437B22F" w14:textId="77777777" w:rsidR="00CF409E" w:rsidRPr="00DC6FE8" w:rsidRDefault="00CF409E" w:rsidP="00CF409E">
      <w:pPr>
        <w:jc w:val="both"/>
        <w:rPr>
          <w:rFonts w:ascii="Times New Roman" w:eastAsia="Times New Roman" w:hAnsi="Times New Roman" w:cs="Times New Roman"/>
          <w:noProof/>
        </w:rPr>
      </w:pPr>
      <w:r w:rsidRPr="7A9D6F0C">
        <w:rPr>
          <w:rFonts w:ascii="Times New Roman" w:eastAsia="Times New Roman" w:hAnsi="Times New Roman" w:cs="Times New Roman"/>
          <w:noProof/>
        </w:rPr>
        <w:t>The Commission proposals for fishing opportunities for 2026 will continue to focus on enabling fish stocks to recover and maintain the progress made for stocks which have reached sustainable levels. The long-term aim is to ensure the future sustainability, competitiveness and resilience of EU fisheries. This continues to require the active engagement and support of all stakeholders – we all have a common interest to protect, preserve and profit from our seas.</w:t>
      </w:r>
    </w:p>
    <w:p w14:paraId="1B4114A0" w14:textId="1B78581B" w:rsidR="00FC0936" w:rsidRPr="00CF409E" w:rsidRDefault="00CF409E" w:rsidP="00DC6FE8">
      <w:pPr>
        <w:jc w:val="both"/>
        <w:rPr>
          <w:rFonts w:ascii="Times New Roman" w:eastAsia="Times New Roman" w:hAnsi="Times New Roman" w:cs="Times New Roman"/>
          <w:noProof/>
          <w:szCs w:val="24"/>
        </w:rPr>
      </w:pPr>
      <w:r w:rsidRPr="00DC6FE8">
        <w:rPr>
          <w:rFonts w:ascii="Times New Roman" w:eastAsia="Times New Roman" w:hAnsi="Times New Roman" w:cs="Times New Roman"/>
          <w:noProof/>
          <w:szCs w:val="24"/>
        </w:rPr>
        <w:t xml:space="preserve">The Commission invites Member States, </w:t>
      </w:r>
      <w:r>
        <w:rPr>
          <w:rFonts w:ascii="Times New Roman" w:eastAsia="Times New Roman" w:hAnsi="Times New Roman" w:cs="Times New Roman"/>
          <w:noProof/>
          <w:szCs w:val="24"/>
        </w:rPr>
        <w:t>a</w:t>
      </w:r>
      <w:r w:rsidRPr="00DC6FE8">
        <w:rPr>
          <w:rFonts w:ascii="Times New Roman" w:eastAsia="Times New Roman" w:hAnsi="Times New Roman" w:cs="Times New Roman"/>
          <w:noProof/>
          <w:szCs w:val="24"/>
        </w:rPr>
        <w:t xml:space="preserve">dvisory </w:t>
      </w:r>
      <w:r>
        <w:rPr>
          <w:rFonts w:ascii="Times New Roman" w:eastAsia="Times New Roman" w:hAnsi="Times New Roman" w:cs="Times New Roman"/>
          <w:noProof/>
          <w:szCs w:val="24"/>
        </w:rPr>
        <w:t>c</w:t>
      </w:r>
      <w:r w:rsidRPr="00DC6FE8">
        <w:rPr>
          <w:rFonts w:ascii="Times New Roman" w:eastAsia="Times New Roman" w:hAnsi="Times New Roman" w:cs="Times New Roman"/>
          <w:noProof/>
          <w:szCs w:val="24"/>
        </w:rPr>
        <w:t xml:space="preserve">ouncils, stakeholders and the public to provide feedback on this Communication by </w:t>
      </w:r>
      <w:r w:rsidRPr="00AF625C">
        <w:rPr>
          <w:rFonts w:ascii="Times New Roman" w:eastAsia="Times New Roman" w:hAnsi="Times New Roman" w:cs="Times New Roman"/>
          <w:noProof/>
          <w:szCs w:val="24"/>
        </w:rPr>
        <w:t>31 August 2025.</w:t>
      </w:r>
      <w:r w:rsidRPr="00DC6FE8">
        <w:rPr>
          <w:rFonts w:ascii="Times New Roman" w:eastAsia="Times New Roman" w:hAnsi="Times New Roman" w:cs="Times New Roman"/>
          <w:noProof/>
          <w:szCs w:val="24"/>
        </w:rPr>
        <w:t xml:space="preserve"> </w:t>
      </w:r>
      <w:r w:rsidR="00FC0936" w:rsidRPr="00DC6FE8">
        <w:rPr>
          <w:rFonts w:ascii="Times New Roman" w:hAnsi="Times New Roman" w:cs="Times New Roman"/>
          <w:noProof/>
        </w:rPr>
        <w:br w:type="page"/>
      </w:r>
    </w:p>
    <w:p w14:paraId="2AC10203" w14:textId="77777777" w:rsidR="00FC0936" w:rsidRPr="00DC6FE8" w:rsidRDefault="00FC0936" w:rsidP="00DC6FE8">
      <w:pPr>
        <w:keepNext/>
        <w:tabs>
          <w:tab w:val="num" w:pos="850"/>
        </w:tabs>
        <w:spacing w:before="240" w:after="120"/>
        <w:ind w:left="851" w:hanging="851"/>
        <w:jc w:val="both"/>
        <w:outlineLvl w:val="0"/>
        <w:rPr>
          <w:rFonts w:ascii="Times New Roman" w:eastAsia="Times New Roman" w:hAnsi="Times New Roman" w:cs="Times New Roman"/>
          <w:noProof/>
          <w:szCs w:val="24"/>
        </w:rPr>
      </w:pPr>
      <w:r w:rsidRPr="00DC6FE8">
        <w:rPr>
          <w:rFonts w:ascii="Times New Roman" w:eastAsia="Times New Roman" w:hAnsi="Times New Roman" w:cs="Times New Roman"/>
          <w:b/>
          <w:bCs/>
          <w:smallCaps/>
          <w:noProof/>
        </w:rPr>
        <w:t>Planned work schedule</w:t>
      </w:r>
      <w:r w:rsidRPr="00DC6FE8">
        <w:rPr>
          <w:rStyle w:val="FootnoteReference"/>
          <w:rFonts w:ascii="Times New Roman" w:eastAsia="Times New Roman" w:hAnsi="Times New Roman" w:cs="Times New Roman"/>
          <w:noProof/>
        </w:rPr>
        <w:footnoteReference w:id="3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513"/>
      </w:tblGrid>
      <w:tr w:rsidR="00CF409E" w:rsidRPr="00845F34" w14:paraId="08646947" w14:textId="77777777" w:rsidTr="00191718">
        <w:trPr>
          <w:trHeight w:val="300"/>
        </w:trPr>
        <w:tc>
          <w:tcPr>
            <w:tcW w:w="2436" w:type="dxa"/>
            <w:shd w:val="clear" w:color="auto" w:fill="auto"/>
          </w:tcPr>
          <w:p w14:paraId="04162F46" w14:textId="77777777" w:rsidR="00CF409E" w:rsidRPr="00845F34" w:rsidRDefault="00CF409E" w:rsidP="00191718">
            <w:pPr>
              <w:spacing w:before="120" w:after="60"/>
              <w:jc w:val="both"/>
              <w:rPr>
                <w:rFonts w:ascii="Times New Roman" w:eastAsia="Times New Roman" w:hAnsi="Times New Roman" w:cs="Times New Roman"/>
                <w:b/>
                <w:bCs/>
                <w:noProof/>
                <w:szCs w:val="24"/>
                <w:lang w:val="en-GB"/>
              </w:rPr>
            </w:pPr>
            <w:r w:rsidRPr="00845F34">
              <w:rPr>
                <w:rFonts w:ascii="Times New Roman" w:eastAsia="Times New Roman" w:hAnsi="Times New Roman" w:cs="Times New Roman"/>
                <w:b/>
                <w:bCs/>
                <w:noProof/>
                <w:szCs w:val="24"/>
                <w:lang w:val="en-GB"/>
              </w:rPr>
              <w:t>When</w:t>
            </w:r>
          </w:p>
        </w:tc>
        <w:tc>
          <w:tcPr>
            <w:tcW w:w="6744" w:type="dxa"/>
            <w:shd w:val="clear" w:color="auto" w:fill="auto"/>
          </w:tcPr>
          <w:p w14:paraId="6220337F" w14:textId="77777777" w:rsidR="00CF409E" w:rsidRPr="00845F34" w:rsidRDefault="00CF409E" w:rsidP="00191718">
            <w:pPr>
              <w:spacing w:before="120" w:after="60"/>
              <w:jc w:val="both"/>
              <w:rPr>
                <w:rFonts w:ascii="Times New Roman" w:eastAsia="Times New Roman" w:hAnsi="Times New Roman" w:cs="Times New Roman"/>
                <w:b/>
                <w:bCs/>
                <w:noProof/>
                <w:szCs w:val="24"/>
                <w:lang w:val="en-GB"/>
              </w:rPr>
            </w:pPr>
            <w:r w:rsidRPr="00845F34">
              <w:rPr>
                <w:rFonts w:ascii="Times New Roman" w:eastAsia="Times New Roman" w:hAnsi="Times New Roman" w:cs="Times New Roman"/>
                <w:b/>
                <w:bCs/>
                <w:noProof/>
                <w:szCs w:val="24"/>
                <w:lang w:val="en-GB"/>
              </w:rPr>
              <w:t>What</w:t>
            </w:r>
          </w:p>
        </w:tc>
      </w:tr>
      <w:tr w:rsidR="00CF409E" w:rsidRPr="00845F34" w14:paraId="3D65D94B" w14:textId="77777777" w:rsidTr="00191718">
        <w:trPr>
          <w:trHeight w:val="300"/>
        </w:trPr>
        <w:tc>
          <w:tcPr>
            <w:tcW w:w="0" w:type="auto"/>
            <w:shd w:val="clear" w:color="auto" w:fill="auto"/>
          </w:tcPr>
          <w:p w14:paraId="0F278FFA"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May - November 2025</w:t>
            </w:r>
          </w:p>
        </w:tc>
        <w:tc>
          <w:tcPr>
            <w:tcW w:w="0" w:type="auto"/>
            <w:shd w:val="clear" w:color="auto" w:fill="auto"/>
          </w:tcPr>
          <w:p w14:paraId="7BCB32B9"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ICES scientific advice</w:t>
            </w:r>
          </w:p>
        </w:tc>
      </w:tr>
      <w:tr w:rsidR="00CF409E" w:rsidRPr="00845F34" w14:paraId="41216947" w14:textId="77777777" w:rsidTr="00191718">
        <w:trPr>
          <w:trHeight w:val="300"/>
        </w:trPr>
        <w:tc>
          <w:tcPr>
            <w:tcW w:w="0" w:type="auto"/>
            <w:shd w:val="clear" w:color="auto" w:fill="auto"/>
          </w:tcPr>
          <w:p w14:paraId="074DF647"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June - end August 2025</w:t>
            </w:r>
          </w:p>
        </w:tc>
        <w:tc>
          <w:tcPr>
            <w:tcW w:w="0" w:type="auto"/>
            <w:shd w:val="clear" w:color="auto" w:fill="auto"/>
          </w:tcPr>
          <w:p w14:paraId="54EDC813"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Public consultation on the Communication</w:t>
            </w:r>
          </w:p>
        </w:tc>
      </w:tr>
      <w:tr w:rsidR="00CF409E" w:rsidRPr="00845F34" w14:paraId="5D2738A5" w14:textId="77777777" w:rsidTr="00191718">
        <w:trPr>
          <w:trHeight w:val="300"/>
        </w:trPr>
        <w:tc>
          <w:tcPr>
            <w:tcW w:w="0" w:type="auto"/>
            <w:shd w:val="clear" w:color="auto" w:fill="auto"/>
          </w:tcPr>
          <w:p w14:paraId="39D0A39B"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End August 2025</w:t>
            </w:r>
          </w:p>
        </w:tc>
        <w:tc>
          <w:tcPr>
            <w:tcW w:w="0" w:type="auto"/>
            <w:shd w:val="clear" w:color="auto" w:fill="auto"/>
          </w:tcPr>
          <w:p w14:paraId="142150D8"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 xml:space="preserve">Commission adopts </w:t>
            </w:r>
            <w:r>
              <w:rPr>
                <w:rFonts w:ascii="Times New Roman" w:eastAsia="Times New Roman" w:hAnsi="Times New Roman" w:cs="Times New Roman"/>
                <w:noProof/>
                <w:szCs w:val="24"/>
                <w:lang w:val="en-GB"/>
              </w:rPr>
              <w:t>its</w:t>
            </w:r>
            <w:r w:rsidRPr="00845F34">
              <w:rPr>
                <w:rFonts w:ascii="Times New Roman" w:eastAsia="Times New Roman" w:hAnsi="Times New Roman" w:cs="Times New Roman"/>
                <w:noProof/>
                <w:szCs w:val="24"/>
                <w:lang w:val="en-GB"/>
              </w:rPr>
              <w:t xml:space="preserve"> proposal for fishing opportunities in the Baltic Sea</w:t>
            </w:r>
          </w:p>
        </w:tc>
      </w:tr>
      <w:tr w:rsidR="00CF409E" w:rsidRPr="00845F34" w14:paraId="743EE2C3" w14:textId="77777777" w:rsidTr="00191718">
        <w:trPr>
          <w:trHeight w:val="300"/>
        </w:trPr>
        <w:tc>
          <w:tcPr>
            <w:tcW w:w="2368" w:type="dxa"/>
            <w:shd w:val="clear" w:color="auto" w:fill="auto"/>
          </w:tcPr>
          <w:p w14:paraId="44B50B66"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Mid-September 2025</w:t>
            </w:r>
          </w:p>
        </w:tc>
        <w:tc>
          <w:tcPr>
            <w:tcW w:w="6812" w:type="dxa"/>
            <w:shd w:val="clear" w:color="auto" w:fill="auto"/>
          </w:tcPr>
          <w:p w14:paraId="708332C0"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 xml:space="preserve">Commission adopts </w:t>
            </w:r>
            <w:r>
              <w:rPr>
                <w:rFonts w:ascii="Times New Roman" w:eastAsia="Times New Roman" w:hAnsi="Times New Roman" w:cs="Times New Roman"/>
                <w:noProof/>
                <w:szCs w:val="24"/>
                <w:lang w:val="en-GB"/>
              </w:rPr>
              <w:t>its</w:t>
            </w:r>
            <w:r w:rsidRPr="00845F34">
              <w:rPr>
                <w:rFonts w:ascii="Times New Roman" w:eastAsia="Times New Roman" w:hAnsi="Times New Roman" w:cs="Times New Roman"/>
                <w:noProof/>
                <w:szCs w:val="24"/>
                <w:lang w:val="en-GB"/>
              </w:rPr>
              <w:t xml:space="preserve"> proposal for fishing opportunities in the Mediterranean and Black Seas</w:t>
            </w:r>
          </w:p>
        </w:tc>
      </w:tr>
      <w:tr w:rsidR="00CF409E" w:rsidRPr="00845F34" w14:paraId="26CCB171" w14:textId="77777777" w:rsidTr="00191718">
        <w:trPr>
          <w:trHeight w:val="300"/>
        </w:trPr>
        <w:tc>
          <w:tcPr>
            <w:tcW w:w="0" w:type="auto"/>
            <w:shd w:val="clear" w:color="auto" w:fill="auto"/>
          </w:tcPr>
          <w:p w14:paraId="2B8E4C26" w14:textId="77777777" w:rsidR="00CF409E" w:rsidRPr="00845F34" w:rsidRDefault="00CF409E" w:rsidP="00191718">
            <w:pPr>
              <w:spacing w:before="120" w:after="60"/>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October - December 2025</w:t>
            </w:r>
          </w:p>
        </w:tc>
        <w:tc>
          <w:tcPr>
            <w:tcW w:w="0" w:type="auto"/>
            <w:shd w:val="clear" w:color="auto" w:fill="auto"/>
          </w:tcPr>
          <w:p w14:paraId="0D0C2AA5" w14:textId="77777777" w:rsidR="00CF409E" w:rsidRPr="00460E9B" w:rsidRDefault="00CF409E" w:rsidP="00191718">
            <w:pPr>
              <w:spacing w:before="120" w:after="60"/>
              <w:jc w:val="both"/>
              <w:rPr>
                <w:rFonts w:ascii="Times New Roman" w:eastAsia="Times New Roman" w:hAnsi="Times New Roman" w:cs="Times New Roman"/>
                <w:noProof/>
                <w:szCs w:val="24"/>
                <w:lang w:val="en-GB"/>
              </w:rPr>
            </w:pPr>
            <w:r w:rsidRPr="00460E9B">
              <w:rPr>
                <w:rFonts w:ascii="Times New Roman" w:eastAsia="Times New Roman" w:hAnsi="Times New Roman" w:cs="Times New Roman"/>
                <w:noProof/>
                <w:szCs w:val="24"/>
                <w:lang w:val="en-GB"/>
              </w:rPr>
              <w:t>Annual consultations on fishing opportunities with parties in the North-East Atlantic</w:t>
            </w:r>
          </w:p>
        </w:tc>
      </w:tr>
      <w:tr w:rsidR="00CF409E" w:rsidRPr="00845F34" w14:paraId="05DA4906" w14:textId="77777777" w:rsidTr="00191718">
        <w:trPr>
          <w:trHeight w:val="300"/>
        </w:trPr>
        <w:tc>
          <w:tcPr>
            <w:tcW w:w="0" w:type="auto"/>
            <w:shd w:val="clear" w:color="auto" w:fill="auto"/>
          </w:tcPr>
          <w:p w14:paraId="15C00A0E"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October 2025</w:t>
            </w:r>
          </w:p>
        </w:tc>
        <w:tc>
          <w:tcPr>
            <w:tcW w:w="0" w:type="auto"/>
            <w:shd w:val="clear" w:color="auto" w:fill="auto"/>
          </w:tcPr>
          <w:p w14:paraId="034E71F0"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Council meeting on fishing opportunities for the Baltic Sea</w:t>
            </w:r>
          </w:p>
          <w:p w14:paraId="7375B629" w14:textId="5E139211"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 xml:space="preserve">Coastal </w:t>
            </w:r>
            <w:r w:rsidR="002137AC">
              <w:rPr>
                <w:rFonts w:ascii="Times New Roman" w:eastAsia="Times New Roman" w:hAnsi="Times New Roman" w:cs="Times New Roman"/>
                <w:noProof/>
                <w:szCs w:val="24"/>
                <w:lang w:val="en-GB"/>
              </w:rPr>
              <w:t>S</w:t>
            </w:r>
            <w:r w:rsidRPr="00845F34">
              <w:rPr>
                <w:rFonts w:ascii="Times New Roman" w:eastAsia="Times New Roman" w:hAnsi="Times New Roman" w:cs="Times New Roman"/>
                <w:noProof/>
                <w:szCs w:val="24"/>
                <w:lang w:val="en-GB"/>
              </w:rPr>
              <w:t xml:space="preserve">tate consultations on widely distributed stocks in the </w:t>
            </w:r>
            <w:r>
              <w:rPr>
                <w:rFonts w:ascii="Times New Roman" w:eastAsia="Times New Roman" w:hAnsi="Times New Roman" w:cs="Times New Roman"/>
                <w:noProof/>
                <w:szCs w:val="24"/>
                <w:lang w:val="en-GB"/>
              </w:rPr>
              <w:t>N</w:t>
            </w:r>
            <w:r w:rsidRPr="00845F34">
              <w:rPr>
                <w:rFonts w:ascii="Times New Roman" w:eastAsia="Times New Roman" w:hAnsi="Times New Roman" w:cs="Times New Roman"/>
                <w:noProof/>
                <w:szCs w:val="24"/>
                <w:lang w:val="en-GB"/>
              </w:rPr>
              <w:t>orth-</w:t>
            </w:r>
            <w:r>
              <w:rPr>
                <w:rFonts w:ascii="Times New Roman" w:eastAsia="Times New Roman" w:hAnsi="Times New Roman" w:cs="Times New Roman"/>
                <w:noProof/>
                <w:szCs w:val="24"/>
                <w:lang w:val="en-GB"/>
              </w:rPr>
              <w:t>E</w:t>
            </w:r>
            <w:r w:rsidRPr="00845F34">
              <w:rPr>
                <w:rFonts w:ascii="Times New Roman" w:eastAsia="Times New Roman" w:hAnsi="Times New Roman" w:cs="Times New Roman"/>
                <w:noProof/>
                <w:szCs w:val="24"/>
                <w:lang w:val="en-GB"/>
              </w:rPr>
              <w:t>ast Atlantic</w:t>
            </w:r>
          </w:p>
        </w:tc>
      </w:tr>
      <w:tr w:rsidR="00CF409E" w:rsidRPr="00845F34" w14:paraId="22BB396F" w14:textId="77777777" w:rsidTr="00191718">
        <w:trPr>
          <w:trHeight w:val="300"/>
        </w:trPr>
        <w:tc>
          <w:tcPr>
            <w:tcW w:w="0" w:type="auto"/>
            <w:shd w:val="clear" w:color="auto" w:fill="auto"/>
          </w:tcPr>
          <w:p w14:paraId="2230149E"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End October 2025</w:t>
            </w:r>
          </w:p>
        </w:tc>
        <w:tc>
          <w:tcPr>
            <w:tcW w:w="0" w:type="auto"/>
            <w:shd w:val="clear" w:color="auto" w:fill="auto"/>
          </w:tcPr>
          <w:p w14:paraId="2993B609"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 xml:space="preserve">Commission adopts </w:t>
            </w:r>
            <w:r>
              <w:rPr>
                <w:rFonts w:ascii="Times New Roman" w:eastAsia="Times New Roman" w:hAnsi="Times New Roman" w:cs="Times New Roman"/>
                <w:noProof/>
                <w:szCs w:val="24"/>
                <w:lang w:val="en-GB"/>
              </w:rPr>
              <w:t>its</w:t>
            </w:r>
            <w:r w:rsidRPr="00845F34">
              <w:rPr>
                <w:rFonts w:ascii="Times New Roman" w:eastAsia="Times New Roman" w:hAnsi="Times New Roman" w:cs="Times New Roman"/>
                <w:noProof/>
                <w:szCs w:val="24"/>
                <w:lang w:val="en-GB"/>
              </w:rPr>
              <w:t xml:space="preserve"> proposal</w:t>
            </w:r>
            <w:r w:rsidRPr="00845F34">
              <w:rPr>
                <w:rFonts w:ascii="Times New Roman" w:eastAsia="Times New Roman" w:hAnsi="Times New Roman" w:cs="Times New Roman"/>
                <w:noProof/>
                <w:lang w:val="en-GB"/>
              </w:rPr>
              <w:t xml:space="preserve"> </w:t>
            </w:r>
            <w:r w:rsidRPr="00845F34">
              <w:rPr>
                <w:rFonts w:ascii="Times New Roman" w:eastAsia="Times New Roman" w:hAnsi="Times New Roman" w:cs="Times New Roman"/>
                <w:noProof/>
                <w:szCs w:val="24"/>
                <w:lang w:val="en-GB"/>
              </w:rPr>
              <w:t xml:space="preserve">for fishing opportunities in the Atlantic/North Sea </w:t>
            </w:r>
          </w:p>
        </w:tc>
      </w:tr>
      <w:tr w:rsidR="00CF409E" w:rsidRPr="00845F34" w14:paraId="7314B112" w14:textId="77777777" w:rsidTr="00191718">
        <w:trPr>
          <w:trHeight w:val="300"/>
        </w:trPr>
        <w:tc>
          <w:tcPr>
            <w:tcW w:w="0" w:type="auto"/>
            <w:shd w:val="clear" w:color="auto" w:fill="auto"/>
          </w:tcPr>
          <w:p w14:paraId="039719B7" w14:textId="77777777" w:rsidR="00CF409E" w:rsidRPr="00845F34" w:rsidRDefault="00CF409E" w:rsidP="00191718">
            <w:pPr>
              <w:spacing w:before="120" w:after="60"/>
              <w:jc w:val="both"/>
              <w:rPr>
                <w:rFonts w:ascii="Times New Roman" w:eastAsia="Times New Roman" w:hAnsi="Times New Roman" w:cs="Times New Roman"/>
                <w:noProof/>
                <w:lang w:val="en-GB"/>
              </w:rPr>
            </w:pPr>
            <w:r w:rsidRPr="00845F34">
              <w:rPr>
                <w:rFonts w:ascii="Times New Roman" w:eastAsia="Times New Roman" w:hAnsi="Times New Roman" w:cs="Times New Roman"/>
                <w:noProof/>
                <w:lang w:val="en-GB"/>
              </w:rPr>
              <w:t>4-8</w:t>
            </w:r>
            <w:r>
              <w:rPr>
                <w:rFonts w:ascii="Times New Roman" w:eastAsia="Times New Roman" w:hAnsi="Times New Roman" w:cs="Times New Roman"/>
                <w:noProof/>
                <w:lang w:val="en-GB"/>
              </w:rPr>
              <w:t> </w:t>
            </w:r>
            <w:r w:rsidRPr="00845F34">
              <w:rPr>
                <w:rFonts w:ascii="Times New Roman" w:eastAsia="Times New Roman" w:hAnsi="Times New Roman" w:cs="Times New Roman"/>
                <w:noProof/>
                <w:lang w:val="en-GB"/>
              </w:rPr>
              <w:t>November</w:t>
            </w:r>
            <w:r>
              <w:rPr>
                <w:rFonts w:ascii="Times New Roman" w:eastAsia="Times New Roman" w:hAnsi="Times New Roman" w:cs="Times New Roman"/>
                <w:noProof/>
                <w:lang w:val="en-GB"/>
              </w:rPr>
              <w:t> </w:t>
            </w:r>
            <w:r w:rsidRPr="00845F34">
              <w:rPr>
                <w:rFonts w:ascii="Times New Roman" w:eastAsia="Times New Roman" w:hAnsi="Times New Roman" w:cs="Times New Roman"/>
                <w:noProof/>
                <w:lang w:val="en-GB"/>
              </w:rPr>
              <w:t>2025</w:t>
            </w:r>
          </w:p>
        </w:tc>
        <w:tc>
          <w:tcPr>
            <w:tcW w:w="0" w:type="auto"/>
            <w:shd w:val="clear" w:color="auto" w:fill="auto"/>
          </w:tcPr>
          <w:p w14:paraId="56C23268"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 xml:space="preserve">GFCM annual session </w:t>
            </w:r>
          </w:p>
        </w:tc>
      </w:tr>
      <w:tr w:rsidR="00CF409E" w:rsidRPr="00845F34" w14:paraId="47F6631E" w14:textId="77777777" w:rsidTr="00191718">
        <w:trPr>
          <w:trHeight w:val="300"/>
        </w:trPr>
        <w:tc>
          <w:tcPr>
            <w:tcW w:w="0" w:type="auto"/>
            <w:shd w:val="clear" w:color="auto" w:fill="auto"/>
          </w:tcPr>
          <w:p w14:paraId="7BD9F1F4" w14:textId="77777777" w:rsidR="00CF409E" w:rsidRPr="00845F34" w:rsidRDefault="00CF409E" w:rsidP="00191718">
            <w:pPr>
              <w:spacing w:before="120" w:after="60"/>
              <w:jc w:val="both"/>
              <w:rPr>
                <w:rFonts w:ascii="Times New Roman" w:eastAsia="Times New Roman" w:hAnsi="Times New Roman" w:cs="Times New Roman"/>
                <w:noProof/>
                <w:lang w:val="en-GB"/>
              </w:rPr>
            </w:pPr>
            <w:r w:rsidRPr="00845F34">
              <w:rPr>
                <w:rFonts w:ascii="Times New Roman" w:eastAsia="Times New Roman" w:hAnsi="Times New Roman" w:cs="Times New Roman"/>
                <w:noProof/>
                <w:lang w:val="en-GB"/>
              </w:rPr>
              <w:t>11-14</w:t>
            </w:r>
            <w:r>
              <w:rPr>
                <w:rFonts w:ascii="Times New Roman" w:eastAsia="Times New Roman" w:hAnsi="Times New Roman" w:cs="Times New Roman"/>
                <w:noProof/>
                <w:lang w:val="en-GB"/>
              </w:rPr>
              <w:t> </w:t>
            </w:r>
            <w:r w:rsidRPr="00845F34">
              <w:rPr>
                <w:rFonts w:ascii="Times New Roman" w:eastAsia="Times New Roman" w:hAnsi="Times New Roman" w:cs="Times New Roman"/>
                <w:noProof/>
                <w:lang w:val="en-GB"/>
              </w:rPr>
              <w:t>November</w:t>
            </w:r>
            <w:r>
              <w:rPr>
                <w:rFonts w:ascii="Times New Roman" w:eastAsia="Times New Roman" w:hAnsi="Times New Roman" w:cs="Times New Roman"/>
                <w:noProof/>
                <w:lang w:val="en-GB"/>
              </w:rPr>
              <w:t> </w:t>
            </w:r>
            <w:r w:rsidRPr="00845F34">
              <w:rPr>
                <w:rFonts w:ascii="Times New Roman" w:eastAsia="Times New Roman" w:hAnsi="Times New Roman" w:cs="Times New Roman"/>
                <w:noProof/>
                <w:lang w:val="en-GB"/>
              </w:rPr>
              <w:t>2025</w:t>
            </w:r>
          </w:p>
        </w:tc>
        <w:tc>
          <w:tcPr>
            <w:tcW w:w="0" w:type="auto"/>
            <w:shd w:val="clear" w:color="auto" w:fill="auto"/>
          </w:tcPr>
          <w:p w14:paraId="73240590"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NEAFC annual meeting</w:t>
            </w:r>
          </w:p>
        </w:tc>
      </w:tr>
      <w:tr w:rsidR="00CF409E" w:rsidRPr="00845F34" w14:paraId="1DD4BA95" w14:textId="77777777" w:rsidTr="00191718">
        <w:trPr>
          <w:trHeight w:val="300"/>
        </w:trPr>
        <w:tc>
          <w:tcPr>
            <w:tcW w:w="0" w:type="auto"/>
            <w:shd w:val="clear" w:color="auto" w:fill="auto"/>
          </w:tcPr>
          <w:p w14:paraId="52454ED6"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1 December 2025</w:t>
            </w:r>
          </w:p>
        </w:tc>
        <w:tc>
          <w:tcPr>
            <w:tcW w:w="0" w:type="auto"/>
            <w:shd w:val="clear" w:color="auto" w:fill="auto"/>
          </w:tcPr>
          <w:p w14:paraId="47EE58E2"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STECF stock assessment and management advice</w:t>
            </w:r>
          </w:p>
        </w:tc>
      </w:tr>
      <w:tr w:rsidR="00CF409E" w:rsidRPr="00845F34" w14:paraId="49996000" w14:textId="77777777" w:rsidTr="00191718">
        <w:trPr>
          <w:trHeight w:val="300"/>
        </w:trPr>
        <w:tc>
          <w:tcPr>
            <w:tcW w:w="0" w:type="auto"/>
            <w:shd w:val="clear" w:color="auto" w:fill="auto"/>
          </w:tcPr>
          <w:p w14:paraId="0506AFDD"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December 2025</w:t>
            </w:r>
          </w:p>
        </w:tc>
        <w:tc>
          <w:tcPr>
            <w:tcW w:w="0" w:type="auto"/>
            <w:shd w:val="clear" w:color="auto" w:fill="auto"/>
          </w:tcPr>
          <w:p w14:paraId="6C955A91"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 xml:space="preserve">Council meeting on </w:t>
            </w:r>
            <w:r>
              <w:rPr>
                <w:rFonts w:ascii="Times New Roman" w:eastAsia="Times New Roman" w:hAnsi="Times New Roman" w:cs="Times New Roman"/>
                <w:noProof/>
                <w:szCs w:val="24"/>
                <w:lang w:val="en-GB"/>
              </w:rPr>
              <w:t>fishing opportunities</w:t>
            </w:r>
            <w:r w:rsidRPr="00845F34">
              <w:rPr>
                <w:rFonts w:ascii="Times New Roman" w:eastAsia="Times New Roman" w:hAnsi="Times New Roman" w:cs="Times New Roman"/>
                <w:noProof/>
                <w:szCs w:val="24"/>
                <w:lang w:val="en-GB"/>
              </w:rPr>
              <w:t xml:space="preserve"> in the Atlantic/North Sea</w:t>
            </w:r>
          </w:p>
          <w:p w14:paraId="38C0701A" w14:textId="77777777" w:rsidR="00CF409E" w:rsidRPr="00845F34" w:rsidRDefault="00CF409E" w:rsidP="00191718">
            <w:pPr>
              <w:spacing w:before="120" w:after="60"/>
              <w:jc w:val="both"/>
              <w:rPr>
                <w:rFonts w:ascii="Times New Roman" w:eastAsia="Times New Roman" w:hAnsi="Times New Roman" w:cs="Times New Roman"/>
                <w:noProof/>
                <w:szCs w:val="24"/>
                <w:lang w:val="en-GB"/>
              </w:rPr>
            </w:pPr>
            <w:r w:rsidRPr="00845F34">
              <w:rPr>
                <w:rFonts w:ascii="Times New Roman" w:eastAsia="Times New Roman" w:hAnsi="Times New Roman" w:cs="Times New Roman"/>
                <w:noProof/>
                <w:szCs w:val="24"/>
                <w:lang w:val="en-GB"/>
              </w:rPr>
              <w:t xml:space="preserve">Council meeting on </w:t>
            </w:r>
            <w:r>
              <w:rPr>
                <w:rFonts w:ascii="Times New Roman" w:eastAsia="Times New Roman" w:hAnsi="Times New Roman" w:cs="Times New Roman"/>
                <w:noProof/>
                <w:szCs w:val="24"/>
                <w:lang w:val="en-GB"/>
              </w:rPr>
              <w:t>fishing opportunities</w:t>
            </w:r>
            <w:r w:rsidRPr="00845F34">
              <w:rPr>
                <w:rFonts w:ascii="Times New Roman" w:eastAsia="Times New Roman" w:hAnsi="Times New Roman" w:cs="Times New Roman"/>
                <w:noProof/>
                <w:szCs w:val="24"/>
                <w:lang w:val="en-GB"/>
              </w:rPr>
              <w:t xml:space="preserve"> in the Mediterranean and Black Seas</w:t>
            </w:r>
          </w:p>
        </w:tc>
      </w:tr>
    </w:tbl>
    <w:p w14:paraId="3F6FB38B" w14:textId="105AE8A6" w:rsidR="00A871A7" w:rsidRPr="00DC6FE8" w:rsidRDefault="00A871A7" w:rsidP="00DC6FE8">
      <w:pPr>
        <w:jc w:val="both"/>
        <w:rPr>
          <w:rFonts w:ascii="Times New Roman" w:hAnsi="Times New Roman" w:cs="Times New Roman"/>
          <w:noProof/>
        </w:rPr>
      </w:pPr>
    </w:p>
    <w:sectPr w:rsidR="00A871A7" w:rsidRPr="00DC6FE8" w:rsidSect="00394FD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615C" w14:textId="77777777" w:rsidR="002648CC" w:rsidRDefault="002648CC" w:rsidP="00394FDE">
      <w:pPr>
        <w:spacing w:after="0" w:line="240" w:lineRule="auto"/>
      </w:pPr>
      <w:r>
        <w:separator/>
      </w:r>
    </w:p>
  </w:endnote>
  <w:endnote w:type="continuationSeparator" w:id="0">
    <w:p w14:paraId="0241C9FC" w14:textId="77777777" w:rsidR="002648CC" w:rsidRDefault="002648CC" w:rsidP="0039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7DA1" w14:textId="0FA3851A" w:rsidR="002A72E0" w:rsidRPr="002A72E0" w:rsidRDefault="002A72E0" w:rsidP="002A72E0">
    <w:pPr>
      <w:pStyle w:val="FooterCoverPage"/>
      <w:rPr>
        <w:rFonts w:ascii="Arial" w:hAnsi="Arial" w:cs="Arial"/>
        <w:b/>
        <w:sz w:val="48"/>
      </w:rPr>
    </w:pPr>
    <w:r w:rsidRPr="002A72E0">
      <w:rPr>
        <w:rFonts w:ascii="Arial" w:hAnsi="Arial" w:cs="Arial"/>
        <w:b/>
        <w:sz w:val="48"/>
      </w:rPr>
      <w:t>EN</w:t>
    </w:r>
    <w:r w:rsidRPr="002A72E0">
      <w:rPr>
        <w:rFonts w:ascii="Arial" w:hAnsi="Arial" w:cs="Arial"/>
        <w:b/>
        <w:sz w:val="48"/>
      </w:rPr>
      <w:tab/>
    </w:r>
    <w:r w:rsidRPr="002A72E0">
      <w:rPr>
        <w:rFonts w:ascii="Arial" w:hAnsi="Arial" w:cs="Arial"/>
        <w:b/>
        <w:sz w:val="48"/>
      </w:rPr>
      <w:tab/>
    </w:r>
    <w:r w:rsidRPr="002A72E0">
      <w:tab/>
    </w:r>
    <w:r w:rsidRPr="002A72E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139A" w14:textId="679979C0" w:rsidR="002A72E0" w:rsidRPr="002A72E0" w:rsidRDefault="002A72E0" w:rsidP="002A72E0">
    <w:pPr>
      <w:pStyle w:val="FooterCoverPage"/>
      <w:rPr>
        <w:rFonts w:ascii="Arial" w:hAnsi="Arial" w:cs="Arial"/>
        <w:b/>
        <w:sz w:val="48"/>
      </w:rPr>
    </w:pPr>
    <w:r w:rsidRPr="002A72E0">
      <w:rPr>
        <w:rFonts w:ascii="Arial" w:hAnsi="Arial" w:cs="Arial"/>
        <w:b/>
        <w:sz w:val="48"/>
      </w:rPr>
      <w:t>EN</w:t>
    </w:r>
    <w:r w:rsidRPr="002A72E0">
      <w:rPr>
        <w:rFonts w:ascii="Arial" w:hAnsi="Arial" w:cs="Arial"/>
        <w:b/>
        <w:sz w:val="48"/>
      </w:rPr>
      <w:tab/>
    </w:r>
    <w:r w:rsidRPr="002A72E0">
      <w:rPr>
        <w:rFonts w:ascii="Arial" w:hAnsi="Arial" w:cs="Arial"/>
        <w:b/>
        <w:sz w:val="48"/>
      </w:rPr>
      <w:tab/>
    </w:r>
    <w:r w:rsidRPr="002A72E0">
      <w:tab/>
    </w:r>
    <w:r w:rsidRPr="002A72E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AD3E" w14:textId="77777777" w:rsidR="002A72E0" w:rsidRPr="002A72E0" w:rsidRDefault="002A72E0" w:rsidP="002A72E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C670" w14:textId="77777777" w:rsidR="00394FDE" w:rsidRDefault="00394F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441308"/>
      <w:docPartObj>
        <w:docPartGallery w:val="Page Numbers (Bottom of Page)"/>
        <w:docPartUnique/>
      </w:docPartObj>
    </w:sdtPr>
    <w:sdtEndPr>
      <w:rPr>
        <w:noProof/>
      </w:rPr>
    </w:sdtEndPr>
    <w:sdtContent>
      <w:p w14:paraId="03D69B45" w14:textId="1B70E263" w:rsidR="00DC37EF" w:rsidRDefault="00DC37EF">
        <w:pPr>
          <w:pStyle w:val="Footer"/>
          <w:jc w:val="right"/>
        </w:pPr>
        <w:r>
          <w:fldChar w:fldCharType="begin"/>
        </w:r>
        <w:r>
          <w:instrText xml:space="preserve"> PAGE   \* MERGEFORMAT </w:instrText>
        </w:r>
        <w:r>
          <w:fldChar w:fldCharType="separate"/>
        </w:r>
        <w:r w:rsidR="002A72E0">
          <w:rPr>
            <w:noProof/>
          </w:rPr>
          <w:t>1</w:t>
        </w:r>
        <w:r>
          <w:rPr>
            <w:noProof/>
          </w:rPr>
          <w:fldChar w:fldCharType="end"/>
        </w:r>
      </w:p>
    </w:sdtContent>
  </w:sdt>
  <w:p w14:paraId="75913C65" w14:textId="77777777" w:rsidR="00394FDE" w:rsidRDefault="00394F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0239" w14:textId="77777777" w:rsidR="00394FDE" w:rsidRDefault="0039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67D99" w14:textId="77777777" w:rsidR="002648CC" w:rsidRDefault="002648CC" w:rsidP="00394FDE">
      <w:pPr>
        <w:spacing w:after="0" w:line="240" w:lineRule="auto"/>
      </w:pPr>
      <w:r>
        <w:separator/>
      </w:r>
    </w:p>
  </w:footnote>
  <w:footnote w:type="continuationSeparator" w:id="0">
    <w:p w14:paraId="03C1B752" w14:textId="77777777" w:rsidR="002648CC" w:rsidRDefault="002648CC" w:rsidP="00394FDE">
      <w:pPr>
        <w:spacing w:after="0" w:line="240" w:lineRule="auto"/>
      </w:pPr>
      <w:r>
        <w:continuationSeparator/>
      </w:r>
    </w:p>
  </w:footnote>
  <w:footnote w:id="1">
    <w:p w14:paraId="406C38BE" w14:textId="77777777" w:rsidR="00CF409E" w:rsidRPr="0052196D" w:rsidRDefault="00CF409E" w:rsidP="00CF409E">
      <w:pPr>
        <w:pStyle w:val="FootnoteText"/>
        <w:spacing w:after="0"/>
        <w:rPr>
          <w:lang w:val="en-IE"/>
        </w:rPr>
      </w:pPr>
      <w:r>
        <w:rPr>
          <w:rStyle w:val="FootnoteReference"/>
        </w:rPr>
        <w:footnoteRef/>
      </w:r>
      <w:r w:rsidRPr="0052196D">
        <w:rPr>
          <w:lang w:val="en-IE"/>
        </w:rPr>
        <w:t xml:space="preserve"> </w:t>
      </w:r>
      <w:r w:rsidRPr="0052196D">
        <w:rPr>
          <w:lang w:val="en-IE"/>
        </w:rPr>
        <w:tab/>
      </w:r>
      <w:hyperlink r:id="rId1" w:history="1">
        <w:r>
          <w:rPr>
            <w:rStyle w:val="Hyperlink"/>
            <w:lang w:val="en-IE"/>
          </w:rPr>
          <w:t xml:space="preserve">OSPAR: Changes in Phytoplankton Biomass and Zooplankton Abundance </w:t>
        </w:r>
      </w:hyperlink>
    </w:p>
  </w:footnote>
  <w:footnote w:id="2">
    <w:p w14:paraId="12C9968F" w14:textId="77777777" w:rsidR="00CF409E" w:rsidRPr="002030AF" w:rsidRDefault="00CF409E" w:rsidP="00CF409E">
      <w:pPr>
        <w:pStyle w:val="FootnoteText"/>
        <w:spacing w:after="0"/>
        <w:rPr>
          <w:lang w:val="en-IE"/>
        </w:rPr>
      </w:pPr>
      <w:r>
        <w:rPr>
          <w:rStyle w:val="FootnoteReference"/>
        </w:rPr>
        <w:footnoteRef/>
      </w:r>
      <w:r w:rsidRPr="002030AF">
        <w:rPr>
          <w:lang w:val="en-IE"/>
        </w:rPr>
        <w:t xml:space="preserve"> </w:t>
      </w:r>
      <w:r w:rsidRPr="002030AF">
        <w:rPr>
          <w:lang w:val="en-IE"/>
        </w:rPr>
        <w:tab/>
      </w:r>
      <w:hyperlink r:id="rId2" w:history="1">
        <w:r>
          <w:rPr>
            <w:rStyle w:val="Hyperlink"/>
            <w:lang w:val="en-IE"/>
          </w:rPr>
          <w:t>OSPAR: Concentrations of Dissolved Oxygen Near the Seafloor in the Greater North Sea, Celtic Seas and Bay of Biscay and Iberian Coast</w:t>
        </w:r>
      </w:hyperlink>
    </w:p>
  </w:footnote>
  <w:footnote w:id="3">
    <w:p w14:paraId="5AA1B501" w14:textId="77777777" w:rsidR="00CF409E" w:rsidRPr="00757B8C" w:rsidRDefault="00CF409E" w:rsidP="00CF409E">
      <w:pPr>
        <w:pStyle w:val="FootnoteText"/>
        <w:spacing w:after="0"/>
        <w:rPr>
          <w:lang w:val="en-IE"/>
        </w:rPr>
      </w:pPr>
      <w:r>
        <w:rPr>
          <w:rStyle w:val="FootnoteReference"/>
        </w:rPr>
        <w:footnoteRef/>
      </w:r>
      <w:r>
        <w:t xml:space="preserve"> </w:t>
      </w:r>
      <w:r>
        <w:tab/>
      </w:r>
      <w:r w:rsidRPr="00757B8C">
        <w:t>COM(2024)91 final</w:t>
      </w:r>
      <w:r>
        <w:rPr>
          <w:color w:val="000000" w:themeColor="text1"/>
          <w:sz w:val="19"/>
          <w:szCs w:val="19"/>
        </w:rPr>
        <w:t>, Managing</w:t>
      </w:r>
      <w:r w:rsidRPr="308D5098">
        <w:rPr>
          <w:color w:val="000000" w:themeColor="text1"/>
          <w:sz w:val="19"/>
          <w:szCs w:val="19"/>
        </w:rPr>
        <w:t xml:space="preserve"> </w:t>
      </w:r>
      <w:r>
        <w:rPr>
          <w:color w:val="000000" w:themeColor="text1"/>
          <w:sz w:val="19"/>
          <w:szCs w:val="19"/>
        </w:rPr>
        <w:t>c</w:t>
      </w:r>
      <w:r w:rsidRPr="308D5098">
        <w:rPr>
          <w:color w:val="000000" w:themeColor="text1"/>
          <w:sz w:val="19"/>
          <w:szCs w:val="19"/>
        </w:rPr>
        <w:t xml:space="preserve">limate </w:t>
      </w:r>
      <w:r>
        <w:rPr>
          <w:color w:val="000000" w:themeColor="text1"/>
          <w:sz w:val="19"/>
          <w:szCs w:val="19"/>
        </w:rPr>
        <w:t>r</w:t>
      </w:r>
      <w:r w:rsidRPr="308D5098">
        <w:rPr>
          <w:color w:val="000000" w:themeColor="text1"/>
          <w:sz w:val="19"/>
          <w:szCs w:val="19"/>
        </w:rPr>
        <w:t>isk</w:t>
      </w:r>
      <w:r>
        <w:rPr>
          <w:color w:val="000000" w:themeColor="text1"/>
          <w:sz w:val="19"/>
          <w:szCs w:val="19"/>
        </w:rPr>
        <w:t>s – protecting people and prosperity.</w:t>
      </w:r>
    </w:p>
  </w:footnote>
  <w:footnote w:id="4">
    <w:p w14:paraId="08A9C507" w14:textId="77777777" w:rsidR="00CF409E" w:rsidRPr="00757B8C" w:rsidRDefault="00CF409E" w:rsidP="00CF409E">
      <w:pPr>
        <w:pStyle w:val="FootnoteText"/>
        <w:spacing w:after="0"/>
      </w:pPr>
      <w:r w:rsidRPr="00757B8C">
        <w:rPr>
          <w:rStyle w:val="FootnoteReference"/>
        </w:rPr>
        <w:footnoteRef/>
      </w:r>
      <w:r w:rsidRPr="00757B8C">
        <w:t xml:space="preserve"> </w:t>
      </w:r>
      <w:r>
        <w:tab/>
      </w:r>
      <w:hyperlink r:id="rId3">
        <w:r>
          <w:rPr>
            <w:rStyle w:val="Hyperlink"/>
          </w:rPr>
          <w:t>EU Mission: Restore our Ocean and Waters</w:t>
        </w:r>
      </w:hyperlink>
    </w:p>
  </w:footnote>
  <w:footnote w:id="5">
    <w:p w14:paraId="1893BB21" w14:textId="21CF27CA" w:rsidR="00CF409E" w:rsidRDefault="00CF409E" w:rsidP="00CF409E">
      <w:pPr>
        <w:pStyle w:val="FootnoteText"/>
        <w:spacing w:after="0"/>
        <w:rPr>
          <w:rStyle w:val="Hyperlink"/>
        </w:rPr>
      </w:pPr>
      <w:r>
        <w:rPr>
          <w:rStyle w:val="FootnoteReference"/>
        </w:rPr>
        <w:footnoteRef/>
      </w:r>
      <w:r>
        <w:t xml:space="preserve"> </w:t>
      </w:r>
      <w:r>
        <w:tab/>
      </w:r>
      <w:r w:rsidRPr="00754FDB">
        <w:rPr>
          <w:lang w:val="en-IE"/>
        </w:rPr>
        <w:t xml:space="preserve">Regulation (EU) 2024/1991 of the European Parliament and of the Council of 24 June 2024 on nature restoration and amending Regulation (EU) 2022/869 (OJ L, 2024/1991, 29.7.2024, ELI: </w:t>
      </w:r>
      <w:hyperlink r:id="rId4" w:history="1">
        <w:r w:rsidRPr="00754FDB">
          <w:rPr>
            <w:rStyle w:val="Hyperlink"/>
            <w:lang w:val="en-IE"/>
          </w:rPr>
          <w:t>http://data.europa.eu/eli/reg/2024/1991/oj</w:t>
        </w:r>
      </w:hyperlink>
      <w:r w:rsidRPr="00754FDB">
        <w:rPr>
          <w:lang w:val="en-IE"/>
        </w:rPr>
        <w:t>)</w:t>
      </w:r>
      <w:r>
        <w:rPr>
          <w:rStyle w:val="Hyperlink"/>
        </w:rPr>
        <w:t xml:space="preserve"> </w:t>
      </w:r>
    </w:p>
    <w:p w14:paraId="767E9BF4" w14:textId="77777777" w:rsidR="00CF409E" w:rsidRPr="000C060F" w:rsidRDefault="00CF409E" w:rsidP="00CF409E">
      <w:pPr>
        <w:pStyle w:val="FootnoteText"/>
        <w:spacing w:after="0"/>
      </w:pPr>
      <w:r>
        <w:tab/>
      </w:r>
      <w:hyperlink r:id="rId5" w:history="1">
        <w:r>
          <w:rPr>
            <w:rStyle w:val="Hyperlink"/>
          </w:rPr>
          <w:t>The EU #NatureRestoration Law</w:t>
        </w:r>
      </w:hyperlink>
    </w:p>
  </w:footnote>
  <w:footnote w:id="6">
    <w:p w14:paraId="22C0DBE1" w14:textId="77777777" w:rsidR="00CF409E" w:rsidRPr="00797780" w:rsidRDefault="00CF409E" w:rsidP="00CF409E">
      <w:pPr>
        <w:pStyle w:val="FootnoteText"/>
        <w:spacing w:after="0"/>
      </w:pPr>
      <w:r>
        <w:rPr>
          <w:rStyle w:val="FootnoteReference"/>
        </w:rPr>
        <w:footnoteRef/>
      </w:r>
      <w:r>
        <w:t xml:space="preserve"> </w:t>
      </w:r>
      <w:r>
        <w:tab/>
      </w:r>
      <w:r w:rsidRPr="006B0267">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w:t>
      </w:r>
      <w:r>
        <w:t xml:space="preserve"> </w:t>
      </w:r>
      <w:r w:rsidRPr="00754FDB">
        <w:rPr>
          <w:lang w:val="en-IE"/>
        </w:rPr>
        <w:t xml:space="preserve">(OJ L 354, 28.12.2013, p. 22, ELI: </w:t>
      </w:r>
      <w:hyperlink r:id="rId6" w:history="1">
        <w:r w:rsidRPr="00754FDB">
          <w:rPr>
            <w:rStyle w:val="Hyperlink"/>
            <w:lang w:val="en-IE"/>
          </w:rPr>
          <w:t>http://data.europa.eu/eli/reg/2013/1380/oj</w:t>
        </w:r>
      </w:hyperlink>
      <w:r w:rsidRPr="00754FDB">
        <w:rPr>
          <w:lang w:val="en-IE"/>
        </w:rPr>
        <w:t>)</w:t>
      </w:r>
      <w:r w:rsidRPr="006B0267">
        <w:t>.</w:t>
      </w:r>
    </w:p>
  </w:footnote>
  <w:footnote w:id="7">
    <w:p w14:paraId="28BFE5B1" w14:textId="77777777" w:rsidR="00CF409E" w:rsidRPr="00757B8C" w:rsidRDefault="00CF409E" w:rsidP="00CF409E">
      <w:pPr>
        <w:pStyle w:val="FootnoteText"/>
        <w:spacing w:after="0"/>
        <w:rPr>
          <w:lang w:val="en-IE"/>
        </w:rPr>
      </w:pPr>
      <w:r w:rsidRPr="00757B8C">
        <w:rPr>
          <w:rStyle w:val="FootnoteReference"/>
        </w:rPr>
        <w:footnoteRef/>
      </w:r>
      <w:r w:rsidRPr="00757B8C">
        <w:t xml:space="preserve"> </w:t>
      </w:r>
      <w:r>
        <w:tab/>
      </w:r>
      <w:r w:rsidRPr="00757B8C">
        <w:t xml:space="preserve">Recital 14 of </w:t>
      </w:r>
      <w:r w:rsidRPr="00757B8C">
        <w:rPr>
          <w:rFonts w:eastAsia="Roboto"/>
          <w:color w:val="333333"/>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w:t>
      </w:r>
    </w:p>
  </w:footnote>
  <w:footnote w:id="8">
    <w:p w14:paraId="409E5EF3" w14:textId="77777777" w:rsidR="00CF409E" w:rsidRPr="004400E6" w:rsidRDefault="00CF409E" w:rsidP="00CF409E">
      <w:pPr>
        <w:pStyle w:val="FootnoteText"/>
        <w:spacing w:after="0"/>
      </w:pPr>
      <w:r>
        <w:rPr>
          <w:rStyle w:val="FootnoteReference"/>
        </w:rPr>
        <w:footnoteRef/>
      </w:r>
      <w:r>
        <w:t xml:space="preserve"> </w:t>
      </w:r>
      <w:r>
        <w:tab/>
      </w:r>
      <w:r w:rsidRPr="0039200A">
        <w:rPr>
          <w:lang w:val="en-IE"/>
        </w:rPr>
        <w:t>For a detailed analysis of F</w:t>
      </w:r>
      <w:r w:rsidRPr="0039200A">
        <w:rPr>
          <w:vertAlign w:val="subscript"/>
          <w:lang w:val="en-IE"/>
        </w:rPr>
        <w:t>MSY</w:t>
      </w:r>
      <w:r w:rsidRPr="0039200A">
        <w:rPr>
          <w:lang w:val="en-IE"/>
        </w:rPr>
        <w:t xml:space="preserve"> and the biomass state of fish stocks in all sea basins, see Section 1 of the accompanying staff working document.</w:t>
      </w:r>
      <w:r>
        <w:t xml:space="preserve">  </w:t>
      </w:r>
    </w:p>
  </w:footnote>
  <w:footnote w:id="9">
    <w:p w14:paraId="16AD6673" w14:textId="77777777" w:rsidR="00CF409E" w:rsidRPr="00757B8C" w:rsidRDefault="00CF409E" w:rsidP="00CF409E">
      <w:pPr>
        <w:pStyle w:val="FootnoteText"/>
        <w:spacing w:after="0"/>
      </w:pPr>
      <w:r w:rsidRPr="00757B8C">
        <w:rPr>
          <w:rStyle w:val="FootnoteReference"/>
        </w:rPr>
        <w:footnoteRef/>
      </w:r>
      <w:r w:rsidRPr="00757B8C">
        <w:t xml:space="preserve"> </w:t>
      </w:r>
      <w:r>
        <w:tab/>
      </w:r>
      <w:r w:rsidRPr="00757B8C">
        <w:rPr>
          <w:rFonts w:eastAsia="Aptos"/>
        </w:rPr>
        <w:t>Northeast Atlantic mackerel, blue withing, Norwegian spring spawning herring, western horse mackerel, North Sea horse mackerel, Northeast Atlantic boarfish, Northeast Atlantic red gurnard and striped red mullet (in</w:t>
      </w:r>
      <w:r>
        <w:rPr>
          <w:rFonts w:eastAsia="Aptos"/>
        </w:rPr>
        <w:t xml:space="preserve"> the</w:t>
      </w:r>
      <w:r w:rsidRPr="00757B8C">
        <w:rPr>
          <w:rFonts w:eastAsia="Aptos"/>
        </w:rPr>
        <w:t xml:space="preserve"> Bay of Biscay, Southern Celtic Seas</w:t>
      </w:r>
      <w:r>
        <w:rPr>
          <w:rFonts w:eastAsia="Aptos"/>
        </w:rPr>
        <w:t xml:space="preserve"> and</w:t>
      </w:r>
      <w:r w:rsidRPr="00757B8C">
        <w:rPr>
          <w:rFonts w:eastAsia="Aptos"/>
        </w:rPr>
        <w:t xml:space="preserve"> Atlantic Iberian waters</w:t>
      </w:r>
      <w:r>
        <w:rPr>
          <w:rFonts w:eastAsia="Aptos"/>
        </w:rPr>
        <w:t>)</w:t>
      </w:r>
      <w:r w:rsidRPr="00757B8C">
        <w:rPr>
          <w:rFonts w:eastAsia="Aptos"/>
        </w:rPr>
        <w:t>.</w:t>
      </w:r>
    </w:p>
  </w:footnote>
  <w:footnote w:id="10">
    <w:p w14:paraId="153FF8E9" w14:textId="77777777" w:rsidR="00CF409E" w:rsidRPr="00FA430C" w:rsidRDefault="00CF409E" w:rsidP="00CF409E">
      <w:pPr>
        <w:pStyle w:val="FootnoteText"/>
        <w:spacing w:after="0"/>
      </w:pPr>
      <w:r>
        <w:rPr>
          <w:rStyle w:val="FootnoteReference"/>
        </w:rPr>
        <w:footnoteRef/>
      </w:r>
      <w:r>
        <w:t xml:space="preserve"> </w:t>
      </w:r>
      <w:r>
        <w:tab/>
      </w:r>
      <w:hyperlink r:id="rId7" w:history="1">
        <w:r>
          <w:rPr>
            <w:rStyle w:val="Hyperlink"/>
          </w:rPr>
          <w:t>Scientific, Technical and Economic Committee for Fisheries (STECF) - Monitoring of the performance of the Common Fisheries Policy (STECF-Adhoc-22-01)</w:t>
        </w:r>
      </w:hyperlink>
      <w:r>
        <w:t xml:space="preserve"> </w:t>
      </w:r>
    </w:p>
  </w:footnote>
  <w:footnote w:id="11">
    <w:p w14:paraId="2CE69B18" w14:textId="77777777" w:rsidR="00CF409E" w:rsidRPr="00757B8C" w:rsidRDefault="00CF409E" w:rsidP="00CF409E">
      <w:pPr>
        <w:pStyle w:val="FootnoteText"/>
        <w:spacing w:after="0"/>
        <w:rPr>
          <w:lang w:val="en-IE"/>
        </w:rPr>
      </w:pPr>
      <w:r w:rsidRPr="7AEAACB1">
        <w:rPr>
          <w:rStyle w:val="FootnoteReference"/>
        </w:rPr>
        <w:footnoteRef/>
      </w:r>
      <w:r>
        <w:t xml:space="preserve"> </w:t>
      </w:r>
      <w:r>
        <w:tab/>
      </w:r>
      <w:r w:rsidRPr="00757B8C">
        <w:t xml:space="preserve">Regulation (EU) 2019/1022 of the European Parliament and of the Council of 20 June 2019 establishing a multiannual plan for the fisheries exploiting demersal stocks in the western Mediterranean Sea and amending Regulation (EU) No 508/2014 (OJ L 172, 26.6.2019, p. 1, ELI: </w:t>
      </w:r>
      <w:hyperlink r:id="rId8" w:history="1">
        <w:r w:rsidRPr="00757B8C">
          <w:rPr>
            <w:rStyle w:val="Hyperlink"/>
          </w:rPr>
          <w:t>http://data.europa.eu/eli/reg/2019/1022/oj</w:t>
        </w:r>
      </w:hyperlink>
      <w:r w:rsidRPr="00757B8C">
        <w:t>).</w:t>
      </w:r>
    </w:p>
  </w:footnote>
  <w:footnote w:id="12">
    <w:p w14:paraId="0CAC6827" w14:textId="77777777" w:rsidR="00CF409E" w:rsidRPr="00757B8C" w:rsidRDefault="00CF409E" w:rsidP="00CF409E">
      <w:pPr>
        <w:pStyle w:val="FootnoteText"/>
        <w:spacing w:after="0"/>
        <w:rPr>
          <w:lang w:val="en-IE"/>
        </w:rPr>
      </w:pPr>
      <w:r w:rsidRPr="00757B8C">
        <w:rPr>
          <w:rStyle w:val="FootnoteReference"/>
        </w:rPr>
        <w:footnoteRef/>
      </w:r>
      <w:r w:rsidRPr="00757B8C">
        <w:t xml:space="preserve"> </w:t>
      </w:r>
      <w:r>
        <w:tab/>
      </w:r>
      <w:r w:rsidRPr="00757B8C">
        <w:rPr>
          <w:rFonts w:eastAsia="Calibri"/>
        </w:rPr>
        <w:t xml:space="preserve">HELCOM Quality status report 2023 (HOLAS 3): </w:t>
      </w:r>
      <w:hyperlink r:id="rId9" w:history="1">
        <w:r w:rsidRPr="00757B8C">
          <w:rPr>
            <w:rStyle w:val="Hyperlink"/>
            <w:rFonts w:eastAsia="Calibri"/>
          </w:rPr>
          <w:t>https://helcom.fi/wp-content/uploads/2023/10/State-of-the-Baltic-Sea-2023.pdf</w:t>
        </w:r>
      </w:hyperlink>
      <w:r w:rsidRPr="00757B8C">
        <w:t xml:space="preserve">; ICES Ecosystem Overviews, Baltic Sea ecoregion, 26 November 2024: </w:t>
      </w:r>
      <w:hyperlink r:id="rId10" w:history="1">
        <w:r w:rsidRPr="00757B8C">
          <w:rPr>
            <w:rStyle w:val="Hyperlink"/>
          </w:rPr>
          <w:t>https://ices-library.figshare.com/articles/report/Baltic_Sea_Ecoregion_Ecosystem_Overview/27256635?file=50813523</w:t>
        </w:r>
      </w:hyperlink>
    </w:p>
  </w:footnote>
  <w:footnote w:id="13">
    <w:p w14:paraId="4D24584A" w14:textId="77777777" w:rsidR="00CF409E" w:rsidRPr="00757B8C" w:rsidRDefault="00CF409E" w:rsidP="00CF409E">
      <w:pPr>
        <w:pStyle w:val="FootnoteText"/>
        <w:spacing w:after="0"/>
        <w:rPr>
          <w:lang w:val="en-IE"/>
        </w:rPr>
      </w:pPr>
      <w:r w:rsidRPr="00757B8C">
        <w:rPr>
          <w:rStyle w:val="FootnoteReference"/>
        </w:rPr>
        <w:footnoteRef/>
      </w:r>
      <w:r w:rsidRPr="00757B8C">
        <w:t xml:space="preserve"> </w:t>
      </w:r>
      <w:r>
        <w:tab/>
      </w:r>
      <w:r w:rsidRPr="00757B8C">
        <w:rPr>
          <w:rFonts w:eastAsia="Calibri"/>
        </w:rPr>
        <w:t>In particular the Nitrates Directive, the Urban Waste Water Treatment Directive, the Marine Strategy Framework Directive, the Water Framework Directive, the Habitats and Birds Directives, the Waste Framework Directive, the Maritime Spatial Planning Directive, the Single Use Plastic Directive, the Common Fisheries Policy Regulation, the integrated maritime policy and the common agricultural policy.</w:t>
      </w:r>
    </w:p>
  </w:footnote>
  <w:footnote w:id="14">
    <w:p w14:paraId="0F43AFA6" w14:textId="77777777" w:rsidR="00CF409E" w:rsidRPr="00757B8C" w:rsidRDefault="00CF409E" w:rsidP="00CF409E">
      <w:pPr>
        <w:pStyle w:val="FootnoteText"/>
        <w:spacing w:after="0"/>
        <w:rPr>
          <w:lang w:val="en-IE"/>
        </w:rPr>
      </w:pPr>
      <w:r w:rsidRPr="00757B8C">
        <w:rPr>
          <w:rStyle w:val="FootnoteReference"/>
        </w:rPr>
        <w:footnoteRef/>
      </w:r>
      <w:r w:rsidRPr="00757B8C">
        <w:t xml:space="preserve"> </w:t>
      </w:r>
      <w:r>
        <w:tab/>
      </w:r>
      <w:r w:rsidRPr="009F6B44">
        <w:rPr>
          <w:rFonts w:eastAsia="Roboto"/>
          <w:color w:val="333333"/>
        </w:rPr>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w:t>
      </w:r>
    </w:p>
  </w:footnote>
  <w:footnote w:id="15">
    <w:p w14:paraId="09F8EAB4" w14:textId="77777777" w:rsidR="005C65F9" w:rsidRPr="00B65BF5" w:rsidRDefault="005C65F9" w:rsidP="005C65F9">
      <w:pPr>
        <w:pStyle w:val="FootnoteText"/>
        <w:spacing w:after="0"/>
      </w:pPr>
      <w:r>
        <w:rPr>
          <w:rStyle w:val="FootnoteReference"/>
        </w:rPr>
        <w:footnoteRef/>
      </w:r>
      <w:r>
        <w:t xml:space="preserve"> </w:t>
      </w:r>
      <w:r>
        <w:tab/>
      </w:r>
      <w:hyperlink r:id="rId11" w:history="1">
        <w:r w:rsidRPr="00B65BF5">
          <w:rPr>
            <w:rStyle w:val="Hyperlink"/>
          </w:rPr>
          <w:t>HELCOM Baltic Sea Action Plan</w:t>
        </w:r>
      </w:hyperlink>
    </w:p>
  </w:footnote>
  <w:footnote w:id="16">
    <w:p w14:paraId="32B63265" w14:textId="77777777" w:rsidR="00CF409E" w:rsidRPr="00C00428" w:rsidRDefault="00CF409E" w:rsidP="00CF409E">
      <w:pPr>
        <w:pStyle w:val="FootnoteText"/>
        <w:spacing w:after="0"/>
        <w:rPr>
          <w:lang w:val="en-IE"/>
        </w:rPr>
      </w:pPr>
      <w:r>
        <w:rPr>
          <w:rStyle w:val="FootnoteReference"/>
        </w:rPr>
        <w:footnoteRef/>
      </w:r>
      <w:r>
        <w:t xml:space="preserve"> </w:t>
      </w:r>
      <w:r>
        <w:tab/>
      </w:r>
      <w:hyperlink r:id="rId12" w:history="1">
        <w:r>
          <w:rPr>
            <w:rStyle w:val="Hyperlink"/>
            <w:szCs w:val="24"/>
          </w:rPr>
          <w:t>Ministerial Declaration - 'Our Baltic' Conference 2020</w:t>
        </w:r>
      </w:hyperlink>
    </w:p>
  </w:footnote>
  <w:footnote w:id="17">
    <w:p w14:paraId="20CEBBCD" w14:textId="77777777" w:rsidR="00CF409E" w:rsidRDefault="00CF409E" w:rsidP="00CF409E">
      <w:pPr>
        <w:pStyle w:val="FootnoteText"/>
        <w:spacing w:after="0"/>
      </w:pPr>
      <w:r>
        <w:rPr>
          <w:rStyle w:val="FootnoteReference"/>
        </w:rPr>
        <w:footnoteRef/>
      </w:r>
      <w:r>
        <w:t xml:space="preserve"> </w:t>
      </w:r>
      <w:r>
        <w:tab/>
      </w:r>
      <w:r w:rsidRPr="0039200A">
        <w:rPr>
          <w:lang w:val="en-IE"/>
        </w:rPr>
        <w:t>For a detailed analysis of F</w:t>
      </w:r>
      <w:r w:rsidRPr="0039200A">
        <w:rPr>
          <w:vertAlign w:val="subscript"/>
          <w:lang w:val="en-IE"/>
        </w:rPr>
        <w:t>MSY</w:t>
      </w:r>
      <w:r w:rsidRPr="0039200A">
        <w:rPr>
          <w:lang w:val="en-IE"/>
        </w:rPr>
        <w:t xml:space="preserve"> and the biomass state of fish stocks in all sea basins, see Section 1 of the accompanying staff working document.</w:t>
      </w:r>
      <w:r>
        <w:t xml:space="preserve">  </w:t>
      </w:r>
    </w:p>
    <w:p w14:paraId="36075FAB" w14:textId="77777777" w:rsidR="00CF409E" w:rsidRPr="004400E6" w:rsidRDefault="00CF409E" w:rsidP="00CF409E">
      <w:pPr>
        <w:pStyle w:val="FootnoteText"/>
        <w:spacing w:after="0"/>
      </w:pPr>
      <w:r>
        <w:tab/>
      </w:r>
      <w:r w:rsidRPr="009D4A99">
        <w:rPr>
          <w:lang w:val="en-IE"/>
        </w:rPr>
        <w:t>Article 4(6) of Regulations (EU) 2016/1139 and (EU) 2018/973 and Article 4(7) of Regulation (EU) 2019/472.</w:t>
      </w:r>
    </w:p>
  </w:footnote>
  <w:footnote w:id="18">
    <w:p w14:paraId="53EE05CD" w14:textId="77777777" w:rsidR="00CF409E" w:rsidRPr="009D4A99" w:rsidRDefault="00CF409E" w:rsidP="00CF409E">
      <w:pPr>
        <w:pStyle w:val="FootnoteText"/>
        <w:spacing w:after="0"/>
        <w:rPr>
          <w:lang w:val="en-IE"/>
        </w:rPr>
      </w:pPr>
      <w:r w:rsidRPr="009D4A99">
        <w:rPr>
          <w:rStyle w:val="FootnoteReference"/>
        </w:rPr>
        <w:footnoteRef/>
      </w:r>
      <w:r w:rsidRPr="009D4A99">
        <w:t xml:space="preserve"> </w:t>
      </w:r>
      <w:r>
        <w:tab/>
      </w:r>
      <w:r w:rsidRPr="009D4A99">
        <w:t>Commission proposal for a Regulation of the European Parliament and of the Council amending Regulations (EU) 2016/1139, (EU) 2018/973 and (EU) 2019/472 as regards the targets for fixing fishing opportunities (COM(2023) 771 final).</w:t>
      </w:r>
      <w:r>
        <w:t xml:space="preserve"> </w:t>
      </w:r>
    </w:p>
  </w:footnote>
  <w:footnote w:id="19">
    <w:p w14:paraId="5769B24A" w14:textId="31468DA9" w:rsidR="00CF409E" w:rsidRPr="003F1A02" w:rsidRDefault="00CF409E" w:rsidP="00CF409E">
      <w:pPr>
        <w:pStyle w:val="FootnoteText"/>
        <w:spacing w:after="0"/>
      </w:pPr>
      <w:r>
        <w:rPr>
          <w:rStyle w:val="FootnoteReference"/>
        </w:rPr>
        <w:footnoteRef/>
      </w:r>
      <w:r>
        <w:t xml:space="preserve"> </w:t>
      </w:r>
      <w:r>
        <w:tab/>
      </w:r>
      <w:hyperlink r:id="rId13" w:history="1">
        <w:r w:rsidRPr="003F1A02">
          <w:rPr>
            <w:rStyle w:val="Hyperlink"/>
          </w:rPr>
          <w:t>Twelve sustainability measures for fishers to add fishing days under the compensation mechanism</w:t>
        </w:r>
      </w:hyperlink>
    </w:p>
  </w:footnote>
  <w:footnote w:id="20">
    <w:p w14:paraId="78607FD9" w14:textId="77777777" w:rsidR="00CF409E" w:rsidRPr="009459E4" w:rsidRDefault="00CF409E" w:rsidP="00CF409E">
      <w:pPr>
        <w:pStyle w:val="FootnoteText"/>
      </w:pPr>
      <w:r>
        <w:rPr>
          <w:rStyle w:val="FootnoteReference"/>
        </w:rPr>
        <w:footnoteRef/>
      </w:r>
      <w:r>
        <w:t xml:space="preserve"> </w:t>
      </w:r>
      <w:r>
        <w:tab/>
      </w:r>
      <w:hyperlink r:id="rId14" w:history="1">
        <w:r w:rsidRPr="009459E4">
          <w:rPr>
            <w:rStyle w:val="Hyperlink"/>
            <w:lang w:val="en-IE"/>
          </w:rPr>
          <w:t>The EU-UK Trade and Cooperation Agreement - European Commission</w:t>
        </w:r>
      </w:hyperlink>
    </w:p>
  </w:footnote>
  <w:footnote w:id="21">
    <w:p w14:paraId="5C02044F" w14:textId="77777777" w:rsidR="00CF409E" w:rsidRPr="00C00428" w:rsidRDefault="00CF409E" w:rsidP="00CF409E">
      <w:pPr>
        <w:pStyle w:val="FootnoteText"/>
        <w:spacing w:after="0"/>
        <w:rPr>
          <w:lang w:val="en-IE"/>
        </w:rPr>
      </w:pPr>
      <w:r>
        <w:rPr>
          <w:rStyle w:val="FootnoteReference"/>
        </w:rPr>
        <w:footnoteRef/>
      </w:r>
      <w:r>
        <w:t xml:space="preserve"> </w:t>
      </w:r>
      <w:r>
        <w:tab/>
      </w:r>
      <w:hyperlink r:id="rId15" w:history="1">
        <w:r w:rsidRPr="6F37C81E">
          <w:rPr>
            <w:rStyle w:val="Hyperlink"/>
          </w:rPr>
          <w:t>COM (2014) 545: COMMUNICATION FROM THE COMMISSION TO THE EUROPEAN PARLIAMENT AND THE COUNCIL Guidelines for the analysis of the balance between fishing capacity and fishing opportunities according to Art 22 of Regulation (EU) No 1380/2013 of the European Parliament and the Council on the Common Fisheries Policy</w:t>
        </w:r>
      </w:hyperlink>
    </w:p>
  </w:footnote>
  <w:footnote w:id="22">
    <w:p w14:paraId="546C36BF" w14:textId="77777777" w:rsidR="00CF409E" w:rsidRPr="00757B8C" w:rsidRDefault="00CF409E" w:rsidP="00CF409E">
      <w:pPr>
        <w:pStyle w:val="FootnoteText"/>
        <w:spacing w:after="0"/>
        <w:ind w:left="360" w:firstLine="0"/>
        <w:rPr>
          <w:lang w:val="en-IE"/>
        </w:rPr>
      </w:pPr>
      <w:r w:rsidRPr="00757B8C">
        <w:rPr>
          <w:rFonts w:eastAsia="Calibri"/>
        </w:rPr>
        <w:t>Article 22 of the CFP Regulation -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w:t>
      </w:r>
    </w:p>
  </w:footnote>
  <w:footnote w:id="23">
    <w:p w14:paraId="5950E72A" w14:textId="77777777" w:rsidR="00CF409E" w:rsidRPr="00757B8C" w:rsidRDefault="00CF409E" w:rsidP="00CF409E">
      <w:pPr>
        <w:pStyle w:val="FootnoteText"/>
        <w:spacing w:after="0"/>
        <w:rPr>
          <w:lang w:val="en-IE"/>
        </w:rPr>
      </w:pPr>
      <w:r w:rsidRPr="00757B8C">
        <w:rPr>
          <w:rStyle w:val="FootnoteReference"/>
        </w:rPr>
        <w:footnoteRef/>
      </w:r>
      <w:r w:rsidRPr="00757B8C">
        <w:t xml:space="preserve"> </w:t>
      </w:r>
      <w:r>
        <w:tab/>
      </w:r>
      <w:r w:rsidRPr="00757B8C">
        <w:t>Including the fleet fishing in outermost regions.</w:t>
      </w:r>
    </w:p>
  </w:footnote>
  <w:footnote w:id="24">
    <w:p w14:paraId="29A0D0F2" w14:textId="77777777" w:rsidR="00CF409E" w:rsidRPr="00C00428" w:rsidRDefault="00CF409E" w:rsidP="00CF409E">
      <w:pPr>
        <w:pStyle w:val="FootnoteText"/>
        <w:spacing w:after="0"/>
        <w:rPr>
          <w:lang w:val="en-IE"/>
        </w:rPr>
      </w:pPr>
      <w:r w:rsidRPr="00757B8C">
        <w:rPr>
          <w:rStyle w:val="FootnoteReference"/>
        </w:rPr>
        <w:footnoteRef/>
      </w:r>
      <w:r w:rsidRPr="00757B8C">
        <w:t xml:space="preserve"> </w:t>
      </w:r>
      <w:r>
        <w:tab/>
      </w:r>
      <w:r w:rsidRPr="00757B8C">
        <w:rPr>
          <w:rFonts w:eastAsia="Calibri"/>
        </w:rPr>
        <w:t>‘Red’ indicators show fleet segments that are out of balance with the fishing opportunities. A ‘green’ indicator shows a fleet segment in balance with the fishing opportunities. More details may be found in the accompanying SWD.</w:t>
      </w:r>
    </w:p>
  </w:footnote>
  <w:footnote w:id="25">
    <w:p w14:paraId="4FA53BE9" w14:textId="613E621B" w:rsidR="00CF409E" w:rsidRPr="009D4A99" w:rsidRDefault="00CF409E" w:rsidP="00CF409E">
      <w:pPr>
        <w:pStyle w:val="FootnoteText"/>
        <w:spacing w:after="0"/>
      </w:pPr>
      <w:r>
        <w:rPr>
          <w:rStyle w:val="FootnoteReference"/>
        </w:rPr>
        <w:footnoteRef/>
      </w:r>
      <w:r>
        <w:t xml:space="preserve"> </w:t>
      </w:r>
      <w:r>
        <w:tab/>
      </w:r>
      <w:hyperlink r:id="rId16" w:history="1">
        <w:r>
          <w:rPr>
            <w:rStyle w:val="Hyperlink"/>
            <w:szCs w:val="24"/>
          </w:rPr>
          <w:t>EU Preparedness Union Strategy to prevent and react to emerging threats and crises</w:t>
        </w:r>
      </w:hyperlink>
    </w:p>
  </w:footnote>
  <w:footnote w:id="26">
    <w:p w14:paraId="10F84612" w14:textId="77777777" w:rsidR="00CF409E" w:rsidRPr="00757B8C" w:rsidRDefault="00CF409E" w:rsidP="00CF409E">
      <w:pPr>
        <w:pStyle w:val="FootnoteText"/>
        <w:spacing w:after="0"/>
      </w:pPr>
      <w:r>
        <w:rPr>
          <w:rStyle w:val="FootnoteReference"/>
        </w:rPr>
        <w:footnoteRef/>
      </w:r>
      <w:r>
        <w:t xml:space="preserve"> </w:t>
      </w:r>
      <w:r>
        <w:tab/>
      </w:r>
      <w:hyperlink r:id="rId17" w:history="1">
        <w:r>
          <w:rPr>
            <w:rStyle w:val="Hyperlink"/>
          </w:rPr>
          <w:t>Mission letter from President Ursula von der Leyen to Commissioner-designate for Fisheries and Oceans Costas Kadis</w:t>
        </w:r>
      </w:hyperlink>
    </w:p>
  </w:footnote>
  <w:footnote w:id="27">
    <w:p w14:paraId="7A71E0E9" w14:textId="7BF8E12F" w:rsidR="00CF409E" w:rsidRPr="00757B8C" w:rsidRDefault="00CF409E" w:rsidP="00CF409E">
      <w:pPr>
        <w:pStyle w:val="FootnoteText"/>
        <w:spacing w:after="0"/>
      </w:pPr>
      <w:r>
        <w:rPr>
          <w:rStyle w:val="FootnoteReference"/>
        </w:rPr>
        <w:footnoteRef/>
      </w:r>
      <w:r>
        <w:t xml:space="preserve"> </w:t>
      </w:r>
      <w:r>
        <w:tab/>
      </w:r>
      <w:hyperlink r:id="rId18" w:history="1">
        <w:r>
          <w:rPr>
            <w:rStyle w:val="Hyperlink"/>
          </w:rPr>
          <w:t>Fishers of the future - A study that examines the future role of fishers in society up to 20</w:t>
        </w:r>
        <w:r w:rsidR="001D05E3">
          <w:rPr>
            <w:rStyle w:val="Hyperlink"/>
          </w:rPr>
          <w:t>50</w:t>
        </w:r>
      </w:hyperlink>
    </w:p>
  </w:footnote>
  <w:footnote w:id="28">
    <w:p w14:paraId="525526F1" w14:textId="77777777" w:rsidR="00CF409E" w:rsidRPr="00757B8C" w:rsidRDefault="00CF409E" w:rsidP="00CF409E">
      <w:pPr>
        <w:pStyle w:val="FootnoteText"/>
        <w:spacing w:after="0"/>
        <w:rPr>
          <w:lang w:val="en-IE"/>
        </w:rPr>
      </w:pPr>
      <w:r>
        <w:rPr>
          <w:rStyle w:val="FootnoteReference"/>
        </w:rPr>
        <w:footnoteRef/>
      </w:r>
      <w:r>
        <w:t xml:space="preserve"> </w:t>
      </w:r>
      <w:r>
        <w:tab/>
      </w:r>
      <w:hyperlink r:id="rId19" w:history="1">
        <w:r>
          <w:rPr>
            <w:rStyle w:val="Hyperlink"/>
          </w:rPr>
          <w:t>International Convention on Standards of Training, Certification and Watchkeeping for Fishing Vessel Personnel (STCW-F), 1995</w:t>
        </w:r>
      </w:hyperlink>
    </w:p>
  </w:footnote>
  <w:footnote w:id="29">
    <w:p w14:paraId="27C3DABF" w14:textId="77777777" w:rsidR="00CF409E" w:rsidRPr="00757B8C" w:rsidRDefault="00CF409E" w:rsidP="00CF409E">
      <w:pPr>
        <w:pStyle w:val="FootnoteText"/>
        <w:spacing w:after="0"/>
      </w:pPr>
      <w:r>
        <w:rPr>
          <w:rStyle w:val="FootnoteReference"/>
        </w:rPr>
        <w:footnoteRef/>
      </w:r>
      <w:r>
        <w:t xml:space="preserve"> </w:t>
      </w:r>
      <w:r>
        <w:tab/>
      </w:r>
      <w:hyperlink r:id="rId20" w:anchor="Analysis_by_activity" w:history="1">
        <w:r>
          <w:rPr>
            <w:rStyle w:val="Hyperlink"/>
            <w:szCs w:val="24"/>
          </w:rPr>
          <w:t>Eurostat: Accidents at work statistics</w:t>
        </w:r>
      </w:hyperlink>
    </w:p>
  </w:footnote>
  <w:footnote w:id="30">
    <w:p w14:paraId="5A78E719" w14:textId="77777777" w:rsidR="00CF409E" w:rsidRPr="00757B8C" w:rsidRDefault="00CF409E" w:rsidP="00CF409E">
      <w:pPr>
        <w:pStyle w:val="FootnoteText"/>
        <w:spacing w:after="0"/>
      </w:pPr>
      <w:r>
        <w:rPr>
          <w:rStyle w:val="FootnoteReference"/>
        </w:rPr>
        <w:footnoteRef/>
      </w:r>
      <w:r>
        <w:t xml:space="preserve"> </w:t>
      </w:r>
      <w:r>
        <w:tab/>
        <w:t>Regulation (EU) 2017/1004 of the European Parliament and of the Council of 17 May 2017 on the establishment of a Union framework for the collection, management and use of data in the fisheries sector and support for scientific advice regarding the common fisheries policy and repealing Council Regulation (EC) No 199/2008 (OJ L 157, 20.6.2017, p. 1).</w:t>
      </w:r>
    </w:p>
  </w:footnote>
  <w:footnote w:id="31">
    <w:p w14:paraId="333888B9" w14:textId="77777777" w:rsidR="00CF409E" w:rsidRPr="00757B8C" w:rsidRDefault="00CF409E" w:rsidP="00CF409E">
      <w:pPr>
        <w:pStyle w:val="FootnoteText"/>
        <w:spacing w:after="0"/>
      </w:pPr>
      <w:r>
        <w:rPr>
          <w:rStyle w:val="FootnoteReference"/>
        </w:rPr>
        <w:footnoteRef/>
      </w:r>
      <w:r>
        <w:t xml:space="preserve"> </w:t>
      </w:r>
      <w:r>
        <w:tab/>
      </w:r>
      <w:hyperlink r:id="rId21" w:history="1">
        <w:r>
          <w:rPr>
            <w:rStyle w:val="Hyperlink"/>
          </w:rPr>
          <w:t>Evaluation of the Common Fisheries Policy Regulation</w:t>
        </w:r>
      </w:hyperlink>
    </w:p>
  </w:footnote>
  <w:footnote w:id="32">
    <w:p w14:paraId="37699759" w14:textId="77777777" w:rsidR="00CF409E" w:rsidRPr="003348E9" w:rsidRDefault="00CF409E" w:rsidP="00CF409E">
      <w:pPr>
        <w:pStyle w:val="FootnoteText"/>
      </w:pPr>
      <w:r>
        <w:rPr>
          <w:rStyle w:val="FootnoteReference"/>
        </w:rPr>
        <w:footnoteRef/>
      </w:r>
      <w:r>
        <w:t xml:space="preserve">  </w:t>
      </w:r>
      <w:r>
        <w:tab/>
      </w:r>
      <w:r w:rsidRPr="003348E9">
        <w:t>The Commission will conduct several consultations with the UK, Norway and other coastal States starting in October 2025. The aim is to conclude them in time</w:t>
      </w:r>
      <w:r>
        <w:t xml:space="preserve"> to include</w:t>
      </w:r>
      <w:r w:rsidRPr="003348E9">
        <w:t xml:space="preserve"> their outcomes in the deliberations of the Agriculture and Fisheries Council in December 2025.</w:t>
      </w:r>
    </w:p>
  </w:footnote>
  <w:footnote w:id="33">
    <w:p w14:paraId="3525CE25" w14:textId="77777777" w:rsidR="00CF409E" w:rsidRPr="002030AF" w:rsidRDefault="00CF409E" w:rsidP="00CF409E">
      <w:pPr>
        <w:pStyle w:val="FootnoteText"/>
        <w:spacing w:after="0"/>
        <w:rPr>
          <w:lang w:val="en-IE"/>
        </w:rPr>
      </w:pPr>
      <w:r>
        <w:rPr>
          <w:rStyle w:val="FootnoteReference"/>
        </w:rPr>
        <w:footnoteRef/>
      </w:r>
      <w:r>
        <w:t xml:space="preserve"> </w:t>
      </w:r>
      <w:r w:rsidRPr="00CF409E">
        <w:t>In particular: Marine strategy framework directive, Birds and Habitats directives, Water framework directive and Nature restoration regulation</w:t>
      </w:r>
    </w:p>
  </w:footnote>
  <w:footnote w:id="34">
    <w:p w14:paraId="6CAD46DA" w14:textId="77777777" w:rsidR="00CF409E" w:rsidRPr="00757B8C" w:rsidRDefault="00CF409E" w:rsidP="00CF409E">
      <w:pPr>
        <w:pStyle w:val="FootnoteText"/>
        <w:spacing w:after="0"/>
      </w:pPr>
      <w:r>
        <w:rPr>
          <w:rStyle w:val="FootnoteReference"/>
        </w:rPr>
        <w:footnoteRef/>
      </w:r>
      <w:r>
        <w:t xml:space="preserve"> </w:t>
      </w:r>
      <w:r w:rsidRPr="308D5098">
        <w:rPr>
          <w:color w:val="000000" w:themeColor="text1"/>
          <w:sz w:val="19"/>
          <w:szCs w:val="19"/>
        </w:rPr>
        <w:t>COM(2024) 91 final</w:t>
      </w:r>
      <w:r>
        <w:rPr>
          <w:color w:val="000000" w:themeColor="text1"/>
          <w:sz w:val="19"/>
          <w:szCs w:val="19"/>
        </w:rPr>
        <w:t>, Managing</w:t>
      </w:r>
      <w:r w:rsidRPr="308D5098">
        <w:rPr>
          <w:color w:val="000000" w:themeColor="text1"/>
          <w:sz w:val="19"/>
          <w:szCs w:val="19"/>
        </w:rPr>
        <w:t xml:space="preserve"> </w:t>
      </w:r>
      <w:r>
        <w:rPr>
          <w:color w:val="000000" w:themeColor="text1"/>
          <w:sz w:val="19"/>
          <w:szCs w:val="19"/>
        </w:rPr>
        <w:t>c</w:t>
      </w:r>
      <w:r w:rsidRPr="308D5098">
        <w:rPr>
          <w:color w:val="000000" w:themeColor="text1"/>
          <w:sz w:val="19"/>
          <w:szCs w:val="19"/>
        </w:rPr>
        <w:t xml:space="preserve">limate </w:t>
      </w:r>
      <w:r>
        <w:rPr>
          <w:color w:val="000000" w:themeColor="text1"/>
          <w:sz w:val="19"/>
          <w:szCs w:val="19"/>
        </w:rPr>
        <w:t>r</w:t>
      </w:r>
      <w:r w:rsidRPr="308D5098">
        <w:rPr>
          <w:color w:val="000000" w:themeColor="text1"/>
          <w:sz w:val="19"/>
          <w:szCs w:val="19"/>
        </w:rPr>
        <w:t>isk</w:t>
      </w:r>
      <w:r>
        <w:rPr>
          <w:color w:val="000000" w:themeColor="text1"/>
          <w:sz w:val="19"/>
          <w:szCs w:val="19"/>
        </w:rPr>
        <w:t>s – protecting people and prosperity.</w:t>
      </w:r>
    </w:p>
  </w:footnote>
  <w:footnote w:id="35">
    <w:p w14:paraId="6F83F24C" w14:textId="77777777" w:rsidR="00FC0936" w:rsidRPr="003C0701" w:rsidRDefault="00FC0936" w:rsidP="00FC0936">
      <w:pPr>
        <w:pStyle w:val="FootnoteText"/>
        <w:ind w:left="142" w:hanging="142"/>
      </w:pPr>
      <w:r w:rsidRPr="003C0701">
        <w:rPr>
          <w:rStyle w:val="FootnoteReference"/>
        </w:rPr>
        <w:footnoteRef/>
      </w:r>
      <w:r w:rsidRPr="003C0701">
        <w:t xml:space="preserve"> For RFMO-managed stocks in EU waters and certain non-EU waters, </w:t>
      </w:r>
      <w:r w:rsidRPr="00993885">
        <w:t xml:space="preserve">fishing opportunities </w:t>
      </w:r>
      <w:r w:rsidRPr="003C0701">
        <w:t xml:space="preserve">are adopted after the annual meeting of the RFMOs </w:t>
      </w:r>
      <w:r>
        <w:t xml:space="preserve">by </w:t>
      </w:r>
      <w:r w:rsidRPr="003C0701">
        <w:t>revisi</w:t>
      </w:r>
      <w:r>
        <w:t xml:space="preserve">ng </w:t>
      </w:r>
      <w:r w:rsidRPr="003C0701">
        <w:t xml:space="preserve">the Council regulation setting the </w:t>
      </w:r>
      <w:r w:rsidRPr="00993885">
        <w:t>fishing opportunities</w:t>
      </w:r>
      <w:r w:rsidRPr="003C070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8A72" w14:textId="77777777" w:rsidR="002A72E0" w:rsidRPr="002A72E0" w:rsidRDefault="002A72E0" w:rsidP="002A72E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A585" w14:textId="77777777" w:rsidR="002A72E0" w:rsidRPr="002A72E0" w:rsidRDefault="002A72E0" w:rsidP="002A72E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6092" w14:textId="77777777" w:rsidR="002A72E0" w:rsidRPr="002A72E0" w:rsidRDefault="002A72E0" w:rsidP="002A72E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4E80" w14:textId="77777777" w:rsidR="00394FDE" w:rsidRDefault="00394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C535" w14:textId="77777777" w:rsidR="00394FDE" w:rsidRDefault="00394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1B92" w14:textId="77777777" w:rsidR="00394FDE" w:rsidRDefault="0039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0F7"/>
    <w:multiLevelType w:val="multilevel"/>
    <w:tmpl w:val="60201F00"/>
    <w:lvl w:ilvl="0">
      <w:start w:val="1"/>
      <w:numFmt w:val="decimal"/>
      <w:lvlText w:val="%1."/>
      <w:lvlJc w:val="left"/>
      <w:pPr>
        <w:ind w:left="1200" w:hanging="360"/>
      </w:pPr>
      <w:rPr>
        <w:b/>
        <w:bCs/>
      </w:rPr>
    </w:lvl>
    <w:lvl w:ilvl="1">
      <w:start w:val="1"/>
      <w:numFmt w:val="decimal"/>
      <w:lvlText w:val="%1.%2."/>
      <w:lvlJc w:val="left"/>
      <w:pPr>
        <w:ind w:left="1920" w:hanging="360"/>
      </w:pPr>
      <w:rPr>
        <w:b/>
        <w:bCs/>
      </w:rPr>
    </w:lvl>
    <w:lvl w:ilvl="2">
      <w:start w:val="1"/>
      <w:numFmt w:val="decimal"/>
      <w:lvlText w:val="%1.%2.%3."/>
      <w:lvlJc w:val="left"/>
      <w:pPr>
        <w:ind w:left="2640" w:hanging="180"/>
      </w:pPr>
    </w:lvl>
    <w:lvl w:ilvl="3">
      <w:start w:val="1"/>
      <w:numFmt w:val="decimal"/>
      <w:lvlText w:val="%1.%2.%3.%4."/>
      <w:lvlJc w:val="left"/>
      <w:pPr>
        <w:ind w:left="3360" w:hanging="360"/>
      </w:pPr>
    </w:lvl>
    <w:lvl w:ilvl="4">
      <w:start w:val="1"/>
      <w:numFmt w:val="decimal"/>
      <w:lvlText w:val="%1.%2.%3.%4.%5."/>
      <w:lvlJc w:val="left"/>
      <w:pPr>
        <w:ind w:left="4080" w:hanging="360"/>
      </w:pPr>
    </w:lvl>
    <w:lvl w:ilvl="5">
      <w:start w:val="1"/>
      <w:numFmt w:val="decimal"/>
      <w:lvlText w:val="%1.%2.%3.%4.%5.%6."/>
      <w:lvlJc w:val="left"/>
      <w:pPr>
        <w:ind w:left="4800" w:hanging="180"/>
      </w:pPr>
    </w:lvl>
    <w:lvl w:ilvl="6">
      <w:start w:val="1"/>
      <w:numFmt w:val="decimal"/>
      <w:lvlText w:val="%1.%2.%3.%4.%5.%6.%7."/>
      <w:lvlJc w:val="left"/>
      <w:pPr>
        <w:ind w:left="5520" w:hanging="360"/>
      </w:pPr>
    </w:lvl>
    <w:lvl w:ilvl="7">
      <w:start w:val="1"/>
      <w:numFmt w:val="decimal"/>
      <w:lvlText w:val="%1.%2.%3.%4.%5.%6.%7.%8."/>
      <w:lvlJc w:val="left"/>
      <w:pPr>
        <w:ind w:left="6240" w:hanging="360"/>
      </w:pPr>
    </w:lvl>
    <w:lvl w:ilvl="8">
      <w:start w:val="1"/>
      <w:numFmt w:val="decimal"/>
      <w:lvlText w:val="%1.%2.%3.%4.%5.%6.%7.%8.%9."/>
      <w:lvlJc w:val="left"/>
      <w:pPr>
        <w:ind w:left="6960" w:hanging="180"/>
      </w:pPr>
    </w:lvl>
  </w:abstractNum>
  <w:abstractNum w:abstractNumId="1" w15:restartNumberingAfterBreak="0">
    <w:nsid w:val="5FE64298"/>
    <w:multiLevelType w:val="multilevel"/>
    <w:tmpl w:val="33EAEE80"/>
    <w:lvl w:ilvl="0">
      <w:start w:val="1"/>
      <w:numFmt w:val="decimal"/>
      <w:lvlText w:val="%1."/>
      <w:lvlJc w:val="left"/>
      <w:pPr>
        <w:ind w:left="360" w:hanging="360"/>
      </w:pPr>
      <w:rPr>
        <w:b w:val="0"/>
        <w:bCs w:val="0"/>
      </w:rPr>
    </w:lvl>
    <w:lvl w:ilvl="1">
      <w:start w:val="1"/>
      <w:numFmt w:val="decimal"/>
      <w:lvlText w:val="%1.%2."/>
      <w:lvlJc w:val="left"/>
      <w:pPr>
        <w:ind w:left="1080" w:hanging="360"/>
      </w:pPr>
      <w:rPr>
        <w:b w:val="0"/>
        <w:bCs w:val="0"/>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 w15:restartNumberingAfterBreak="0">
    <w:nsid w:val="6DBA3DFF"/>
    <w:multiLevelType w:val="hybridMultilevel"/>
    <w:tmpl w:val="6486F160"/>
    <w:lvl w:ilvl="0" w:tplc="9FB0D0BE">
      <w:start w:val="1"/>
      <w:numFmt w:val="decimal"/>
      <w:lvlText w:val="%1.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AFD7A3A-F726-4989-AB2A-9CEDD2EC82CA"/>
    <w:docVar w:name="LW_COVERPAGE_TYPE" w:val="1"/>
    <w:docVar w:name="LW_CROSSREFERENCE" w:val="{SWD(2025) 149 final}"/>
    <w:docVar w:name="LW_DocType" w:val="NORMAL"/>
    <w:docVar w:name="LW_EMISSION" w:val="6.6.2025"/>
    <w:docVar w:name="LW_EMISSION_ISODATE" w:val="2025-06-06"/>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5) 29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stainable fishing in the EU: state of play and orientations for 2026"/>
    <w:docVar w:name="LW_TYPE.DOC.CP" w:val="COMMUNICATION FROM THE COMMISSION TO THE EUROPEAN PARLIAMENT AND THE COUNCIL"/>
    <w:docVar w:name="LW_TYPE.DOC.CP.USERTEXT" w:val="&lt;EMPTY&gt;"/>
    <w:docVar w:name="LwApiVersions" w:val="LW4CoDe 1.24.5.0; LW 9.0, Build 20240221"/>
  </w:docVars>
  <w:rsids>
    <w:rsidRoot w:val="00394FDE"/>
    <w:rsid w:val="00003690"/>
    <w:rsid w:val="00031EA3"/>
    <w:rsid w:val="000A23A9"/>
    <w:rsid w:val="00126033"/>
    <w:rsid w:val="001D05E3"/>
    <w:rsid w:val="001D57E3"/>
    <w:rsid w:val="001E45D2"/>
    <w:rsid w:val="00206652"/>
    <w:rsid w:val="002137AC"/>
    <w:rsid w:val="00222573"/>
    <w:rsid w:val="0025458B"/>
    <w:rsid w:val="002575C0"/>
    <w:rsid w:val="002648CC"/>
    <w:rsid w:val="00277B5D"/>
    <w:rsid w:val="002A72E0"/>
    <w:rsid w:val="002B6E0F"/>
    <w:rsid w:val="002D7900"/>
    <w:rsid w:val="002F1172"/>
    <w:rsid w:val="0031574A"/>
    <w:rsid w:val="003348E9"/>
    <w:rsid w:val="0039200A"/>
    <w:rsid w:val="00394FDE"/>
    <w:rsid w:val="003D3782"/>
    <w:rsid w:val="003D569F"/>
    <w:rsid w:val="00424039"/>
    <w:rsid w:val="00436EEF"/>
    <w:rsid w:val="0043716D"/>
    <w:rsid w:val="004400E6"/>
    <w:rsid w:val="00460E9B"/>
    <w:rsid w:val="004A5B3A"/>
    <w:rsid w:val="004B52F8"/>
    <w:rsid w:val="004D4CC3"/>
    <w:rsid w:val="004D57B7"/>
    <w:rsid w:val="00533942"/>
    <w:rsid w:val="005425C8"/>
    <w:rsid w:val="005500FB"/>
    <w:rsid w:val="00566096"/>
    <w:rsid w:val="00574D14"/>
    <w:rsid w:val="005B191A"/>
    <w:rsid w:val="005C547C"/>
    <w:rsid w:val="005C65F9"/>
    <w:rsid w:val="005D3E99"/>
    <w:rsid w:val="005D4AD0"/>
    <w:rsid w:val="00600818"/>
    <w:rsid w:val="0060143E"/>
    <w:rsid w:val="00655ACE"/>
    <w:rsid w:val="006949BF"/>
    <w:rsid w:val="006E7F38"/>
    <w:rsid w:val="00715FDB"/>
    <w:rsid w:val="0072495B"/>
    <w:rsid w:val="00730A4F"/>
    <w:rsid w:val="007608BC"/>
    <w:rsid w:val="00794D7D"/>
    <w:rsid w:val="007A5A20"/>
    <w:rsid w:val="007C79EB"/>
    <w:rsid w:val="008A2B70"/>
    <w:rsid w:val="008A2D5A"/>
    <w:rsid w:val="00924EA0"/>
    <w:rsid w:val="009843F4"/>
    <w:rsid w:val="009F42F3"/>
    <w:rsid w:val="00A06928"/>
    <w:rsid w:val="00A576D6"/>
    <w:rsid w:val="00A871A7"/>
    <w:rsid w:val="00AE147E"/>
    <w:rsid w:val="00AE3761"/>
    <w:rsid w:val="00AF625C"/>
    <w:rsid w:val="00B163C4"/>
    <w:rsid w:val="00B269B9"/>
    <w:rsid w:val="00B34C06"/>
    <w:rsid w:val="00B94E71"/>
    <w:rsid w:val="00C25A91"/>
    <w:rsid w:val="00C31792"/>
    <w:rsid w:val="00CB5C6E"/>
    <w:rsid w:val="00CE35C9"/>
    <w:rsid w:val="00CF409E"/>
    <w:rsid w:val="00D2143E"/>
    <w:rsid w:val="00D57666"/>
    <w:rsid w:val="00D60E80"/>
    <w:rsid w:val="00DA2435"/>
    <w:rsid w:val="00DA3577"/>
    <w:rsid w:val="00DB051B"/>
    <w:rsid w:val="00DC37EF"/>
    <w:rsid w:val="00DC6697"/>
    <w:rsid w:val="00DC6FE8"/>
    <w:rsid w:val="00DE4C78"/>
    <w:rsid w:val="00E01122"/>
    <w:rsid w:val="00E332B6"/>
    <w:rsid w:val="00E52617"/>
    <w:rsid w:val="00E85B7B"/>
    <w:rsid w:val="00EA65BA"/>
    <w:rsid w:val="00F138BB"/>
    <w:rsid w:val="00FA6C04"/>
    <w:rsid w:val="00FA7BDE"/>
    <w:rsid w:val="00FC0936"/>
    <w:rsid w:val="00FD37F9"/>
    <w:rsid w:val="00FD6ACD"/>
    <w:rsid w:val="00FF579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935521"/>
  <w15:chartTrackingRefBased/>
  <w15:docId w15:val="{F7DA1DA1-6698-4357-929C-353212E6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FDE"/>
    <w:rPr>
      <w:rFonts w:eastAsiaTheme="majorEastAsia" w:cstheme="majorBidi"/>
      <w:color w:val="272727" w:themeColor="text1" w:themeTint="D8"/>
    </w:rPr>
  </w:style>
  <w:style w:type="paragraph" w:styleId="Title">
    <w:name w:val="Title"/>
    <w:basedOn w:val="Normal"/>
    <w:next w:val="Normal"/>
    <w:link w:val="TitleChar"/>
    <w:uiPriority w:val="10"/>
    <w:qFormat/>
    <w:rsid w:val="0039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FDE"/>
    <w:pPr>
      <w:spacing w:before="160"/>
      <w:jc w:val="center"/>
    </w:pPr>
    <w:rPr>
      <w:i/>
      <w:iCs/>
      <w:color w:val="404040" w:themeColor="text1" w:themeTint="BF"/>
    </w:rPr>
  </w:style>
  <w:style w:type="character" w:customStyle="1" w:styleId="QuoteChar">
    <w:name w:val="Quote Char"/>
    <w:basedOn w:val="DefaultParagraphFont"/>
    <w:link w:val="Quote"/>
    <w:uiPriority w:val="29"/>
    <w:rsid w:val="00394FDE"/>
    <w:rPr>
      <w:i/>
      <w:iCs/>
      <w:color w:val="404040" w:themeColor="text1" w:themeTint="BF"/>
    </w:rPr>
  </w:style>
  <w:style w:type="paragraph" w:styleId="ListParagraph">
    <w:name w:val="List Paragraph"/>
    <w:basedOn w:val="Normal"/>
    <w:uiPriority w:val="34"/>
    <w:qFormat/>
    <w:rsid w:val="00394FDE"/>
    <w:pPr>
      <w:ind w:left="720"/>
      <w:contextualSpacing/>
    </w:pPr>
  </w:style>
  <w:style w:type="character" w:styleId="IntenseEmphasis">
    <w:name w:val="Intense Emphasis"/>
    <w:basedOn w:val="DefaultParagraphFont"/>
    <w:uiPriority w:val="21"/>
    <w:qFormat/>
    <w:rsid w:val="00394FDE"/>
    <w:rPr>
      <w:i/>
      <w:iCs/>
      <w:color w:val="0F4761" w:themeColor="accent1" w:themeShade="BF"/>
    </w:rPr>
  </w:style>
  <w:style w:type="paragraph" w:styleId="IntenseQuote">
    <w:name w:val="Intense Quote"/>
    <w:basedOn w:val="Normal"/>
    <w:next w:val="Normal"/>
    <w:link w:val="IntenseQuoteChar"/>
    <w:uiPriority w:val="30"/>
    <w:qFormat/>
    <w:rsid w:val="0039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FDE"/>
    <w:rPr>
      <w:i/>
      <w:iCs/>
      <w:color w:val="0F4761" w:themeColor="accent1" w:themeShade="BF"/>
    </w:rPr>
  </w:style>
  <w:style w:type="character" w:styleId="IntenseReference">
    <w:name w:val="Intense Reference"/>
    <w:basedOn w:val="DefaultParagraphFont"/>
    <w:uiPriority w:val="32"/>
    <w:qFormat/>
    <w:rsid w:val="00394FDE"/>
    <w:rPr>
      <w:b/>
      <w:bCs/>
      <w:smallCaps/>
      <w:color w:val="0F4761" w:themeColor="accent1" w:themeShade="BF"/>
      <w:spacing w:val="5"/>
    </w:rPr>
  </w:style>
  <w:style w:type="character" w:customStyle="1" w:styleId="Marker">
    <w:name w:val="Marker"/>
    <w:basedOn w:val="DefaultParagraphFont"/>
    <w:rsid w:val="00394FDE"/>
    <w:rPr>
      <w:color w:val="0000FF"/>
      <w:shd w:val="clear" w:color="auto" w:fill="auto"/>
    </w:rPr>
  </w:style>
  <w:style w:type="paragraph" w:styleId="Header">
    <w:name w:val="header"/>
    <w:basedOn w:val="Normal"/>
    <w:link w:val="HeaderChar"/>
    <w:uiPriority w:val="99"/>
    <w:unhideWhenUsed/>
    <w:rsid w:val="00394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FDE"/>
  </w:style>
  <w:style w:type="paragraph" w:styleId="Footer">
    <w:name w:val="footer"/>
    <w:basedOn w:val="Normal"/>
    <w:link w:val="FooterChar"/>
    <w:uiPriority w:val="99"/>
    <w:unhideWhenUsed/>
    <w:rsid w:val="00394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FDE"/>
  </w:style>
  <w:style w:type="paragraph" w:customStyle="1" w:styleId="Pagedecouverture">
    <w:name w:val="Page de couverture"/>
    <w:basedOn w:val="Normal"/>
    <w:next w:val="Normal"/>
    <w:rsid w:val="00394FDE"/>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394FD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94FDE"/>
    <w:rPr>
      <w:rFonts w:ascii="Times New Roman" w:hAnsi="Times New Roman" w:cs="Times New Roman"/>
      <w:sz w:val="24"/>
    </w:rPr>
  </w:style>
  <w:style w:type="paragraph" w:customStyle="1" w:styleId="FooterSensitivity">
    <w:name w:val="Footer Sensitivity"/>
    <w:basedOn w:val="Normal"/>
    <w:link w:val="FooterSensitivityChar"/>
    <w:rsid w:val="00394FD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94FDE"/>
    <w:rPr>
      <w:rFonts w:ascii="Times New Roman" w:hAnsi="Times New Roman" w:cs="Times New Roman"/>
      <w:b/>
      <w:sz w:val="32"/>
    </w:rPr>
  </w:style>
  <w:style w:type="paragraph" w:customStyle="1" w:styleId="HeaderCoverPage">
    <w:name w:val="Header Cover Page"/>
    <w:basedOn w:val="Normal"/>
    <w:link w:val="HeaderCoverPageChar"/>
    <w:rsid w:val="00394FD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94FDE"/>
    <w:rPr>
      <w:rFonts w:ascii="Times New Roman" w:hAnsi="Times New Roman" w:cs="Times New Roman"/>
      <w:sz w:val="24"/>
    </w:rPr>
  </w:style>
  <w:style w:type="paragraph" w:customStyle="1" w:styleId="HeaderSensitivity">
    <w:name w:val="Header Sensitivity"/>
    <w:basedOn w:val="Normal"/>
    <w:link w:val="HeaderSensitivityChar"/>
    <w:rsid w:val="00394FD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94FDE"/>
    <w:rPr>
      <w:rFonts w:ascii="Times New Roman" w:hAnsi="Times New Roman" w:cs="Times New Roman"/>
      <w:b/>
      <w:sz w:val="32"/>
    </w:rPr>
  </w:style>
  <w:style w:type="paragraph" w:customStyle="1" w:styleId="HeaderSensitivityRight">
    <w:name w:val="Header Sensitivity Right"/>
    <w:basedOn w:val="Normal"/>
    <w:link w:val="HeaderSensitivityRightChar"/>
    <w:rsid w:val="00394FD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94FDE"/>
    <w:rPr>
      <w:rFonts w:ascii="Times New Roman" w:hAnsi="Times New Roman" w:cs="Times New Roman"/>
      <w:sz w:val="28"/>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rsid w:val="00FC0936"/>
    <w:pPr>
      <w:spacing w:after="240" w:line="240" w:lineRule="auto"/>
      <w:ind w:left="357" w:hanging="357"/>
      <w:jc w:val="both"/>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qFormat/>
    <w:rsid w:val="00FC0936"/>
    <w:rPr>
      <w:rFonts w:ascii="Times New Roman" w:eastAsia="Times New Roman" w:hAnsi="Times New Roman" w:cs="Times New Roman"/>
      <w:kern w:val="0"/>
      <w:sz w:val="20"/>
      <w:szCs w:val="20"/>
      <w:lang w:val="en-GB"/>
      <w14:ligatures w14:val="none"/>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fr"/>
    <w:link w:val="CharCharChar"/>
    <w:uiPriority w:val="99"/>
    <w:qFormat/>
    <w:rsid w:val="00FC0936"/>
    <w:rPr>
      <w:vertAlign w:val="superscript"/>
    </w:rPr>
  </w:style>
  <w:style w:type="paragraph" w:customStyle="1" w:styleId="CharCharChar">
    <w:name w:val="Char Char Char"/>
    <w:basedOn w:val="Normal"/>
    <w:link w:val="FootnoteReference"/>
    <w:uiPriority w:val="99"/>
    <w:rsid w:val="00FC0936"/>
    <w:pPr>
      <w:spacing w:line="240" w:lineRule="exact"/>
    </w:pPr>
    <w:rPr>
      <w:vertAlign w:val="superscript"/>
    </w:rPr>
  </w:style>
  <w:style w:type="character" w:styleId="CommentReference">
    <w:name w:val="annotation reference"/>
    <w:basedOn w:val="DefaultParagraphFont"/>
    <w:uiPriority w:val="99"/>
    <w:semiHidden/>
    <w:unhideWhenUsed/>
    <w:rsid w:val="00FC0936"/>
    <w:rPr>
      <w:sz w:val="16"/>
      <w:szCs w:val="16"/>
    </w:rPr>
  </w:style>
  <w:style w:type="paragraph" w:styleId="CommentText">
    <w:name w:val="annotation text"/>
    <w:basedOn w:val="Normal"/>
    <w:link w:val="CommentTextChar"/>
    <w:uiPriority w:val="99"/>
    <w:unhideWhenUsed/>
    <w:rsid w:val="00FC0936"/>
    <w:pPr>
      <w:spacing w:after="200"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FC0936"/>
    <w:rPr>
      <w:kern w:val="0"/>
      <w:sz w:val="20"/>
      <w:szCs w:val="20"/>
      <w:lang w:val="en-GB"/>
      <w14:ligatures w14:val="none"/>
    </w:rPr>
  </w:style>
  <w:style w:type="character" w:styleId="Hyperlink">
    <w:name w:val="Hyperlink"/>
    <w:basedOn w:val="DefaultParagraphFont"/>
    <w:uiPriority w:val="99"/>
    <w:unhideWhenUsed/>
    <w:rsid w:val="00FC0936"/>
    <w:rPr>
      <w:color w:val="0000FF"/>
      <w:u w:val="single"/>
    </w:rPr>
  </w:style>
  <w:style w:type="character" w:customStyle="1" w:styleId="UnresolvedMention">
    <w:name w:val="Unresolved Mention"/>
    <w:basedOn w:val="DefaultParagraphFont"/>
    <w:uiPriority w:val="99"/>
    <w:semiHidden/>
    <w:unhideWhenUsed/>
    <w:rsid w:val="00D2143E"/>
    <w:rPr>
      <w:color w:val="605E5C"/>
      <w:shd w:val="clear" w:color="auto" w:fill="E1DFDD"/>
    </w:rPr>
  </w:style>
  <w:style w:type="character" w:styleId="FollowedHyperlink">
    <w:name w:val="FollowedHyperlink"/>
    <w:basedOn w:val="DefaultParagraphFont"/>
    <w:uiPriority w:val="99"/>
    <w:semiHidden/>
    <w:unhideWhenUsed/>
    <w:rsid w:val="00655ACE"/>
    <w:rPr>
      <w:color w:val="96607D" w:themeColor="followedHyperlink"/>
      <w:u w:val="single"/>
    </w:rPr>
  </w:style>
  <w:style w:type="table" w:styleId="TableGrid">
    <w:name w:val="Table Grid"/>
    <w:basedOn w:val="TableNormal"/>
    <w:uiPriority w:val="39"/>
    <w:rsid w:val="00CF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65F9"/>
    <w:pPr>
      <w:spacing w:after="0" w:line="240" w:lineRule="auto"/>
    </w:pPr>
  </w:style>
  <w:style w:type="paragraph" w:styleId="CommentSubject">
    <w:name w:val="annotation subject"/>
    <w:basedOn w:val="CommentText"/>
    <w:next w:val="CommentText"/>
    <w:link w:val="CommentSubjectChar"/>
    <w:uiPriority w:val="99"/>
    <w:semiHidden/>
    <w:unhideWhenUsed/>
    <w:rsid w:val="00A576D6"/>
    <w:pPr>
      <w:spacing w:after="160"/>
    </w:pPr>
    <w:rPr>
      <w:b/>
      <w:bCs/>
      <w:kern w:val="2"/>
      <w:lang w:val="en-IE"/>
      <w14:ligatures w14:val="standardContextual"/>
    </w:rPr>
  </w:style>
  <w:style w:type="character" w:customStyle="1" w:styleId="CommentSubjectChar">
    <w:name w:val="Comment Subject Char"/>
    <w:basedOn w:val="CommentTextChar"/>
    <w:link w:val="CommentSubject"/>
    <w:uiPriority w:val="99"/>
    <w:semiHidden/>
    <w:rsid w:val="00A576D6"/>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19/1022/oj" TargetMode="External"/><Relationship Id="rId13" Type="http://schemas.openxmlformats.org/officeDocument/2006/relationships/hyperlink" Target="https://oceans-and-fisheries.ec.europa.eu/news/twelve-sustainability-measures-fishers-add-fishing-days-under-compensation-mechanism-2024-12-11_en" TargetMode="External"/><Relationship Id="rId18" Type="http://schemas.openxmlformats.org/officeDocument/2006/relationships/hyperlink" Target="https://oceans-and-fisheries.ec.europa.eu/fishers-future_en" TargetMode="External"/><Relationship Id="rId3" Type="http://schemas.openxmlformats.org/officeDocument/2006/relationships/hyperlink" Target="https://research-and-innovation.ec.europa.eu/funding/funding-opportunities/funding-programmes-and-open-calls/horizon-europe/eu-missions-horizon-europe/restore-our-ocean-and-waters_en" TargetMode="External"/><Relationship Id="rId21" Type="http://schemas.openxmlformats.org/officeDocument/2006/relationships/hyperlink" Target="https://ec.europa.eu/info/law/better-regulation/have-your-say/initiatives/14203-Common-fisheries-policy-evaluation_en" TargetMode="External"/><Relationship Id="rId7" Type="http://schemas.openxmlformats.org/officeDocument/2006/relationships/hyperlink" Target="https://stecf.jrc.ec.europa.eu/documents/d/stecf/stecf_22-01_adhoc" TargetMode="External"/><Relationship Id="rId12" Type="http://schemas.openxmlformats.org/officeDocument/2006/relationships/hyperlink" Target="https://commission.europa.eu/system/files/2020-09/ministerial_declaration_our_baltic_conference.pdf" TargetMode="External"/><Relationship Id="rId17" Type="http://schemas.openxmlformats.org/officeDocument/2006/relationships/hyperlink" Target="https://commission.europa.eu/document/download/028ce7d5-e328-4416-8f0d-35c8884acaa8_en?filename=Mission%20letter%20-%20KADIS.pdf" TargetMode="External"/><Relationship Id="rId2" Type="http://schemas.openxmlformats.org/officeDocument/2006/relationships/hyperlink" Target="https://oap.ospar.org/en/ospar-assessments/quality-status-reports/qsr-2023/indicator-assessments/seafloor-dissolved-oxygen/" TargetMode="External"/><Relationship Id="rId16" Type="http://schemas.openxmlformats.org/officeDocument/2006/relationships/hyperlink" Target="https://ec.europa.eu/commission/presscorner/detail/en/ip_25_856" TargetMode="External"/><Relationship Id="rId20" Type="http://schemas.openxmlformats.org/officeDocument/2006/relationships/hyperlink" Target="https://ec.europa.eu/eurostat/statistics-explained/index.php?title=Accidents_at_work_statistics" TargetMode="External"/><Relationship Id="rId1" Type="http://schemas.openxmlformats.org/officeDocument/2006/relationships/hyperlink" Target="https://oap.ospar.org/en/ospar-assessments/quality-status-reports/qsr-2023/indicator-assessments/changes-plankton-biomass-abundance/" TargetMode="External"/><Relationship Id="rId6" Type="http://schemas.openxmlformats.org/officeDocument/2006/relationships/hyperlink" Target="http://data.europa.eu/eli/reg/2013/1380/oj" TargetMode="External"/><Relationship Id="rId11" Type="http://schemas.openxmlformats.org/officeDocument/2006/relationships/hyperlink" Target="https://helcom.fi/baltic-sea-action-plan/" TargetMode="External"/><Relationship Id="rId5" Type="http://schemas.openxmlformats.org/officeDocument/2006/relationships/hyperlink" Target="https://environment.ec.europa.eu/topics/nature-and-biodiversity/nature-restoration-regulation_en" TargetMode="External"/><Relationship Id="rId15" Type="http://schemas.openxmlformats.org/officeDocument/2006/relationships/hyperlink" Target="https://eur-lex.europa.eu/LexUriServ/LexUriServ.do?uri=COM:2014:0545:FIN:EN:PDF" TargetMode="External"/><Relationship Id="rId10" Type="http://schemas.openxmlformats.org/officeDocument/2006/relationships/hyperlink" Target="https://ices-library.figshare.com/articles/report/Baltic_Sea_Ecoregion_Ecosystem_Overview/27256635?file=50813523" TargetMode="External"/><Relationship Id="rId19" Type="http://schemas.openxmlformats.org/officeDocument/2006/relationships/hyperlink" Target="https://www.imo.org/en/ourwork/humanelement/pages/stcw-f-convention.aspx" TargetMode="External"/><Relationship Id="rId4" Type="http://schemas.openxmlformats.org/officeDocument/2006/relationships/hyperlink" Target="http://data.europa.eu/eli/reg/2024/1991/oj" TargetMode="External"/><Relationship Id="rId9" Type="http://schemas.openxmlformats.org/officeDocument/2006/relationships/hyperlink" Target="https://helcom.fi/wp-content/uploads/2023/10/State-of-the-Baltic-Sea-2023.pdf" TargetMode="External"/><Relationship Id="rId14" Type="http://schemas.openxmlformats.org/officeDocument/2006/relationships/hyperlink" Target="https://commission.europa.eu/strategy-and-policy/relations-united-kingdom/eu-uk-trade-and-cooperation-agre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72D3-A4CB-44B1-86E6-DF4A57B6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cp:revision>
  <dcterms:created xsi:type="dcterms:W3CDTF">2025-05-26T09:11:00Z</dcterms:created>
  <dcterms:modified xsi:type="dcterms:W3CDTF">2025-06-05T15:18:00Z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9.1, Build 20240808</vt:lpwstr>
  </property>
  <property fmtid="{D5CDD505-2E9C-101B-9397-08002B2CF9AE}" pid="8" name="Crea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2025-04-14T17:31:14Z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0a70bc99-5c16-4b92-a4da-a2ce907b682c</vt:lpwstr>
  </property>
  <property fmtid="{D5CDD505-2E9C-101B-9397-08002B2CF9AE}" pid="15" name="MSIP_Label_6bd9ddd1-4d20-43f6-abfa-fc3c07406f94_ContentBits">
    <vt:lpwstr>0</vt:lpwstr>
  </property>
</Properties>
</file>